
<file path=[Content_Types].xml><?xml version="1.0" encoding="utf-8"?>
<Types xmlns="http://schemas.openxmlformats.org/package/2006/content-types">
  <Default Extension="emf" ContentType="image/x-emf"/>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520A4" w:rsidRPr="00A26F66">
      <w:pPr>
        <w:pStyle w:val="TOCHeading"/>
        <w:bidi w:val="0"/>
        <w:rPr>
          <w:rFonts w:ascii="Times New Roman" w:hAnsi="Times New Roman"/>
          <w:color w:val="auto"/>
          <w:sz w:val="24"/>
          <w:szCs w:val="24"/>
        </w:rPr>
      </w:pPr>
      <w:bookmarkStart w:id="0" w:name="_Toc97700652"/>
      <w:bookmarkStart w:id="1" w:name="_Toc148255237"/>
      <w:bookmarkStart w:id="2" w:name="_Toc282686533"/>
      <w:r w:rsidRPr="00A26F66">
        <w:rPr>
          <w:rFonts w:ascii="Times New Roman" w:hAnsi="Times New Roman"/>
          <w:color w:val="auto"/>
          <w:sz w:val="24"/>
          <w:szCs w:val="24"/>
        </w:rPr>
        <w:t>Obsah</w:t>
      </w:r>
    </w:p>
    <w:p w:rsidR="00F603A5" w:rsidRPr="00A26F66" w:rsidP="00F603A5">
      <w:pPr>
        <w:bidi w:val="0"/>
        <w:rPr>
          <w:rFonts w:ascii="Times New Roman" w:hAnsi="Times New Roman" w:cs="Times New Roman"/>
          <w:lang w:eastAsia="en-US"/>
        </w:rPr>
      </w:pPr>
    </w:p>
    <w:p w:rsidR="0043666E" w:rsidRPr="0043666E">
      <w:pPr>
        <w:pStyle w:val="TOC1"/>
        <w:bidi w:val="0"/>
        <w:rPr>
          <w:rFonts w:ascii="Times New Roman" w:hAnsi="Times New Roman" w:eastAsiaTheme="minorEastAsia"/>
          <w:b w:val="0"/>
          <w:sz w:val="22"/>
          <w:szCs w:val="22"/>
          <w:lang w:eastAsia="sk-SK"/>
        </w:rPr>
      </w:pPr>
      <w:r w:rsidRPr="00A1485D" w:rsidR="007520A4">
        <w:rPr>
          <w:rFonts w:ascii="Times New Roman" w:hAnsi="Times New Roman"/>
        </w:rPr>
        <w:fldChar w:fldCharType="begin"/>
      </w:r>
      <w:r w:rsidRPr="00A1485D" w:rsidR="007520A4">
        <w:rPr>
          <w:rFonts w:ascii="Times New Roman" w:hAnsi="Times New Roman"/>
        </w:rPr>
        <w:instrText xml:space="preserve"> TOC \o "1-3" \h \z \u </w:instrText>
      </w:r>
      <w:r w:rsidRPr="00A1485D" w:rsidR="007520A4">
        <w:rPr>
          <w:rFonts w:ascii="Times New Roman" w:hAnsi="Times New Roman"/>
        </w:rPr>
        <w:fldChar w:fldCharType="separate"/>
      </w:r>
      <w:hyperlink w:anchor="_Toc306089052" w:history="1">
        <w:r w:rsidRPr="0043666E">
          <w:rPr>
            <w:rStyle w:val="Hyperlink"/>
            <w:rFonts w:ascii="Times New Roman" w:hAnsi="Times New Roman"/>
          </w:rPr>
          <w:t>1.</w:t>
        </w:r>
        <w:r w:rsidRPr="0043666E">
          <w:rPr>
            <w:rFonts w:ascii="Times New Roman" w:hAnsi="Times New Roman" w:eastAsiaTheme="minorEastAsia"/>
            <w:b w:val="0"/>
            <w:sz w:val="22"/>
            <w:szCs w:val="22"/>
            <w:lang w:eastAsia="sk-SK"/>
          </w:rPr>
          <w:tab/>
        </w:r>
        <w:r w:rsidRPr="0043666E">
          <w:rPr>
            <w:rStyle w:val="Hyperlink"/>
            <w:rFonts w:ascii="Times New Roman" w:hAnsi="Times New Roman"/>
          </w:rPr>
          <w:t>Stratégia verejných financií na roky 2012 až 2014</w:t>
        </w:r>
        <w:r w:rsidRPr="0043666E">
          <w:rPr>
            <w:rFonts w:ascii="Times New Roman" w:hAnsi="Times New Roman"/>
            <w:webHidden/>
          </w:rPr>
          <w:tab/>
        </w:r>
        <w:r w:rsidRPr="0043666E">
          <w:rPr>
            <w:rFonts w:ascii="Times New Roman" w:hAnsi="Times New Roman"/>
            <w:webHidden/>
          </w:rPr>
          <w:fldChar w:fldCharType="begin"/>
        </w:r>
        <w:r w:rsidRPr="0043666E">
          <w:rPr>
            <w:rFonts w:ascii="Times New Roman" w:hAnsi="Times New Roman"/>
            <w:webHidden/>
          </w:rPr>
          <w:instrText xml:space="preserve"> PAGEREF _Toc306089052 \h </w:instrText>
        </w:r>
        <w:r w:rsidRPr="0043666E">
          <w:rPr>
            <w:rFonts w:ascii="Times New Roman" w:hAnsi="Times New Roman"/>
            <w:webHidden/>
          </w:rPr>
          <w:fldChar w:fldCharType="separate"/>
        </w:r>
        <w:r w:rsidR="00A26CA0">
          <w:rPr>
            <w:rFonts w:ascii="Times New Roman" w:hAnsi="Times New Roman"/>
            <w:webHidden/>
          </w:rPr>
          <w:t>2</w:t>
        </w:r>
        <w:r w:rsidRPr="0043666E">
          <w:rPr>
            <w:rFonts w:ascii="Times New Roman" w:hAnsi="Times New Roman"/>
            <w:webHidden/>
          </w:rPr>
          <w:fldChar w:fldCharType="end"/>
        </w:r>
      </w:hyperlink>
    </w:p>
    <w:p w:rsidR="0043666E" w:rsidRPr="0043666E">
      <w:pPr>
        <w:pStyle w:val="TOC1"/>
        <w:bidi w:val="0"/>
        <w:rPr>
          <w:rFonts w:ascii="Times New Roman" w:hAnsi="Times New Roman" w:eastAsiaTheme="minorEastAsia"/>
          <w:b w:val="0"/>
          <w:sz w:val="22"/>
          <w:szCs w:val="22"/>
          <w:lang w:eastAsia="sk-SK"/>
        </w:rPr>
      </w:pPr>
      <w:hyperlink w:anchor="_Toc306089053" w:history="1">
        <w:r w:rsidRPr="0043666E">
          <w:rPr>
            <w:rStyle w:val="Hyperlink"/>
            <w:rFonts w:ascii="Times New Roman" w:hAnsi="Times New Roman"/>
          </w:rPr>
          <w:t>2.</w:t>
        </w:r>
        <w:r w:rsidRPr="0043666E">
          <w:rPr>
            <w:rFonts w:ascii="Times New Roman" w:hAnsi="Times New Roman" w:eastAsiaTheme="minorEastAsia"/>
            <w:b w:val="0"/>
            <w:sz w:val="22"/>
            <w:szCs w:val="22"/>
            <w:lang w:eastAsia="sk-SK"/>
          </w:rPr>
          <w:tab/>
        </w:r>
        <w:r w:rsidRPr="0043666E">
          <w:rPr>
            <w:rStyle w:val="Hyperlink"/>
            <w:rFonts w:ascii="Times New Roman" w:hAnsi="Times New Roman"/>
          </w:rPr>
          <w:t>Makroekonomické predpoklady rozpočtu</w:t>
        </w:r>
        <w:r w:rsidRPr="0043666E">
          <w:rPr>
            <w:rFonts w:ascii="Times New Roman" w:hAnsi="Times New Roman"/>
            <w:webHidden/>
          </w:rPr>
          <w:tab/>
        </w:r>
        <w:r w:rsidRPr="0043666E">
          <w:rPr>
            <w:rFonts w:ascii="Times New Roman" w:hAnsi="Times New Roman"/>
            <w:webHidden/>
          </w:rPr>
          <w:fldChar w:fldCharType="begin"/>
        </w:r>
        <w:r w:rsidRPr="0043666E">
          <w:rPr>
            <w:rFonts w:ascii="Times New Roman" w:hAnsi="Times New Roman"/>
            <w:webHidden/>
          </w:rPr>
          <w:instrText xml:space="preserve"> PAGEREF _Toc306089053 \h </w:instrText>
        </w:r>
        <w:r w:rsidRPr="0043666E">
          <w:rPr>
            <w:rFonts w:ascii="Times New Roman" w:hAnsi="Times New Roman"/>
            <w:webHidden/>
          </w:rPr>
          <w:fldChar w:fldCharType="separate"/>
        </w:r>
        <w:r w:rsidR="00A26CA0">
          <w:rPr>
            <w:rFonts w:ascii="Times New Roman" w:hAnsi="Times New Roman"/>
            <w:webHidden/>
          </w:rPr>
          <w:t>5</w:t>
        </w:r>
        <w:r w:rsidRPr="0043666E">
          <w:rPr>
            <w:rFonts w:ascii="Times New Roman" w:hAnsi="Times New Roman"/>
            <w:webHidden/>
          </w:rPr>
          <w:fldChar w:fldCharType="end"/>
        </w:r>
      </w:hyperlink>
    </w:p>
    <w:p w:rsidR="0043666E" w:rsidRPr="0043666E">
      <w:pPr>
        <w:pStyle w:val="TOC1"/>
        <w:bidi w:val="0"/>
        <w:rPr>
          <w:rFonts w:ascii="Times New Roman" w:hAnsi="Times New Roman" w:eastAsiaTheme="minorEastAsia"/>
          <w:b w:val="0"/>
          <w:sz w:val="22"/>
          <w:szCs w:val="22"/>
          <w:lang w:eastAsia="sk-SK"/>
        </w:rPr>
      </w:pPr>
      <w:hyperlink w:anchor="_Toc306089054" w:history="1">
        <w:r w:rsidRPr="0043666E">
          <w:rPr>
            <w:rStyle w:val="Hyperlink"/>
            <w:rFonts w:ascii="Times New Roman" w:hAnsi="Times New Roman"/>
          </w:rPr>
          <w:t>3. Východiskový rámec rozpočtu verejnej správy na roky 2012 až 2014</w:t>
        </w:r>
        <w:r w:rsidRPr="0043666E">
          <w:rPr>
            <w:rFonts w:ascii="Times New Roman" w:hAnsi="Times New Roman"/>
            <w:webHidden/>
          </w:rPr>
          <w:tab/>
        </w:r>
        <w:r w:rsidRPr="0043666E">
          <w:rPr>
            <w:rFonts w:ascii="Times New Roman" w:hAnsi="Times New Roman"/>
            <w:webHidden/>
          </w:rPr>
          <w:fldChar w:fldCharType="begin"/>
        </w:r>
        <w:r w:rsidRPr="0043666E">
          <w:rPr>
            <w:rFonts w:ascii="Times New Roman" w:hAnsi="Times New Roman"/>
            <w:webHidden/>
          </w:rPr>
          <w:instrText xml:space="preserve"> PAGEREF _Toc306089054 \h </w:instrText>
        </w:r>
        <w:r w:rsidRPr="0043666E">
          <w:rPr>
            <w:rFonts w:ascii="Times New Roman" w:hAnsi="Times New Roman"/>
            <w:webHidden/>
          </w:rPr>
          <w:fldChar w:fldCharType="separate"/>
        </w:r>
        <w:r w:rsidR="00A26CA0">
          <w:rPr>
            <w:rFonts w:ascii="Times New Roman" w:hAnsi="Times New Roman"/>
            <w:webHidden/>
          </w:rPr>
          <w:t>8</w:t>
        </w:r>
        <w:r w:rsidRPr="0043666E">
          <w:rPr>
            <w:rFonts w:ascii="Times New Roman" w:hAnsi="Times New Roman"/>
            <w:webHidden/>
          </w:rPr>
          <w:fldChar w:fldCharType="end"/>
        </w:r>
      </w:hyperlink>
    </w:p>
    <w:p w:rsidR="0043666E" w:rsidRPr="0043666E">
      <w:pPr>
        <w:pStyle w:val="TOC2"/>
        <w:tabs>
          <w:tab w:val="right" w:leader="dot" w:pos="9062"/>
        </w:tabs>
        <w:bidi w:val="0"/>
        <w:rPr>
          <w:rFonts w:ascii="Times New Roman" w:hAnsi="Times New Roman" w:eastAsiaTheme="minorEastAsia" w:cs="Times New Roman"/>
          <w:noProof/>
          <w:sz w:val="22"/>
          <w:szCs w:val="22"/>
          <w:lang w:eastAsia="sk-SK"/>
        </w:rPr>
      </w:pPr>
      <w:hyperlink w:anchor="_Toc306089055" w:history="1">
        <w:r w:rsidRPr="0043666E">
          <w:rPr>
            <w:rStyle w:val="Hyperlink"/>
            <w:rFonts w:ascii="Times New Roman" w:hAnsi="Times New Roman" w:cs="Times New Roman"/>
            <w:noProof/>
          </w:rPr>
          <w:t>3.1. Základné predpoklady zostavenia rozpočtu verejnej správy</w:t>
        </w:r>
        <w:r w:rsidRPr="0043666E">
          <w:rPr>
            <w:rFonts w:ascii="Times New Roman" w:hAnsi="Times New Roman" w:cs="Times New Roman"/>
            <w:noProof/>
            <w:webHidden/>
          </w:rPr>
          <w:tab/>
        </w:r>
        <w:r w:rsidRPr="0043666E">
          <w:rPr>
            <w:rFonts w:ascii="Times New Roman" w:hAnsi="Times New Roman" w:cs="Times New Roman"/>
            <w:noProof/>
            <w:webHidden/>
          </w:rPr>
          <w:fldChar w:fldCharType="begin"/>
        </w:r>
        <w:r w:rsidRPr="0043666E">
          <w:rPr>
            <w:rFonts w:ascii="Times New Roman" w:hAnsi="Times New Roman" w:cs="Times New Roman"/>
            <w:noProof/>
            <w:webHidden/>
          </w:rPr>
          <w:instrText xml:space="preserve"> PAGEREF _Toc306089055 \h </w:instrText>
        </w:r>
        <w:r w:rsidRPr="0043666E">
          <w:rPr>
            <w:rFonts w:ascii="Times New Roman" w:hAnsi="Times New Roman" w:cs="Times New Roman"/>
            <w:noProof/>
            <w:webHidden/>
          </w:rPr>
          <w:fldChar w:fldCharType="separate"/>
        </w:r>
        <w:r w:rsidR="00A26CA0">
          <w:rPr>
            <w:rFonts w:ascii="Times New Roman" w:hAnsi="Times New Roman" w:cs="Times New Roman"/>
            <w:noProof/>
            <w:webHidden/>
          </w:rPr>
          <w:t>8</w:t>
        </w:r>
        <w:r w:rsidRPr="0043666E">
          <w:rPr>
            <w:rFonts w:ascii="Times New Roman" w:hAnsi="Times New Roman" w:cs="Times New Roman"/>
            <w:noProof/>
            <w:webHidden/>
          </w:rPr>
          <w:fldChar w:fldCharType="end"/>
        </w:r>
      </w:hyperlink>
    </w:p>
    <w:p w:rsidR="0043666E" w:rsidRPr="0043666E">
      <w:pPr>
        <w:pStyle w:val="TOC2"/>
        <w:tabs>
          <w:tab w:val="right" w:leader="dot" w:pos="9062"/>
        </w:tabs>
        <w:bidi w:val="0"/>
        <w:rPr>
          <w:rFonts w:ascii="Times New Roman" w:hAnsi="Times New Roman" w:eastAsiaTheme="minorEastAsia" w:cs="Times New Roman"/>
          <w:noProof/>
          <w:sz w:val="22"/>
          <w:szCs w:val="22"/>
          <w:lang w:eastAsia="sk-SK"/>
        </w:rPr>
      </w:pPr>
      <w:hyperlink w:anchor="_Toc306089056" w:history="1">
        <w:r w:rsidRPr="0043666E">
          <w:rPr>
            <w:rStyle w:val="Hyperlink"/>
            <w:rFonts w:ascii="Times New Roman" w:hAnsi="Times New Roman" w:cs="Times New Roman"/>
            <w:noProof/>
          </w:rPr>
          <w:t>3.2. Rámec na zostavenie rozpočtu verejnej správy</w:t>
        </w:r>
        <w:r w:rsidRPr="0043666E">
          <w:rPr>
            <w:rFonts w:ascii="Times New Roman" w:hAnsi="Times New Roman" w:cs="Times New Roman"/>
            <w:noProof/>
            <w:webHidden/>
          </w:rPr>
          <w:tab/>
        </w:r>
        <w:r w:rsidRPr="0043666E">
          <w:rPr>
            <w:rFonts w:ascii="Times New Roman" w:hAnsi="Times New Roman" w:cs="Times New Roman"/>
            <w:noProof/>
            <w:webHidden/>
          </w:rPr>
          <w:fldChar w:fldCharType="begin"/>
        </w:r>
        <w:r w:rsidRPr="0043666E">
          <w:rPr>
            <w:rFonts w:ascii="Times New Roman" w:hAnsi="Times New Roman" w:cs="Times New Roman"/>
            <w:noProof/>
            <w:webHidden/>
          </w:rPr>
          <w:instrText xml:space="preserve"> PAGEREF _Toc306089056 \h </w:instrText>
        </w:r>
        <w:r w:rsidRPr="0043666E">
          <w:rPr>
            <w:rFonts w:ascii="Times New Roman" w:hAnsi="Times New Roman" w:cs="Times New Roman"/>
            <w:noProof/>
            <w:webHidden/>
          </w:rPr>
          <w:fldChar w:fldCharType="separate"/>
        </w:r>
        <w:r w:rsidR="00A26CA0">
          <w:rPr>
            <w:rFonts w:ascii="Times New Roman" w:hAnsi="Times New Roman" w:cs="Times New Roman"/>
            <w:noProof/>
            <w:webHidden/>
          </w:rPr>
          <w:t>8</w:t>
        </w:r>
        <w:r w:rsidRPr="0043666E">
          <w:rPr>
            <w:rFonts w:ascii="Times New Roman" w:hAnsi="Times New Roman" w:cs="Times New Roman"/>
            <w:noProof/>
            <w:webHidden/>
          </w:rPr>
          <w:fldChar w:fldCharType="end"/>
        </w:r>
      </w:hyperlink>
    </w:p>
    <w:p w:rsidR="0043666E" w:rsidRPr="0043666E">
      <w:pPr>
        <w:pStyle w:val="TOC2"/>
        <w:tabs>
          <w:tab w:val="right" w:leader="dot" w:pos="9062"/>
        </w:tabs>
        <w:bidi w:val="0"/>
        <w:rPr>
          <w:rFonts w:ascii="Times New Roman" w:hAnsi="Times New Roman" w:eastAsiaTheme="minorEastAsia" w:cs="Times New Roman"/>
          <w:noProof/>
          <w:sz w:val="22"/>
          <w:szCs w:val="22"/>
          <w:lang w:eastAsia="sk-SK"/>
        </w:rPr>
      </w:pPr>
      <w:hyperlink w:anchor="_Toc306089057" w:history="1">
        <w:r w:rsidRPr="0043666E">
          <w:rPr>
            <w:rStyle w:val="Hyperlink"/>
            <w:rFonts w:ascii="Times New Roman" w:hAnsi="Times New Roman" w:cs="Times New Roman"/>
            <w:noProof/>
          </w:rPr>
          <w:t>3.3. Dlh verejnej správy</w:t>
        </w:r>
        <w:r w:rsidRPr="0043666E">
          <w:rPr>
            <w:rFonts w:ascii="Times New Roman" w:hAnsi="Times New Roman" w:cs="Times New Roman"/>
            <w:noProof/>
            <w:webHidden/>
          </w:rPr>
          <w:tab/>
        </w:r>
        <w:r w:rsidRPr="0043666E">
          <w:rPr>
            <w:rFonts w:ascii="Times New Roman" w:hAnsi="Times New Roman" w:cs="Times New Roman"/>
            <w:noProof/>
            <w:webHidden/>
          </w:rPr>
          <w:fldChar w:fldCharType="begin"/>
        </w:r>
        <w:r w:rsidRPr="0043666E">
          <w:rPr>
            <w:rFonts w:ascii="Times New Roman" w:hAnsi="Times New Roman" w:cs="Times New Roman"/>
            <w:noProof/>
            <w:webHidden/>
          </w:rPr>
          <w:instrText xml:space="preserve"> PAGEREF _Toc306089057 \h </w:instrText>
        </w:r>
        <w:r w:rsidRPr="0043666E">
          <w:rPr>
            <w:rFonts w:ascii="Times New Roman" w:hAnsi="Times New Roman" w:cs="Times New Roman"/>
            <w:noProof/>
            <w:webHidden/>
          </w:rPr>
          <w:fldChar w:fldCharType="separate"/>
        </w:r>
        <w:r w:rsidR="00A26CA0">
          <w:rPr>
            <w:rFonts w:ascii="Times New Roman" w:hAnsi="Times New Roman" w:cs="Times New Roman"/>
            <w:noProof/>
            <w:webHidden/>
          </w:rPr>
          <w:t>10</w:t>
        </w:r>
        <w:r w:rsidRPr="0043666E">
          <w:rPr>
            <w:rFonts w:ascii="Times New Roman" w:hAnsi="Times New Roman" w:cs="Times New Roman"/>
            <w:noProof/>
            <w:webHidden/>
          </w:rPr>
          <w:fldChar w:fldCharType="end"/>
        </w:r>
      </w:hyperlink>
    </w:p>
    <w:p w:rsidR="0043666E" w:rsidRPr="0043666E">
      <w:pPr>
        <w:pStyle w:val="TOC1"/>
        <w:bidi w:val="0"/>
        <w:rPr>
          <w:rFonts w:ascii="Times New Roman" w:hAnsi="Times New Roman" w:eastAsiaTheme="minorEastAsia"/>
          <w:b w:val="0"/>
          <w:sz w:val="22"/>
          <w:szCs w:val="22"/>
          <w:lang w:eastAsia="sk-SK"/>
        </w:rPr>
      </w:pPr>
      <w:hyperlink w:anchor="_Toc306089058" w:history="1">
        <w:r w:rsidRPr="0043666E">
          <w:rPr>
            <w:rStyle w:val="Hyperlink"/>
            <w:rFonts w:ascii="Times New Roman" w:hAnsi="Times New Roman"/>
          </w:rPr>
          <w:t>4. Rozpočtovanie príjmov verejnej správy</w:t>
        </w:r>
        <w:r w:rsidRPr="0043666E">
          <w:rPr>
            <w:rFonts w:ascii="Times New Roman" w:hAnsi="Times New Roman"/>
            <w:webHidden/>
          </w:rPr>
          <w:tab/>
        </w:r>
        <w:r w:rsidRPr="0043666E">
          <w:rPr>
            <w:rFonts w:ascii="Times New Roman" w:hAnsi="Times New Roman"/>
            <w:webHidden/>
          </w:rPr>
          <w:fldChar w:fldCharType="begin"/>
        </w:r>
        <w:r w:rsidRPr="0043666E">
          <w:rPr>
            <w:rFonts w:ascii="Times New Roman" w:hAnsi="Times New Roman"/>
            <w:webHidden/>
          </w:rPr>
          <w:instrText xml:space="preserve"> PAGEREF _Toc306089058 \h </w:instrText>
        </w:r>
        <w:r w:rsidRPr="0043666E">
          <w:rPr>
            <w:rFonts w:ascii="Times New Roman" w:hAnsi="Times New Roman"/>
            <w:webHidden/>
          </w:rPr>
          <w:fldChar w:fldCharType="separate"/>
        </w:r>
        <w:r w:rsidR="00A26CA0">
          <w:rPr>
            <w:rFonts w:ascii="Times New Roman" w:hAnsi="Times New Roman"/>
            <w:webHidden/>
          </w:rPr>
          <w:t>11</w:t>
        </w:r>
        <w:r w:rsidRPr="0043666E">
          <w:rPr>
            <w:rFonts w:ascii="Times New Roman" w:hAnsi="Times New Roman"/>
            <w:webHidden/>
          </w:rPr>
          <w:fldChar w:fldCharType="end"/>
        </w:r>
      </w:hyperlink>
    </w:p>
    <w:p w:rsidR="0043666E" w:rsidRPr="0043666E">
      <w:pPr>
        <w:pStyle w:val="TOC2"/>
        <w:tabs>
          <w:tab w:val="right" w:leader="dot" w:pos="9062"/>
        </w:tabs>
        <w:bidi w:val="0"/>
        <w:rPr>
          <w:rFonts w:ascii="Times New Roman" w:hAnsi="Times New Roman" w:eastAsiaTheme="minorEastAsia" w:cs="Times New Roman"/>
          <w:noProof/>
          <w:sz w:val="22"/>
          <w:szCs w:val="22"/>
          <w:lang w:eastAsia="sk-SK"/>
        </w:rPr>
      </w:pPr>
      <w:hyperlink w:anchor="_Toc306089059" w:history="1">
        <w:r w:rsidRPr="0043666E">
          <w:rPr>
            <w:rStyle w:val="Hyperlink"/>
            <w:rFonts w:ascii="Times New Roman" w:hAnsi="Times New Roman" w:cs="Times New Roman"/>
            <w:noProof/>
          </w:rPr>
          <w:t>4.1. Celkové príjmy verejnej správy</w:t>
        </w:r>
        <w:r w:rsidRPr="0043666E">
          <w:rPr>
            <w:rFonts w:ascii="Times New Roman" w:hAnsi="Times New Roman" w:cs="Times New Roman"/>
            <w:noProof/>
            <w:webHidden/>
          </w:rPr>
          <w:tab/>
        </w:r>
        <w:r w:rsidRPr="0043666E">
          <w:rPr>
            <w:rFonts w:ascii="Times New Roman" w:hAnsi="Times New Roman" w:cs="Times New Roman"/>
            <w:noProof/>
            <w:webHidden/>
          </w:rPr>
          <w:fldChar w:fldCharType="begin"/>
        </w:r>
        <w:r w:rsidRPr="0043666E">
          <w:rPr>
            <w:rFonts w:ascii="Times New Roman" w:hAnsi="Times New Roman" w:cs="Times New Roman"/>
            <w:noProof/>
            <w:webHidden/>
          </w:rPr>
          <w:instrText xml:space="preserve"> PAGEREF _Toc306089059 \h </w:instrText>
        </w:r>
        <w:r w:rsidRPr="0043666E">
          <w:rPr>
            <w:rFonts w:ascii="Times New Roman" w:hAnsi="Times New Roman" w:cs="Times New Roman"/>
            <w:noProof/>
            <w:webHidden/>
          </w:rPr>
          <w:fldChar w:fldCharType="separate"/>
        </w:r>
        <w:r w:rsidR="00A26CA0">
          <w:rPr>
            <w:rFonts w:ascii="Times New Roman" w:hAnsi="Times New Roman" w:cs="Times New Roman"/>
            <w:noProof/>
            <w:webHidden/>
          </w:rPr>
          <w:t>11</w:t>
        </w:r>
        <w:r w:rsidRPr="0043666E">
          <w:rPr>
            <w:rFonts w:ascii="Times New Roman" w:hAnsi="Times New Roman" w:cs="Times New Roman"/>
            <w:noProof/>
            <w:webHidden/>
          </w:rPr>
          <w:fldChar w:fldCharType="end"/>
        </w:r>
      </w:hyperlink>
    </w:p>
    <w:p w:rsidR="0043666E" w:rsidRPr="0043666E">
      <w:pPr>
        <w:pStyle w:val="TOC2"/>
        <w:tabs>
          <w:tab w:val="right" w:leader="dot" w:pos="9062"/>
        </w:tabs>
        <w:bidi w:val="0"/>
        <w:rPr>
          <w:rFonts w:ascii="Times New Roman" w:hAnsi="Times New Roman" w:eastAsiaTheme="minorEastAsia" w:cs="Times New Roman"/>
          <w:noProof/>
          <w:sz w:val="22"/>
          <w:szCs w:val="22"/>
          <w:lang w:eastAsia="sk-SK"/>
        </w:rPr>
      </w:pPr>
      <w:hyperlink w:anchor="_Toc306089060" w:history="1">
        <w:r w:rsidRPr="0043666E">
          <w:rPr>
            <w:rStyle w:val="Hyperlink"/>
            <w:rFonts w:ascii="Times New Roman" w:hAnsi="Times New Roman" w:cs="Times New Roman"/>
            <w:noProof/>
          </w:rPr>
          <w:t>4.2. Daňové a odvodové zaťaženie v SR</w:t>
        </w:r>
        <w:r w:rsidRPr="0043666E">
          <w:rPr>
            <w:rFonts w:ascii="Times New Roman" w:hAnsi="Times New Roman" w:cs="Times New Roman"/>
            <w:noProof/>
            <w:webHidden/>
          </w:rPr>
          <w:tab/>
        </w:r>
        <w:r w:rsidRPr="0043666E">
          <w:rPr>
            <w:rFonts w:ascii="Times New Roman" w:hAnsi="Times New Roman" w:cs="Times New Roman"/>
            <w:noProof/>
            <w:webHidden/>
          </w:rPr>
          <w:fldChar w:fldCharType="begin"/>
        </w:r>
        <w:r w:rsidRPr="0043666E">
          <w:rPr>
            <w:rFonts w:ascii="Times New Roman" w:hAnsi="Times New Roman" w:cs="Times New Roman"/>
            <w:noProof/>
            <w:webHidden/>
          </w:rPr>
          <w:instrText xml:space="preserve"> PAGEREF _Toc306089060 \h </w:instrText>
        </w:r>
        <w:r w:rsidRPr="0043666E">
          <w:rPr>
            <w:rFonts w:ascii="Times New Roman" w:hAnsi="Times New Roman" w:cs="Times New Roman"/>
            <w:noProof/>
            <w:webHidden/>
          </w:rPr>
          <w:fldChar w:fldCharType="separate"/>
        </w:r>
        <w:r w:rsidR="00A26CA0">
          <w:rPr>
            <w:rFonts w:ascii="Times New Roman" w:hAnsi="Times New Roman" w:cs="Times New Roman"/>
            <w:noProof/>
            <w:webHidden/>
          </w:rPr>
          <w:t>12</w:t>
        </w:r>
        <w:r w:rsidRPr="0043666E">
          <w:rPr>
            <w:rFonts w:ascii="Times New Roman" w:hAnsi="Times New Roman" w:cs="Times New Roman"/>
            <w:noProof/>
            <w:webHidden/>
          </w:rPr>
          <w:fldChar w:fldCharType="end"/>
        </w:r>
      </w:hyperlink>
    </w:p>
    <w:p w:rsidR="0043666E" w:rsidRPr="0043666E">
      <w:pPr>
        <w:pStyle w:val="TOC2"/>
        <w:tabs>
          <w:tab w:val="right" w:leader="dot" w:pos="9062"/>
        </w:tabs>
        <w:bidi w:val="0"/>
        <w:rPr>
          <w:rFonts w:ascii="Times New Roman" w:hAnsi="Times New Roman" w:eastAsiaTheme="minorEastAsia" w:cs="Times New Roman"/>
          <w:noProof/>
          <w:sz w:val="22"/>
          <w:szCs w:val="22"/>
          <w:lang w:eastAsia="sk-SK"/>
        </w:rPr>
      </w:pPr>
      <w:hyperlink w:anchor="_Toc306089061" w:history="1">
        <w:r w:rsidRPr="0043666E">
          <w:rPr>
            <w:rStyle w:val="Hyperlink"/>
            <w:rFonts w:ascii="Times New Roman" w:hAnsi="Times New Roman" w:cs="Times New Roman"/>
            <w:noProof/>
          </w:rPr>
          <w:t>4.3. Rozpočtovanie daňových a odvodových príjmov</w:t>
        </w:r>
        <w:r w:rsidRPr="0043666E">
          <w:rPr>
            <w:rFonts w:ascii="Times New Roman" w:hAnsi="Times New Roman" w:cs="Times New Roman"/>
            <w:noProof/>
            <w:webHidden/>
          </w:rPr>
          <w:tab/>
        </w:r>
        <w:r w:rsidRPr="0043666E">
          <w:rPr>
            <w:rFonts w:ascii="Times New Roman" w:hAnsi="Times New Roman" w:cs="Times New Roman"/>
            <w:noProof/>
            <w:webHidden/>
          </w:rPr>
          <w:fldChar w:fldCharType="begin"/>
        </w:r>
        <w:r w:rsidRPr="0043666E">
          <w:rPr>
            <w:rFonts w:ascii="Times New Roman" w:hAnsi="Times New Roman" w:cs="Times New Roman"/>
            <w:noProof/>
            <w:webHidden/>
          </w:rPr>
          <w:instrText xml:space="preserve"> PAGEREF _Toc306089061 \h </w:instrText>
        </w:r>
        <w:r w:rsidRPr="0043666E">
          <w:rPr>
            <w:rFonts w:ascii="Times New Roman" w:hAnsi="Times New Roman" w:cs="Times New Roman"/>
            <w:noProof/>
            <w:webHidden/>
          </w:rPr>
          <w:fldChar w:fldCharType="separate"/>
        </w:r>
        <w:r w:rsidR="00A26CA0">
          <w:rPr>
            <w:rFonts w:ascii="Times New Roman" w:hAnsi="Times New Roman" w:cs="Times New Roman"/>
            <w:noProof/>
            <w:webHidden/>
          </w:rPr>
          <w:t>14</w:t>
        </w:r>
        <w:r w:rsidRPr="0043666E">
          <w:rPr>
            <w:rFonts w:ascii="Times New Roman" w:hAnsi="Times New Roman" w:cs="Times New Roman"/>
            <w:noProof/>
            <w:webHidden/>
          </w:rPr>
          <w:fldChar w:fldCharType="end"/>
        </w:r>
      </w:hyperlink>
    </w:p>
    <w:p w:rsidR="0043666E" w:rsidRPr="0043666E">
      <w:pPr>
        <w:pStyle w:val="TOC2"/>
        <w:tabs>
          <w:tab w:val="right" w:leader="dot" w:pos="9062"/>
        </w:tabs>
        <w:bidi w:val="0"/>
        <w:rPr>
          <w:rFonts w:ascii="Times New Roman" w:hAnsi="Times New Roman" w:eastAsiaTheme="minorEastAsia" w:cs="Times New Roman"/>
          <w:noProof/>
          <w:sz w:val="22"/>
          <w:szCs w:val="22"/>
          <w:lang w:eastAsia="sk-SK"/>
        </w:rPr>
      </w:pPr>
      <w:hyperlink w:anchor="_Toc306089062" w:history="1">
        <w:r w:rsidRPr="0043666E">
          <w:rPr>
            <w:rStyle w:val="Hyperlink"/>
            <w:rFonts w:ascii="Times New Roman" w:hAnsi="Times New Roman" w:cs="Times New Roman"/>
            <w:noProof/>
          </w:rPr>
          <w:t>4.4. Akruálne dane pre návrh rozpočtu verejnej správy na roky 2012 až 2014</w:t>
        </w:r>
        <w:r w:rsidRPr="0043666E">
          <w:rPr>
            <w:rFonts w:ascii="Times New Roman" w:hAnsi="Times New Roman" w:cs="Times New Roman"/>
            <w:noProof/>
            <w:webHidden/>
          </w:rPr>
          <w:tab/>
        </w:r>
        <w:r w:rsidRPr="0043666E">
          <w:rPr>
            <w:rFonts w:ascii="Times New Roman" w:hAnsi="Times New Roman" w:cs="Times New Roman"/>
            <w:noProof/>
            <w:webHidden/>
          </w:rPr>
          <w:fldChar w:fldCharType="begin"/>
        </w:r>
        <w:r w:rsidRPr="0043666E">
          <w:rPr>
            <w:rFonts w:ascii="Times New Roman" w:hAnsi="Times New Roman" w:cs="Times New Roman"/>
            <w:noProof/>
            <w:webHidden/>
          </w:rPr>
          <w:instrText xml:space="preserve"> PAGEREF _Toc306089062 \h </w:instrText>
        </w:r>
        <w:r w:rsidRPr="0043666E">
          <w:rPr>
            <w:rFonts w:ascii="Times New Roman" w:hAnsi="Times New Roman" w:cs="Times New Roman"/>
            <w:noProof/>
            <w:webHidden/>
          </w:rPr>
          <w:fldChar w:fldCharType="separate"/>
        </w:r>
        <w:r w:rsidR="00A26CA0">
          <w:rPr>
            <w:rFonts w:ascii="Times New Roman" w:hAnsi="Times New Roman" w:cs="Times New Roman"/>
            <w:noProof/>
            <w:webHidden/>
          </w:rPr>
          <w:t>22</w:t>
        </w:r>
        <w:r w:rsidRPr="0043666E">
          <w:rPr>
            <w:rFonts w:ascii="Times New Roman" w:hAnsi="Times New Roman" w:cs="Times New Roman"/>
            <w:noProof/>
            <w:webHidden/>
          </w:rPr>
          <w:fldChar w:fldCharType="end"/>
        </w:r>
      </w:hyperlink>
    </w:p>
    <w:p w:rsidR="0043666E">
      <w:pPr>
        <w:pStyle w:val="TOC2"/>
        <w:tabs>
          <w:tab w:val="right" w:leader="dot" w:pos="9062"/>
        </w:tabs>
        <w:bidi w:val="0"/>
        <w:rPr>
          <w:rStyle w:val="Hyperlink"/>
          <w:rFonts w:ascii="Times New Roman" w:hAnsi="Times New Roman" w:cs="Times New Roman"/>
          <w:noProof/>
        </w:rPr>
      </w:pPr>
      <w:r w:rsidRPr="0043666E">
        <w:rPr>
          <w:rStyle w:val="Hyperlink"/>
          <w:rFonts w:ascii="Times New Roman" w:hAnsi="Times New Roman" w:cs="Times New Roman"/>
          <w:noProof/>
        </w:rPr>
        <w:fldChar w:fldCharType="begin"/>
      </w:r>
      <w:r w:rsidRPr="0043666E">
        <w:rPr>
          <w:rStyle w:val="Hyperlink"/>
          <w:rFonts w:ascii="Times New Roman" w:hAnsi="Times New Roman" w:cs="Times New Roman"/>
          <w:noProof/>
        </w:rPr>
        <w:instrText xml:space="preserve"> </w:instrText>
      </w:r>
      <w:r w:rsidRPr="0043666E">
        <w:rPr>
          <w:rFonts w:ascii="Times New Roman" w:hAnsi="Times New Roman" w:cs="Times New Roman"/>
          <w:noProof/>
        </w:rPr>
        <w:instrText>HYPERLINK \l "_Toc306089063"</w:instrText>
      </w:r>
      <w:r w:rsidRPr="0043666E">
        <w:rPr>
          <w:rStyle w:val="Hyperlink"/>
          <w:rFonts w:ascii="Times New Roman" w:hAnsi="Times New Roman" w:cs="Times New Roman"/>
          <w:noProof/>
        </w:rPr>
        <w:instrText xml:space="preserve"> </w:instrText>
      </w:r>
      <w:r w:rsidRPr="0043666E">
        <w:rPr>
          <w:rStyle w:val="Hyperlink"/>
          <w:rFonts w:ascii="Times New Roman" w:hAnsi="Times New Roman" w:cs="Times New Roman"/>
          <w:noProof/>
        </w:rPr>
        <w:fldChar w:fldCharType="separate"/>
      </w:r>
      <w:r w:rsidRPr="0043666E">
        <w:rPr>
          <w:rStyle w:val="Hyperlink"/>
          <w:rFonts w:ascii="Times New Roman" w:hAnsi="Times New Roman" w:cs="Times New Roman"/>
          <w:noProof/>
        </w:rPr>
        <w:t xml:space="preserve">4.5. Porovnanie aktuálneho odhadu daní s rozpočtom verejnej správy </w:t>
      </w:r>
      <w:r>
        <w:rPr>
          <w:rStyle w:val="Hyperlink"/>
          <w:rFonts w:ascii="Times New Roman" w:hAnsi="Times New Roman" w:cs="Times New Roman"/>
          <w:noProof/>
        </w:rPr>
        <w:t xml:space="preserve">                                 </w:t>
      </w:r>
    </w:p>
    <w:p w:rsidR="0043666E" w:rsidRPr="0043666E">
      <w:pPr>
        <w:pStyle w:val="TOC2"/>
        <w:tabs>
          <w:tab w:val="right" w:leader="dot" w:pos="9062"/>
        </w:tabs>
        <w:bidi w:val="0"/>
        <w:rPr>
          <w:rFonts w:ascii="Times New Roman" w:hAnsi="Times New Roman" w:eastAsiaTheme="minorEastAsia" w:cs="Times New Roman"/>
          <w:noProof/>
          <w:sz w:val="22"/>
          <w:szCs w:val="22"/>
          <w:lang w:eastAsia="sk-SK"/>
        </w:rPr>
      </w:pPr>
      <w:r>
        <w:rPr>
          <w:rStyle w:val="Hyperlink"/>
          <w:rFonts w:ascii="Times New Roman" w:hAnsi="Times New Roman" w:cs="Times New Roman"/>
          <w:noProof/>
        </w:rPr>
        <w:t xml:space="preserve">       </w:t>
      </w:r>
      <w:r w:rsidRPr="0043666E">
        <w:rPr>
          <w:rStyle w:val="Hyperlink"/>
          <w:rFonts w:ascii="Times New Roman" w:hAnsi="Times New Roman" w:cs="Times New Roman"/>
          <w:noProof/>
        </w:rPr>
        <w:t>na roky 2011 až 2013</w:t>
      </w:r>
      <w:r w:rsidRPr="0043666E">
        <w:rPr>
          <w:rFonts w:ascii="Times New Roman" w:hAnsi="Times New Roman" w:cs="Times New Roman"/>
          <w:noProof/>
          <w:webHidden/>
        </w:rPr>
        <w:tab/>
      </w:r>
      <w:r w:rsidRPr="0043666E">
        <w:rPr>
          <w:rFonts w:ascii="Times New Roman" w:hAnsi="Times New Roman" w:cs="Times New Roman"/>
          <w:noProof/>
          <w:webHidden/>
        </w:rPr>
        <w:fldChar w:fldCharType="begin"/>
      </w:r>
      <w:r w:rsidRPr="0043666E">
        <w:rPr>
          <w:rFonts w:ascii="Times New Roman" w:hAnsi="Times New Roman" w:cs="Times New Roman"/>
          <w:noProof/>
          <w:webHidden/>
        </w:rPr>
        <w:instrText xml:space="preserve"> PAGEREF _Toc306089063 \h </w:instrText>
      </w:r>
      <w:r w:rsidRPr="0043666E">
        <w:rPr>
          <w:rFonts w:ascii="Times New Roman" w:hAnsi="Times New Roman" w:cs="Times New Roman"/>
          <w:noProof/>
          <w:webHidden/>
        </w:rPr>
        <w:fldChar w:fldCharType="separate"/>
      </w:r>
      <w:r w:rsidR="00A26CA0">
        <w:rPr>
          <w:rFonts w:ascii="Times New Roman" w:hAnsi="Times New Roman" w:cs="Times New Roman"/>
          <w:noProof/>
          <w:webHidden/>
        </w:rPr>
        <w:t>25</w:t>
      </w:r>
      <w:r w:rsidRPr="0043666E">
        <w:rPr>
          <w:rFonts w:ascii="Times New Roman" w:hAnsi="Times New Roman" w:cs="Times New Roman"/>
          <w:noProof/>
          <w:webHidden/>
        </w:rPr>
        <w:fldChar w:fldCharType="end"/>
      </w:r>
      <w:r w:rsidRPr="0043666E">
        <w:rPr>
          <w:rStyle w:val="Hyperlink"/>
          <w:rFonts w:ascii="Times New Roman" w:hAnsi="Times New Roman" w:cs="Times New Roman"/>
          <w:noProof/>
        </w:rPr>
        <w:fldChar w:fldCharType="end"/>
      </w:r>
    </w:p>
    <w:p w:rsidR="0043666E" w:rsidRPr="0043666E">
      <w:pPr>
        <w:pStyle w:val="TOC2"/>
        <w:tabs>
          <w:tab w:val="right" w:leader="dot" w:pos="9062"/>
        </w:tabs>
        <w:bidi w:val="0"/>
        <w:rPr>
          <w:rFonts w:ascii="Times New Roman" w:hAnsi="Times New Roman" w:eastAsiaTheme="minorEastAsia" w:cs="Times New Roman"/>
          <w:noProof/>
          <w:sz w:val="22"/>
          <w:szCs w:val="22"/>
          <w:lang w:eastAsia="sk-SK"/>
        </w:rPr>
      </w:pPr>
      <w:hyperlink w:anchor="_Toc306089064" w:history="1">
        <w:r w:rsidRPr="0043666E">
          <w:rPr>
            <w:rStyle w:val="Hyperlink"/>
            <w:rFonts w:ascii="Times New Roman" w:hAnsi="Times New Roman" w:cs="Times New Roman"/>
            <w:noProof/>
          </w:rPr>
          <w:t>4.6. Rozpočtovanie iných ako daňových príjmov štátneho rozpočtu</w:t>
        </w:r>
        <w:r w:rsidRPr="0043666E">
          <w:rPr>
            <w:rFonts w:ascii="Times New Roman" w:hAnsi="Times New Roman" w:cs="Times New Roman"/>
            <w:noProof/>
            <w:webHidden/>
          </w:rPr>
          <w:tab/>
        </w:r>
        <w:r w:rsidRPr="0043666E">
          <w:rPr>
            <w:rFonts w:ascii="Times New Roman" w:hAnsi="Times New Roman" w:cs="Times New Roman"/>
            <w:noProof/>
            <w:webHidden/>
          </w:rPr>
          <w:fldChar w:fldCharType="begin"/>
        </w:r>
        <w:r w:rsidRPr="0043666E">
          <w:rPr>
            <w:rFonts w:ascii="Times New Roman" w:hAnsi="Times New Roman" w:cs="Times New Roman"/>
            <w:noProof/>
            <w:webHidden/>
          </w:rPr>
          <w:instrText xml:space="preserve"> PAGEREF _Toc306089064 \h </w:instrText>
        </w:r>
        <w:r w:rsidRPr="0043666E">
          <w:rPr>
            <w:rFonts w:ascii="Times New Roman" w:hAnsi="Times New Roman" w:cs="Times New Roman"/>
            <w:noProof/>
            <w:webHidden/>
          </w:rPr>
          <w:fldChar w:fldCharType="separate"/>
        </w:r>
        <w:r w:rsidR="00A26CA0">
          <w:rPr>
            <w:rFonts w:ascii="Times New Roman" w:hAnsi="Times New Roman" w:cs="Times New Roman"/>
            <w:noProof/>
            <w:webHidden/>
          </w:rPr>
          <w:t>25</w:t>
        </w:r>
        <w:r w:rsidRPr="0043666E">
          <w:rPr>
            <w:rFonts w:ascii="Times New Roman" w:hAnsi="Times New Roman" w:cs="Times New Roman"/>
            <w:noProof/>
            <w:webHidden/>
          </w:rPr>
          <w:fldChar w:fldCharType="end"/>
        </w:r>
      </w:hyperlink>
    </w:p>
    <w:p w:rsidR="0043666E" w:rsidRPr="0043666E">
      <w:pPr>
        <w:pStyle w:val="TOC1"/>
        <w:bidi w:val="0"/>
        <w:rPr>
          <w:rFonts w:ascii="Times New Roman" w:hAnsi="Times New Roman" w:eastAsiaTheme="minorEastAsia"/>
          <w:b w:val="0"/>
          <w:sz w:val="22"/>
          <w:szCs w:val="22"/>
          <w:lang w:eastAsia="sk-SK"/>
        </w:rPr>
      </w:pPr>
      <w:hyperlink w:anchor="_Toc306089065" w:history="1">
        <w:r w:rsidRPr="0043666E">
          <w:rPr>
            <w:rStyle w:val="Hyperlink"/>
            <w:rFonts w:ascii="Times New Roman" w:hAnsi="Times New Roman"/>
          </w:rPr>
          <w:t>5.</w:t>
        </w:r>
        <w:r w:rsidRPr="0043666E">
          <w:rPr>
            <w:rFonts w:ascii="Times New Roman" w:hAnsi="Times New Roman" w:eastAsiaTheme="minorEastAsia"/>
            <w:b w:val="0"/>
            <w:sz w:val="22"/>
            <w:szCs w:val="22"/>
            <w:lang w:eastAsia="sk-SK"/>
          </w:rPr>
          <w:tab/>
        </w:r>
        <w:r w:rsidRPr="0043666E">
          <w:rPr>
            <w:rStyle w:val="Hyperlink"/>
            <w:rFonts w:ascii="Times New Roman" w:hAnsi="Times New Roman"/>
          </w:rPr>
          <w:t>Rozpočtovanie výdavkov štátneho rozpočtu</w:t>
        </w:r>
        <w:r w:rsidRPr="0043666E">
          <w:rPr>
            <w:rFonts w:ascii="Times New Roman" w:hAnsi="Times New Roman"/>
            <w:webHidden/>
          </w:rPr>
          <w:tab/>
        </w:r>
        <w:r w:rsidRPr="0043666E">
          <w:rPr>
            <w:rFonts w:ascii="Times New Roman" w:hAnsi="Times New Roman"/>
            <w:webHidden/>
          </w:rPr>
          <w:fldChar w:fldCharType="begin"/>
        </w:r>
        <w:r w:rsidRPr="0043666E">
          <w:rPr>
            <w:rFonts w:ascii="Times New Roman" w:hAnsi="Times New Roman"/>
            <w:webHidden/>
          </w:rPr>
          <w:instrText xml:space="preserve"> PAGEREF _Toc306089065 \h </w:instrText>
        </w:r>
        <w:r w:rsidRPr="0043666E">
          <w:rPr>
            <w:rFonts w:ascii="Times New Roman" w:hAnsi="Times New Roman"/>
            <w:webHidden/>
          </w:rPr>
          <w:fldChar w:fldCharType="separate"/>
        </w:r>
        <w:r w:rsidR="00A26CA0">
          <w:rPr>
            <w:rFonts w:ascii="Times New Roman" w:hAnsi="Times New Roman"/>
            <w:webHidden/>
          </w:rPr>
          <w:t>31</w:t>
        </w:r>
        <w:r w:rsidRPr="0043666E">
          <w:rPr>
            <w:rFonts w:ascii="Times New Roman" w:hAnsi="Times New Roman"/>
            <w:webHidden/>
          </w:rPr>
          <w:fldChar w:fldCharType="end"/>
        </w:r>
      </w:hyperlink>
    </w:p>
    <w:p w:rsidR="0043666E" w:rsidRPr="0043666E">
      <w:pPr>
        <w:pStyle w:val="TOC2"/>
        <w:tabs>
          <w:tab w:val="right" w:leader="dot" w:pos="9062"/>
        </w:tabs>
        <w:bidi w:val="0"/>
        <w:rPr>
          <w:rFonts w:ascii="Times New Roman" w:hAnsi="Times New Roman" w:eastAsiaTheme="minorEastAsia" w:cs="Times New Roman"/>
          <w:noProof/>
          <w:sz w:val="22"/>
          <w:szCs w:val="22"/>
          <w:lang w:eastAsia="sk-SK"/>
        </w:rPr>
      </w:pPr>
      <w:hyperlink w:anchor="_Toc306089066" w:history="1">
        <w:r w:rsidRPr="0043666E">
          <w:rPr>
            <w:rStyle w:val="Hyperlink"/>
            <w:rFonts w:ascii="Times New Roman" w:hAnsi="Times New Roman" w:cs="Times New Roman"/>
            <w:noProof/>
          </w:rPr>
          <w:t>5.1. Kvantifikácia výdavkov štátneho rozpočtu</w:t>
        </w:r>
        <w:r w:rsidRPr="0043666E">
          <w:rPr>
            <w:rFonts w:ascii="Times New Roman" w:hAnsi="Times New Roman" w:cs="Times New Roman"/>
            <w:noProof/>
            <w:webHidden/>
          </w:rPr>
          <w:tab/>
        </w:r>
        <w:r w:rsidRPr="0043666E">
          <w:rPr>
            <w:rFonts w:ascii="Times New Roman" w:hAnsi="Times New Roman" w:cs="Times New Roman"/>
            <w:noProof/>
            <w:webHidden/>
          </w:rPr>
          <w:fldChar w:fldCharType="begin"/>
        </w:r>
        <w:r w:rsidRPr="0043666E">
          <w:rPr>
            <w:rFonts w:ascii="Times New Roman" w:hAnsi="Times New Roman" w:cs="Times New Roman"/>
            <w:noProof/>
            <w:webHidden/>
          </w:rPr>
          <w:instrText xml:space="preserve"> PAGEREF _Toc306089066 \h </w:instrText>
        </w:r>
        <w:r w:rsidRPr="0043666E">
          <w:rPr>
            <w:rFonts w:ascii="Times New Roman" w:hAnsi="Times New Roman" w:cs="Times New Roman"/>
            <w:noProof/>
            <w:webHidden/>
          </w:rPr>
          <w:fldChar w:fldCharType="separate"/>
        </w:r>
        <w:r w:rsidR="00A26CA0">
          <w:rPr>
            <w:rFonts w:ascii="Times New Roman" w:hAnsi="Times New Roman" w:cs="Times New Roman"/>
            <w:noProof/>
            <w:webHidden/>
          </w:rPr>
          <w:t>31</w:t>
        </w:r>
        <w:r w:rsidRPr="0043666E">
          <w:rPr>
            <w:rFonts w:ascii="Times New Roman" w:hAnsi="Times New Roman" w:cs="Times New Roman"/>
            <w:noProof/>
            <w:webHidden/>
          </w:rPr>
          <w:fldChar w:fldCharType="end"/>
        </w:r>
      </w:hyperlink>
    </w:p>
    <w:p w:rsidR="0043666E" w:rsidRPr="0043666E">
      <w:pPr>
        <w:pStyle w:val="TOC2"/>
        <w:tabs>
          <w:tab w:val="right" w:leader="dot" w:pos="9062"/>
        </w:tabs>
        <w:bidi w:val="0"/>
        <w:rPr>
          <w:rFonts w:ascii="Times New Roman" w:hAnsi="Times New Roman" w:eastAsiaTheme="minorEastAsia" w:cs="Times New Roman"/>
          <w:noProof/>
          <w:sz w:val="22"/>
          <w:szCs w:val="22"/>
          <w:lang w:eastAsia="sk-SK"/>
        </w:rPr>
      </w:pPr>
      <w:hyperlink w:anchor="_Toc306089067" w:history="1">
        <w:r w:rsidRPr="0043666E">
          <w:rPr>
            <w:rStyle w:val="Hyperlink"/>
            <w:rFonts w:ascii="Times New Roman" w:hAnsi="Times New Roman" w:cs="Times New Roman"/>
            <w:noProof/>
          </w:rPr>
          <w:t>5.2. Zamestnanosť vo verejnej správe</w:t>
        </w:r>
        <w:r w:rsidRPr="0043666E">
          <w:rPr>
            <w:rFonts w:ascii="Times New Roman" w:hAnsi="Times New Roman" w:cs="Times New Roman"/>
            <w:noProof/>
            <w:webHidden/>
          </w:rPr>
          <w:tab/>
        </w:r>
        <w:r w:rsidRPr="0043666E">
          <w:rPr>
            <w:rFonts w:ascii="Times New Roman" w:hAnsi="Times New Roman" w:cs="Times New Roman"/>
            <w:noProof/>
            <w:webHidden/>
          </w:rPr>
          <w:fldChar w:fldCharType="begin"/>
        </w:r>
        <w:r w:rsidRPr="0043666E">
          <w:rPr>
            <w:rFonts w:ascii="Times New Roman" w:hAnsi="Times New Roman" w:cs="Times New Roman"/>
            <w:noProof/>
            <w:webHidden/>
          </w:rPr>
          <w:instrText xml:space="preserve"> PAGEREF _Toc306089067 \h </w:instrText>
        </w:r>
        <w:r w:rsidRPr="0043666E">
          <w:rPr>
            <w:rFonts w:ascii="Times New Roman" w:hAnsi="Times New Roman" w:cs="Times New Roman"/>
            <w:noProof/>
            <w:webHidden/>
          </w:rPr>
          <w:fldChar w:fldCharType="separate"/>
        </w:r>
        <w:r w:rsidR="00A26CA0">
          <w:rPr>
            <w:rFonts w:ascii="Times New Roman" w:hAnsi="Times New Roman" w:cs="Times New Roman"/>
            <w:noProof/>
            <w:webHidden/>
          </w:rPr>
          <w:t>33</w:t>
        </w:r>
        <w:r w:rsidRPr="0043666E">
          <w:rPr>
            <w:rFonts w:ascii="Times New Roman" w:hAnsi="Times New Roman" w:cs="Times New Roman"/>
            <w:noProof/>
            <w:webHidden/>
          </w:rPr>
          <w:fldChar w:fldCharType="end"/>
        </w:r>
      </w:hyperlink>
    </w:p>
    <w:p w:rsidR="0043666E" w:rsidRPr="0043666E">
      <w:pPr>
        <w:pStyle w:val="TOC2"/>
        <w:tabs>
          <w:tab w:val="right" w:leader="dot" w:pos="9062"/>
        </w:tabs>
        <w:bidi w:val="0"/>
        <w:rPr>
          <w:rFonts w:ascii="Times New Roman" w:hAnsi="Times New Roman" w:eastAsiaTheme="minorEastAsia" w:cs="Times New Roman"/>
          <w:noProof/>
          <w:sz w:val="22"/>
          <w:szCs w:val="22"/>
          <w:lang w:eastAsia="sk-SK"/>
        </w:rPr>
      </w:pPr>
      <w:hyperlink w:anchor="_Toc306089068" w:history="1">
        <w:r w:rsidRPr="0043666E">
          <w:rPr>
            <w:rStyle w:val="Hyperlink"/>
            <w:rFonts w:ascii="Times New Roman" w:hAnsi="Times New Roman" w:cs="Times New Roman"/>
            <w:noProof/>
          </w:rPr>
          <w:t>5.3. Rozpočtovanie výdavkov podľa vybraných oblastí</w:t>
        </w:r>
        <w:r w:rsidRPr="0043666E">
          <w:rPr>
            <w:rFonts w:ascii="Times New Roman" w:hAnsi="Times New Roman" w:cs="Times New Roman"/>
            <w:noProof/>
            <w:webHidden/>
          </w:rPr>
          <w:tab/>
        </w:r>
        <w:r w:rsidRPr="0043666E">
          <w:rPr>
            <w:rFonts w:ascii="Times New Roman" w:hAnsi="Times New Roman" w:cs="Times New Roman"/>
            <w:noProof/>
            <w:webHidden/>
          </w:rPr>
          <w:fldChar w:fldCharType="begin"/>
        </w:r>
        <w:r w:rsidRPr="0043666E">
          <w:rPr>
            <w:rFonts w:ascii="Times New Roman" w:hAnsi="Times New Roman" w:cs="Times New Roman"/>
            <w:noProof/>
            <w:webHidden/>
          </w:rPr>
          <w:instrText xml:space="preserve"> PAGEREF _Toc306089068 \h </w:instrText>
        </w:r>
        <w:r w:rsidRPr="0043666E">
          <w:rPr>
            <w:rFonts w:ascii="Times New Roman" w:hAnsi="Times New Roman" w:cs="Times New Roman"/>
            <w:noProof/>
            <w:webHidden/>
          </w:rPr>
          <w:fldChar w:fldCharType="separate"/>
        </w:r>
        <w:r w:rsidR="00A26CA0">
          <w:rPr>
            <w:rFonts w:ascii="Times New Roman" w:hAnsi="Times New Roman" w:cs="Times New Roman"/>
            <w:noProof/>
            <w:webHidden/>
          </w:rPr>
          <w:t>40</w:t>
        </w:r>
        <w:r w:rsidRPr="0043666E">
          <w:rPr>
            <w:rFonts w:ascii="Times New Roman" w:hAnsi="Times New Roman" w:cs="Times New Roman"/>
            <w:noProof/>
            <w:webHidden/>
          </w:rPr>
          <w:fldChar w:fldCharType="end"/>
        </w:r>
      </w:hyperlink>
    </w:p>
    <w:p w:rsidR="0043666E" w:rsidRPr="0043666E">
      <w:pPr>
        <w:pStyle w:val="TOC1"/>
        <w:bidi w:val="0"/>
        <w:rPr>
          <w:rFonts w:ascii="Times New Roman" w:hAnsi="Times New Roman" w:eastAsiaTheme="minorEastAsia"/>
          <w:b w:val="0"/>
          <w:sz w:val="22"/>
          <w:szCs w:val="22"/>
          <w:lang w:eastAsia="sk-SK"/>
        </w:rPr>
      </w:pPr>
      <w:hyperlink w:anchor="_Toc306089069" w:history="1">
        <w:r w:rsidRPr="0043666E">
          <w:rPr>
            <w:rStyle w:val="Hyperlink"/>
            <w:rFonts w:ascii="Times New Roman" w:hAnsi="Times New Roman"/>
          </w:rPr>
          <w:t>6. Štátne finančné aktíva</w:t>
        </w:r>
        <w:r w:rsidRPr="0043666E">
          <w:rPr>
            <w:rFonts w:ascii="Times New Roman" w:hAnsi="Times New Roman"/>
            <w:webHidden/>
          </w:rPr>
          <w:tab/>
        </w:r>
        <w:r w:rsidRPr="0043666E">
          <w:rPr>
            <w:rFonts w:ascii="Times New Roman" w:hAnsi="Times New Roman"/>
            <w:webHidden/>
          </w:rPr>
          <w:fldChar w:fldCharType="begin"/>
        </w:r>
        <w:r w:rsidRPr="0043666E">
          <w:rPr>
            <w:rFonts w:ascii="Times New Roman" w:hAnsi="Times New Roman"/>
            <w:webHidden/>
          </w:rPr>
          <w:instrText xml:space="preserve"> PAGEREF _Toc306089069 \h </w:instrText>
        </w:r>
        <w:r w:rsidRPr="0043666E">
          <w:rPr>
            <w:rFonts w:ascii="Times New Roman" w:hAnsi="Times New Roman"/>
            <w:webHidden/>
          </w:rPr>
          <w:fldChar w:fldCharType="separate"/>
        </w:r>
        <w:r w:rsidR="00A26CA0">
          <w:rPr>
            <w:rFonts w:ascii="Times New Roman" w:hAnsi="Times New Roman"/>
            <w:webHidden/>
          </w:rPr>
          <w:t>130</w:t>
        </w:r>
        <w:r w:rsidRPr="0043666E">
          <w:rPr>
            <w:rFonts w:ascii="Times New Roman" w:hAnsi="Times New Roman"/>
            <w:webHidden/>
          </w:rPr>
          <w:fldChar w:fldCharType="end"/>
        </w:r>
      </w:hyperlink>
    </w:p>
    <w:p w:rsidR="0043666E" w:rsidRPr="0043666E">
      <w:pPr>
        <w:pStyle w:val="TOC2"/>
        <w:tabs>
          <w:tab w:val="right" w:leader="dot" w:pos="9062"/>
        </w:tabs>
        <w:bidi w:val="0"/>
        <w:rPr>
          <w:rFonts w:ascii="Times New Roman" w:hAnsi="Times New Roman" w:eastAsiaTheme="minorEastAsia" w:cs="Times New Roman"/>
          <w:noProof/>
          <w:sz w:val="22"/>
          <w:szCs w:val="22"/>
          <w:lang w:eastAsia="sk-SK"/>
        </w:rPr>
      </w:pPr>
      <w:hyperlink w:anchor="_Toc306089070" w:history="1">
        <w:r w:rsidRPr="0043666E">
          <w:rPr>
            <w:rStyle w:val="Hyperlink"/>
            <w:rFonts w:ascii="Times New Roman" w:hAnsi="Times New Roman" w:cs="Times New Roman"/>
            <w:noProof/>
          </w:rPr>
          <w:t>6.1. Príjmové operácie</w:t>
        </w:r>
        <w:r w:rsidRPr="0043666E">
          <w:rPr>
            <w:rFonts w:ascii="Times New Roman" w:hAnsi="Times New Roman" w:cs="Times New Roman"/>
            <w:noProof/>
            <w:webHidden/>
          </w:rPr>
          <w:tab/>
        </w:r>
        <w:r w:rsidRPr="0043666E">
          <w:rPr>
            <w:rFonts w:ascii="Times New Roman" w:hAnsi="Times New Roman" w:cs="Times New Roman"/>
            <w:noProof/>
            <w:webHidden/>
          </w:rPr>
          <w:fldChar w:fldCharType="begin"/>
        </w:r>
        <w:r w:rsidRPr="0043666E">
          <w:rPr>
            <w:rFonts w:ascii="Times New Roman" w:hAnsi="Times New Roman" w:cs="Times New Roman"/>
            <w:noProof/>
            <w:webHidden/>
          </w:rPr>
          <w:instrText xml:space="preserve"> PAGEREF _Toc306089070 \h </w:instrText>
        </w:r>
        <w:r w:rsidRPr="0043666E">
          <w:rPr>
            <w:rFonts w:ascii="Times New Roman" w:hAnsi="Times New Roman" w:cs="Times New Roman"/>
            <w:noProof/>
            <w:webHidden/>
          </w:rPr>
          <w:fldChar w:fldCharType="separate"/>
        </w:r>
        <w:r w:rsidR="00A26CA0">
          <w:rPr>
            <w:rFonts w:ascii="Times New Roman" w:hAnsi="Times New Roman" w:cs="Times New Roman"/>
            <w:noProof/>
            <w:webHidden/>
          </w:rPr>
          <w:t>131</w:t>
        </w:r>
        <w:r w:rsidRPr="0043666E">
          <w:rPr>
            <w:rFonts w:ascii="Times New Roman" w:hAnsi="Times New Roman" w:cs="Times New Roman"/>
            <w:noProof/>
            <w:webHidden/>
          </w:rPr>
          <w:fldChar w:fldCharType="end"/>
        </w:r>
      </w:hyperlink>
    </w:p>
    <w:p w:rsidR="0043666E" w:rsidRPr="0043666E">
      <w:pPr>
        <w:pStyle w:val="TOC2"/>
        <w:tabs>
          <w:tab w:val="right" w:leader="dot" w:pos="9062"/>
        </w:tabs>
        <w:bidi w:val="0"/>
        <w:rPr>
          <w:rFonts w:ascii="Times New Roman" w:hAnsi="Times New Roman" w:eastAsiaTheme="minorEastAsia" w:cs="Times New Roman"/>
          <w:noProof/>
          <w:sz w:val="22"/>
          <w:szCs w:val="22"/>
          <w:lang w:eastAsia="sk-SK"/>
        </w:rPr>
      </w:pPr>
      <w:hyperlink w:anchor="_Toc306089071" w:history="1">
        <w:r w:rsidRPr="0043666E">
          <w:rPr>
            <w:rStyle w:val="Hyperlink"/>
            <w:rFonts w:ascii="Times New Roman" w:hAnsi="Times New Roman" w:cs="Times New Roman"/>
            <w:noProof/>
          </w:rPr>
          <w:t>6.2. Výdavkové operácie</w:t>
        </w:r>
        <w:r w:rsidRPr="0043666E">
          <w:rPr>
            <w:rFonts w:ascii="Times New Roman" w:hAnsi="Times New Roman" w:cs="Times New Roman"/>
            <w:noProof/>
            <w:webHidden/>
          </w:rPr>
          <w:tab/>
        </w:r>
        <w:r w:rsidRPr="0043666E">
          <w:rPr>
            <w:rFonts w:ascii="Times New Roman" w:hAnsi="Times New Roman" w:cs="Times New Roman"/>
            <w:noProof/>
            <w:webHidden/>
          </w:rPr>
          <w:fldChar w:fldCharType="begin"/>
        </w:r>
        <w:r w:rsidRPr="0043666E">
          <w:rPr>
            <w:rFonts w:ascii="Times New Roman" w:hAnsi="Times New Roman" w:cs="Times New Roman"/>
            <w:noProof/>
            <w:webHidden/>
          </w:rPr>
          <w:instrText xml:space="preserve"> PAGEREF _Toc306089071 \h </w:instrText>
        </w:r>
        <w:r w:rsidRPr="0043666E">
          <w:rPr>
            <w:rFonts w:ascii="Times New Roman" w:hAnsi="Times New Roman" w:cs="Times New Roman"/>
            <w:noProof/>
            <w:webHidden/>
          </w:rPr>
          <w:fldChar w:fldCharType="separate"/>
        </w:r>
        <w:r w:rsidR="00A26CA0">
          <w:rPr>
            <w:rFonts w:ascii="Times New Roman" w:hAnsi="Times New Roman" w:cs="Times New Roman"/>
            <w:noProof/>
            <w:webHidden/>
          </w:rPr>
          <w:t>133</w:t>
        </w:r>
        <w:r w:rsidRPr="0043666E">
          <w:rPr>
            <w:rFonts w:ascii="Times New Roman" w:hAnsi="Times New Roman" w:cs="Times New Roman"/>
            <w:noProof/>
            <w:webHidden/>
          </w:rPr>
          <w:fldChar w:fldCharType="end"/>
        </w:r>
      </w:hyperlink>
    </w:p>
    <w:p w:rsidR="0043666E" w:rsidRPr="0043666E">
      <w:pPr>
        <w:pStyle w:val="TOC1"/>
        <w:bidi w:val="0"/>
        <w:rPr>
          <w:rFonts w:ascii="Times New Roman" w:hAnsi="Times New Roman" w:eastAsiaTheme="minorEastAsia"/>
          <w:b w:val="0"/>
          <w:sz w:val="22"/>
          <w:szCs w:val="22"/>
          <w:lang w:eastAsia="sk-SK"/>
        </w:rPr>
      </w:pPr>
      <w:hyperlink w:anchor="_Toc306089072" w:history="1">
        <w:r w:rsidRPr="0043666E">
          <w:rPr>
            <w:rStyle w:val="Hyperlink"/>
            <w:rFonts w:ascii="Times New Roman" w:hAnsi="Times New Roman"/>
          </w:rPr>
          <w:t>7. Štátny rozpočet v metodike ESA 95</w:t>
        </w:r>
        <w:r w:rsidRPr="0043666E">
          <w:rPr>
            <w:rFonts w:ascii="Times New Roman" w:hAnsi="Times New Roman"/>
            <w:webHidden/>
          </w:rPr>
          <w:tab/>
        </w:r>
        <w:r w:rsidRPr="0043666E">
          <w:rPr>
            <w:rFonts w:ascii="Times New Roman" w:hAnsi="Times New Roman"/>
            <w:webHidden/>
          </w:rPr>
          <w:fldChar w:fldCharType="begin"/>
        </w:r>
        <w:r w:rsidRPr="0043666E">
          <w:rPr>
            <w:rFonts w:ascii="Times New Roman" w:hAnsi="Times New Roman"/>
            <w:webHidden/>
          </w:rPr>
          <w:instrText xml:space="preserve"> PAGEREF _Toc306089072 \h </w:instrText>
        </w:r>
        <w:r w:rsidRPr="0043666E">
          <w:rPr>
            <w:rFonts w:ascii="Times New Roman" w:hAnsi="Times New Roman"/>
            <w:webHidden/>
          </w:rPr>
          <w:fldChar w:fldCharType="separate"/>
        </w:r>
        <w:r w:rsidR="00A26CA0">
          <w:rPr>
            <w:rFonts w:ascii="Times New Roman" w:hAnsi="Times New Roman"/>
            <w:webHidden/>
          </w:rPr>
          <w:t>134</w:t>
        </w:r>
        <w:r w:rsidRPr="0043666E">
          <w:rPr>
            <w:rFonts w:ascii="Times New Roman" w:hAnsi="Times New Roman"/>
            <w:webHidden/>
          </w:rPr>
          <w:fldChar w:fldCharType="end"/>
        </w:r>
      </w:hyperlink>
    </w:p>
    <w:p w:rsidR="0043666E">
      <w:pPr>
        <w:pStyle w:val="TOC1"/>
        <w:bidi w:val="0"/>
        <w:rPr>
          <w:rFonts w:asciiTheme="minorHAnsi" w:eastAsiaTheme="minorEastAsia" w:hAnsiTheme="minorHAnsi" w:cstheme="minorBidi"/>
          <w:b w:val="0"/>
          <w:sz w:val="22"/>
          <w:szCs w:val="22"/>
          <w:lang w:eastAsia="sk-SK"/>
        </w:rPr>
      </w:pPr>
      <w:hyperlink w:anchor="_Toc306089073" w:history="1">
        <w:r w:rsidRPr="0043666E">
          <w:rPr>
            <w:rStyle w:val="Hyperlink"/>
            <w:rFonts w:ascii="Times New Roman" w:hAnsi="Times New Roman"/>
          </w:rPr>
          <w:t>8. Vzťah podnikov s vplyvom štátu a rozpočtu verejnej správy</w:t>
        </w:r>
        <w:r w:rsidRPr="0043666E">
          <w:rPr>
            <w:rFonts w:ascii="Times New Roman" w:hAnsi="Times New Roman"/>
            <w:webHidden/>
          </w:rPr>
          <w:tab/>
        </w:r>
        <w:r w:rsidRPr="0043666E">
          <w:rPr>
            <w:rFonts w:ascii="Times New Roman" w:hAnsi="Times New Roman"/>
            <w:webHidden/>
          </w:rPr>
          <w:fldChar w:fldCharType="begin"/>
        </w:r>
        <w:r w:rsidRPr="0043666E">
          <w:rPr>
            <w:rFonts w:ascii="Times New Roman" w:hAnsi="Times New Roman"/>
            <w:webHidden/>
          </w:rPr>
          <w:instrText xml:space="preserve"> PAGEREF _Toc306089073 \h </w:instrText>
        </w:r>
        <w:r w:rsidRPr="0043666E">
          <w:rPr>
            <w:rFonts w:ascii="Times New Roman" w:hAnsi="Times New Roman"/>
            <w:webHidden/>
          </w:rPr>
          <w:fldChar w:fldCharType="separate"/>
        </w:r>
        <w:r w:rsidR="00A26CA0">
          <w:rPr>
            <w:rFonts w:ascii="Times New Roman" w:hAnsi="Times New Roman"/>
            <w:webHidden/>
          </w:rPr>
          <w:t>135</w:t>
        </w:r>
        <w:r w:rsidRPr="0043666E">
          <w:rPr>
            <w:rFonts w:ascii="Times New Roman" w:hAnsi="Times New Roman"/>
            <w:webHidden/>
          </w:rPr>
          <w:fldChar w:fldCharType="end"/>
        </w:r>
      </w:hyperlink>
    </w:p>
    <w:p w:rsidR="007520A4" w:rsidRPr="00A1485D">
      <w:pPr>
        <w:bidi w:val="0"/>
        <w:rPr>
          <w:rFonts w:ascii="Times New Roman" w:hAnsi="Times New Roman" w:cs="Times New Roman"/>
        </w:rPr>
      </w:pPr>
      <w:r w:rsidRPr="00A1485D">
        <w:rPr>
          <w:rFonts w:ascii="Times New Roman" w:hAnsi="Times New Roman"/>
        </w:rPr>
        <w:fldChar w:fldCharType="end"/>
      </w:r>
    </w:p>
    <w:p w:rsidR="007520A4" w:rsidP="00D05D21">
      <w:pPr>
        <w:bidi w:val="0"/>
        <w:rPr>
          <w:rFonts w:ascii="Times New Roman" w:hAnsi="Times New Roman" w:cs="Times New Roman"/>
          <w:sz w:val="28"/>
          <w:szCs w:val="28"/>
        </w:rPr>
      </w:pPr>
    </w:p>
    <w:p w:rsidR="007520A4" w:rsidP="00D05D21">
      <w:pPr>
        <w:bidi w:val="0"/>
        <w:rPr>
          <w:rFonts w:ascii="Times New Roman" w:hAnsi="Times New Roman" w:cs="Times New Roman"/>
          <w:sz w:val="28"/>
          <w:szCs w:val="28"/>
        </w:rPr>
      </w:pPr>
    </w:p>
    <w:p w:rsidR="007520A4" w:rsidP="00D05D21">
      <w:pPr>
        <w:bidi w:val="0"/>
        <w:rPr>
          <w:rFonts w:ascii="Times New Roman" w:hAnsi="Times New Roman" w:cs="Times New Roman"/>
          <w:sz w:val="28"/>
          <w:szCs w:val="28"/>
        </w:rPr>
      </w:pPr>
    </w:p>
    <w:p w:rsidR="008D5941" w:rsidP="00D05D21">
      <w:pPr>
        <w:bidi w:val="0"/>
        <w:rPr>
          <w:rFonts w:ascii="Times New Roman" w:hAnsi="Times New Roman" w:cs="Times New Roman"/>
          <w:sz w:val="28"/>
          <w:szCs w:val="28"/>
        </w:rPr>
      </w:pPr>
    </w:p>
    <w:p w:rsidR="008D5941" w:rsidP="00D05D21">
      <w:pPr>
        <w:bidi w:val="0"/>
        <w:rPr>
          <w:rFonts w:ascii="Times New Roman" w:hAnsi="Times New Roman" w:cs="Times New Roman"/>
          <w:sz w:val="28"/>
          <w:szCs w:val="28"/>
        </w:rPr>
      </w:pPr>
    </w:p>
    <w:p w:rsidR="008D5941" w:rsidP="00D05D21">
      <w:pPr>
        <w:bidi w:val="0"/>
        <w:rPr>
          <w:rFonts w:ascii="Times New Roman" w:hAnsi="Times New Roman" w:cs="Times New Roman"/>
          <w:sz w:val="28"/>
          <w:szCs w:val="28"/>
        </w:rPr>
      </w:pPr>
    </w:p>
    <w:p w:rsidR="0051520B" w:rsidRPr="006A0D8F" w:rsidP="00D05D21">
      <w:pPr>
        <w:bidi w:val="0"/>
        <w:rPr>
          <w:rFonts w:ascii="Times New Roman" w:hAnsi="Times New Roman" w:cs="Times New Roman"/>
          <w:b/>
          <w:szCs w:val="28"/>
        </w:rPr>
      </w:pPr>
      <w:r w:rsidRPr="006A0D8F" w:rsidR="006A0D8F">
        <w:rPr>
          <w:rFonts w:ascii="Times New Roman" w:hAnsi="Times New Roman" w:cs="Times New Roman"/>
          <w:b/>
          <w:szCs w:val="28"/>
        </w:rPr>
        <w:t>Prílohy</w:t>
      </w:r>
    </w:p>
    <w:p w:rsidR="0051520B" w:rsidP="00D05D21">
      <w:pPr>
        <w:bidi w:val="0"/>
        <w:rPr>
          <w:rFonts w:ascii="Times New Roman" w:hAnsi="Times New Roman" w:cs="Times New Roman"/>
          <w:sz w:val="28"/>
          <w:szCs w:val="28"/>
        </w:rPr>
      </w:pPr>
    </w:p>
    <w:p w:rsidR="0051520B" w:rsidRPr="006A0D8F" w:rsidP="006A0D8F">
      <w:pPr>
        <w:numPr>
          <w:numId w:val="8"/>
        </w:numPr>
        <w:bidi w:val="0"/>
        <w:ind w:left="284" w:hanging="284"/>
        <w:rPr>
          <w:rFonts w:ascii="Times New Roman" w:hAnsi="Times New Roman" w:cs="Times New Roman"/>
          <w:szCs w:val="28"/>
        </w:rPr>
      </w:pPr>
      <w:r w:rsidRPr="006A0D8F" w:rsidR="006A0D8F">
        <w:rPr>
          <w:rFonts w:ascii="Times New Roman" w:hAnsi="Times New Roman" w:cs="Times New Roman"/>
          <w:szCs w:val="28"/>
        </w:rPr>
        <w:t>Rozpočtovanie príjmov a výdavkov ostatných subjektov verejnej správy v metodike ESA</w:t>
      </w:r>
      <w:r w:rsidR="006A0D8F">
        <w:rPr>
          <w:rFonts w:ascii="Times New Roman" w:hAnsi="Times New Roman" w:cs="Times New Roman"/>
          <w:szCs w:val="28"/>
        </w:rPr>
        <w:t> </w:t>
      </w:r>
      <w:r w:rsidRPr="006A0D8F" w:rsidR="006A0D8F">
        <w:rPr>
          <w:rFonts w:ascii="Times New Roman" w:hAnsi="Times New Roman" w:cs="Times New Roman"/>
          <w:szCs w:val="28"/>
        </w:rPr>
        <w:t>95</w:t>
      </w:r>
    </w:p>
    <w:p w:rsidR="006A0D8F" w:rsidP="006A0D8F">
      <w:pPr>
        <w:numPr>
          <w:numId w:val="8"/>
        </w:numPr>
        <w:bidi w:val="0"/>
        <w:ind w:left="284" w:hanging="284"/>
        <w:rPr>
          <w:rFonts w:ascii="Times New Roman" w:hAnsi="Times New Roman" w:cs="Times New Roman"/>
          <w:szCs w:val="28"/>
        </w:rPr>
      </w:pPr>
      <w:r w:rsidRPr="006A0D8F">
        <w:rPr>
          <w:rFonts w:ascii="Times New Roman" w:hAnsi="Times New Roman" w:cs="Times New Roman"/>
          <w:szCs w:val="28"/>
        </w:rPr>
        <w:t>Rozpočtové vzťahy SR a</w:t>
      </w:r>
      <w:r w:rsidR="00AC67B4">
        <w:rPr>
          <w:rFonts w:ascii="Times New Roman" w:hAnsi="Times New Roman" w:cs="Times New Roman"/>
          <w:szCs w:val="28"/>
        </w:rPr>
        <w:t> </w:t>
      </w:r>
      <w:r w:rsidRPr="006A0D8F">
        <w:rPr>
          <w:rFonts w:ascii="Times New Roman" w:hAnsi="Times New Roman" w:cs="Times New Roman"/>
          <w:szCs w:val="28"/>
        </w:rPr>
        <w:t>EÚ</w:t>
      </w:r>
    </w:p>
    <w:p w:rsidR="00AC67B4" w:rsidRPr="006A0D8F" w:rsidP="006A0D8F">
      <w:pPr>
        <w:numPr>
          <w:numId w:val="8"/>
        </w:numPr>
        <w:bidi w:val="0"/>
        <w:ind w:left="284" w:hanging="284"/>
        <w:rPr>
          <w:rFonts w:ascii="Times New Roman" w:hAnsi="Times New Roman" w:cs="Times New Roman"/>
          <w:szCs w:val="28"/>
        </w:rPr>
      </w:pPr>
      <w:r>
        <w:rPr>
          <w:rFonts w:ascii="Times New Roman" w:hAnsi="Times New Roman" w:cs="Times New Roman"/>
          <w:szCs w:val="28"/>
        </w:rPr>
        <w:t>Stanovisko Súdnej rady Slovenskej republiky k návrhu rozpočtu súdnictva</w:t>
      </w:r>
    </w:p>
    <w:p w:rsidR="0051520B" w:rsidP="00D05D21">
      <w:pPr>
        <w:bidi w:val="0"/>
        <w:rPr>
          <w:rFonts w:ascii="Times New Roman" w:hAnsi="Times New Roman" w:cs="Times New Roman"/>
          <w:sz w:val="28"/>
          <w:szCs w:val="28"/>
        </w:rPr>
      </w:pPr>
    </w:p>
    <w:p w:rsidR="0051520B" w:rsidP="00D05D21">
      <w:pPr>
        <w:bidi w:val="0"/>
        <w:rPr>
          <w:rFonts w:ascii="Times New Roman" w:hAnsi="Times New Roman" w:cs="Times New Roman"/>
          <w:sz w:val="28"/>
          <w:szCs w:val="28"/>
        </w:rPr>
      </w:pPr>
    </w:p>
    <w:p w:rsidR="0051520B" w:rsidP="00D05D21">
      <w:pPr>
        <w:bidi w:val="0"/>
        <w:rPr>
          <w:rFonts w:ascii="Times New Roman" w:hAnsi="Times New Roman" w:cs="Times New Roman"/>
          <w:sz w:val="28"/>
          <w:szCs w:val="28"/>
        </w:rPr>
      </w:pPr>
    </w:p>
    <w:p w:rsidR="0051520B" w:rsidP="00D05D21">
      <w:pPr>
        <w:bidi w:val="0"/>
        <w:rPr>
          <w:rFonts w:ascii="Times New Roman" w:hAnsi="Times New Roman" w:cs="Times New Roman"/>
          <w:sz w:val="28"/>
          <w:szCs w:val="28"/>
        </w:rPr>
      </w:pPr>
    </w:p>
    <w:p w:rsidR="0051520B" w:rsidP="00D05D21">
      <w:pPr>
        <w:bidi w:val="0"/>
        <w:rPr>
          <w:rFonts w:ascii="Times New Roman" w:hAnsi="Times New Roman" w:cs="Times New Roman"/>
          <w:sz w:val="28"/>
          <w:szCs w:val="28"/>
        </w:rPr>
      </w:pPr>
    </w:p>
    <w:p w:rsidR="007520A4" w:rsidP="00D05D21">
      <w:pPr>
        <w:bidi w:val="0"/>
        <w:rPr>
          <w:rFonts w:ascii="Times New Roman" w:hAnsi="Times New Roman" w:cs="Times New Roman"/>
          <w:sz w:val="28"/>
          <w:szCs w:val="28"/>
        </w:rPr>
      </w:pPr>
    </w:p>
    <w:p w:rsidR="007520A4" w:rsidP="00D05D21">
      <w:pPr>
        <w:bidi w:val="0"/>
        <w:rPr>
          <w:rFonts w:ascii="Times New Roman" w:hAnsi="Times New Roman" w:cs="Times New Roman"/>
          <w:sz w:val="28"/>
          <w:szCs w:val="28"/>
        </w:rPr>
      </w:pPr>
    </w:p>
    <w:p w:rsidR="002F6797" w:rsidRPr="007C4153" w:rsidP="00C7452F">
      <w:pPr>
        <w:pStyle w:val="Heading1"/>
        <w:numPr>
          <w:numId w:val="7"/>
        </w:numPr>
        <w:bidi w:val="0"/>
        <w:ind w:left="284" w:hanging="284"/>
        <w:rPr>
          <w:rFonts w:ascii="Times New Roman" w:hAnsi="Times New Roman" w:cs="Times New Roman"/>
          <w:sz w:val="28"/>
          <w:szCs w:val="28"/>
        </w:rPr>
      </w:pPr>
      <w:bookmarkStart w:id="3" w:name="_Toc306089052"/>
      <w:r w:rsidRPr="007C4153">
        <w:rPr>
          <w:rFonts w:ascii="Times New Roman" w:hAnsi="Times New Roman" w:cs="Times New Roman"/>
          <w:sz w:val="28"/>
          <w:szCs w:val="28"/>
        </w:rPr>
        <w:t>Stratégia verejných financií na roky 2012 až 2014</w:t>
      </w:r>
      <w:bookmarkEnd w:id="3"/>
    </w:p>
    <w:p w:rsidR="002F6797" w:rsidRPr="007C4153" w:rsidP="002F6797">
      <w:pPr>
        <w:bidi w:val="0"/>
        <w:ind w:firstLine="708"/>
        <w:jc w:val="both"/>
        <w:rPr>
          <w:rFonts w:ascii="Times New Roman" w:hAnsi="Times New Roman" w:cs="Times New Roman"/>
        </w:rPr>
      </w:pPr>
    </w:p>
    <w:p w:rsidR="004E1ACF" w:rsidRPr="007C4153" w:rsidP="004E1ACF">
      <w:pPr>
        <w:bidi w:val="0"/>
        <w:ind w:firstLine="708"/>
        <w:jc w:val="both"/>
        <w:rPr>
          <w:rFonts w:ascii="Times New Roman" w:hAnsi="Times New Roman" w:cs="Times New Roman"/>
        </w:rPr>
      </w:pPr>
      <w:r w:rsidRPr="007C4153">
        <w:rPr>
          <w:rFonts w:ascii="Times New Roman" w:hAnsi="Times New Roman" w:cs="Times New Roman"/>
        </w:rPr>
        <w:t xml:space="preserve">Vývoj na finančnom trhu od začiatku roku 2010 a najmä v posledných mesiacoch  jednoznačne ukazuje, že zodpovedný prístup k verejným financiám je v záujme všetkých občanov, nakoľko je nevyhnutnou podmienkou pre rast kvality ich života. Obyvatelia krajín, ktoré podceňovali stabilitu svojich rozpočtov, musia prudko znižovať životnú úroveň. Hospodárska kríza len urýchlila takýto vývoj, ktorý by inak nastal z dôvodu starnutia populácie o niekoľko rokov neskôr.      </w:t>
      </w:r>
    </w:p>
    <w:p w:rsidR="004E1ACF" w:rsidRPr="007C4153" w:rsidP="004E1ACF">
      <w:pPr>
        <w:bidi w:val="0"/>
        <w:ind w:firstLine="708"/>
        <w:jc w:val="both"/>
        <w:rPr>
          <w:rFonts w:ascii="Times New Roman" w:hAnsi="Times New Roman" w:cs="Times New Roman"/>
        </w:rPr>
      </w:pPr>
      <w:r w:rsidRPr="007C4153">
        <w:rPr>
          <w:rFonts w:ascii="Times New Roman" w:hAnsi="Times New Roman" w:cs="Times New Roman"/>
        </w:rPr>
        <w:t xml:space="preserve"> </w:t>
      </w:r>
    </w:p>
    <w:p w:rsidR="004E1ACF" w:rsidRPr="007C4153" w:rsidP="004E1ACF">
      <w:pPr>
        <w:bidi w:val="0"/>
        <w:ind w:firstLine="708"/>
        <w:jc w:val="both"/>
        <w:rPr>
          <w:rFonts w:ascii="Times New Roman" w:hAnsi="Times New Roman" w:cs="Times New Roman"/>
        </w:rPr>
      </w:pPr>
      <w:r w:rsidRPr="007C4153">
        <w:rPr>
          <w:rFonts w:ascii="Times New Roman" w:hAnsi="Times New Roman" w:cs="Times New Roman"/>
        </w:rPr>
        <w:t xml:space="preserve">V súčasnosti je pravdepodobné, že Európa sa bude postupne rozdeľovať na krajiny, ktoré budú realizovať zodpovednú hospodársku politiku a na tie, ktoré ani vývoj posledných mesiacov nepresvedčí o škodlivosti nadmerného zadlžovania. Je v maximálnom záujme občanov Slovenska, aby sme sa zaradili medzi krajiny, ktoré budú zodpovedne riadiť svoje verejné financie. Ich ozdravenie a dlhodobá udržateľnosť je nevyhnutnou podmienkou stabilného rozvoja slovenskej ekonomiky, ktorý bude vytvárať nové pracovné miesta a zvyšovať životnú úroveň obyvateľov Slovenska. </w:t>
      </w:r>
    </w:p>
    <w:p w:rsidR="004E1ACF" w:rsidRPr="007C4153" w:rsidP="004E1ACF">
      <w:pPr>
        <w:bidi w:val="0"/>
        <w:ind w:firstLine="708"/>
        <w:jc w:val="both"/>
        <w:rPr>
          <w:rFonts w:ascii="Times New Roman" w:hAnsi="Times New Roman" w:cs="Times New Roman"/>
        </w:rPr>
      </w:pPr>
    </w:p>
    <w:p w:rsidR="004E1ACF" w:rsidRPr="007C4153" w:rsidP="004E1ACF">
      <w:pPr>
        <w:bidi w:val="0"/>
        <w:ind w:firstLine="708"/>
        <w:jc w:val="both"/>
        <w:rPr>
          <w:rFonts w:ascii="Times New Roman" w:hAnsi="Times New Roman" w:cs="Times New Roman"/>
          <w:bCs/>
        </w:rPr>
      </w:pPr>
      <w:r w:rsidRPr="007C4153">
        <w:rPr>
          <w:rFonts w:ascii="Times New Roman" w:hAnsi="Times New Roman" w:cs="Times New Roman"/>
        </w:rPr>
        <w:t xml:space="preserve">Znižovanie deficitu je nevyhnutné, aby si Slovensko udržalo a ešte posilnilo dôveryhodnosť na finančných trhoch. V opačnom prípade by sme totiž dopadli ako Grécko. Najprv by sa začalo zvyšovať úročenie nášho dlhu a nakoniec by sme  celkom stratili schopnosť si požičať. Aj pri plánovanom a bolestivom znižovaní deficitu si len v budúcom roku musí Slovensko na finančnom trhu požičať viac ako 7 mld. eur, inak nebude schopné plniť svoje záväzky. A to by znamenalo neporovnateľne tvrdšie opatrenia, ako sú návrhy predkladané v rozpočte na roky 2012 až 2014. </w:t>
      </w:r>
      <w:r w:rsidRPr="007C4153">
        <w:rPr>
          <w:rFonts w:ascii="Times New Roman" w:hAnsi="Times New Roman" w:cs="Times New Roman"/>
          <w:bCs/>
        </w:rPr>
        <w:t>Slovensko musí jasne preukázať, že v budúcnosti bude schopné svoje dlhy splácať.</w:t>
      </w:r>
      <w:r w:rsidRPr="007C4153">
        <w:rPr>
          <w:rFonts w:ascii="Times New Roman" w:hAnsi="Times New Roman" w:cs="Times New Roman"/>
        </w:rPr>
        <w:t xml:space="preserve"> Hoci celková úroveň nášho verejného dlhu stále nie je v porovnaní s inými štátmi vysoká, sme omnoho zraniteľnejší ako napríklad Japonsko alebo Veľká Británia. Na rozdiel od týchto veľkých štátov so silným domácim finančným sektorom je totiž Slovensko malou krajinou s otvorenou ekonomikou a relatívne malým objemom domácich úspor. </w:t>
      </w:r>
    </w:p>
    <w:p w:rsidR="004E1ACF" w:rsidRPr="007C4153" w:rsidP="004E1ACF">
      <w:pPr>
        <w:bidi w:val="0"/>
        <w:jc w:val="both"/>
        <w:rPr>
          <w:rFonts w:ascii="Times New Roman" w:hAnsi="Times New Roman" w:cs="Times New Roman"/>
        </w:rPr>
      </w:pPr>
    </w:p>
    <w:p w:rsidR="004E1ACF" w:rsidRPr="007C4153" w:rsidP="004E1ACF">
      <w:pPr>
        <w:widowControl w:val="0"/>
        <w:bidi w:val="0"/>
        <w:ind w:firstLine="708"/>
        <w:jc w:val="both"/>
        <w:rPr>
          <w:rFonts w:ascii="Times New Roman" w:hAnsi="Times New Roman" w:cs="Times New Roman"/>
        </w:rPr>
      </w:pPr>
      <w:r w:rsidRPr="007C4153">
        <w:rPr>
          <w:rFonts w:ascii="Times New Roman" w:hAnsi="Times New Roman" w:cs="Times New Roman"/>
        </w:rPr>
        <w:t>Návrh rozpočtu verejnej správy na roky 2012 až 2014 vychádza z aktuálnej prognózy makroekonomického vývoja a vývoja daňových a odvodových príjmov do roku 2014, ktorú ministerstvo financií zverejnilo 26. augusta. Táto prognóza bola urobená necelé tri týždne po prepuknutí problémov na finančných trhoch a ešte pred tým, ako svoje prognózy vývoja svetovej ekonomiky upravovali medzinárodné inštitúcie. Do konca septembra zverejnili aktualizovanú prognózu ECB, MMF a NBS. Ich prognózy sú veľmi podobné prognóze ministerstva financií z 2</w:t>
      </w:r>
      <w:r w:rsidRPr="007C4153" w:rsidR="00F7214C">
        <w:rPr>
          <w:rFonts w:ascii="Times New Roman" w:hAnsi="Times New Roman" w:cs="Times New Roman"/>
        </w:rPr>
        <w:t>6</w:t>
      </w:r>
      <w:r w:rsidRPr="007C4153">
        <w:rPr>
          <w:rFonts w:ascii="Times New Roman" w:hAnsi="Times New Roman" w:cs="Times New Roman"/>
        </w:rPr>
        <w:t>. augusta. Napriek tomu považuje MF SR vývoj slovenskej a svetovej ekonomiky za veľké riziko pre verejné financie. Preto ešte pred rokovaním NR SR o návrhu rozpočtu urobí MF SR novú prognózu vývoja ekonomiky a tiež daňových a odvodových príjmov a tieto prediskutuje vo Výbore pre makroekonomické prognó</w:t>
      </w:r>
      <w:r w:rsidR="007173F3">
        <w:rPr>
          <w:rFonts w:ascii="Times New Roman" w:hAnsi="Times New Roman" w:cs="Times New Roman"/>
        </w:rPr>
        <w:t>zy a Výbore pre daňové prognózy na začiatku novembra.</w:t>
      </w:r>
      <w:r w:rsidRPr="007C4153">
        <w:rPr>
          <w:rFonts w:ascii="Times New Roman" w:hAnsi="Times New Roman" w:cs="Times New Roman"/>
        </w:rPr>
        <w:t xml:space="preserve"> </w:t>
      </w:r>
    </w:p>
    <w:p w:rsidR="004E1ACF" w:rsidRPr="007C4153" w:rsidP="004E1ACF">
      <w:pPr>
        <w:bidi w:val="0"/>
        <w:jc w:val="both"/>
        <w:rPr>
          <w:rFonts w:ascii="Times New Roman" w:hAnsi="Times New Roman" w:cs="Times New Roman"/>
        </w:rPr>
      </w:pPr>
    </w:p>
    <w:p w:rsidR="004E1ACF" w:rsidRPr="007C4153" w:rsidP="004E1ACF">
      <w:pPr>
        <w:bidi w:val="0"/>
        <w:ind w:firstLine="708"/>
        <w:jc w:val="both"/>
        <w:rPr>
          <w:rFonts w:ascii="Times New Roman" w:hAnsi="Times New Roman" w:cs="Times New Roman"/>
          <w:b/>
        </w:rPr>
      </w:pPr>
      <w:r w:rsidRPr="007C4153">
        <w:rPr>
          <w:rFonts w:ascii="Times New Roman" w:hAnsi="Times New Roman" w:cs="Times New Roman"/>
          <w:b/>
        </w:rPr>
        <w:t>Základný cieľ vlády – deficit pod 3 % HDP v roku 2013</w:t>
      </w:r>
    </w:p>
    <w:p w:rsidR="004E1ACF" w:rsidRPr="007C4153" w:rsidP="004E1ACF">
      <w:pPr>
        <w:bidi w:val="0"/>
        <w:jc w:val="both"/>
        <w:rPr>
          <w:rFonts w:ascii="Times New Roman" w:hAnsi="Times New Roman" w:cs="Times New Roman"/>
        </w:rPr>
      </w:pPr>
    </w:p>
    <w:p w:rsidR="004E1ACF" w:rsidRPr="007C4153" w:rsidP="004E1ACF">
      <w:pPr>
        <w:bidi w:val="0"/>
        <w:ind w:firstLine="708"/>
        <w:jc w:val="both"/>
        <w:rPr>
          <w:rFonts w:ascii="Times New Roman" w:hAnsi="Times New Roman" w:cs="Times New Roman"/>
        </w:rPr>
      </w:pPr>
      <w:r w:rsidRPr="007C4153">
        <w:rPr>
          <w:rFonts w:ascii="Times New Roman" w:hAnsi="Times New Roman" w:cs="Times New Roman"/>
        </w:rPr>
        <w:t>Základným cieľom rozpočtovej politiky vlády je výrazne znížiť deficit verejných financií a zastaviť zadlžovanie budúcich generácií.</w:t>
      </w:r>
      <w:r>
        <w:rPr>
          <w:rStyle w:val="FootnoteReference"/>
          <w:rFonts w:ascii="Times New Roman" w:hAnsi="Times New Roman" w:cs="Times New Roman"/>
          <w:rtl w:val="0"/>
        </w:rPr>
        <w:footnoteReference w:id="2"/>
      </w:r>
      <w:r w:rsidRPr="007C4153">
        <w:rPr>
          <w:rFonts w:ascii="Times New Roman" w:hAnsi="Times New Roman" w:cs="Times New Roman"/>
        </w:rPr>
        <w:t xml:space="preserve"> Podstatný krok k naplneniu tohto cieľa robí vláda už v roku 2011, keď sa deficit znižuje z </w:t>
      </w:r>
      <w:r w:rsidR="007173F3">
        <w:rPr>
          <w:rFonts w:ascii="Times New Roman" w:hAnsi="Times New Roman" w:cs="Times New Roman"/>
        </w:rPr>
        <w:t>približne</w:t>
      </w:r>
      <w:r w:rsidRPr="007C4153">
        <w:rPr>
          <w:rFonts w:ascii="Times New Roman" w:hAnsi="Times New Roman" w:cs="Times New Roman"/>
        </w:rPr>
        <w:t xml:space="preserve"> 8 % v rokoch 2009 a 2010 na 4,9 % HDP. Pre roky 2012 a 2013 teda zostáva úloha znížiť deficit o 2 percentuálne body, konkrétne v roku 2012 na 3,8 % HDP a následne na 2,9 % HDP v roku 2013. Slovensko tým naplní svoje záväzky vyplývajúce z Paktu stability a rastu a posilní svoju dôveryhodnosť na finančných trhoch. Na Slovensku existuje relatívne široká celospoločenská zhoda na potrebe znižovania deficitu. Pre stabilný rozvoj našej krajiny je veľmi dobré, že nijaká významnejšia politická strana nespochybňuje potrebu znížiť deficit verejných financií v roku 2013 pod úroveň 3 % HDP. Potrebu ozdravenia verejných financií zvýrazňuje demografický vývoj. Starnutie nášho obyvateľstva bude totiž postupne zhoršovať situáciu verejných financií.  Menej pracujúcich bude znamenať nižšie verejné príjmy a naopak vyššie výdavky, najmä na dôchodkový systém a zdravotníctvo.</w:t>
      </w:r>
    </w:p>
    <w:p w:rsidR="004E1ACF" w:rsidRPr="000B4441" w:rsidP="004E1ACF">
      <w:pPr>
        <w:bidi w:val="0"/>
        <w:ind w:firstLine="708"/>
        <w:jc w:val="both"/>
        <w:rPr>
          <w:rFonts w:ascii="Times New Roman" w:hAnsi="Times New Roman" w:cs="Times New Roman"/>
          <w:color w:val="0070C0"/>
        </w:rPr>
      </w:pPr>
    </w:p>
    <w:p w:rsidR="004E1ACF" w:rsidRPr="00F576BD" w:rsidP="004E1ACF">
      <w:pPr>
        <w:bidi w:val="0"/>
        <w:ind w:firstLine="708"/>
        <w:jc w:val="both"/>
        <w:rPr>
          <w:rFonts w:ascii="Times New Roman" w:hAnsi="Times New Roman" w:cs="Times New Roman"/>
        </w:rPr>
      </w:pPr>
      <w:r w:rsidRPr="00F576BD">
        <w:rPr>
          <w:rFonts w:ascii="Times New Roman" w:hAnsi="Times New Roman" w:cs="Times New Roman"/>
        </w:rPr>
        <w:t>Predložený návrh rozpočtu na roky 2012 až 2014 je negatívne ovplyvnený predpokladaným spomalením hospodárskeho rastu, ktorý sa očakáva po augustových udalostiach na svetových finančných trhoch. Zníženie rastu zhoršilo bilanciu verejných financií v </w:t>
      </w:r>
      <w:r w:rsidRPr="00B76F8E">
        <w:rPr>
          <w:rFonts w:ascii="Times New Roman" w:hAnsi="Times New Roman" w:cs="Times New Roman"/>
        </w:rPr>
        <w:t>roku 2012 o 240 mil. eur a dopady</w:t>
      </w:r>
      <w:r w:rsidRPr="00F576BD">
        <w:rPr>
          <w:rFonts w:ascii="Times New Roman" w:hAnsi="Times New Roman" w:cs="Times New Roman"/>
        </w:rPr>
        <w:t xml:space="preserve"> na nasledujúce roky sú ešte vyššie. Vláda v septembri schválila opatrenia, ktoré dokázali eliminovať negatívny dopad zníženia ekonomického rastu v roku 2012, dodržanie plánovaných deficitov v nasledujúcich rokoch si však bude ešte vyžadovať dodatočné opatrenia v objeme </w:t>
      </w:r>
      <w:r w:rsidRPr="00F576BD" w:rsidR="00F576BD">
        <w:rPr>
          <w:rFonts w:ascii="Times New Roman" w:hAnsi="Times New Roman" w:cs="Times New Roman"/>
        </w:rPr>
        <w:t>21</w:t>
      </w:r>
      <w:r w:rsidR="00FE4FF6">
        <w:rPr>
          <w:rFonts w:ascii="Times New Roman" w:hAnsi="Times New Roman" w:cs="Times New Roman"/>
        </w:rPr>
        <w:t>0,9</w:t>
      </w:r>
      <w:r w:rsidRPr="00F576BD">
        <w:rPr>
          <w:rFonts w:ascii="Times New Roman" w:hAnsi="Times New Roman" w:cs="Times New Roman"/>
        </w:rPr>
        <w:t xml:space="preserve"> mil. eur v roku 2013 </w:t>
      </w:r>
      <w:r w:rsidRPr="00F576BD" w:rsidR="000F7AF3">
        <w:rPr>
          <w:rFonts w:ascii="Times New Roman" w:hAnsi="Times New Roman" w:cs="Times New Roman"/>
        </w:rPr>
        <w:br/>
      </w:r>
      <w:r w:rsidRPr="00F576BD">
        <w:rPr>
          <w:rFonts w:ascii="Times New Roman" w:hAnsi="Times New Roman" w:cs="Times New Roman"/>
        </w:rPr>
        <w:t>a </w:t>
      </w:r>
      <w:r w:rsidRPr="00F576BD" w:rsidR="00F576BD">
        <w:rPr>
          <w:rFonts w:ascii="Times New Roman" w:hAnsi="Times New Roman" w:cs="Times New Roman"/>
        </w:rPr>
        <w:t>7</w:t>
      </w:r>
      <w:r w:rsidRPr="00F576BD">
        <w:rPr>
          <w:rFonts w:ascii="Times New Roman" w:hAnsi="Times New Roman" w:cs="Times New Roman"/>
        </w:rPr>
        <w:t>5</w:t>
      </w:r>
      <w:r w:rsidR="00FE4FF6">
        <w:rPr>
          <w:rFonts w:ascii="Times New Roman" w:hAnsi="Times New Roman" w:cs="Times New Roman"/>
        </w:rPr>
        <w:t>,2</w:t>
      </w:r>
      <w:r w:rsidRPr="00F576BD">
        <w:rPr>
          <w:rFonts w:ascii="Times New Roman" w:hAnsi="Times New Roman" w:cs="Times New Roman"/>
        </w:rPr>
        <w:t xml:space="preserve"> mil. eur v roku 2014. </w:t>
      </w:r>
      <w:r w:rsidRPr="00F576BD" w:rsidR="00F7214C">
        <w:rPr>
          <w:rFonts w:ascii="Times New Roman" w:hAnsi="Times New Roman" w:cs="Times New Roman"/>
        </w:rPr>
        <w:t>Návrh o</w:t>
      </w:r>
      <w:r w:rsidRPr="00F576BD">
        <w:rPr>
          <w:rFonts w:ascii="Times New Roman" w:hAnsi="Times New Roman" w:cs="Times New Roman"/>
        </w:rPr>
        <w:t>patren</w:t>
      </w:r>
      <w:r w:rsidRPr="00F576BD" w:rsidR="00F7214C">
        <w:rPr>
          <w:rFonts w:ascii="Times New Roman" w:hAnsi="Times New Roman" w:cs="Times New Roman"/>
        </w:rPr>
        <w:t>í</w:t>
      </w:r>
      <w:r w:rsidRPr="00F576BD">
        <w:rPr>
          <w:rFonts w:ascii="Times New Roman" w:hAnsi="Times New Roman" w:cs="Times New Roman"/>
        </w:rPr>
        <w:t xml:space="preserve"> bud</w:t>
      </w:r>
      <w:r w:rsidRPr="00F576BD" w:rsidR="00F7214C">
        <w:rPr>
          <w:rFonts w:ascii="Times New Roman" w:hAnsi="Times New Roman" w:cs="Times New Roman"/>
        </w:rPr>
        <w:t>e</w:t>
      </w:r>
      <w:r w:rsidRPr="00F576BD">
        <w:rPr>
          <w:rFonts w:ascii="Times New Roman" w:hAnsi="Times New Roman" w:cs="Times New Roman"/>
        </w:rPr>
        <w:t xml:space="preserve"> súčasťou východísk rozpočtu na roky 2013 až 2015, ktoré ministerstvo financií vypracuje do konca marca 2012. Štruktúra týchto opatrení a aj ich celkový objem bude závisieť najmä od aktuálnych prognóz vývoja svetovej a slovenskej ekonomiky, ktoré budú v tom čase k dispozícii. </w:t>
      </w:r>
    </w:p>
    <w:p w:rsidR="00991A83" w:rsidRPr="000B4441" w:rsidP="004E1ACF">
      <w:pPr>
        <w:widowControl w:val="0"/>
        <w:bidi w:val="0"/>
        <w:ind w:firstLine="708"/>
        <w:jc w:val="both"/>
        <w:rPr>
          <w:rFonts w:ascii="Times New Roman" w:hAnsi="Times New Roman" w:cs="Times New Roman"/>
          <w:b/>
          <w:color w:val="0070C0"/>
        </w:rPr>
      </w:pPr>
    </w:p>
    <w:p w:rsidR="00991A83" w:rsidRPr="00FE4FF6" w:rsidP="00991A83">
      <w:pPr>
        <w:widowControl w:val="0"/>
        <w:bidi w:val="0"/>
        <w:ind w:firstLine="654"/>
        <w:jc w:val="both"/>
        <w:rPr>
          <w:rFonts w:ascii="Times New Roman" w:hAnsi="Times New Roman" w:cs="Times New Roman"/>
          <w:b/>
        </w:rPr>
      </w:pPr>
      <w:r w:rsidRPr="00FE4FF6">
        <w:rPr>
          <w:rFonts w:ascii="Times New Roman" w:hAnsi="Times New Roman" w:cs="Times New Roman"/>
          <w:b/>
        </w:rPr>
        <w:t>Návrh rozpočtu výrazne znižuje verejné výdavky</w:t>
      </w:r>
    </w:p>
    <w:p w:rsidR="00991A83" w:rsidRPr="00FE4FF6" w:rsidP="00991A83">
      <w:pPr>
        <w:widowControl w:val="0"/>
        <w:bidi w:val="0"/>
        <w:jc w:val="both"/>
        <w:rPr>
          <w:rFonts w:ascii="Times New Roman" w:hAnsi="Times New Roman" w:cs="Times New Roman"/>
          <w:b/>
        </w:rPr>
      </w:pPr>
    </w:p>
    <w:p w:rsidR="00991A83" w:rsidRPr="00FE4FF6" w:rsidP="00991A83">
      <w:pPr>
        <w:widowControl w:val="0"/>
        <w:bidi w:val="0"/>
        <w:ind w:firstLine="654"/>
        <w:jc w:val="both"/>
        <w:rPr>
          <w:rFonts w:ascii="Times New Roman" w:hAnsi="Times New Roman" w:cs="Times New Roman"/>
        </w:rPr>
      </w:pPr>
      <w:r w:rsidRPr="00FE4FF6">
        <w:rPr>
          <w:rFonts w:ascii="Times New Roman" w:hAnsi="Times New Roman" w:cs="Times New Roman"/>
        </w:rPr>
        <w:t>Napriek opatreniam na príjmovej strane, ktoré boli schválené v roku 2010, verejné príjmy budú medzi rokmi 2010 a 2014 klesať z 33,1 na 31,</w:t>
      </w:r>
      <w:r w:rsidRPr="00FE4FF6" w:rsidR="00FE4FF6">
        <w:rPr>
          <w:rFonts w:ascii="Times New Roman" w:hAnsi="Times New Roman" w:cs="Times New Roman"/>
        </w:rPr>
        <w:t>4</w:t>
      </w:r>
      <w:r w:rsidRPr="00FE4FF6">
        <w:rPr>
          <w:rFonts w:ascii="Times New Roman" w:hAnsi="Times New Roman" w:cs="Times New Roman"/>
        </w:rPr>
        <w:t xml:space="preserve"> % HDP. Hlavným dôvodom je to, že viaceré príjmy rastú pomalšie ako HDP, resp. nerastú vôbec. Ide napríklad o spotrebné dane, dividendy, či príjmy z rôznych poplatkov.  </w:t>
      </w:r>
    </w:p>
    <w:p w:rsidR="00991A83" w:rsidRPr="007C4153" w:rsidP="00991A83">
      <w:pPr>
        <w:widowControl w:val="0"/>
        <w:bidi w:val="0"/>
        <w:jc w:val="both"/>
        <w:rPr>
          <w:rFonts w:ascii="Times New Roman" w:hAnsi="Times New Roman" w:cs="Times New Roman"/>
          <w:color w:val="FF0000"/>
        </w:rPr>
      </w:pPr>
    </w:p>
    <w:p w:rsidR="00991A83" w:rsidRPr="00FE4FF6" w:rsidP="00991A83">
      <w:pPr>
        <w:widowControl w:val="0"/>
        <w:bidi w:val="0"/>
        <w:ind w:firstLine="708"/>
        <w:jc w:val="both"/>
        <w:rPr>
          <w:rFonts w:ascii="Times New Roman" w:hAnsi="Times New Roman" w:cs="Times New Roman"/>
          <w:b/>
        </w:rPr>
      </w:pPr>
      <w:r w:rsidRPr="00FE4FF6">
        <w:rPr>
          <w:rFonts w:ascii="Times New Roman" w:hAnsi="Times New Roman" w:cs="Times New Roman"/>
        </w:rPr>
        <w:t xml:space="preserve">Ozdravenie verejných financií sa tak deje na výdavkovej strane rozpočtu. Verejné výdavky klesajú za štyri roky o 6,7 % HDP, zo 41 % v roku 2010 na 34,3 % HDP v roku 2014.    </w:t>
      </w:r>
    </w:p>
    <w:p w:rsidR="00991A83" w:rsidRPr="000B4441" w:rsidP="004E1ACF">
      <w:pPr>
        <w:widowControl w:val="0"/>
        <w:bidi w:val="0"/>
        <w:ind w:firstLine="708"/>
        <w:jc w:val="both"/>
        <w:rPr>
          <w:rFonts w:ascii="Times New Roman" w:hAnsi="Times New Roman" w:cs="Times New Roman"/>
          <w:b/>
          <w:color w:val="0070C0"/>
        </w:rPr>
      </w:pPr>
    </w:p>
    <w:p w:rsidR="004E1ACF" w:rsidRPr="007C4153" w:rsidP="004E1ACF">
      <w:pPr>
        <w:widowControl w:val="0"/>
        <w:bidi w:val="0"/>
        <w:ind w:firstLine="708"/>
        <w:jc w:val="both"/>
        <w:rPr>
          <w:rFonts w:ascii="Times New Roman" w:hAnsi="Times New Roman" w:cs="Times New Roman"/>
          <w:b/>
        </w:rPr>
      </w:pPr>
      <w:r w:rsidRPr="007C4153">
        <w:rPr>
          <w:rFonts w:ascii="Times New Roman" w:hAnsi="Times New Roman" w:cs="Times New Roman"/>
          <w:b/>
        </w:rPr>
        <w:t>Vyššie verejné príjmy a/alebo menej verejných služieb?</w:t>
      </w:r>
    </w:p>
    <w:p w:rsidR="004E1ACF" w:rsidRPr="007C4153" w:rsidP="004E1ACF">
      <w:pPr>
        <w:widowControl w:val="0"/>
        <w:bidi w:val="0"/>
        <w:jc w:val="both"/>
        <w:rPr>
          <w:rFonts w:ascii="Times New Roman" w:hAnsi="Times New Roman" w:cs="Times New Roman"/>
        </w:rPr>
      </w:pPr>
      <w:r w:rsidRPr="007C4153">
        <w:rPr>
          <w:rFonts w:ascii="Times New Roman" w:hAnsi="Times New Roman" w:cs="Times New Roman"/>
        </w:rPr>
        <w:t xml:space="preserve"> </w:t>
      </w:r>
    </w:p>
    <w:p w:rsidR="004E1ACF" w:rsidRPr="007C4153" w:rsidP="004E1ACF">
      <w:pPr>
        <w:widowControl w:val="0"/>
        <w:bidi w:val="0"/>
        <w:ind w:firstLine="708"/>
        <w:jc w:val="both"/>
        <w:rPr>
          <w:rFonts w:ascii="Times New Roman" w:hAnsi="Times New Roman" w:cs="Times New Roman"/>
        </w:rPr>
      </w:pPr>
      <w:r w:rsidRPr="007C4153">
        <w:rPr>
          <w:rFonts w:ascii="Times New Roman" w:hAnsi="Times New Roman" w:cs="Times New Roman"/>
        </w:rPr>
        <w:t>Základnou výzvou pre riadenie verejných financií v stredno a dlhodobom horizonte je zosúladenie nízkych verejných príjmov a širokých činností, ktoré verejný sektor dnes na Slovensku vykonáva. Slovensko dosiahlo v roku 2010 najnižšie verejné príjmy spomedzi všetkých 27 členských štátov Európskej únie</w:t>
      </w:r>
      <w:r w:rsidRPr="00FE4FF6">
        <w:rPr>
          <w:rFonts w:ascii="Times New Roman" w:hAnsi="Times New Roman" w:cs="Times New Roman"/>
        </w:rPr>
        <w:t>, a to 33,1 % HDP, čo predstavuje</w:t>
      </w:r>
      <w:r w:rsidRPr="007C4153">
        <w:rPr>
          <w:rFonts w:ascii="Times New Roman" w:hAnsi="Times New Roman" w:cs="Times New Roman"/>
        </w:rPr>
        <w:t xml:space="preserve"> o štvrtinu menej ako je priemer EÚ, ktorý dosiahol 44,4 %. Pri takýchto príjmoch nie je možné ani po zvýšení efektívnosti štátnych organizácií financovať verejné služby v objemoch, ktoré sú bežné v iných európskych krajinách. Slovensko nemá inú cestu, ako postupne zvyšovať verejné príjmy (napríklad odbúravaním daňových a odvodových únikov a výnimiek alebo zvyšovaním efektívnosti štátnych firiem a  následne ich odvodov do rozpočtu) a/alebo súčasne znižovať rozsah verejných služieb. Oba prístupy si budú vyžadovať rôzne nepopulárne opatrenia a bude len na politickom rozhodovaní, ktoré konkrétne nástroje sa využijú. </w:t>
      </w:r>
    </w:p>
    <w:p w:rsidR="004E1ACF" w:rsidRPr="000B4441" w:rsidP="004E1ACF">
      <w:pPr>
        <w:widowControl w:val="0"/>
        <w:bidi w:val="0"/>
        <w:jc w:val="both"/>
        <w:rPr>
          <w:rFonts w:ascii="Times New Roman" w:hAnsi="Times New Roman" w:cs="Times New Roman"/>
          <w:color w:val="0070C0"/>
        </w:rPr>
      </w:pPr>
    </w:p>
    <w:p w:rsidR="004E1ACF" w:rsidRPr="00F576BD" w:rsidP="004E1ACF">
      <w:pPr>
        <w:widowControl w:val="0"/>
        <w:bidi w:val="0"/>
        <w:ind w:firstLine="708"/>
        <w:jc w:val="both"/>
        <w:rPr>
          <w:rFonts w:ascii="Times New Roman" w:hAnsi="Times New Roman" w:cs="Times New Roman"/>
        </w:rPr>
      </w:pPr>
      <w:r w:rsidRPr="00F576BD">
        <w:rPr>
          <w:rFonts w:ascii="Times New Roman" w:hAnsi="Times New Roman" w:cs="Times New Roman"/>
        </w:rPr>
        <w:t xml:space="preserve">Základnou výzvou pre vládu je, aby dokázala v rozpočte skombinovať </w:t>
      </w:r>
      <w:r w:rsidRPr="00F576BD" w:rsidR="00F576BD">
        <w:rPr>
          <w:rFonts w:ascii="Times New Roman" w:hAnsi="Times New Roman" w:cs="Times New Roman"/>
        </w:rPr>
        <w:t>tieto</w:t>
      </w:r>
      <w:r w:rsidRPr="00F576BD">
        <w:rPr>
          <w:rFonts w:ascii="Times New Roman" w:hAnsi="Times New Roman" w:cs="Times New Roman"/>
        </w:rPr>
        <w:t xml:space="preserve"> požiadavky –</w:t>
      </w:r>
      <w:r w:rsidRPr="00F576BD" w:rsidR="00F576BD">
        <w:rPr>
          <w:rFonts w:ascii="Times New Roman" w:hAnsi="Times New Roman" w:cs="Times New Roman"/>
        </w:rPr>
        <w:t xml:space="preserve"> </w:t>
      </w:r>
      <w:r w:rsidRPr="00F576BD">
        <w:rPr>
          <w:rFonts w:ascii="Times New Roman" w:hAnsi="Times New Roman" w:cs="Times New Roman"/>
        </w:rPr>
        <w:t xml:space="preserve">znížiť deficit z tohtoročných 4,9 % HDP pod 3 % v roku 2013 a finančne zabezpečiť nevyhnutné výdavky, ktoré sú výsledkom zlých rozhodnutí v minulosti. Prípravu rozpočtu totiž komplikuje napríklad zvýšenie nákladov na obsluhu štátneho dlhu </w:t>
      </w:r>
      <w:r w:rsidR="00F576BD">
        <w:rPr>
          <w:rFonts w:ascii="Times New Roman" w:hAnsi="Times New Roman" w:cs="Times New Roman"/>
        </w:rPr>
        <w:br/>
      </w:r>
      <w:r w:rsidRPr="00F576BD">
        <w:rPr>
          <w:rFonts w:ascii="Times New Roman" w:hAnsi="Times New Roman" w:cs="Times New Roman"/>
        </w:rPr>
        <w:t>o 1</w:t>
      </w:r>
      <w:r w:rsidR="009112FB">
        <w:rPr>
          <w:rFonts w:ascii="Times New Roman" w:hAnsi="Times New Roman" w:cs="Times New Roman"/>
        </w:rPr>
        <w:t>69</w:t>
      </w:r>
      <w:r w:rsidRPr="00F576BD">
        <w:rPr>
          <w:rFonts w:ascii="Times New Roman" w:hAnsi="Times New Roman" w:cs="Times New Roman"/>
        </w:rPr>
        <w:t xml:space="preserve"> mil. eur alebo fakt, že s cieľom nezadlžovať železničné spoločnosti sa v rozpočte na rok 2012 pre ne vyčlenila suma o 206 mil. eur vyššia ako v rozpočte na rok 2011.</w:t>
      </w:r>
    </w:p>
    <w:p w:rsidR="004E1ACF" w:rsidRPr="000B4441" w:rsidP="004E1ACF">
      <w:pPr>
        <w:keepNext/>
        <w:keepLines/>
        <w:widowControl w:val="0"/>
        <w:bidi w:val="0"/>
        <w:ind w:firstLine="708"/>
        <w:jc w:val="both"/>
        <w:rPr>
          <w:rFonts w:ascii="Times New Roman" w:hAnsi="Times New Roman" w:cs="Times New Roman"/>
          <w:color w:val="0070C0"/>
        </w:rPr>
      </w:pPr>
    </w:p>
    <w:p w:rsidR="004E1ACF" w:rsidRPr="00F175DC" w:rsidP="004E1ACF">
      <w:pPr>
        <w:keepNext/>
        <w:keepLines/>
        <w:widowControl w:val="0"/>
        <w:bidi w:val="0"/>
        <w:ind w:firstLine="708"/>
        <w:jc w:val="both"/>
        <w:rPr>
          <w:rFonts w:ascii="Times New Roman" w:hAnsi="Times New Roman" w:cs="Times New Roman"/>
        </w:rPr>
      </w:pPr>
      <w:r w:rsidRPr="00F175DC">
        <w:rPr>
          <w:rFonts w:ascii="Times New Roman" w:hAnsi="Times New Roman" w:cs="Times New Roman"/>
          <w:b/>
        </w:rPr>
        <w:t>Priority vlády na roky 2012 až 2014</w:t>
      </w:r>
    </w:p>
    <w:p w:rsidR="004E1ACF" w:rsidRPr="000B4441" w:rsidP="004E1ACF">
      <w:pPr>
        <w:keepNext/>
        <w:keepLines/>
        <w:widowControl w:val="0"/>
        <w:bidi w:val="0"/>
        <w:ind w:firstLine="708"/>
        <w:jc w:val="both"/>
        <w:rPr>
          <w:rFonts w:ascii="Times New Roman" w:hAnsi="Times New Roman" w:cs="Times New Roman"/>
          <w:color w:val="0070C0"/>
          <w:highlight w:val="yellow"/>
        </w:rPr>
      </w:pPr>
    </w:p>
    <w:p w:rsidR="00B378B3" w:rsidRPr="00B378B3" w:rsidP="00B378B3">
      <w:pPr>
        <w:keepNext/>
        <w:bidi w:val="0"/>
        <w:ind w:firstLine="708"/>
        <w:jc w:val="both"/>
        <w:rPr>
          <w:rFonts w:ascii="Times New Roman" w:hAnsi="Times New Roman" w:cs="Times New Roman"/>
        </w:rPr>
      </w:pPr>
      <w:bookmarkStart w:id="4" w:name="_Toc273979607"/>
      <w:bookmarkEnd w:id="4"/>
      <w:r w:rsidRPr="00B378B3">
        <w:rPr>
          <w:rFonts w:ascii="Times New Roman" w:hAnsi="Times New Roman" w:cs="Times New Roman"/>
        </w:rPr>
        <w:t xml:space="preserve">V návrhu rozpočtu sú viditeľné tri základné priority. Prvou je infraštruktúra, kde výdavky do cestnej a železničnej dopravy vzrastú z necelých 1,3 mld. eur v roku 2009 </w:t>
      </w:r>
      <w:r w:rsidR="009112FB">
        <w:rPr>
          <w:rFonts w:ascii="Times New Roman" w:hAnsi="Times New Roman" w:cs="Times New Roman"/>
        </w:rPr>
        <w:t xml:space="preserve">a v roku 2010 </w:t>
      </w:r>
      <w:r w:rsidRPr="00B378B3">
        <w:rPr>
          <w:rFonts w:ascii="Times New Roman" w:hAnsi="Times New Roman" w:cs="Times New Roman"/>
        </w:rPr>
        <w:t>na približne 2 mld. eur v roku 2012, čo je najvyššia hodnota v histórii. Druhou prioritou je vzdelávanie, keď objem zdrojov v regionálnom školstve na jedného žiaka rastie oproti tohtoročnému rozpočtu o 5,03 % a vo vysokom školstve o 4,66 % na jedného študenta. A prioritou je aj zdravotníctvo, kde objem verejných zdrojov v porovnaní s rokom 2011 vzrastie o 12</w:t>
      </w:r>
      <w:r w:rsidR="008614C7">
        <w:rPr>
          <w:rFonts w:ascii="Times New Roman" w:hAnsi="Times New Roman" w:cs="Times New Roman"/>
        </w:rPr>
        <w:t>3</w:t>
      </w:r>
      <w:r w:rsidRPr="00B378B3">
        <w:rPr>
          <w:rFonts w:ascii="Times New Roman" w:hAnsi="Times New Roman" w:cs="Times New Roman"/>
        </w:rPr>
        <w:t xml:space="preserve"> mil. </w:t>
      </w:r>
      <w:r w:rsidR="00A80B1C">
        <w:rPr>
          <w:rFonts w:ascii="Times New Roman" w:hAnsi="Times New Roman" w:cs="Times New Roman"/>
        </w:rPr>
        <w:t>eur</w:t>
      </w:r>
      <w:r w:rsidRPr="00B378B3">
        <w:rPr>
          <w:rFonts w:ascii="Times New Roman" w:hAnsi="Times New Roman" w:cs="Times New Roman"/>
        </w:rPr>
        <w:t xml:space="preserve">. Okrem týchto základných priorít sa v rozpočte podarilo vyčleniť zdroje napríklad aj na spustenie rekonštrukcie Slovenskej národnej galérie alebo na protipovodňové opatrenia, kde prostredníctvom Úradu vlády </w:t>
      </w:r>
      <w:r w:rsidR="00A80B1C">
        <w:rPr>
          <w:rFonts w:ascii="Times New Roman" w:hAnsi="Times New Roman" w:cs="Times New Roman"/>
        </w:rPr>
        <w:t xml:space="preserve">SR </w:t>
      </w:r>
      <w:r w:rsidRPr="00B378B3">
        <w:rPr>
          <w:rFonts w:ascii="Times New Roman" w:hAnsi="Times New Roman" w:cs="Times New Roman"/>
        </w:rPr>
        <w:t>a Slovenského vodohospodárskeho podniku</w:t>
      </w:r>
      <w:r w:rsidR="00A80B1C">
        <w:rPr>
          <w:rFonts w:ascii="Times New Roman" w:hAnsi="Times New Roman" w:cs="Times New Roman"/>
        </w:rPr>
        <w:t>, š.</w:t>
      </w:r>
      <w:r w:rsidR="0021545C">
        <w:rPr>
          <w:rFonts w:ascii="Times New Roman" w:hAnsi="Times New Roman" w:cs="Times New Roman"/>
        </w:rPr>
        <w:t xml:space="preserve"> </w:t>
      </w:r>
      <w:r w:rsidR="00A80B1C">
        <w:rPr>
          <w:rFonts w:ascii="Times New Roman" w:hAnsi="Times New Roman" w:cs="Times New Roman"/>
        </w:rPr>
        <w:t>p.</w:t>
      </w:r>
      <w:r w:rsidRPr="00B378B3">
        <w:rPr>
          <w:rFonts w:ascii="Times New Roman" w:hAnsi="Times New Roman" w:cs="Times New Roman"/>
        </w:rPr>
        <w:t xml:space="preserve"> bude k dispozícii 25 mil. eur. </w:t>
      </w:r>
    </w:p>
    <w:p w:rsidR="00B378B3" w:rsidRPr="00B378B3" w:rsidP="00B378B3">
      <w:pPr>
        <w:keepNext/>
        <w:bidi w:val="0"/>
        <w:ind w:firstLine="708"/>
        <w:jc w:val="both"/>
        <w:rPr>
          <w:rFonts w:ascii="Times New Roman" w:hAnsi="Times New Roman" w:cs="Times New Roman"/>
          <w:color w:val="0070C0"/>
        </w:rPr>
      </w:pPr>
    </w:p>
    <w:p w:rsidR="00B378B3" w:rsidRPr="00B378B3" w:rsidP="00B378B3">
      <w:pPr>
        <w:bidi w:val="0"/>
        <w:ind w:firstLine="709"/>
        <w:jc w:val="both"/>
        <w:rPr>
          <w:rFonts w:ascii="Times New Roman" w:hAnsi="Times New Roman" w:cs="Times New Roman"/>
        </w:rPr>
      </w:pPr>
      <w:r w:rsidRPr="00B378B3">
        <w:rPr>
          <w:rFonts w:ascii="Times New Roman" w:hAnsi="Times New Roman" w:cs="Times New Roman"/>
        </w:rPr>
        <w:t>Financie potrebné na znižovanie deficitu a financovanie priorít sa podarilo získať z troch hlavných zdrojov. Prvým je pokračovanie v úspornej politike vo verejnej správe – v roku 2012 sú vo väčšine kapitol zmrazené osobné výdavky a výdavky na tovary a služby klesajú o 5 %. K ozdraveniu verejných financií začínajú prispievať aj štátne podniky, ktoré musia zefektívniť svoje hospodárenie tak, aby dokázali v niektorých prípadoch znížiť svoje nároky na štátne dotácie a v iných prípadoch dokážu naopak do rozpočtu odvádzať zdroje. Ide napríklad o Lesy SR,</w:t>
      </w:r>
      <w:r w:rsidR="00835BB7">
        <w:rPr>
          <w:rFonts w:ascii="Times New Roman" w:hAnsi="Times New Roman" w:cs="Times New Roman"/>
        </w:rPr>
        <w:t xml:space="preserve"> š. p.,</w:t>
      </w:r>
      <w:r w:rsidRPr="00B378B3">
        <w:rPr>
          <w:rFonts w:ascii="Times New Roman" w:hAnsi="Times New Roman" w:cs="Times New Roman"/>
        </w:rPr>
        <w:t xml:space="preserve"> ktorý odvedie v roku 2012 do štátneho rozpočtu 20 mil. eur. Tretím zdrojom sú banky, ktoré budú od budúceho roku odvádzať do štátnych finančných aktív </w:t>
      </w:r>
      <w:r w:rsidRPr="00327C10">
        <w:rPr>
          <w:rFonts w:ascii="Times New Roman" w:hAnsi="Times New Roman" w:cs="Times New Roman"/>
        </w:rPr>
        <w:t xml:space="preserve">približne </w:t>
      </w:r>
      <w:r w:rsidRPr="00327C10" w:rsidR="001C3D01">
        <w:rPr>
          <w:rFonts w:ascii="Times New Roman" w:hAnsi="Times New Roman" w:cs="Times New Roman"/>
        </w:rPr>
        <w:t>90</w:t>
      </w:r>
      <w:r w:rsidRPr="00327C10">
        <w:rPr>
          <w:rFonts w:ascii="Times New Roman" w:hAnsi="Times New Roman" w:cs="Times New Roman"/>
        </w:rPr>
        <w:t xml:space="preserve"> mil. eur ročne.</w:t>
      </w:r>
      <w:r w:rsidRPr="00B378B3">
        <w:rPr>
          <w:rFonts w:ascii="Times New Roman" w:hAnsi="Times New Roman" w:cs="Times New Roman"/>
        </w:rPr>
        <w:t xml:space="preserve">    </w:t>
      </w:r>
    </w:p>
    <w:p w:rsidR="004E1ACF" w:rsidRPr="000B4441" w:rsidP="004E1ACF">
      <w:pPr>
        <w:bidi w:val="0"/>
        <w:jc w:val="both"/>
        <w:rPr>
          <w:rFonts w:ascii="Times New Roman" w:hAnsi="Times New Roman" w:cs="Times New Roman"/>
          <w:b/>
          <w:color w:val="0070C0"/>
        </w:rPr>
      </w:pPr>
    </w:p>
    <w:p w:rsidR="004E1ACF" w:rsidRPr="00F175DC" w:rsidP="004E1ACF">
      <w:pPr>
        <w:bidi w:val="0"/>
        <w:ind w:firstLine="708"/>
        <w:jc w:val="both"/>
        <w:rPr>
          <w:rFonts w:ascii="Times New Roman" w:hAnsi="Times New Roman" w:cs="Times New Roman"/>
          <w:b/>
        </w:rPr>
      </w:pPr>
      <w:r w:rsidRPr="00F175DC">
        <w:rPr>
          <w:rFonts w:ascii="Times New Roman" w:hAnsi="Times New Roman" w:cs="Times New Roman"/>
          <w:b/>
        </w:rPr>
        <w:t xml:space="preserve">Transparentnejší verejný rozpočet </w:t>
      </w:r>
    </w:p>
    <w:p w:rsidR="004E1ACF" w:rsidRPr="00F175DC" w:rsidP="004E1ACF">
      <w:pPr>
        <w:bidi w:val="0"/>
        <w:jc w:val="both"/>
        <w:rPr>
          <w:rFonts w:ascii="Times New Roman" w:hAnsi="Times New Roman" w:cs="Times New Roman"/>
          <w:b/>
        </w:rPr>
      </w:pPr>
    </w:p>
    <w:p w:rsidR="004E1ACF" w:rsidRPr="00F175DC" w:rsidP="004E1ACF">
      <w:pPr>
        <w:bidi w:val="0"/>
        <w:ind w:firstLine="709"/>
        <w:jc w:val="both"/>
        <w:rPr>
          <w:rFonts w:ascii="Times New Roman" w:hAnsi="Times New Roman" w:cs="Times New Roman"/>
        </w:rPr>
      </w:pPr>
      <w:r w:rsidRPr="00F175DC">
        <w:rPr>
          <w:rFonts w:ascii="Times New Roman" w:hAnsi="Times New Roman" w:cs="Times New Roman"/>
          <w:bCs/>
        </w:rPr>
        <w:t>Predložený návrh rozpočtu bol pripravovaný s cieľom otvorene a pravdivo pomenovať stav verejných financií.</w:t>
      </w:r>
      <w:r w:rsidRPr="00F175DC">
        <w:rPr>
          <w:rFonts w:ascii="Times New Roman" w:hAnsi="Times New Roman" w:cs="Times New Roman"/>
        </w:rPr>
        <w:t xml:space="preserve"> Na rozdiel od rozpočtu na predchádzajúce roky prišlo k viacerým zásadným zmenám. </w:t>
      </w:r>
    </w:p>
    <w:p w:rsidR="004E1ACF" w:rsidRPr="00F175DC" w:rsidP="004E1ACF">
      <w:pPr>
        <w:bidi w:val="0"/>
        <w:ind w:firstLine="709"/>
        <w:jc w:val="both"/>
        <w:rPr>
          <w:rFonts w:ascii="Times New Roman" w:hAnsi="Times New Roman" w:cs="Times New Roman"/>
        </w:rPr>
      </w:pPr>
    </w:p>
    <w:p w:rsidR="004E1ACF" w:rsidRPr="00F175DC" w:rsidP="004E1ACF">
      <w:pPr>
        <w:pStyle w:val="ListParagraph"/>
        <w:numPr>
          <w:numId w:val="46"/>
        </w:numPr>
        <w:bidi w:val="0"/>
        <w:jc w:val="both"/>
        <w:rPr>
          <w:rFonts w:ascii="Times New Roman" w:hAnsi="Times New Roman" w:cs="Times New Roman"/>
        </w:rPr>
      </w:pPr>
      <w:r w:rsidRPr="00F175DC">
        <w:rPr>
          <w:rFonts w:ascii="Times New Roman" w:hAnsi="Times New Roman" w:cs="Times New Roman"/>
        </w:rPr>
        <w:t xml:space="preserve">V rozpočte nie sú vedome zakomponované nijaké nereálne položky, ktoré by mali počas roku zvyšovať deficit. Napríklad dotácie pre železničné spoločnosti sú nastavené tak, že by tieto spoločnosti mali hospodáriť s vyrovnaným hospodárením. Nad rámec rozpočtu by deficit nemalo zvyšovať ani zadlžovanie nemocníc. </w:t>
      </w:r>
    </w:p>
    <w:p w:rsidR="004E1ACF" w:rsidRPr="00F175DC" w:rsidP="004E1ACF">
      <w:pPr>
        <w:pStyle w:val="ListParagraph"/>
        <w:numPr>
          <w:numId w:val="46"/>
        </w:numPr>
        <w:bidi w:val="0"/>
        <w:spacing w:before="120"/>
        <w:jc w:val="both"/>
        <w:rPr>
          <w:rFonts w:ascii="Times New Roman" w:hAnsi="Times New Roman" w:cs="Times New Roman"/>
        </w:rPr>
      </w:pPr>
      <w:r w:rsidRPr="00F175DC">
        <w:rPr>
          <w:rFonts w:ascii="Times New Roman" w:hAnsi="Times New Roman" w:cs="Times New Roman"/>
        </w:rPr>
        <w:t xml:space="preserve">Náklady na štátny dlh sú explicitne naviazané na konkrétne predpoklady vývoja objemu štátneho dlhu a úrokových sadzieb. Ak sa tieto parametre odlíšia od predpokladov, automaticky sa bude meniť aj výška úrokov štátneho dlhu.   </w:t>
      </w:r>
    </w:p>
    <w:p w:rsidR="004E1ACF" w:rsidRPr="00F175DC" w:rsidP="004E1ACF">
      <w:pPr>
        <w:pStyle w:val="ListParagraph"/>
        <w:numPr>
          <w:numId w:val="46"/>
        </w:numPr>
        <w:bidi w:val="0"/>
        <w:spacing w:before="120"/>
        <w:jc w:val="both"/>
        <w:rPr>
          <w:rFonts w:ascii="Times New Roman" w:hAnsi="Times New Roman" w:cs="Times New Roman"/>
        </w:rPr>
      </w:pPr>
      <w:r w:rsidRPr="00F175DC">
        <w:rPr>
          <w:rFonts w:ascii="Times New Roman" w:hAnsi="Times New Roman" w:cs="Times New Roman"/>
        </w:rPr>
        <w:t xml:space="preserve">Štátny rozpočet na rozdiel od minulosti obsahuje aj informácie o financovaní konkrétnych rozpočtových a príspevkových organizácií, s cieľom zvýšiť tlak na ich efektívnejšie hospodárenie. </w:t>
      </w:r>
    </w:p>
    <w:p w:rsidR="004E1ACF" w:rsidRPr="00F175DC" w:rsidP="004E1ACF">
      <w:pPr>
        <w:pStyle w:val="ListParagraph"/>
        <w:keepNext/>
        <w:numPr>
          <w:numId w:val="46"/>
        </w:numPr>
        <w:bidi w:val="0"/>
        <w:spacing w:before="120"/>
        <w:jc w:val="both"/>
        <w:rPr>
          <w:rFonts w:ascii="Times New Roman" w:hAnsi="Times New Roman" w:cs="Times New Roman"/>
        </w:rPr>
      </w:pPr>
      <w:r w:rsidRPr="00F175DC">
        <w:rPr>
          <w:rFonts w:ascii="Times New Roman" w:hAnsi="Times New Roman" w:cs="Times New Roman"/>
        </w:rPr>
        <w:t xml:space="preserve">Významná pozornosť sa pri tvorbe rozpočtu venovala aj hospodáreniu štátnych podnikov. Hoci priamo netvoria súčasť verejných financií, ich vzťahy na rozpočet môžu byť významné. Na jednej strane sa v rozpočte vyčlenili dotácie tak, aby sa podniky s vplyvom štátu nemuseli zadlžovať, na strane druhej bol zvýšený tlak na zefektívnenie ich hospodárenia.  </w:t>
      </w:r>
    </w:p>
    <w:p w:rsidR="004E1ACF" w:rsidRPr="00F175DC" w:rsidP="004E1ACF">
      <w:pPr>
        <w:pStyle w:val="ListParagraph"/>
        <w:keepNext/>
        <w:numPr>
          <w:numId w:val="46"/>
        </w:numPr>
        <w:bidi w:val="0"/>
        <w:spacing w:before="120"/>
        <w:jc w:val="both"/>
        <w:rPr>
          <w:rFonts w:ascii="Times New Roman" w:hAnsi="Times New Roman" w:cs="Times New Roman"/>
        </w:rPr>
      </w:pPr>
      <w:r w:rsidRPr="00F175DC">
        <w:rPr>
          <w:rFonts w:ascii="Times New Roman" w:hAnsi="Times New Roman" w:cs="Times New Roman"/>
        </w:rPr>
        <w:t xml:space="preserve">Informácie o jednotlivých príjmových a výdavkových položkách sú v rozpočte zverejňované nielen na nasledujúce tri roky, ale rovnako aj za tri roky, ktoré predchádzajú rozpočtovému obdobiu. Rozpočet tak poskytuje podstatne lepší pohľad na vývojové trendy v jednotlivých oblastiach.  </w:t>
      </w:r>
    </w:p>
    <w:p w:rsidR="001A4CB9" w:rsidRPr="00F175DC" w:rsidP="004E1ACF">
      <w:pPr>
        <w:bidi w:val="0"/>
        <w:jc w:val="both"/>
        <w:rPr>
          <w:rFonts w:ascii="Times New Roman" w:hAnsi="Times New Roman" w:cs="Times New Roman"/>
          <w:b/>
        </w:rPr>
      </w:pPr>
    </w:p>
    <w:p w:rsidR="004E1ACF" w:rsidRPr="00F175DC" w:rsidP="004E1ACF">
      <w:pPr>
        <w:bidi w:val="0"/>
        <w:ind w:firstLine="708"/>
        <w:jc w:val="both"/>
        <w:rPr>
          <w:rFonts w:ascii="Times New Roman" w:hAnsi="Times New Roman" w:cs="Times New Roman"/>
          <w:b/>
        </w:rPr>
      </w:pPr>
      <w:r w:rsidRPr="00F175DC">
        <w:rPr>
          <w:rFonts w:ascii="Times New Roman" w:hAnsi="Times New Roman" w:cs="Times New Roman"/>
          <w:b/>
        </w:rPr>
        <w:t xml:space="preserve">Zdravý rast ekonomiky je kľúčom k udržateľným verejným financiám  </w:t>
      </w:r>
    </w:p>
    <w:p w:rsidR="004E1ACF" w:rsidRPr="00F175DC" w:rsidP="004E1ACF">
      <w:pPr>
        <w:bidi w:val="0"/>
        <w:jc w:val="both"/>
        <w:rPr>
          <w:rFonts w:ascii="Times New Roman" w:hAnsi="Times New Roman" w:cs="Times New Roman"/>
        </w:rPr>
      </w:pPr>
      <w:r w:rsidRPr="00F175DC">
        <w:rPr>
          <w:rFonts w:ascii="Times New Roman" w:hAnsi="Times New Roman" w:cs="Times New Roman"/>
        </w:rPr>
        <w:t xml:space="preserve"> </w:t>
      </w:r>
    </w:p>
    <w:p w:rsidR="004E1ACF" w:rsidRPr="00F175DC" w:rsidP="004E1ACF">
      <w:pPr>
        <w:bidi w:val="0"/>
        <w:ind w:firstLine="708"/>
        <w:jc w:val="both"/>
        <w:rPr>
          <w:rFonts w:ascii="Times New Roman" w:hAnsi="Times New Roman" w:cs="Times New Roman"/>
        </w:rPr>
      </w:pPr>
      <w:r w:rsidRPr="00F175DC">
        <w:rPr>
          <w:rFonts w:ascii="Times New Roman" w:hAnsi="Times New Roman" w:cs="Times New Roman"/>
        </w:rPr>
        <w:t xml:space="preserve">Pre úspešnú realizáciu rozpočtovej politiky je základným predpokladom zdravý vývoj ekonomiky. V roku 2012 bude potrebné sa sústrediť najmä na tieto oblasti: </w:t>
      </w:r>
    </w:p>
    <w:p w:rsidR="004E1ACF" w:rsidRPr="00F175DC" w:rsidP="004E1ACF">
      <w:pPr>
        <w:bidi w:val="0"/>
        <w:jc w:val="both"/>
        <w:rPr>
          <w:rFonts w:ascii="Times New Roman" w:hAnsi="Times New Roman" w:cs="Times New Roman"/>
        </w:rPr>
      </w:pPr>
    </w:p>
    <w:p w:rsidR="004E1ACF" w:rsidRPr="00F175DC" w:rsidP="004E1ACF">
      <w:pPr>
        <w:pStyle w:val="ListParagraph"/>
        <w:numPr>
          <w:numId w:val="47"/>
        </w:numPr>
        <w:bidi w:val="0"/>
        <w:jc w:val="both"/>
        <w:rPr>
          <w:rFonts w:ascii="Times New Roman" w:hAnsi="Times New Roman" w:cs="Times New Roman"/>
        </w:rPr>
      </w:pPr>
      <w:r w:rsidRPr="00F175DC">
        <w:rPr>
          <w:rFonts w:ascii="Times New Roman" w:hAnsi="Times New Roman" w:cs="Times New Roman"/>
        </w:rPr>
        <w:t xml:space="preserve">Podstatné zrýchlenie čerpania EÚ fondov síce zvyšuje nároky na spolufinancovanie zo štátneho rozpočtu, ale pomáha modernizovať ekonomiku a vytvárať pracovné príležitosti.  </w:t>
      </w:r>
    </w:p>
    <w:p w:rsidR="004E1ACF" w:rsidRPr="00F175DC" w:rsidP="004E1ACF">
      <w:pPr>
        <w:pStyle w:val="ListParagraph"/>
        <w:numPr>
          <w:numId w:val="47"/>
        </w:numPr>
        <w:bidi w:val="0"/>
        <w:jc w:val="both"/>
        <w:rPr>
          <w:rFonts w:ascii="Times New Roman" w:hAnsi="Times New Roman" w:cs="Times New Roman"/>
        </w:rPr>
      </w:pPr>
      <w:r w:rsidRPr="00F175DC">
        <w:rPr>
          <w:rFonts w:ascii="Times New Roman" w:hAnsi="Times New Roman" w:cs="Times New Roman"/>
        </w:rPr>
        <w:t xml:space="preserve">Efektívny systém výberu daní a odvodov dokáže zabezpečiť vyššie príjmy aj bez zvyšovania sadzieb daní a odvodov. </w:t>
      </w:r>
    </w:p>
    <w:p w:rsidR="004E1ACF" w:rsidRPr="00F175DC" w:rsidP="004E1ACF">
      <w:pPr>
        <w:pStyle w:val="ListParagraph"/>
        <w:numPr>
          <w:numId w:val="47"/>
        </w:numPr>
        <w:bidi w:val="0"/>
        <w:jc w:val="both"/>
        <w:rPr>
          <w:rFonts w:ascii="Times New Roman" w:hAnsi="Times New Roman" w:cs="Times New Roman"/>
        </w:rPr>
      </w:pPr>
      <w:r w:rsidRPr="00F175DC">
        <w:rPr>
          <w:rFonts w:ascii="Times New Roman" w:hAnsi="Times New Roman" w:cs="Times New Roman"/>
        </w:rPr>
        <w:t xml:space="preserve">Pokračovať v zvyšovaní transparentnosti vo verejnom sektore, ktoré nielen znižuje verejné výdavky, ale aj zvyšuje kvalitu podnikateľského prostredia. </w:t>
      </w:r>
    </w:p>
    <w:p w:rsidR="004E1ACF" w:rsidRPr="00F175DC" w:rsidP="004E1ACF">
      <w:pPr>
        <w:pStyle w:val="ListParagraph"/>
        <w:numPr>
          <w:numId w:val="47"/>
        </w:numPr>
        <w:bidi w:val="0"/>
        <w:jc w:val="both"/>
        <w:rPr>
          <w:rFonts w:ascii="Times New Roman" w:hAnsi="Times New Roman" w:cs="Times New Roman"/>
        </w:rPr>
      </w:pPr>
      <w:r w:rsidRPr="00F175DC">
        <w:rPr>
          <w:rFonts w:ascii="Times New Roman" w:hAnsi="Times New Roman" w:cs="Times New Roman"/>
        </w:rPr>
        <w:t>Skvalitňovať podmienky pre rast ekonomiky do budúcnosti, najmä vo vyššej kvalite vzdelávania a infraštruktúry.</w:t>
      </w:r>
    </w:p>
    <w:p w:rsidR="004E1ACF" w:rsidRPr="00F175DC" w:rsidP="004E1ACF">
      <w:pPr>
        <w:pStyle w:val="ListParagraph"/>
        <w:numPr>
          <w:numId w:val="47"/>
        </w:numPr>
        <w:bidi w:val="0"/>
        <w:jc w:val="both"/>
        <w:rPr>
          <w:rFonts w:ascii="Times New Roman" w:hAnsi="Times New Roman" w:cs="Times New Roman"/>
        </w:rPr>
      </w:pPr>
      <w:r w:rsidRPr="00F175DC">
        <w:rPr>
          <w:rFonts w:ascii="Times New Roman" w:hAnsi="Times New Roman" w:cs="Times New Roman"/>
        </w:rPr>
        <w:t>Dôležitým predpokladom ozdravenia slovenskej ekonomiky bude zlepšenie prostredia pre tvorbu pracovných miest. K tomu je nevyhnutné najmä zlepšiť vymáhateľnosť práva, politiky zamestnanosti a znížiť administratívnu náročnosť podnikania.</w:t>
      </w:r>
    </w:p>
    <w:p w:rsidR="004E1ACF" w:rsidRPr="00F175DC" w:rsidP="004E1ACF">
      <w:pPr>
        <w:bidi w:val="0"/>
        <w:jc w:val="both"/>
        <w:rPr>
          <w:rFonts w:ascii="Times New Roman" w:hAnsi="Times New Roman" w:cs="Times New Roman"/>
        </w:rPr>
      </w:pPr>
      <w:r w:rsidRPr="00F175DC">
        <w:rPr>
          <w:rFonts w:ascii="Times New Roman" w:hAnsi="Times New Roman" w:cs="Times New Roman"/>
        </w:rPr>
        <w:t xml:space="preserve"> </w:t>
      </w:r>
    </w:p>
    <w:p w:rsidR="004E1ACF" w:rsidRPr="00F175DC" w:rsidP="004E1ACF">
      <w:pPr>
        <w:bidi w:val="0"/>
        <w:ind w:firstLine="708"/>
        <w:jc w:val="both"/>
        <w:rPr>
          <w:rFonts w:ascii="Times New Roman" w:hAnsi="Times New Roman" w:cs="Times New Roman"/>
          <w:b/>
        </w:rPr>
      </w:pPr>
      <w:r w:rsidRPr="00F175DC">
        <w:rPr>
          <w:rFonts w:ascii="Times New Roman" w:hAnsi="Times New Roman" w:cs="Times New Roman"/>
          <w:b/>
        </w:rPr>
        <w:t>Rozpočet na roky 2012 až 2014 nie je bez rizík</w:t>
      </w:r>
    </w:p>
    <w:p w:rsidR="004E1ACF" w:rsidRPr="00F175DC" w:rsidP="004E1ACF">
      <w:pPr>
        <w:bidi w:val="0"/>
        <w:ind w:firstLine="708"/>
        <w:jc w:val="both"/>
        <w:rPr>
          <w:rFonts w:ascii="Times New Roman" w:hAnsi="Times New Roman" w:cs="Times New Roman"/>
        </w:rPr>
      </w:pPr>
    </w:p>
    <w:p w:rsidR="004E1ACF" w:rsidRPr="00F175DC" w:rsidP="004E1ACF">
      <w:pPr>
        <w:bidi w:val="0"/>
        <w:ind w:firstLine="708"/>
        <w:jc w:val="both"/>
        <w:rPr>
          <w:rFonts w:ascii="Times New Roman" w:hAnsi="Times New Roman" w:cs="Times New Roman"/>
        </w:rPr>
      </w:pPr>
      <w:r w:rsidRPr="00F175DC">
        <w:rPr>
          <w:rFonts w:ascii="Times New Roman" w:hAnsi="Times New Roman" w:cs="Times New Roman"/>
        </w:rPr>
        <w:t xml:space="preserve">Pri predkladaní návrhu rozpočtu je potrebné otvorene pomenovať aj hlavné riziká. Nemožno skrývať, že návrh </w:t>
      </w:r>
      <w:r w:rsidRPr="00F175DC">
        <w:rPr>
          <w:rFonts w:ascii="Times New Roman" w:hAnsi="Times New Roman" w:cs="Times New Roman"/>
          <w:bCs/>
        </w:rPr>
        <w:t>rozpočtu so sebou nesie aj značné neistoty</w:t>
      </w:r>
      <w:r w:rsidRPr="00F175DC">
        <w:rPr>
          <w:rFonts w:ascii="Times New Roman" w:hAnsi="Times New Roman" w:cs="Times New Roman"/>
        </w:rPr>
        <w:t xml:space="preserve">. </w:t>
      </w:r>
    </w:p>
    <w:p w:rsidR="004E1ACF" w:rsidRPr="00F175DC" w:rsidP="004E1ACF">
      <w:pPr>
        <w:bidi w:val="0"/>
        <w:ind w:firstLine="708"/>
        <w:jc w:val="both"/>
        <w:rPr>
          <w:rFonts w:ascii="Times New Roman" w:hAnsi="Times New Roman" w:cs="Times New Roman"/>
        </w:rPr>
      </w:pPr>
    </w:p>
    <w:p w:rsidR="004E1ACF" w:rsidRPr="00F175DC" w:rsidP="004E1ACF">
      <w:pPr>
        <w:pStyle w:val="ListParagraph"/>
        <w:numPr>
          <w:numId w:val="48"/>
        </w:numPr>
        <w:bidi w:val="0"/>
        <w:jc w:val="both"/>
        <w:rPr>
          <w:rFonts w:ascii="Times New Roman" w:hAnsi="Times New Roman" w:cs="Times New Roman"/>
        </w:rPr>
      </w:pPr>
      <w:r w:rsidRPr="00F175DC">
        <w:rPr>
          <w:rFonts w:ascii="Times New Roman" w:hAnsi="Times New Roman" w:cs="Times New Roman"/>
        </w:rPr>
        <w:t xml:space="preserve">Základnou hrozbou pre naplnenie rozpočtových cieľov je neistota spojená s vývojom svetovej ekonomiky. </w:t>
      </w:r>
    </w:p>
    <w:p w:rsidR="004E1ACF" w:rsidRPr="00F175DC" w:rsidP="004E1ACF">
      <w:pPr>
        <w:pStyle w:val="ListParagraph"/>
        <w:numPr>
          <w:numId w:val="48"/>
        </w:numPr>
        <w:bidi w:val="0"/>
        <w:jc w:val="both"/>
        <w:rPr>
          <w:rFonts w:ascii="Times New Roman" w:hAnsi="Times New Roman" w:cs="Times New Roman"/>
        </w:rPr>
      </w:pPr>
      <w:r w:rsidRPr="00F175DC">
        <w:rPr>
          <w:rFonts w:ascii="Times New Roman" w:hAnsi="Times New Roman" w:cs="Times New Roman"/>
        </w:rPr>
        <w:t xml:space="preserve">Značným rizikom sú pre verejné financie mnohé súdne spory. A to jednak na domácich súdoch, ale aj medzinárodné arbitráže. </w:t>
      </w:r>
    </w:p>
    <w:p w:rsidR="004E1ACF" w:rsidRPr="00F175DC" w:rsidP="004E1ACF">
      <w:pPr>
        <w:pStyle w:val="ListParagraph"/>
        <w:numPr>
          <w:numId w:val="48"/>
        </w:numPr>
        <w:bidi w:val="0"/>
        <w:jc w:val="both"/>
        <w:rPr>
          <w:rFonts w:ascii="Times New Roman" w:hAnsi="Times New Roman" w:cs="Times New Roman"/>
        </w:rPr>
      </w:pPr>
      <w:r w:rsidRPr="00F175DC">
        <w:rPr>
          <w:rFonts w:ascii="Times New Roman" w:hAnsi="Times New Roman" w:cs="Times New Roman"/>
        </w:rPr>
        <w:t>Tradičnou neistotou bude aj v budúcnosti hospodárenie vyšších územných celkov, miest a obcí.</w:t>
      </w:r>
    </w:p>
    <w:p w:rsidR="004E1ACF" w:rsidRPr="00F175DC" w:rsidP="004E1ACF">
      <w:pPr>
        <w:pStyle w:val="ListParagraph"/>
        <w:numPr>
          <w:numId w:val="48"/>
        </w:numPr>
        <w:bidi w:val="0"/>
        <w:jc w:val="both"/>
        <w:rPr>
          <w:rFonts w:ascii="Times New Roman" w:hAnsi="Times New Roman" w:cs="Times New Roman"/>
        </w:rPr>
      </w:pPr>
      <w:r w:rsidRPr="00F175DC">
        <w:rPr>
          <w:rFonts w:ascii="Times New Roman" w:hAnsi="Times New Roman" w:cs="Times New Roman"/>
        </w:rPr>
        <w:t xml:space="preserve">Ďalšou významnou neistotou je pre rok 2012 financovanie sociálnych služieb. Pravidlá ich financovania sa v roku 2009 významne zhoršili a doteraz sa v nich, žiaľ, neurobil poriadok. </w:t>
      </w:r>
    </w:p>
    <w:p w:rsidR="00991A83" w:rsidRPr="000B4441" w:rsidP="00991D3E">
      <w:pPr>
        <w:pStyle w:val="ListParagraph"/>
        <w:bidi w:val="0"/>
        <w:ind w:left="1068"/>
        <w:jc w:val="both"/>
        <w:rPr>
          <w:rFonts w:ascii="Times New Roman" w:hAnsi="Times New Roman" w:cs="Times New Roman"/>
          <w:color w:val="0070C0"/>
        </w:rPr>
      </w:pPr>
    </w:p>
    <w:p w:rsidR="00623064" w:rsidRPr="00896984" w:rsidP="00623064">
      <w:pPr>
        <w:pStyle w:val="ListParagraph"/>
        <w:bidi w:val="0"/>
        <w:ind w:left="1068"/>
        <w:jc w:val="both"/>
        <w:rPr>
          <w:rFonts w:ascii="Times New Roman" w:hAnsi="Times New Roman" w:cs="Times New Roman"/>
        </w:rPr>
      </w:pPr>
    </w:p>
    <w:p w:rsidR="005D1A7E" w:rsidRPr="00896984" w:rsidP="00C7452F">
      <w:pPr>
        <w:pStyle w:val="Heading1"/>
        <w:numPr>
          <w:numId w:val="7"/>
        </w:numPr>
        <w:bidi w:val="0"/>
        <w:spacing w:before="0" w:after="0"/>
        <w:ind w:left="284" w:hanging="284"/>
        <w:rPr>
          <w:rFonts w:ascii="Times New Roman" w:hAnsi="Times New Roman" w:cs="Times New Roman"/>
          <w:sz w:val="28"/>
          <w:szCs w:val="28"/>
        </w:rPr>
      </w:pPr>
      <w:bookmarkStart w:id="5" w:name="_Toc306089053"/>
      <w:r w:rsidRPr="00896984">
        <w:rPr>
          <w:rFonts w:ascii="Times New Roman" w:hAnsi="Times New Roman" w:cs="Times New Roman"/>
          <w:sz w:val="28"/>
          <w:szCs w:val="28"/>
        </w:rPr>
        <w:t>Makroekonomické predpoklady rozpočtu</w:t>
      </w:r>
      <w:bookmarkEnd w:id="0"/>
      <w:bookmarkEnd w:id="1"/>
      <w:bookmarkEnd w:id="5"/>
      <w:r w:rsidRPr="00896984">
        <w:rPr>
          <w:rFonts w:ascii="Times New Roman" w:hAnsi="Times New Roman" w:cs="Times New Roman"/>
          <w:sz w:val="28"/>
          <w:szCs w:val="28"/>
        </w:rPr>
        <w:t xml:space="preserve"> </w:t>
      </w:r>
    </w:p>
    <w:p w:rsidR="005D1A7E" w:rsidRPr="00896984" w:rsidP="005D1A7E">
      <w:pPr>
        <w:keepNext/>
        <w:keepLines/>
        <w:widowControl w:val="0"/>
        <w:bidi w:val="0"/>
        <w:ind w:firstLine="708"/>
        <w:jc w:val="both"/>
        <w:rPr>
          <w:rFonts w:ascii="Arial Narrow" w:hAnsi="Arial Narrow"/>
          <w:sz w:val="28"/>
          <w:szCs w:val="28"/>
          <w:highlight w:val="yellow"/>
        </w:rPr>
      </w:pPr>
    </w:p>
    <w:p w:rsidR="002013B6" w:rsidRPr="00896984" w:rsidP="002013B6">
      <w:pPr>
        <w:bidi w:val="0"/>
        <w:ind w:firstLine="708"/>
        <w:jc w:val="both"/>
        <w:rPr>
          <w:rFonts w:ascii="Times New Roman" w:hAnsi="Times New Roman"/>
        </w:rPr>
      </w:pPr>
      <w:r w:rsidRPr="00896984">
        <w:rPr>
          <w:rFonts w:ascii="Times New Roman" w:hAnsi="Times New Roman"/>
          <w:b/>
        </w:rPr>
        <w:t>MF SR pristúpilo koncom augusta k zníženiu odhadov ekonomického rastu na obdobie 2012-2014</w:t>
      </w:r>
      <w:r w:rsidRPr="00896984">
        <w:rPr>
          <w:rFonts w:ascii="Times New Roman" w:hAnsi="Times New Roman"/>
        </w:rPr>
        <w:t xml:space="preserve"> vo forme rýchleho odhadu. </w:t>
      </w:r>
      <w:r w:rsidRPr="00896984">
        <w:rPr>
          <w:rFonts w:ascii="Times New Roman" w:hAnsi="Times New Roman"/>
          <w:b/>
        </w:rPr>
        <w:t>Dôvodom bola napätá situácia na finančných trhoch najmä pod vplyvom zhoršujúcej sa dlhovej krízy v eurozóne</w:t>
      </w:r>
      <w:r w:rsidRPr="00896984">
        <w:rPr>
          <w:rFonts w:ascii="Times New Roman" w:hAnsi="Times New Roman"/>
        </w:rPr>
        <w:t xml:space="preserve"> a následné možné ochladzovanie ekonomík našich obchodných partnerov. Nemecké indikátory dôvery v budúci vývoj (IFO, ZEW) sa posledných 6 mesiaco</w:t>
      </w:r>
      <w:r w:rsidRPr="00896984" w:rsidR="00457027">
        <w:rPr>
          <w:rFonts w:ascii="Times New Roman" w:hAnsi="Times New Roman"/>
        </w:rPr>
        <w:t>v</w:t>
      </w:r>
      <w:r w:rsidRPr="00896984">
        <w:rPr>
          <w:rFonts w:ascii="Times New Roman" w:hAnsi="Times New Roman"/>
        </w:rPr>
        <w:t xml:space="preserve"> znižujú a v auguste došlo k najvýraznejšiemu medzimesačnému poklesu týchto indikátorov od krízy v roku 2008. Zhoršenie indexu očakávaní naznačuje spomalenie rastu nemeckej ekonomiky, ale aj ostatných ekonomík eurozóny v závere roka 2011 a v prvom kvartáli 2012. Pokles očakávaní vo vývoji exportu je zapríčinený spomalením globálneho rastu, ale aj dlhovou krízou vo viacerých krajinách eurozóny. </w:t>
      </w:r>
    </w:p>
    <w:p w:rsidR="002013B6" w:rsidRPr="00896984" w:rsidP="002013B6">
      <w:pPr>
        <w:bidi w:val="0"/>
        <w:ind w:firstLine="708"/>
        <w:jc w:val="both"/>
        <w:rPr>
          <w:rFonts w:ascii="Times New Roman" w:hAnsi="Times New Roman"/>
        </w:rPr>
      </w:pPr>
    </w:p>
    <w:p w:rsidR="002013B6" w:rsidRPr="00896984" w:rsidP="002013B6">
      <w:pPr>
        <w:bidi w:val="0"/>
        <w:ind w:firstLine="708"/>
        <w:jc w:val="both"/>
        <w:rPr>
          <w:rFonts w:ascii="Times New Roman" w:hAnsi="Times New Roman"/>
        </w:rPr>
      </w:pPr>
      <w:r w:rsidRPr="00896984">
        <w:rPr>
          <w:rFonts w:ascii="Times New Roman" w:hAnsi="Times New Roman"/>
        </w:rPr>
        <w:t xml:space="preserve">Podľa posledných septembrových prognóz medzinárodných inštitúcií pre tento rok (ECB, OECD, EK, MMF) sa predpokladá zhoršenie vývoja vonkajšieho prostredia v druhom polroku 2011 oproti ich prognózam z júna. </w:t>
      </w:r>
      <w:r w:rsidRPr="00896984">
        <w:rPr>
          <w:rFonts w:ascii="Times New Roman" w:hAnsi="Times New Roman"/>
          <w:b/>
        </w:rPr>
        <w:t>Prognóza vonkajšieho prostredia pre budúci rok zatiaľ dostupná od MMF a ECB je vo všeobecnosti konzistentná s augustovými predpokladmi prognózy MF SR</w:t>
      </w:r>
      <w:r w:rsidRPr="00896984">
        <w:rPr>
          <w:rFonts w:ascii="Times New Roman" w:hAnsi="Times New Roman"/>
        </w:rPr>
        <w:t xml:space="preserve">. Napätá situácia na finančných trhoch, ochladzovanie svetového dopytu a obavy spôsobené dlhovou krízou niektorých krajín eurozóny sa prelievajú aj do reálnej ekonomiky v eurozóne. Krajiny sa priblížia v závere tohto roka k hranici recesie, pád by však pravdepodobne podľa doterajších informácií nemal byť tak výrazný ako v roku 2008, ale i napriek tomu treba očakávať výrazné spomalenie rastu ekonomík. Dochádza k zásadnému prehodnoteniu vývoja vonkajšieho prostredia aj v najbližších rokoch. V septembri zverejnil MMF a NBS aj prognózu rastu pre SR. Zatiaľ čo </w:t>
      </w:r>
      <w:r w:rsidRPr="00896984">
        <w:rPr>
          <w:rFonts w:ascii="Times New Roman" w:hAnsi="Times New Roman"/>
          <w:b/>
        </w:rPr>
        <w:t>MMF prognóza pre SR sa pohybuje v intenciách rýchleho odhadu MF SR, prognóza NBS počíta s mierne silnejším rastom</w:t>
      </w:r>
      <w:r w:rsidRPr="00896984">
        <w:rPr>
          <w:rFonts w:ascii="Times New Roman" w:hAnsi="Times New Roman"/>
        </w:rPr>
        <w:t xml:space="preserve">. </w:t>
      </w:r>
      <w:r w:rsidRPr="00896984">
        <w:rPr>
          <w:rFonts w:ascii="Times New Roman" w:hAnsi="Times New Roman"/>
          <w:b/>
        </w:rPr>
        <w:t>Napriek tomu sa MF SR domnieva, že riziká sú stále na strane slabšieho rastu</w:t>
      </w:r>
      <w:r w:rsidRPr="00896984">
        <w:rPr>
          <w:rFonts w:ascii="Times New Roman" w:hAnsi="Times New Roman"/>
        </w:rPr>
        <w:t>.</w:t>
      </w:r>
    </w:p>
    <w:p w:rsidR="002013B6" w:rsidRPr="00896984" w:rsidP="002013B6">
      <w:pPr>
        <w:bidi w:val="0"/>
        <w:ind w:firstLine="708"/>
        <w:jc w:val="both"/>
        <w:rPr>
          <w:rFonts w:ascii="Times New Roman" w:hAnsi="Times New Roman"/>
        </w:rPr>
      </w:pPr>
    </w:p>
    <w:p w:rsidR="002013B6" w:rsidRPr="00896984" w:rsidP="002013B6">
      <w:pPr>
        <w:bidi w:val="0"/>
        <w:ind w:firstLine="708"/>
        <w:jc w:val="both"/>
        <w:rPr>
          <w:rFonts w:ascii="Times New Roman" w:hAnsi="Times New Roman"/>
        </w:rPr>
      </w:pPr>
      <w:r w:rsidRPr="00896984">
        <w:rPr>
          <w:rFonts w:ascii="Times New Roman" w:hAnsi="Times New Roman"/>
        </w:rPr>
        <w:t xml:space="preserve">Ekonomika Slovenska síce ešte v druhom štvrťroku 2011 zaznamenala pomerne silný rast, existujú však príznaky, že zhoršovanie vonkajšieho prostredia sa začína prejavovať aj u nás. Nové objednávky v priemysle, ktoré sú jedným z prvých indikátorov ekonomickej aktivity, zaznamenali už dva mesiace po sebe výrazný medzimesačný pokles a v júli poklesli dokonca medziročne. Okrem toho v júli poklesli aj reálne tržby v priemysle a priemyselná produkcia, pričom najviac zasiahnutým odvetvím bol elektrotechnický priemysel. Nezamestnanosť evidovaná na úradoch práce sa opäť začala zvyšovať a v júli dosiahla hodnotu 13,2 %. </w:t>
      </w:r>
    </w:p>
    <w:p w:rsidR="002013B6" w:rsidRPr="00896984" w:rsidP="002013B6">
      <w:pPr>
        <w:bidi w:val="0"/>
        <w:jc w:val="both"/>
        <w:rPr>
          <w:rFonts w:ascii="Times New Roman" w:hAnsi="Times New Roman"/>
        </w:rPr>
      </w:pPr>
    </w:p>
    <w:p w:rsidR="002013B6" w:rsidRPr="00896984" w:rsidP="002013B6">
      <w:pPr>
        <w:bidi w:val="0"/>
        <w:ind w:firstLine="708"/>
        <w:jc w:val="both"/>
        <w:rPr>
          <w:rFonts w:ascii="Times New Roman" w:hAnsi="Times New Roman"/>
        </w:rPr>
      </w:pPr>
      <w:r w:rsidRPr="00896984">
        <w:rPr>
          <w:rFonts w:ascii="Times New Roman" w:hAnsi="Times New Roman"/>
          <w:b/>
        </w:rPr>
        <w:t>Slovenská ekonomika by mala v budúcom roku vzrásť</w:t>
      </w:r>
      <w:r w:rsidRPr="00896984">
        <w:rPr>
          <w:rFonts w:ascii="Times New Roman" w:hAnsi="Times New Roman"/>
        </w:rPr>
        <w:t xml:space="preserve"> </w:t>
      </w:r>
      <w:r w:rsidRPr="00896984">
        <w:rPr>
          <w:rFonts w:ascii="Times New Roman" w:hAnsi="Times New Roman"/>
          <w:b/>
        </w:rPr>
        <w:t>o 3,4 %</w:t>
      </w:r>
      <w:r w:rsidRPr="00896984">
        <w:rPr>
          <w:rFonts w:ascii="Times New Roman" w:hAnsi="Times New Roman"/>
        </w:rPr>
        <w:t xml:space="preserve">. Rast by mal byť ťahaný domácim ako aj zahraničným dopytom, ktorého vplyv však bude výrazne nižší ako v roku 2011 v dôsledku pomalšej dynamiky ekonomík našich najvýznamnejších obchodných partnerov. Slovenské domácnosti by na svoju spotrebu mali minúť o 2,6 % viac ako počas roka 2011. Vyššie tempo míňania podporí rýchlejší rast mzdovej bázy ako aj vyššia spotrebiteľská dôvera. Pokles vládnych investícií by mal byť v plnej miere vykompenzovaný rastom súkromných investícií. V dôsledku reštriktívnych opatrení vlády by v  roku 2012 mala byť najpomalšie rastúcou zložkou HDP spotreba verejnej správy, ktorá sa reálne zvýši </w:t>
        <w:br/>
        <w:t xml:space="preserve">o 0,9 %. </w:t>
      </w:r>
    </w:p>
    <w:p w:rsidR="002013B6" w:rsidRPr="00896984" w:rsidP="002013B6">
      <w:pPr>
        <w:bidi w:val="0"/>
        <w:ind w:firstLine="708"/>
        <w:jc w:val="both"/>
        <w:rPr>
          <w:rFonts w:ascii="Times New Roman" w:hAnsi="Times New Roman"/>
        </w:rPr>
      </w:pPr>
    </w:p>
    <w:p w:rsidR="002013B6" w:rsidRPr="00896984" w:rsidP="002013B6">
      <w:pPr>
        <w:bidi w:val="0"/>
        <w:ind w:firstLine="708"/>
        <w:jc w:val="both"/>
        <w:rPr>
          <w:rFonts w:ascii="Times New Roman" w:hAnsi="Times New Roman"/>
        </w:rPr>
      </w:pPr>
      <w:r w:rsidRPr="00896984">
        <w:rPr>
          <w:rFonts w:ascii="Times New Roman" w:hAnsi="Times New Roman"/>
        </w:rPr>
        <w:t xml:space="preserve">Spomalenie rastu vonkajšieho prostredia sa premietlo do zníženia odhadu rastu HDP aj po roku 2012, hoci v menšej miere. Slabší zahraničný dopyt po slovenských výrobkov spomalí rast exportov, investícií a zamestnanosti. Nižší dopyt po pracovnej sile spolu s pomalším rastom produktivity sa prejavia v nižších mzdových nárokoch, čo sa odrazí aj v pomalšej spotrebe slovenských domácností. Celkovo by však mal ekonomický rast v strednodobom horizonte postupne zrýchľovať najmä pod vplyvom živšieho domáceho dopytu, pričom </w:t>
      </w:r>
      <w:r w:rsidRPr="00896984">
        <w:rPr>
          <w:rFonts w:ascii="Times New Roman" w:hAnsi="Times New Roman"/>
          <w:b/>
        </w:rPr>
        <w:t>do roku 2014 by mala ekonomika rásť tesne pod úrovňou 4 %.</w:t>
      </w:r>
      <w:r w:rsidRPr="00896984">
        <w:rPr>
          <w:rFonts w:ascii="Times New Roman" w:hAnsi="Times New Roman"/>
        </w:rPr>
        <w:t xml:space="preserve"> </w:t>
      </w:r>
    </w:p>
    <w:p w:rsidR="002013B6" w:rsidRPr="00896984" w:rsidP="002013B6">
      <w:pPr>
        <w:bidi w:val="0"/>
        <w:jc w:val="both"/>
        <w:rPr>
          <w:rFonts w:ascii="Times New Roman" w:hAnsi="Times New Roman"/>
        </w:rPr>
      </w:pPr>
    </w:p>
    <w:p w:rsidR="002013B6" w:rsidRPr="00896984" w:rsidP="002013B6">
      <w:pPr>
        <w:bidi w:val="0"/>
        <w:ind w:firstLine="708"/>
        <w:jc w:val="both"/>
        <w:rPr>
          <w:rFonts w:ascii="Times New Roman" w:hAnsi="Times New Roman"/>
        </w:rPr>
      </w:pPr>
      <w:r w:rsidRPr="00896984">
        <w:rPr>
          <w:rFonts w:ascii="Times New Roman" w:hAnsi="Times New Roman"/>
        </w:rPr>
        <w:t xml:space="preserve">Trh práce, ktorý bol negatívne ovplyvnený dôsledkami krízy dlho potom, čo sa produkčná stránka ekonomiky začala zotavovať, by už mal od roku 2012 naplno pociťovať vplyv rastu ekonomiky. Rast zamestnanosti sa očakáva v celom horizonte prognózy, avšak ani v roku 2014 by ešte nemal počet zamestnaných dosiahnuť hodnotu z predkrízového obdobia. </w:t>
      </w:r>
      <w:r w:rsidRPr="00896984">
        <w:rPr>
          <w:rFonts w:ascii="Times New Roman" w:hAnsi="Times New Roman"/>
          <w:b/>
        </w:rPr>
        <w:t>Po prekvapivo silnej tvorbe nových domácich pracovných miest na úrovni 33 tisíc v tomto roku, by v roku 2012 v dôsledku spomalenia vonkajšieho prostredia mal rast zamestnanosti spomaliť. V roku 2012 by malo pribudnúť len niečo vyše 6 tisíc miest a v ďalších rokoch vyše 10 tisíc miest ročne</w:t>
      </w:r>
      <w:r w:rsidRPr="00896984">
        <w:rPr>
          <w:rFonts w:ascii="Times New Roman" w:hAnsi="Times New Roman"/>
        </w:rPr>
        <w:t xml:space="preserve">. Zatiaľ čo v tomto roku vytvára nové pracovné miesta najmä priemysel orientovaný na vývoz (hlavne automobily), rast zamestnanosti by sa mal v rokoch 2012 až 2014 sústrediť predovšetkým do sektora služieb, ktorý bude podporený oživeným domácim dopytom. Hoci sa najväčšia časť fiškálnej konsolidácie sústredila do roku 2011, na trh práce bude konsolidácia nepriaznivo pôsobiť aj v roku 2012 vo forme prepúšťania v štátnych podnikoch a zmrazenia platov v štátnej správe. Napriek tomu by nezamestnanosť mala postupne klesať až na úroveň 11,2 % v roku 2014. Po poklese v tomto roku kvôli vysokej inflácii by mal </w:t>
      </w:r>
      <w:r w:rsidRPr="00896984">
        <w:rPr>
          <w:rFonts w:ascii="Times New Roman" w:hAnsi="Times New Roman"/>
          <w:b/>
        </w:rPr>
        <w:t>rast reálnej mzdy postupne akcelerovať z 1,8 % v roku 2012 na úroveň 2,5 % na konci prognózy</w:t>
      </w:r>
      <w:r w:rsidRPr="00896984">
        <w:rPr>
          <w:rFonts w:ascii="Times New Roman" w:hAnsi="Times New Roman"/>
        </w:rPr>
        <w:t xml:space="preserve">. </w:t>
      </w:r>
    </w:p>
    <w:p w:rsidR="002013B6" w:rsidRPr="00896984" w:rsidP="002013B6">
      <w:pPr>
        <w:bidi w:val="0"/>
        <w:ind w:firstLine="708"/>
        <w:jc w:val="both"/>
        <w:rPr>
          <w:rFonts w:ascii="Times New Roman" w:hAnsi="Times New Roman"/>
        </w:rPr>
      </w:pPr>
    </w:p>
    <w:p w:rsidR="0023345B" w:rsidP="00E67586">
      <w:pPr>
        <w:bidi w:val="0"/>
        <w:ind w:firstLine="708"/>
        <w:jc w:val="both"/>
        <w:rPr>
          <w:rFonts w:ascii="Times New Roman" w:hAnsi="Times New Roman"/>
        </w:rPr>
      </w:pPr>
      <w:r w:rsidRPr="00896984" w:rsidR="002013B6">
        <w:rPr>
          <w:rFonts w:ascii="Times New Roman" w:hAnsi="Times New Roman"/>
        </w:rPr>
        <w:t xml:space="preserve">Po vyššej inflácii v roku 2011, spôsobenej prevažne nákladovými faktormi (potraviny, ropa) a konsolidačnými opatreniami na strane príjmov, rast cien v roku 2012 spomalí na </w:t>
        <w:br/>
        <w:t xml:space="preserve">3,4 %. Oživujúca domáca spotreba bude prostredníctvom dopytových tlakov pôsobiť na rast cien len veľmi mierne, pretože </w:t>
      </w:r>
      <w:r w:rsidRPr="00896984" w:rsidR="002013B6">
        <w:rPr>
          <w:rFonts w:ascii="Times New Roman" w:hAnsi="Times New Roman"/>
          <w:b/>
        </w:rPr>
        <w:t>ekonomika sa bude nachádzať pod svojím potenciálom až do roku 2014</w:t>
      </w:r>
      <w:r w:rsidRPr="00896984" w:rsidR="002013B6">
        <w:rPr>
          <w:rFonts w:ascii="Times New Roman" w:hAnsi="Times New Roman"/>
        </w:rPr>
        <w:t>, kedy sa očakáva uzavretie produkčnej medzery. Avšak zavedením eura a pri pomerne vysokom ekonomickom raste oproti vyspelým ekonomikám eurozóny bude celá nominálna konvergencia prebiehať cez inflačný kanál. Preto inflácia opätovne vzrastie do roku 2014 na úroveň 3,7 %, čo však bude sprevádzané takmer dvojnásobne silnejšou dynamikou platov.</w:t>
      </w:r>
    </w:p>
    <w:p w:rsidR="00E67586" w:rsidRPr="00896984" w:rsidP="00E67586">
      <w:pPr>
        <w:bidi w:val="0"/>
        <w:ind w:firstLine="708"/>
        <w:jc w:val="both"/>
        <w:rPr>
          <w:rFonts w:ascii="Times New Roman" w:hAnsi="Times New Roman"/>
        </w:rPr>
      </w:pPr>
    </w:p>
    <w:tbl>
      <w:tblPr>
        <w:tblStyle w:val="TableNormal"/>
        <w:tblW w:w="5000" w:type="pct"/>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64"/>
        <w:gridCol w:w="3629"/>
        <w:gridCol w:w="730"/>
        <w:gridCol w:w="1021"/>
        <w:gridCol w:w="730"/>
        <w:gridCol w:w="875"/>
        <w:gridCol w:w="730"/>
        <w:gridCol w:w="733"/>
      </w:tblGrid>
      <w:tr>
        <w:tblPrEx>
          <w:tblW w:w="5000" w:type="pct"/>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2013B6" w:rsidRPr="00896984" w:rsidP="00AA2FA0">
            <w:pPr>
              <w:bidi w:val="0"/>
              <w:rPr>
                <w:rFonts w:ascii="Times New Roman" w:hAnsi="Times New Roman"/>
                <w:b/>
                <w:bCs/>
                <w:sz w:val="14"/>
                <w:szCs w:val="14"/>
                <w:lang w:eastAsia="sk-SK"/>
              </w:rPr>
            </w:pPr>
            <w:r w:rsidRPr="00896984">
              <w:rPr>
                <w:rFonts w:ascii="Times New Roman" w:hAnsi="Times New Roman"/>
                <w:b/>
                <w:bCs/>
                <w:sz w:val="14"/>
                <w:szCs w:val="14"/>
                <w:lang w:eastAsia="sk-SK"/>
              </w:rPr>
              <w:t> Prognóza vybraných indikátorov vývoja ekonomiky SR (august 2011)</w:t>
            </w:r>
          </w:p>
        </w:tc>
      </w:tr>
      <w:tr>
        <w:tblPrEx>
          <w:tblW w:w="5000" w:type="pct"/>
          <w:tblCellMar>
            <w:left w:w="70" w:type="dxa"/>
            <w:right w:w="70" w:type="dxa"/>
          </w:tblCellMar>
          <w:tblLook w:val="04A0"/>
        </w:tblPrEx>
        <w:trPr>
          <w:trHeight w:val="315"/>
        </w:trPr>
        <w:tc>
          <w:tcPr>
            <w:tcW w:w="415" w:type="pct"/>
            <w:vMerge w:val="restar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2013B6" w:rsidRPr="00896984" w:rsidP="00AA2FA0">
            <w:pPr>
              <w:bidi w:val="0"/>
              <w:jc w:val="center"/>
              <w:rPr>
                <w:rFonts w:ascii="Times New Roman" w:hAnsi="Times New Roman"/>
                <w:b/>
                <w:bCs/>
                <w:sz w:val="14"/>
                <w:szCs w:val="14"/>
                <w:lang w:eastAsia="sk-SK"/>
              </w:rPr>
            </w:pPr>
            <w:r w:rsidRPr="00896984">
              <w:rPr>
                <w:rFonts w:ascii="Times New Roman" w:hAnsi="Times New Roman"/>
                <w:b/>
                <w:bCs/>
                <w:sz w:val="14"/>
                <w:szCs w:val="14"/>
                <w:lang w:eastAsia="sk-SK"/>
              </w:rPr>
              <w:t>P.č.</w:t>
            </w:r>
          </w:p>
        </w:tc>
        <w:tc>
          <w:tcPr>
            <w:tcW w:w="1970" w:type="pct"/>
            <w:vMerge w:val="restar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2013B6" w:rsidRPr="00896984" w:rsidP="00AA2FA0">
            <w:pPr>
              <w:bidi w:val="0"/>
              <w:rPr>
                <w:rFonts w:ascii="Times New Roman" w:hAnsi="Times New Roman"/>
                <w:b/>
                <w:bCs/>
                <w:sz w:val="14"/>
                <w:szCs w:val="14"/>
                <w:lang w:eastAsia="sk-SK"/>
              </w:rPr>
            </w:pPr>
            <w:r w:rsidRPr="00896984">
              <w:rPr>
                <w:rFonts w:ascii="Times New Roman" w:hAnsi="Times New Roman"/>
                <w:b/>
                <w:bCs/>
                <w:sz w:val="14"/>
                <w:szCs w:val="14"/>
                <w:lang w:eastAsia="sk-SK"/>
              </w:rPr>
              <w:t>Ukazovateľ</w:t>
            </w:r>
          </w:p>
        </w:tc>
        <w:tc>
          <w:tcPr>
            <w:tcW w:w="396" w:type="pct"/>
            <w:tcBorders>
              <w:top w:val="single" w:sz="4" w:space="0" w:color="auto"/>
              <w:left w:val="single" w:sz="4" w:space="0" w:color="auto"/>
              <w:bottom w:val="nil"/>
              <w:right w:val="single" w:sz="4" w:space="0" w:color="auto"/>
            </w:tcBorders>
            <w:shd w:val="clear" w:color="000000" w:fill="BFBFBF"/>
            <w:noWrap/>
            <w:textDirection w:val="lrTb"/>
            <w:vAlign w:val="bottom"/>
            <w:hideMark/>
          </w:tcPr>
          <w:p w:rsidR="002013B6" w:rsidRPr="00896984" w:rsidP="00AA2FA0">
            <w:pPr>
              <w:bidi w:val="0"/>
              <w:jc w:val="center"/>
              <w:rPr>
                <w:rFonts w:ascii="Times New Roman" w:hAnsi="Times New Roman"/>
                <w:b/>
                <w:bCs/>
                <w:sz w:val="14"/>
                <w:szCs w:val="14"/>
                <w:lang w:eastAsia="sk-SK"/>
              </w:rPr>
            </w:pPr>
            <w:r w:rsidRPr="00896984">
              <w:rPr>
                <w:rFonts w:ascii="Times New Roman" w:hAnsi="Times New Roman"/>
                <w:b/>
                <w:bCs/>
                <w:sz w:val="14"/>
                <w:szCs w:val="14"/>
                <w:lang w:eastAsia="sk-SK"/>
              </w:rPr>
              <w:t> </w:t>
            </w:r>
          </w:p>
        </w:tc>
        <w:tc>
          <w:tcPr>
            <w:tcW w:w="554"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2013B6" w:rsidRPr="00896984" w:rsidP="00AA2FA0">
            <w:pPr>
              <w:bidi w:val="0"/>
              <w:jc w:val="center"/>
              <w:rPr>
                <w:rFonts w:ascii="Times New Roman" w:hAnsi="Times New Roman"/>
                <w:b/>
                <w:bCs/>
                <w:sz w:val="14"/>
                <w:szCs w:val="14"/>
                <w:lang w:eastAsia="sk-SK"/>
              </w:rPr>
            </w:pPr>
            <w:r w:rsidRPr="00896984">
              <w:rPr>
                <w:rFonts w:ascii="Times New Roman" w:hAnsi="Times New Roman"/>
                <w:b/>
                <w:bCs/>
                <w:sz w:val="14"/>
                <w:szCs w:val="14"/>
                <w:lang w:eastAsia="sk-SK"/>
              </w:rPr>
              <w:t>Skutočnosť</w:t>
            </w:r>
          </w:p>
        </w:tc>
        <w:tc>
          <w:tcPr>
            <w:tcW w:w="1665" w:type="pct"/>
            <w:gridSpan w:val="4"/>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2013B6" w:rsidRPr="00896984" w:rsidP="00AA2FA0">
            <w:pPr>
              <w:bidi w:val="0"/>
              <w:jc w:val="center"/>
              <w:rPr>
                <w:rFonts w:ascii="Times New Roman" w:hAnsi="Times New Roman"/>
                <w:b/>
                <w:bCs/>
                <w:sz w:val="14"/>
                <w:szCs w:val="14"/>
                <w:lang w:eastAsia="sk-SK"/>
              </w:rPr>
            </w:pPr>
            <w:r w:rsidRPr="00896984">
              <w:rPr>
                <w:rFonts w:ascii="Times New Roman" w:hAnsi="Times New Roman"/>
                <w:b/>
                <w:bCs/>
                <w:sz w:val="14"/>
                <w:szCs w:val="14"/>
                <w:lang w:eastAsia="sk-SK"/>
              </w:rPr>
              <w:t>Prognóza</w:t>
            </w:r>
          </w:p>
        </w:tc>
      </w:tr>
      <w:tr>
        <w:tblPrEx>
          <w:tblW w:w="5000" w:type="pct"/>
          <w:tblCellMar>
            <w:left w:w="70" w:type="dxa"/>
            <w:right w:w="70" w:type="dxa"/>
          </w:tblCellMar>
          <w:tblLook w:val="04A0"/>
        </w:tblPrEx>
        <w:trPr>
          <w:trHeight w:val="315"/>
        </w:trPr>
        <w:tc>
          <w:tcPr>
            <w:tcW w:w="415" w:type="pct"/>
            <w:vMerge/>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2013B6" w:rsidRPr="00896984" w:rsidP="00AA2FA0">
            <w:pPr>
              <w:bidi w:val="0"/>
              <w:rPr>
                <w:rFonts w:ascii="Times New Roman" w:hAnsi="Times New Roman"/>
                <w:b/>
                <w:bCs/>
                <w:sz w:val="14"/>
                <w:szCs w:val="14"/>
                <w:lang w:eastAsia="sk-SK"/>
              </w:rPr>
            </w:pPr>
          </w:p>
        </w:tc>
        <w:tc>
          <w:tcPr>
            <w:tcW w:w="1970" w:type="pct"/>
            <w:vMerge/>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2013B6" w:rsidRPr="00896984" w:rsidP="00AA2FA0">
            <w:pPr>
              <w:bidi w:val="0"/>
              <w:rPr>
                <w:rFonts w:ascii="Times New Roman" w:hAnsi="Times New Roman"/>
                <w:b/>
                <w:bCs/>
                <w:sz w:val="14"/>
                <w:szCs w:val="14"/>
                <w:lang w:eastAsia="sk-SK"/>
              </w:rPr>
            </w:pPr>
          </w:p>
        </w:tc>
        <w:tc>
          <w:tcPr>
            <w:tcW w:w="396" w:type="pct"/>
            <w:tcBorders>
              <w:top w:val="nil"/>
              <w:left w:val="single" w:sz="4" w:space="0" w:color="auto"/>
              <w:bottom w:val="single" w:sz="4" w:space="0" w:color="auto"/>
              <w:right w:val="single" w:sz="4" w:space="0" w:color="auto"/>
            </w:tcBorders>
            <w:shd w:val="clear" w:color="auto" w:fill="BFBFBF"/>
            <w:noWrap/>
            <w:textDirection w:val="lrTb"/>
            <w:vAlign w:val="bottom"/>
            <w:hideMark/>
          </w:tcPr>
          <w:p w:rsidR="002013B6" w:rsidRPr="00896984" w:rsidP="00AA2FA0">
            <w:pPr>
              <w:bidi w:val="0"/>
              <w:jc w:val="center"/>
              <w:rPr>
                <w:rFonts w:ascii="Times New Roman" w:hAnsi="Times New Roman"/>
                <w:b/>
                <w:bCs/>
                <w:sz w:val="14"/>
                <w:szCs w:val="14"/>
                <w:lang w:eastAsia="sk-SK"/>
              </w:rPr>
            </w:pPr>
            <w:r w:rsidRPr="00896984">
              <w:rPr>
                <w:rFonts w:ascii="Times New Roman" w:hAnsi="Times New Roman"/>
                <w:b/>
                <w:bCs/>
                <w:sz w:val="14"/>
                <w:szCs w:val="14"/>
                <w:lang w:eastAsia="sk-SK"/>
              </w:rPr>
              <w:t>m.j.</w:t>
            </w:r>
          </w:p>
        </w:tc>
        <w:tc>
          <w:tcPr>
            <w:tcW w:w="55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2013B6" w:rsidRPr="00896984" w:rsidP="00AA2FA0">
            <w:pPr>
              <w:bidi w:val="0"/>
              <w:jc w:val="center"/>
              <w:rPr>
                <w:rFonts w:ascii="Times New Roman" w:hAnsi="Times New Roman"/>
                <w:b/>
                <w:bCs/>
                <w:sz w:val="14"/>
                <w:szCs w:val="14"/>
                <w:lang w:eastAsia="sk-SK"/>
              </w:rPr>
            </w:pPr>
            <w:r w:rsidRPr="00896984">
              <w:rPr>
                <w:rFonts w:ascii="Times New Roman" w:hAnsi="Times New Roman"/>
                <w:b/>
                <w:bCs/>
                <w:sz w:val="14"/>
                <w:szCs w:val="14"/>
                <w:lang w:eastAsia="sk-SK"/>
              </w:rPr>
              <w:t>2010</w:t>
            </w:r>
          </w:p>
        </w:tc>
        <w:tc>
          <w:tcPr>
            <w:tcW w:w="396"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2013B6" w:rsidRPr="00896984" w:rsidP="00AA2FA0">
            <w:pPr>
              <w:bidi w:val="0"/>
              <w:jc w:val="center"/>
              <w:rPr>
                <w:rFonts w:ascii="Times New Roman" w:hAnsi="Times New Roman"/>
                <w:b/>
                <w:bCs/>
                <w:sz w:val="14"/>
                <w:szCs w:val="14"/>
                <w:lang w:eastAsia="sk-SK"/>
              </w:rPr>
            </w:pPr>
            <w:r w:rsidRPr="00896984">
              <w:rPr>
                <w:rFonts w:ascii="Times New Roman" w:hAnsi="Times New Roman"/>
                <w:b/>
                <w:bCs/>
                <w:sz w:val="14"/>
                <w:szCs w:val="14"/>
                <w:lang w:eastAsia="sk-SK"/>
              </w:rPr>
              <w:t>2011</w:t>
            </w:r>
          </w:p>
        </w:tc>
        <w:tc>
          <w:tcPr>
            <w:tcW w:w="475"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2013B6" w:rsidRPr="00896984" w:rsidP="00AA2FA0">
            <w:pPr>
              <w:bidi w:val="0"/>
              <w:jc w:val="center"/>
              <w:rPr>
                <w:rFonts w:ascii="Times New Roman" w:hAnsi="Times New Roman"/>
                <w:b/>
                <w:bCs/>
                <w:sz w:val="14"/>
                <w:szCs w:val="14"/>
                <w:lang w:eastAsia="sk-SK"/>
              </w:rPr>
            </w:pPr>
            <w:r w:rsidRPr="00896984">
              <w:rPr>
                <w:rFonts w:ascii="Times New Roman" w:hAnsi="Times New Roman"/>
                <w:b/>
                <w:bCs/>
                <w:sz w:val="14"/>
                <w:szCs w:val="14"/>
                <w:lang w:eastAsia="sk-SK"/>
              </w:rPr>
              <w:t>2012</w:t>
            </w:r>
          </w:p>
        </w:tc>
        <w:tc>
          <w:tcPr>
            <w:tcW w:w="396"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2013B6" w:rsidRPr="00896984" w:rsidP="00AA2FA0">
            <w:pPr>
              <w:bidi w:val="0"/>
              <w:jc w:val="center"/>
              <w:rPr>
                <w:rFonts w:ascii="Times New Roman" w:hAnsi="Times New Roman"/>
                <w:b/>
                <w:bCs/>
                <w:sz w:val="14"/>
                <w:szCs w:val="14"/>
                <w:lang w:eastAsia="sk-SK"/>
              </w:rPr>
            </w:pPr>
            <w:r w:rsidRPr="00896984">
              <w:rPr>
                <w:rFonts w:ascii="Times New Roman" w:hAnsi="Times New Roman"/>
                <w:b/>
                <w:bCs/>
                <w:sz w:val="14"/>
                <w:szCs w:val="14"/>
                <w:lang w:eastAsia="sk-SK"/>
              </w:rPr>
              <w:t>2013</w:t>
            </w:r>
          </w:p>
        </w:tc>
        <w:tc>
          <w:tcPr>
            <w:tcW w:w="398" w:type="pct"/>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2013B6" w:rsidRPr="00896984" w:rsidP="00AA2FA0">
            <w:pPr>
              <w:bidi w:val="0"/>
              <w:jc w:val="center"/>
              <w:rPr>
                <w:rFonts w:ascii="Times New Roman" w:hAnsi="Times New Roman"/>
                <w:b/>
                <w:bCs/>
                <w:sz w:val="14"/>
                <w:szCs w:val="14"/>
                <w:lang w:eastAsia="sk-SK"/>
              </w:rPr>
            </w:pPr>
            <w:r w:rsidRPr="00896984">
              <w:rPr>
                <w:rFonts w:ascii="Times New Roman" w:hAnsi="Times New Roman"/>
                <w:b/>
                <w:bCs/>
                <w:sz w:val="14"/>
                <w:szCs w:val="14"/>
                <w:lang w:eastAsia="sk-SK"/>
              </w:rPr>
              <w:t>2014</w:t>
            </w:r>
          </w:p>
        </w:tc>
      </w:tr>
      <w:tr>
        <w:tblPrEx>
          <w:tblW w:w="5000" w:type="pct"/>
          <w:tblCellMar>
            <w:left w:w="70" w:type="dxa"/>
            <w:right w:w="70" w:type="dxa"/>
          </w:tblCellMar>
          <w:tblLook w:val="04A0"/>
        </w:tblPrEx>
        <w:trPr>
          <w:trHeight w:val="300"/>
        </w:trPr>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1</w:t>
            </w:r>
          </w:p>
        </w:tc>
        <w:tc>
          <w:tcPr>
            <w:tcW w:w="1970"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rPr>
                <w:rFonts w:ascii="Times New Roman" w:hAnsi="Times New Roman"/>
                <w:sz w:val="14"/>
                <w:szCs w:val="14"/>
                <w:lang w:eastAsia="sk-SK"/>
              </w:rPr>
            </w:pPr>
            <w:r w:rsidRPr="00896984">
              <w:rPr>
                <w:rFonts w:ascii="Times New Roman" w:hAnsi="Times New Roman"/>
                <w:sz w:val="14"/>
                <w:szCs w:val="14"/>
                <w:lang w:eastAsia="sk-SK"/>
              </w:rPr>
              <w:t>HDP; v bežných cenách</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mld. eur</w:t>
            </w:r>
          </w:p>
        </w:tc>
        <w:tc>
          <w:tcPr>
            <w:tcW w:w="554"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65,9</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69,5</w:t>
            </w:r>
          </w:p>
        </w:tc>
        <w:tc>
          <w:tcPr>
            <w:tcW w:w="47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73,7</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78,4</w:t>
            </w:r>
          </w:p>
        </w:tc>
        <w:tc>
          <w:tcPr>
            <w:tcW w:w="398"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83,7</w:t>
            </w:r>
          </w:p>
        </w:tc>
      </w:tr>
      <w:tr>
        <w:tblPrEx>
          <w:tblW w:w="5000" w:type="pct"/>
          <w:tblCellMar>
            <w:left w:w="70" w:type="dxa"/>
            <w:right w:w="70" w:type="dxa"/>
          </w:tblCellMar>
          <w:tblLook w:val="04A0"/>
        </w:tblPrEx>
        <w:trPr>
          <w:trHeight w:val="300"/>
        </w:trPr>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2</w:t>
            </w:r>
          </w:p>
        </w:tc>
        <w:tc>
          <w:tcPr>
            <w:tcW w:w="1970"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rPr>
                <w:rFonts w:ascii="Times New Roman" w:hAnsi="Times New Roman"/>
                <w:sz w:val="14"/>
                <w:szCs w:val="14"/>
                <w:lang w:eastAsia="sk-SK"/>
              </w:rPr>
            </w:pPr>
            <w:r w:rsidRPr="00896984">
              <w:rPr>
                <w:rFonts w:ascii="Times New Roman" w:hAnsi="Times New Roman"/>
                <w:sz w:val="14"/>
                <w:szCs w:val="14"/>
                <w:lang w:eastAsia="sk-SK"/>
              </w:rPr>
              <w:t>HDP; reálny rast</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w:t>
            </w:r>
          </w:p>
        </w:tc>
        <w:tc>
          <w:tcPr>
            <w:tcW w:w="554"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4,0</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3,3</w:t>
            </w:r>
          </w:p>
        </w:tc>
        <w:tc>
          <w:tcPr>
            <w:tcW w:w="47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3,4</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3,7</w:t>
            </w:r>
          </w:p>
        </w:tc>
        <w:tc>
          <w:tcPr>
            <w:tcW w:w="398"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3,9</w:t>
            </w:r>
          </w:p>
        </w:tc>
      </w:tr>
      <w:tr>
        <w:tblPrEx>
          <w:tblW w:w="5000" w:type="pct"/>
          <w:tblCellMar>
            <w:left w:w="70" w:type="dxa"/>
            <w:right w:w="70" w:type="dxa"/>
          </w:tblCellMar>
          <w:tblLook w:val="04A0"/>
        </w:tblPrEx>
        <w:trPr>
          <w:trHeight w:val="300"/>
        </w:trPr>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3</w:t>
            </w:r>
          </w:p>
        </w:tc>
        <w:tc>
          <w:tcPr>
            <w:tcW w:w="1970"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rPr>
                <w:rFonts w:ascii="Times New Roman" w:hAnsi="Times New Roman"/>
                <w:sz w:val="14"/>
                <w:szCs w:val="14"/>
                <w:lang w:eastAsia="sk-SK"/>
              </w:rPr>
            </w:pPr>
            <w:r w:rsidRPr="00896984">
              <w:rPr>
                <w:rFonts w:ascii="Times New Roman" w:hAnsi="Times New Roman"/>
                <w:sz w:val="14"/>
                <w:szCs w:val="14"/>
                <w:lang w:eastAsia="sk-SK"/>
              </w:rPr>
              <w:t>Konečná spotreba domácností; reálny rast</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w:t>
            </w:r>
          </w:p>
        </w:tc>
        <w:tc>
          <w:tcPr>
            <w:tcW w:w="554"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-0,3</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0,1</w:t>
            </w:r>
          </w:p>
        </w:tc>
        <w:tc>
          <w:tcPr>
            <w:tcW w:w="47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2,6</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3,5</w:t>
            </w:r>
          </w:p>
        </w:tc>
        <w:tc>
          <w:tcPr>
            <w:tcW w:w="398"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3,6</w:t>
            </w:r>
          </w:p>
        </w:tc>
      </w:tr>
      <w:tr>
        <w:tblPrEx>
          <w:tblW w:w="5000" w:type="pct"/>
          <w:tblCellMar>
            <w:left w:w="70" w:type="dxa"/>
            <w:right w:w="70" w:type="dxa"/>
          </w:tblCellMar>
          <w:tblLook w:val="04A0"/>
        </w:tblPrEx>
        <w:trPr>
          <w:trHeight w:val="300"/>
        </w:trPr>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4</w:t>
            </w:r>
          </w:p>
        </w:tc>
        <w:tc>
          <w:tcPr>
            <w:tcW w:w="1970"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rPr>
                <w:rFonts w:ascii="Times New Roman" w:hAnsi="Times New Roman"/>
                <w:sz w:val="14"/>
                <w:szCs w:val="14"/>
                <w:lang w:eastAsia="sk-SK"/>
              </w:rPr>
            </w:pPr>
            <w:r w:rsidRPr="00896984">
              <w:rPr>
                <w:rFonts w:ascii="Times New Roman" w:hAnsi="Times New Roman"/>
                <w:sz w:val="14"/>
                <w:szCs w:val="14"/>
                <w:lang w:eastAsia="sk-SK"/>
              </w:rPr>
              <w:t>Konečná spotreba domácností; nominálny rast</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w:t>
            </w:r>
          </w:p>
        </w:tc>
        <w:tc>
          <w:tcPr>
            <w:tcW w:w="554"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0,6</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3,9</w:t>
            </w:r>
          </w:p>
        </w:tc>
        <w:tc>
          <w:tcPr>
            <w:tcW w:w="47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5,9</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6,9</w:t>
            </w:r>
          </w:p>
        </w:tc>
        <w:tc>
          <w:tcPr>
            <w:tcW w:w="398"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7,2</w:t>
            </w:r>
          </w:p>
        </w:tc>
      </w:tr>
      <w:tr>
        <w:tblPrEx>
          <w:tblW w:w="5000" w:type="pct"/>
          <w:tblCellMar>
            <w:left w:w="70" w:type="dxa"/>
            <w:right w:w="70" w:type="dxa"/>
          </w:tblCellMar>
          <w:tblLook w:val="04A0"/>
        </w:tblPrEx>
        <w:trPr>
          <w:trHeight w:val="300"/>
        </w:trPr>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5</w:t>
            </w:r>
          </w:p>
        </w:tc>
        <w:tc>
          <w:tcPr>
            <w:tcW w:w="1970"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rPr>
                <w:rFonts w:ascii="Times New Roman" w:hAnsi="Times New Roman"/>
                <w:sz w:val="14"/>
                <w:szCs w:val="14"/>
                <w:lang w:eastAsia="sk-SK"/>
              </w:rPr>
            </w:pPr>
            <w:r w:rsidRPr="00896984">
              <w:rPr>
                <w:rFonts w:ascii="Times New Roman" w:hAnsi="Times New Roman"/>
                <w:sz w:val="14"/>
                <w:szCs w:val="14"/>
                <w:lang w:eastAsia="sk-SK"/>
              </w:rPr>
              <w:t>Konečná spotreba verejnej správy; reálny rast</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w:t>
            </w:r>
          </w:p>
        </w:tc>
        <w:tc>
          <w:tcPr>
            <w:tcW w:w="554"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0,1</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-4,6</w:t>
            </w:r>
          </w:p>
        </w:tc>
        <w:tc>
          <w:tcPr>
            <w:tcW w:w="47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1,1</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0,9</w:t>
            </w:r>
          </w:p>
        </w:tc>
        <w:tc>
          <w:tcPr>
            <w:tcW w:w="398"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0,4</w:t>
            </w:r>
          </w:p>
        </w:tc>
      </w:tr>
      <w:tr>
        <w:tblPrEx>
          <w:tblW w:w="5000" w:type="pct"/>
          <w:tblCellMar>
            <w:left w:w="70" w:type="dxa"/>
            <w:right w:w="70" w:type="dxa"/>
          </w:tblCellMar>
          <w:tblLook w:val="04A0"/>
        </w:tblPrEx>
        <w:trPr>
          <w:trHeight w:val="300"/>
        </w:trPr>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6</w:t>
            </w:r>
          </w:p>
        </w:tc>
        <w:tc>
          <w:tcPr>
            <w:tcW w:w="1970"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rPr>
                <w:rFonts w:ascii="Times New Roman" w:hAnsi="Times New Roman"/>
                <w:sz w:val="14"/>
                <w:szCs w:val="14"/>
                <w:lang w:eastAsia="sk-SK"/>
              </w:rPr>
            </w:pPr>
            <w:r w:rsidRPr="00896984">
              <w:rPr>
                <w:rFonts w:ascii="Times New Roman" w:hAnsi="Times New Roman"/>
                <w:sz w:val="14"/>
                <w:szCs w:val="14"/>
                <w:lang w:eastAsia="sk-SK"/>
              </w:rPr>
              <w:t>Tvorba hrubého fixného kapitálu; reálny rast</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w:t>
            </w:r>
          </w:p>
        </w:tc>
        <w:tc>
          <w:tcPr>
            <w:tcW w:w="554"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3,1</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3,8</w:t>
            </w:r>
          </w:p>
        </w:tc>
        <w:tc>
          <w:tcPr>
            <w:tcW w:w="47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5,1</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3,0</w:t>
            </w:r>
          </w:p>
        </w:tc>
        <w:tc>
          <w:tcPr>
            <w:tcW w:w="398"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4,4</w:t>
            </w:r>
          </w:p>
        </w:tc>
      </w:tr>
      <w:tr>
        <w:tblPrEx>
          <w:tblW w:w="5000" w:type="pct"/>
          <w:tblCellMar>
            <w:left w:w="70" w:type="dxa"/>
            <w:right w:w="70" w:type="dxa"/>
          </w:tblCellMar>
          <w:tblLook w:val="04A0"/>
        </w:tblPrEx>
        <w:trPr>
          <w:trHeight w:val="300"/>
        </w:trPr>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7</w:t>
            </w:r>
          </w:p>
        </w:tc>
        <w:tc>
          <w:tcPr>
            <w:tcW w:w="1970"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rPr>
                <w:rFonts w:ascii="Times New Roman" w:hAnsi="Times New Roman"/>
                <w:sz w:val="14"/>
                <w:szCs w:val="14"/>
                <w:lang w:eastAsia="sk-SK"/>
              </w:rPr>
            </w:pPr>
            <w:r w:rsidRPr="00896984">
              <w:rPr>
                <w:rFonts w:ascii="Times New Roman" w:hAnsi="Times New Roman"/>
                <w:sz w:val="14"/>
                <w:szCs w:val="14"/>
                <w:lang w:eastAsia="sk-SK"/>
              </w:rPr>
              <w:t>Export tovarov a služieb; reálny rast</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w:t>
            </w:r>
          </w:p>
        </w:tc>
        <w:tc>
          <w:tcPr>
            <w:tcW w:w="554"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16,4</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9,4</w:t>
            </w:r>
          </w:p>
        </w:tc>
        <w:tc>
          <w:tcPr>
            <w:tcW w:w="47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6,4</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7,7</w:t>
            </w:r>
          </w:p>
        </w:tc>
        <w:tc>
          <w:tcPr>
            <w:tcW w:w="398"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8,0</w:t>
            </w:r>
          </w:p>
        </w:tc>
      </w:tr>
      <w:tr>
        <w:tblPrEx>
          <w:tblW w:w="5000" w:type="pct"/>
          <w:tblCellMar>
            <w:left w:w="70" w:type="dxa"/>
            <w:right w:w="70" w:type="dxa"/>
          </w:tblCellMar>
          <w:tblLook w:val="04A0"/>
        </w:tblPrEx>
        <w:trPr>
          <w:trHeight w:val="300"/>
        </w:trPr>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8</w:t>
            </w:r>
          </w:p>
        </w:tc>
        <w:tc>
          <w:tcPr>
            <w:tcW w:w="1970"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rPr>
                <w:rFonts w:ascii="Times New Roman" w:hAnsi="Times New Roman"/>
                <w:sz w:val="14"/>
                <w:szCs w:val="14"/>
                <w:lang w:eastAsia="sk-SK"/>
              </w:rPr>
            </w:pPr>
            <w:r w:rsidRPr="00896984">
              <w:rPr>
                <w:rFonts w:ascii="Times New Roman" w:hAnsi="Times New Roman"/>
                <w:sz w:val="14"/>
                <w:szCs w:val="14"/>
                <w:lang w:eastAsia="sk-SK"/>
              </w:rPr>
              <w:t>Import tovarov a služieb; reálny rast</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w:t>
            </w:r>
          </w:p>
        </w:tc>
        <w:tc>
          <w:tcPr>
            <w:tcW w:w="554"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14,9</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6,3</w:t>
            </w:r>
          </w:p>
        </w:tc>
        <w:tc>
          <w:tcPr>
            <w:tcW w:w="47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6,3</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7,4</w:t>
            </w:r>
          </w:p>
        </w:tc>
        <w:tc>
          <w:tcPr>
            <w:tcW w:w="398"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8,4</w:t>
            </w:r>
          </w:p>
        </w:tc>
      </w:tr>
      <w:tr>
        <w:tblPrEx>
          <w:tblW w:w="5000" w:type="pct"/>
          <w:tblCellMar>
            <w:left w:w="70" w:type="dxa"/>
            <w:right w:w="70" w:type="dxa"/>
          </w:tblCellMar>
          <w:tblLook w:val="04A0"/>
        </w:tblPrEx>
        <w:trPr>
          <w:trHeight w:val="300"/>
        </w:trPr>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9</w:t>
            </w:r>
          </w:p>
        </w:tc>
        <w:tc>
          <w:tcPr>
            <w:tcW w:w="1970"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rPr>
                <w:rFonts w:ascii="Times New Roman" w:hAnsi="Times New Roman"/>
                <w:sz w:val="14"/>
                <w:szCs w:val="14"/>
                <w:lang w:eastAsia="sk-SK"/>
              </w:rPr>
            </w:pPr>
            <w:r w:rsidRPr="00896984">
              <w:rPr>
                <w:rFonts w:ascii="Times New Roman" w:hAnsi="Times New Roman"/>
                <w:sz w:val="14"/>
                <w:szCs w:val="14"/>
                <w:lang w:eastAsia="sk-SK"/>
              </w:rPr>
              <w:t>Priem. mesačná mzda za hospodárstvo; nom. rast</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w:t>
            </w:r>
          </w:p>
        </w:tc>
        <w:tc>
          <w:tcPr>
            <w:tcW w:w="554"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3,2</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3,5</w:t>
            </w:r>
          </w:p>
        </w:tc>
        <w:tc>
          <w:tcPr>
            <w:tcW w:w="47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5,3</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5,7</w:t>
            </w:r>
          </w:p>
        </w:tc>
        <w:tc>
          <w:tcPr>
            <w:tcW w:w="398"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6,3</w:t>
            </w:r>
          </w:p>
        </w:tc>
      </w:tr>
      <w:tr>
        <w:tblPrEx>
          <w:tblW w:w="5000" w:type="pct"/>
          <w:tblCellMar>
            <w:left w:w="70" w:type="dxa"/>
            <w:right w:w="70" w:type="dxa"/>
          </w:tblCellMar>
          <w:tblLook w:val="04A0"/>
        </w:tblPrEx>
        <w:trPr>
          <w:trHeight w:val="300"/>
        </w:trPr>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10</w:t>
            </w:r>
          </w:p>
        </w:tc>
        <w:tc>
          <w:tcPr>
            <w:tcW w:w="1970"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rPr>
                <w:rFonts w:ascii="Times New Roman" w:hAnsi="Times New Roman"/>
                <w:sz w:val="14"/>
                <w:szCs w:val="14"/>
                <w:lang w:eastAsia="sk-SK"/>
              </w:rPr>
            </w:pPr>
            <w:r w:rsidRPr="00896984">
              <w:rPr>
                <w:rFonts w:ascii="Times New Roman" w:hAnsi="Times New Roman"/>
                <w:sz w:val="14"/>
                <w:szCs w:val="14"/>
                <w:lang w:eastAsia="sk-SK"/>
              </w:rPr>
              <w:t>Priem. mesačná mzda za hospodárstvo; reálny rast</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w:t>
            </w:r>
          </w:p>
        </w:tc>
        <w:tc>
          <w:tcPr>
            <w:tcW w:w="554"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2,2</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-0,5</w:t>
            </w:r>
          </w:p>
        </w:tc>
        <w:tc>
          <w:tcPr>
            <w:tcW w:w="47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1,8</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2,1</w:t>
            </w:r>
          </w:p>
        </w:tc>
        <w:tc>
          <w:tcPr>
            <w:tcW w:w="398"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2,5</w:t>
            </w:r>
          </w:p>
        </w:tc>
      </w:tr>
      <w:tr>
        <w:tblPrEx>
          <w:tblW w:w="5000" w:type="pct"/>
          <w:tblCellMar>
            <w:left w:w="70" w:type="dxa"/>
            <w:right w:w="70" w:type="dxa"/>
          </w:tblCellMar>
          <w:tblLook w:val="04A0"/>
        </w:tblPrEx>
        <w:trPr>
          <w:trHeight w:val="300"/>
        </w:trPr>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11</w:t>
            </w:r>
          </w:p>
        </w:tc>
        <w:tc>
          <w:tcPr>
            <w:tcW w:w="1970"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rPr>
                <w:rFonts w:ascii="Times New Roman" w:hAnsi="Times New Roman"/>
                <w:sz w:val="14"/>
                <w:szCs w:val="14"/>
                <w:lang w:eastAsia="sk-SK"/>
              </w:rPr>
            </w:pPr>
            <w:r w:rsidRPr="00896984">
              <w:rPr>
                <w:rFonts w:ascii="Times New Roman" w:hAnsi="Times New Roman"/>
                <w:sz w:val="14"/>
                <w:szCs w:val="14"/>
                <w:lang w:eastAsia="sk-SK"/>
              </w:rPr>
              <w:t>Priemerný rast zamestnanosti; podľa VZPS</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w:t>
            </w:r>
          </w:p>
        </w:tc>
        <w:tc>
          <w:tcPr>
            <w:tcW w:w="554"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-2,0</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1,9</w:t>
            </w:r>
          </w:p>
        </w:tc>
        <w:tc>
          <w:tcPr>
            <w:tcW w:w="47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0,6</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0,7</w:t>
            </w:r>
          </w:p>
        </w:tc>
        <w:tc>
          <w:tcPr>
            <w:tcW w:w="398"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0,6</w:t>
            </w:r>
          </w:p>
        </w:tc>
      </w:tr>
      <w:tr>
        <w:tblPrEx>
          <w:tblW w:w="5000" w:type="pct"/>
          <w:tblCellMar>
            <w:left w:w="70" w:type="dxa"/>
            <w:right w:w="70" w:type="dxa"/>
          </w:tblCellMar>
          <w:tblLook w:val="04A0"/>
        </w:tblPrEx>
        <w:trPr>
          <w:trHeight w:val="300"/>
        </w:trPr>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12</w:t>
            </w:r>
          </w:p>
        </w:tc>
        <w:tc>
          <w:tcPr>
            <w:tcW w:w="1970"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rPr>
                <w:rFonts w:ascii="Times New Roman" w:hAnsi="Times New Roman"/>
                <w:sz w:val="14"/>
                <w:szCs w:val="14"/>
                <w:lang w:eastAsia="sk-SK"/>
              </w:rPr>
            </w:pPr>
            <w:r w:rsidRPr="00896984">
              <w:rPr>
                <w:rFonts w:ascii="Times New Roman" w:hAnsi="Times New Roman"/>
                <w:sz w:val="14"/>
                <w:szCs w:val="14"/>
                <w:lang w:eastAsia="sk-SK"/>
              </w:rPr>
              <w:t>Priemerný rast zamestnanosti; podľa VZPS</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v tis.</w:t>
            </w:r>
          </w:p>
        </w:tc>
        <w:tc>
          <w:tcPr>
            <w:tcW w:w="554" w:type="pct"/>
            <w:tcBorders>
              <w:top w:val="single" w:sz="4" w:space="0" w:color="auto"/>
              <w:left w:val="single" w:sz="4" w:space="0" w:color="auto"/>
              <w:bottom w:val="single" w:sz="4" w:space="0" w:color="auto"/>
              <w:right w:val="single" w:sz="4" w:space="0" w:color="auto"/>
            </w:tcBorders>
            <w:noWrap/>
            <w:textDirection w:val="lrTb"/>
            <w:vAlign w:val="bottom"/>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-48,3</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44,2</w:t>
            </w:r>
          </w:p>
        </w:tc>
        <w:tc>
          <w:tcPr>
            <w:tcW w:w="475" w:type="pct"/>
            <w:tcBorders>
              <w:top w:val="single" w:sz="4" w:space="0" w:color="auto"/>
              <w:left w:val="single" w:sz="4" w:space="0" w:color="auto"/>
              <w:bottom w:val="single" w:sz="4" w:space="0" w:color="auto"/>
              <w:right w:val="single" w:sz="4" w:space="0" w:color="auto"/>
            </w:tcBorders>
            <w:noWrap/>
            <w:textDirection w:val="lrTb"/>
            <w:vAlign w:val="bottom"/>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13,7</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16,7</w:t>
            </w:r>
          </w:p>
        </w:tc>
        <w:tc>
          <w:tcPr>
            <w:tcW w:w="398" w:type="pct"/>
            <w:tcBorders>
              <w:top w:val="single" w:sz="4" w:space="0" w:color="auto"/>
              <w:left w:val="single" w:sz="4" w:space="0" w:color="auto"/>
              <w:bottom w:val="single" w:sz="4" w:space="0" w:color="auto"/>
              <w:right w:val="single" w:sz="4" w:space="0" w:color="auto"/>
            </w:tcBorders>
            <w:noWrap/>
            <w:textDirection w:val="lrTb"/>
            <w:vAlign w:val="bottom"/>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13,4</w:t>
            </w:r>
          </w:p>
        </w:tc>
      </w:tr>
      <w:tr>
        <w:tblPrEx>
          <w:tblW w:w="5000" w:type="pct"/>
          <w:tblCellMar>
            <w:left w:w="70" w:type="dxa"/>
            <w:right w:w="70" w:type="dxa"/>
          </w:tblCellMar>
          <w:tblLook w:val="04A0"/>
        </w:tblPrEx>
        <w:trPr>
          <w:trHeight w:val="300"/>
        </w:trPr>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13</w:t>
            </w:r>
          </w:p>
        </w:tc>
        <w:tc>
          <w:tcPr>
            <w:tcW w:w="1970"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rPr>
                <w:rFonts w:ascii="Times New Roman" w:hAnsi="Times New Roman"/>
                <w:sz w:val="14"/>
                <w:szCs w:val="14"/>
                <w:lang w:eastAsia="sk-SK"/>
              </w:rPr>
            </w:pPr>
            <w:r w:rsidRPr="00896984">
              <w:rPr>
                <w:rFonts w:ascii="Times New Roman" w:hAnsi="Times New Roman"/>
                <w:sz w:val="14"/>
                <w:szCs w:val="14"/>
                <w:lang w:eastAsia="sk-SK"/>
              </w:rPr>
              <w:t>Priemerný rast zamestnanosti; podľa ESA95</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w:t>
            </w:r>
          </w:p>
        </w:tc>
        <w:tc>
          <w:tcPr>
            <w:tcW w:w="554"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-1,4</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1,5</w:t>
            </w:r>
          </w:p>
        </w:tc>
        <w:tc>
          <w:tcPr>
            <w:tcW w:w="47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0,3</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0,5</w:t>
            </w:r>
          </w:p>
        </w:tc>
        <w:tc>
          <w:tcPr>
            <w:tcW w:w="398"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0,5</w:t>
            </w:r>
          </w:p>
        </w:tc>
      </w:tr>
      <w:tr>
        <w:tblPrEx>
          <w:tblW w:w="5000" w:type="pct"/>
          <w:tblCellMar>
            <w:left w:w="70" w:type="dxa"/>
            <w:right w:w="70" w:type="dxa"/>
          </w:tblCellMar>
          <w:tblLook w:val="04A0"/>
        </w:tblPrEx>
        <w:trPr>
          <w:trHeight w:val="300"/>
        </w:trPr>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14</w:t>
            </w:r>
          </w:p>
        </w:tc>
        <w:tc>
          <w:tcPr>
            <w:tcW w:w="1970"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rPr>
                <w:rFonts w:ascii="Times New Roman" w:hAnsi="Times New Roman"/>
                <w:sz w:val="14"/>
                <w:szCs w:val="14"/>
                <w:lang w:eastAsia="sk-SK"/>
              </w:rPr>
            </w:pPr>
            <w:r w:rsidRPr="00896984">
              <w:rPr>
                <w:rFonts w:ascii="Times New Roman" w:hAnsi="Times New Roman"/>
                <w:sz w:val="14"/>
                <w:szCs w:val="14"/>
                <w:lang w:eastAsia="sk-SK"/>
              </w:rPr>
              <w:t>Počet vytvorených domácich pracovných miest</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v tis.</w:t>
            </w:r>
          </w:p>
        </w:tc>
        <w:tc>
          <w:tcPr>
            <w:tcW w:w="554" w:type="pct"/>
            <w:tcBorders>
              <w:top w:val="single" w:sz="4" w:space="0" w:color="auto"/>
              <w:left w:val="single" w:sz="4" w:space="0" w:color="auto"/>
              <w:bottom w:val="single" w:sz="4" w:space="0" w:color="auto"/>
              <w:right w:val="single" w:sz="4" w:space="0" w:color="auto"/>
            </w:tcBorders>
            <w:noWrap/>
            <w:textDirection w:val="lrTb"/>
            <w:vAlign w:val="bottom"/>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-30,1</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33,1</w:t>
            </w:r>
          </w:p>
        </w:tc>
        <w:tc>
          <w:tcPr>
            <w:tcW w:w="475" w:type="pct"/>
            <w:tcBorders>
              <w:top w:val="single" w:sz="4" w:space="0" w:color="auto"/>
              <w:left w:val="single" w:sz="4" w:space="0" w:color="auto"/>
              <w:bottom w:val="single" w:sz="4" w:space="0" w:color="auto"/>
              <w:right w:val="single" w:sz="4" w:space="0" w:color="auto"/>
            </w:tcBorders>
            <w:noWrap/>
            <w:textDirection w:val="lrTb"/>
            <w:vAlign w:val="bottom"/>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6,1</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12,0</w:t>
            </w:r>
          </w:p>
        </w:tc>
        <w:tc>
          <w:tcPr>
            <w:tcW w:w="398" w:type="pct"/>
            <w:tcBorders>
              <w:top w:val="single" w:sz="4" w:space="0" w:color="auto"/>
              <w:left w:val="single" w:sz="4" w:space="0" w:color="auto"/>
              <w:bottom w:val="single" w:sz="4" w:space="0" w:color="auto"/>
              <w:right w:val="single" w:sz="4" w:space="0" w:color="auto"/>
            </w:tcBorders>
            <w:noWrap/>
            <w:textDirection w:val="lrTb"/>
            <w:vAlign w:val="bottom"/>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10,0</w:t>
            </w:r>
          </w:p>
        </w:tc>
      </w:tr>
      <w:tr>
        <w:tblPrEx>
          <w:tblW w:w="5000" w:type="pct"/>
          <w:tblCellMar>
            <w:left w:w="70" w:type="dxa"/>
            <w:right w:w="70" w:type="dxa"/>
          </w:tblCellMar>
          <w:tblLook w:val="04A0"/>
        </w:tblPrEx>
        <w:trPr>
          <w:trHeight w:val="300"/>
        </w:trPr>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15</w:t>
            </w:r>
          </w:p>
        </w:tc>
        <w:tc>
          <w:tcPr>
            <w:tcW w:w="1970"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rPr>
                <w:rFonts w:ascii="Times New Roman" w:hAnsi="Times New Roman"/>
                <w:sz w:val="14"/>
                <w:szCs w:val="14"/>
                <w:lang w:eastAsia="sk-SK"/>
              </w:rPr>
            </w:pPr>
            <w:r w:rsidRPr="00896984">
              <w:rPr>
                <w:rFonts w:ascii="Times New Roman" w:hAnsi="Times New Roman"/>
                <w:sz w:val="14"/>
                <w:szCs w:val="14"/>
                <w:lang w:eastAsia="sk-SK"/>
              </w:rPr>
              <w:t>Priemerná miera nezamestnanosti;  podľa VZPS</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w:t>
            </w:r>
          </w:p>
        </w:tc>
        <w:tc>
          <w:tcPr>
            <w:tcW w:w="554"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14,4</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13,0</w:t>
            </w:r>
          </w:p>
        </w:tc>
        <w:tc>
          <w:tcPr>
            <w:tcW w:w="47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12,6</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11,9</w:t>
            </w:r>
          </w:p>
        </w:tc>
        <w:tc>
          <w:tcPr>
            <w:tcW w:w="398"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11,2</w:t>
            </w:r>
          </w:p>
        </w:tc>
      </w:tr>
      <w:tr>
        <w:tblPrEx>
          <w:tblW w:w="5000" w:type="pct"/>
          <w:tblCellMar>
            <w:left w:w="70" w:type="dxa"/>
            <w:right w:w="70" w:type="dxa"/>
          </w:tblCellMar>
          <w:tblLook w:val="04A0"/>
        </w:tblPrEx>
        <w:trPr>
          <w:trHeight w:val="300"/>
        </w:trPr>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16</w:t>
            </w:r>
          </w:p>
        </w:tc>
        <w:tc>
          <w:tcPr>
            <w:tcW w:w="1970"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rPr>
                <w:rFonts w:ascii="Times New Roman" w:hAnsi="Times New Roman"/>
                <w:sz w:val="14"/>
                <w:szCs w:val="14"/>
                <w:lang w:eastAsia="sk-SK"/>
              </w:rPr>
            </w:pPr>
            <w:r w:rsidRPr="00896984">
              <w:rPr>
                <w:rFonts w:ascii="Times New Roman" w:hAnsi="Times New Roman"/>
                <w:sz w:val="14"/>
                <w:szCs w:val="14"/>
                <w:lang w:eastAsia="sk-SK"/>
              </w:rPr>
              <w:t>Reálna mzdová báza, priemerný rast</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w:t>
            </w:r>
          </w:p>
        </w:tc>
        <w:tc>
          <w:tcPr>
            <w:tcW w:w="554"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0,8</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1,0</w:t>
            </w:r>
          </w:p>
        </w:tc>
        <w:tc>
          <w:tcPr>
            <w:tcW w:w="47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2,1</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2,7</w:t>
            </w:r>
          </w:p>
        </w:tc>
        <w:tc>
          <w:tcPr>
            <w:tcW w:w="398"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3,0</w:t>
            </w:r>
          </w:p>
        </w:tc>
      </w:tr>
      <w:tr>
        <w:tblPrEx>
          <w:tblW w:w="5000" w:type="pct"/>
          <w:tblCellMar>
            <w:left w:w="70" w:type="dxa"/>
            <w:right w:w="70" w:type="dxa"/>
          </w:tblCellMar>
          <w:tblLook w:val="04A0"/>
        </w:tblPrEx>
        <w:trPr>
          <w:trHeight w:val="300"/>
        </w:trPr>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17</w:t>
            </w:r>
          </w:p>
        </w:tc>
        <w:tc>
          <w:tcPr>
            <w:tcW w:w="1970"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rPr>
                <w:rFonts w:ascii="Times New Roman" w:hAnsi="Times New Roman"/>
                <w:sz w:val="14"/>
                <w:szCs w:val="14"/>
                <w:lang w:eastAsia="sk-SK"/>
              </w:rPr>
            </w:pPr>
            <w:r w:rsidRPr="00896984">
              <w:rPr>
                <w:rFonts w:ascii="Times New Roman" w:hAnsi="Times New Roman"/>
                <w:sz w:val="14"/>
                <w:szCs w:val="14"/>
                <w:lang w:eastAsia="sk-SK"/>
              </w:rPr>
              <w:t>Index spotrebiteľských cien; priemerný rast</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w:t>
            </w:r>
          </w:p>
        </w:tc>
        <w:tc>
          <w:tcPr>
            <w:tcW w:w="554"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1,0</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4,0</w:t>
            </w:r>
          </w:p>
        </w:tc>
        <w:tc>
          <w:tcPr>
            <w:tcW w:w="47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3,4</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3,5</w:t>
            </w:r>
          </w:p>
        </w:tc>
        <w:tc>
          <w:tcPr>
            <w:tcW w:w="398"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3,7</w:t>
            </w:r>
          </w:p>
        </w:tc>
      </w:tr>
      <w:tr>
        <w:tblPrEx>
          <w:tblW w:w="5000" w:type="pct"/>
          <w:tblCellMar>
            <w:left w:w="70" w:type="dxa"/>
            <w:right w:w="70" w:type="dxa"/>
          </w:tblCellMar>
          <w:tblLook w:val="04A0"/>
        </w:tblPrEx>
        <w:trPr>
          <w:trHeight w:val="315"/>
        </w:trPr>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18</w:t>
            </w:r>
          </w:p>
        </w:tc>
        <w:tc>
          <w:tcPr>
            <w:tcW w:w="1970"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rPr>
                <w:rFonts w:ascii="Times New Roman" w:hAnsi="Times New Roman"/>
                <w:sz w:val="14"/>
                <w:szCs w:val="14"/>
                <w:lang w:eastAsia="sk-SK"/>
              </w:rPr>
            </w:pPr>
            <w:r w:rsidRPr="00896984">
              <w:rPr>
                <w:rFonts w:ascii="Times New Roman" w:hAnsi="Times New Roman"/>
                <w:sz w:val="14"/>
                <w:szCs w:val="14"/>
                <w:lang w:eastAsia="sk-SK"/>
              </w:rPr>
              <w:t>Bilancia bežného účtu; podiel na HDP</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w:t>
            </w:r>
          </w:p>
        </w:tc>
        <w:tc>
          <w:tcPr>
            <w:tcW w:w="554"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-3,6</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-1,7</w:t>
            </w:r>
          </w:p>
        </w:tc>
        <w:tc>
          <w:tcPr>
            <w:tcW w:w="475"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-2,1</w:t>
            </w:r>
          </w:p>
        </w:tc>
        <w:tc>
          <w:tcPr>
            <w:tcW w:w="396"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-1,7</w:t>
            </w:r>
          </w:p>
        </w:tc>
        <w:tc>
          <w:tcPr>
            <w:tcW w:w="398" w:type="pct"/>
            <w:tcBorders>
              <w:top w:val="single" w:sz="4" w:space="0" w:color="auto"/>
              <w:left w:val="single" w:sz="4" w:space="0" w:color="auto"/>
              <w:bottom w:val="single" w:sz="4" w:space="0" w:color="auto"/>
              <w:right w:val="single" w:sz="4" w:space="0" w:color="auto"/>
            </w:tcBorders>
            <w:noWrap/>
            <w:textDirection w:val="lrTb"/>
            <w:vAlign w:val="bottom"/>
            <w:hideMark/>
          </w:tcPr>
          <w:p w:rsidR="002013B6" w:rsidRPr="00896984" w:rsidP="00AA2FA0">
            <w:pPr>
              <w:bidi w:val="0"/>
              <w:jc w:val="center"/>
              <w:rPr>
                <w:rFonts w:ascii="Times New Roman" w:hAnsi="Times New Roman"/>
                <w:sz w:val="14"/>
                <w:szCs w:val="14"/>
                <w:lang w:eastAsia="sk-SK"/>
              </w:rPr>
            </w:pPr>
            <w:r w:rsidRPr="00896984">
              <w:rPr>
                <w:rFonts w:ascii="Times New Roman" w:hAnsi="Times New Roman"/>
                <w:sz w:val="14"/>
                <w:szCs w:val="14"/>
                <w:lang w:eastAsia="sk-SK"/>
              </w:rPr>
              <w:t>-1,9</w:t>
            </w:r>
          </w:p>
        </w:tc>
      </w:tr>
      <w:tr>
        <w:tblPrEx>
          <w:tblW w:w="5000" w:type="pct"/>
          <w:tblCellMar>
            <w:left w:w="70" w:type="dxa"/>
            <w:right w:w="70" w:type="dxa"/>
          </w:tblCellMar>
          <w:tblLook w:val="04A0"/>
        </w:tblPrEx>
        <w:trPr>
          <w:trHeight w:val="300"/>
        </w:trPr>
        <w:tc>
          <w:tcPr>
            <w:tcW w:w="415" w:type="pct"/>
            <w:tcBorders>
              <w:top w:val="single" w:sz="4" w:space="0" w:color="auto"/>
              <w:left w:val="nil"/>
              <w:bottom w:val="nil"/>
              <w:right w:val="nil"/>
            </w:tcBorders>
            <w:noWrap/>
            <w:textDirection w:val="lrTb"/>
            <w:vAlign w:val="bottom"/>
            <w:hideMark/>
          </w:tcPr>
          <w:p w:rsidR="002013B6" w:rsidRPr="00896984" w:rsidP="00AA2FA0">
            <w:pPr>
              <w:bidi w:val="0"/>
              <w:rPr>
                <w:rFonts w:ascii="Times New Roman" w:hAnsi="Times New Roman"/>
                <w:i/>
                <w:iCs/>
                <w:sz w:val="14"/>
                <w:szCs w:val="14"/>
                <w:lang w:eastAsia="sk-SK"/>
              </w:rPr>
            </w:pPr>
          </w:p>
        </w:tc>
        <w:tc>
          <w:tcPr>
            <w:tcW w:w="1970" w:type="pct"/>
            <w:tcBorders>
              <w:top w:val="single" w:sz="4" w:space="0" w:color="auto"/>
              <w:left w:val="nil"/>
              <w:bottom w:val="none" w:sz="0" w:space="0" w:color="auto"/>
              <w:right w:val="nil"/>
            </w:tcBorders>
            <w:noWrap/>
            <w:textDirection w:val="lrTb"/>
            <w:vAlign w:val="bottom"/>
            <w:hideMark/>
          </w:tcPr>
          <w:p w:rsidR="002013B6" w:rsidRPr="00896984" w:rsidP="00AA2FA0">
            <w:pPr>
              <w:bidi w:val="0"/>
              <w:rPr>
                <w:rFonts w:ascii="Times New Roman" w:hAnsi="Times New Roman"/>
                <w:i/>
                <w:iCs/>
                <w:sz w:val="14"/>
                <w:szCs w:val="14"/>
                <w:lang w:eastAsia="sk-SK"/>
              </w:rPr>
            </w:pPr>
            <w:r w:rsidRPr="00896984">
              <w:rPr>
                <w:rFonts w:ascii="Times New Roman" w:hAnsi="Times New Roman"/>
                <w:i/>
                <w:iCs/>
                <w:sz w:val="14"/>
                <w:szCs w:val="14"/>
                <w:lang w:eastAsia="sk-SK"/>
              </w:rPr>
              <w:t> </w:t>
            </w:r>
          </w:p>
        </w:tc>
        <w:tc>
          <w:tcPr>
            <w:tcW w:w="2616" w:type="pct"/>
            <w:gridSpan w:val="6"/>
            <w:tcBorders>
              <w:top w:val="single" w:sz="4" w:space="0" w:color="auto"/>
              <w:left w:val="nil"/>
              <w:bottom w:val="nil"/>
              <w:right w:val="nil"/>
            </w:tcBorders>
            <w:noWrap/>
            <w:textDirection w:val="lrTb"/>
            <w:vAlign w:val="bottom"/>
            <w:hideMark/>
          </w:tcPr>
          <w:p w:rsidR="002013B6" w:rsidRPr="00896984" w:rsidP="00AA2FA0">
            <w:pPr>
              <w:bidi w:val="0"/>
              <w:jc w:val="right"/>
              <w:rPr>
                <w:rFonts w:ascii="Times New Roman" w:hAnsi="Times New Roman"/>
                <w:i/>
                <w:iCs/>
                <w:sz w:val="14"/>
                <w:szCs w:val="14"/>
                <w:lang w:eastAsia="sk-SK"/>
              </w:rPr>
            </w:pPr>
            <w:r w:rsidRPr="00896984">
              <w:rPr>
                <w:rFonts w:ascii="Times New Roman" w:hAnsi="Times New Roman"/>
                <w:i/>
                <w:iCs/>
                <w:sz w:val="14"/>
                <w:szCs w:val="14"/>
                <w:lang w:eastAsia="sk-SK"/>
              </w:rPr>
              <w:t>Zdroj: MF SR</w:t>
            </w:r>
          </w:p>
        </w:tc>
      </w:tr>
    </w:tbl>
    <w:p w:rsidR="002013B6" w:rsidRPr="00896984" w:rsidP="002013B6">
      <w:pPr>
        <w:pStyle w:val="Default"/>
        <w:bidi w:val="0"/>
        <w:ind w:firstLine="708"/>
        <w:jc w:val="both"/>
        <w:rPr>
          <w:rFonts w:ascii="Times New Roman" w:hAnsi="Times New Roman"/>
          <w:color w:val="auto"/>
        </w:rPr>
      </w:pPr>
    </w:p>
    <w:p w:rsidR="002013B6" w:rsidRPr="00896984" w:rsidP="002013B6">
      <w:pPr>
        <w:pStyle w:val="Default"/>
        <w:bidi w:val="0"/>
        <w:ind w:firstLine="708"/>
        <w:jc w:val="both"/>
        <w:rPr>
          <w:rFonts w:ascii="Times New Roman" w:hAnsi="Times New Roman"/>
          <w:color w:val="auto"/>
        </w:rPr>
      </w:pPr>
      <w:r w:rsidRPr="00896984">
        <w:rPr>
          <w:rFonts w:ascii="Times New Roman" w:hAnsi="Times New Roman"/>
          <w:color w:val="auto"/>
        </w:rPr>
        <w:t xml:space="preserve">Augustová makroekonomická prognóza MF SR bola vydaná vo forme rýchleho odhadu v reakcii na zhoršujúce sa vonkajšie prostredie, s cieľom čo najrýchlejšie signalizovať pre prípravu rozpočtu zhoršenie parametrov, najmä čo sa týka daňových a odvodových príjmov. </w:t>
      </w:r>
      <w:r w:rsidRPr="00896984">
        <w:rPr>
          <w:rFonts w:ascii="Times New Roman" w:hAnsi="Times New Roman"/>
          <w:b/>
          <w:color w:val="auto"/>
        </w:rPr>
        <w:t>Prognóza sa bude spresňovať</w:t>
      </w:r>
      <w:r w:rsidRPr="00896984">
        <w:rPr>
          <w:rFonts w:ascii="Times New Roman" w:hAnsi="Times New Roman"/>
          <w:color w:val="auto"/>
        </w:rPr>
        <w:t xml:space="preserve"> po zverejnení makroekonomických prognóz zahraničných inštitúcií pre budúci rok, pričom </w:t>
      </w:r>
      <w:r w:rsidRPr="00896984">
        <w:rPr>
          <w:rFonts w:ascii="Times New Roman" w:hAnsi="Times New Roman"/>
          <w:b/>
          <w:color w:val="auto"/>
        </w:rPr>
        <w:t>MF SR prerokuje novú makroekonomickú a daňovú prognózu v príslušných výboroch pred definitívnym schválením rozpočtu v parlamente</w:t>
      </w:r>
      <w:r w:rsidRPr="00896984">
        <w:rPr>
          <w:rFonts w:ascii="Times New Roman" w:hAnsi="Times New Roman"/>
          <w:color w:val="auto"/>
        </w:rPr>
        <w:t>.</w:t>
      </w:r>
    </w:p>
    <w:p w:rsidR="00CD5B95" w:rsidRPr="00896984" w:rsidP="005D1A7E">
      <w:pPr>
        <w:bidi w:val="0"/>
        <w:rPr>
          <w:rFonts w:ascii="Times New Roman" w:hAnsi="Times New Roman" w:cs="Times New Roman"/>
        </w:rPr>
      </w:pPr>
    </w:p>
    <w:p w:rsidR="00A163E4" w:rsidRPr="00896984" w:rsidP="005D1A7E">
      <w:pPr>
        <w:bidi w:val="0"/>
        <w:rPr>
          <w:rFonts w:ascii="Times New Roman" w:hAnsi="Times New Roman" w:cs="Times New Roman"/>
        </w:rPr>
      </w:pPr>
    </w:p>
    <w:p w:rsidR="007F66EE" w:rsidRPr="00FE4FF6" w:rsidP="00A163E4">
      <w:pPr>
        <w:pStyle w:val="Heading1"/>
        <w:bidi w:val="0"/>
        <w:spacing w:before="0" w:after="0"/>
        <w:ind w:left="284" w:hanging="284"/>
        <w:rPr>
          <w:rFonts w:ascii="Times New Roman" w:hAnsi="Times New Roman" w:cs="Times New Roman"/>
          <w:b w:val="0"/>
          <w:bCs w:val="0"/>
        </w:rPr>
      </w:pPr>
      <w:bookmarkStart w:id="6" w:name="_Toc306089054"/>
      <w:r w:rsidRPr="00FE4FF6" w:rsidR="00863295">
        <w:rPr>
          <w:rFonts w:ascii="Times New Roman" w:hAnsi="Times New Roman" w:cs="Times New Roman"/>
          <w:sz w:val="28"/>
          <w:szCs w:val="28"/>
        </w:rPr>
        <w:t>3</w:t>
      </w:r>
      <w:r w:rsidRPr="00FE4FF6">
        <w:rPr>
          <w:rFonts w:ascii="Times New Roman" w:hAnsi="Times New Roman" w:cs="Times New Roman"/>
          <w:sz w:val="28"/>
          <w:szCs w:val="28"/>
        </w:rPr>
        <w:t>. Východiskový rámec rozpočtu verejnej správy na roky 2012 až 2014</w:t>
      </w:r>
      <w:bookmarkEnd w:id="2"/>
      <w:bookmarkEnd w:id="6"/>
    </w:p>
    <w:p w:rsidR="007F66EE" w:rsidRPr="000B4441" w:rsidP="007F66EE">
      <w:pPr>
        <w:bidi w:val="0"/>
        <w:rPr>
          <w:rFonts w:ascii="Times New Roman" w:hAnsi="Times New Roman" w:cs="Times New Roman"/>
          <w:color w:val="0070C0"/>
          <w:szCs w:val="28"/>
        </w:rPr>
      </w:pPr>
    </w:p>
    <w:p w:rsidR="00FE4FF6" w:rsidP="00FE4FF6">
      <w:pPr>
        <w:pStyle w:val="Heading2"/>
        <w:bidi w:val="0"/>
        <w:spacing w:before="0" w:after="0"/>
        <w:rPr>
          <w:rFonts w:ascii="Times New Roman" w:hAnsi="Times New Roman"/>
          <w:i w:val="0"/>
          <w:iCs w:val="0"/>
          <w:sz w:val="24"/>
          <w:szCs w:val="24"/>
        </w:rPr>
      </w:pPr>
      <w:bookmarkStart w:id="7" w:name="_Toc211592391"/>
      <w:bookmarkStart w:id="8" w:name="_Toc206478400"/>
      <w:bookmarkStart w:id="9" w:name="_Toc174871966"/>
      <w:bookmarkStart w:id="10" w:name="_Toc148255241"/>
      <w:bookmarkStart w:id="11" w:name="_Toc143348593"/>
      <w:bookmarkStart w:id="12" w:name="_Toc273474197"/>
      <w:bookmarkStart w:id="13" w:name="_Toc282686534"/>
      <w:bookmarkStart w:id="14" w:name="_Toc306089055"/>
      <w:bookmarkStart w:id="15" w:name="_Toc273148231"/>
      <w:r>
        <w:rPr>
          <w:rFonts w:ascii="Times New Roman" w:hAnsi="Times New Roman"/>
          <w:i w:val="0"/>
          <w:iCs w:val="0"/>
          <w:sz w:val="24"/>
          <w:szCs w:val="24"/>
        </w:rPr>
        <w:t>3</w:t>
      </w:r>
      <w:r w:rsidRPr="007F66EE">
        <w:rPr>
          <w:rFonts w:ascii="Times New Roman" w:hAnsi="Times New Roman"/>
          <w:i w:val="0"/>
          <w:iCs w:val="0"/>
          <w:sz w:val="24"/>
          <w:szCs w:val="24"/>
        </w:rPr>
        <w:t>.1. Základné predpoklady zostavenia rozpočtu verejnej správy</w:t>
      </w:r>
      <w:bookmarkEnd w:id="7"/>
      <w:bookmarkEnd w:id="8"/>
      <w:bookmarkEnd w:id="9"/>
      <w:bookmarkEnd w:id="10"/>
      <w:bookmarkEnd w:id="11"/>
      <w:bookmarkEnd w:id="12"/>
      <w:bookmarkEnd w:id="13"/>
      <w:bookmarkEnd w:id="14"/>
      <w:r w:rsidRPr="007F66EE">
        <w:rPr>
          <w:rFonts w:ascii="Times New Roman" w:hAnsi="Times New Roman"/>
          <w:i w:val="0"/>
          <w:iCs w:val="0"/>
          <w:sz w:val="24"/>
          <w:szCs w:val="24"/>
        </w:rPr>
        <w:t xml:space="preserve"> </w:t>
      </w:r>
    </w:p>
    <w:p w:rsidR="00FE4FF6" w:rsidP="00FE4FF6">
      <w:pPr>
        <w:autoSpaceDE w:val="0"/>
        <w:autoSpaceDN w:val="0"/>
        <w:bidi w:val="0"/>
        <w:adjustRightInd w:val="0"/>
        <w:ind w:firstLine="708"/>
        <w:jc w:val="both"/>
        <w:rPr>
          <w:rFonts w:ascii="Times New Roman" w:hAnsi="Times New Roman" w:cs="Times New Roman"/>
        </w:rPr>
      </w:pPr>
    </w:p>
    <w:p w:rsidR="00FE4FF6" w:rsidRPr="007F66EE" w:rsidP="00FE4FF6">
      <w:pPr>
        <w:autoSpaceDE w:val="0"/>
        <w:autoSpaceDN w:val="0"/>
        <w:bidi w:val="0"/>
        <w:adjustRightInd w:val="0"/>
        <w:ind w:firstLine="708"/>
        <w:jc w:val="both"/>
        <w:rPr>
          <w:rFonts w:ascii="Times New Roman" w:hAnsi="Times New Roman" w:cs="Times New Roman"/>
        </w:rPr>
      </w:pPr>
      <w:r w:rsidRPr="007F66EE">
        <w:rPr>
          <w:rFonts w:ascii="Times New Roman" w:hAnsi="Times New Roman" w:cs="Times New Roman"/>
        </w:rPr>
        <w:t xml:space="preserve">Návrh rozpočtu verejnej správy na roky 2012 až 2014 je zostavený na základe </w:t>
      </w:r>
      <w:r>
        <w:rPr>
          <w:rFonts w:ascii="Times New Roman" w:hAnsi="Times New Roman" w:cs="Times New Roman"/>
        </w:rPr>
        <w:t>augustovej</w:t>
      </w:r>
      <w:r w:rsidRPr="007F66EE">
        <w:rPr>
          <w:rFonts w:ascii="Times New Roman" w:hAnsi="Times New Roman" w:cs="Times New Roman"/>
        </w:rPr>
        <w:t xml:space="preserve"> prognózy makroekonomického vývoja a vychádza z Programového vyhlásenia vlády SR.</w:t>
      </w:r>
    </w:p>
    <w:p w:rsidR="00FE4FF6" w:rsidRPr="007F66EE" w:rsidP="00FE4FF6">
      <w:pPr>
        <w:autoSpaceDE w:val="0"/>
        <w:autoSpaceDN w:val="0"/>
        <w:bidi w:val="0"/>
        <w:adjustRightInd w:val="0"/>
        <w:ind w:firstLine="708"/>
        <w:jc w:val="both"/>
        <w:rPr>
          <w:rFonts w:ascii="Times New Roman" w:hAnsi="Times New Roman" w:cs="Times New Roman"/>
        </w:rPr>
      </w:pPr>
    </w:p>
    <w:p w:rsidR="00FE4FF6" w:rsidRPr="007F66EE" w:rsidP="00FE4FF6">
      <w:pPr>
        <w:autoSpaceDE w:val="0"/>
        <w:autoSpaceDN w:val="0"/>
        <w:bidi w:val="0"/>
        <w:adjustRightInd w:val="0"/>
        <w:ind w:firstLine="708"/>
        <w:jc w:val="both"/>
        <w:rPr>
          <w:rFonts w:ascii="Times New Roman" w:hAnsi="Times New Roman" w:cs="Times New Roman"/>
        </w:rPr>
      </w:pPr>
      <w:r w:rsidRPr="007F66EE">
        <w:rPr>
          <w:rFonts w:ascii="Times New Roman" w:hAnsi="Times New Roman" w:cs="Times New Roman"/>
        </w:rPr>
        <w:t xml:space="preserve">Hlavným cieľom fiškálnej politiky, vyplývajúcim z Programového vyhlásenia vlády SR, je zabezpečiť  zodpovednú rozpočtovú politiku a výrazné zníženie súčasného deficitu verejných financií, ktoré považuje vláda SR za základný predpoklad pre úspešný ekonomický vývoj a dlhodobo udržateľný rast životnej úrovne občanov Slovenskej republiky. Zásadným cieľom vlády SR je zníženie deficitu verejných financií pod úroveň 3 % </w:t>
      </w:r>
      <w:r>
        <w:rPr>
          <w:rFonts w:ascii="Times New Roman" w:hAnsi="Times New Roman" w:cs="Times New Roman"/>
        </w:rPr>
        <w:t>HDP</w:t>
      </w:r>
      <w:r w:rsidRPr="007F66EE">
        <w:rPr>
          <w:rFonts w:ascii="Times New Roman" w:hAnsi="Times New Roman" w:cs="Times New Roman"/>
        </w:rPr>
        <w:t xml:space="preserve"> v roku 2013 tak, aby Slovensko dodržalo svoje záväzky voči Európskej únii vyplývajúce z Paktu stability a rastu. </w:t>
      </w:r>
    </w:p>
    <w:p w:rsidR="00FE4FF6" w:rsidRPr="007F66EE" w:rsidP="00FE4FF6">
      <w:pPr>
        <w:bidi w:val="0"/>
        <w:ind w:firstLine="708"/>
        <w:jc w:val="both"/>
        <w:rPr>
          <w:rFonts w:ascii="Times New Roman" w:hAnsi="Times New Roman" w:cs="Times New Roman"/>
        </w:rPr>
      </w:pPr>
      <w:r w:rsidRPr="007F66EE">
        <w:rPr>
          <w:rFonts w:ascii="Times New Roman" w:hAnsi="Times New Roman" w:cs="Times New Roman"/>
        </w:rPr>
        <w:t>Vychádzajúc z týchto zámerov a ekonomických podmienok, rámec rozpočt</w:t>
      </w:r>
      <w:r>
        <w:rPr>
          <w:rFonts w:ascii="Times New Roman" w:hAnsi="Times New Roman" w:cs="Times New Roman"/>
        </w:rPr>
        <w:t xml:space="preserve">u verejnej správy na roky 2012 </w:t>
      </w:r>
      <w:r w:rsidRPr="007F66EE">
        <w:rPr>
          <w:rFonts w:ascii="Times New Roman" w:hAnsi="Times New Roman" w:cs="Times New Roman"/>
        </w:rPr>
        <w:t xml:space="preserve">až 2014 bol zostavený tak, aby sa zníženie plánovaného schodku rozpočtu verejnej správy pod 3 % HDP dosiahlo v roku 2013. </w:t>
      </w:r>
    </w:p>
    <w:p w:rsidR="00FE4FF6" w:rsidRPr="007F66EE" w:rsidP="00FE4FF6">
      <w:pPr>
        <w:pStyle w:val="Heading2"/>
        <w:bidi w:val="0"/>
        <w:spacing w:before="0" w:after="0"/>
        <w:rPr>
          <w:rFonts w:ascii="Times New Roman" w:hAnsi="Times New Roman"/>
          <w:i w:val="0"/>
          <w:iCs w:val="0"/>
          <w:sz w:val="24"/>
          <w:szCs w:val="24"/>
        </w:rPr>
      </w:pPr>
      <w:bookmarkStart w:id="16" w:name="_Toc211592392"/>
      <w:bookmarkStart w:id="17" w:name="_Toc206478401"/>
      <w:bookmarkStart w:id="18" w:name="_Toc174871967"/>
      <w:bookmarkStart w:id="19" w:name="_Toc148255242"/>
      <w:bookmarkStart w:id="20" w:name="_Toc143348594"/>
    </w:p>
    <w:p w:rsidR="00FE4FF6" w:rsidRPr="007F66EE" w:rsidP="00FE4FF6">
      <w:pPr>
        <w:pStyle w:val="Heading2"/>
        <w:bidi w:val="0"/>
        <w:spacing w:before="0" w:after="0"/>
        <w:rPr>
          <w:rFonts w:ascii="Times New Roman" w:hAnsi="Times New Roman"/>
          <w:i w:val="0"/>
          <w:iCs w:val="0"/>
          <w:sz w:val="24"/>
          <w:szCs w:val="24"/>
        </w:rPr>
      </w:pPr>
      <w:bookmarkStart w:id="21" w:name="_Toc273474198"/>
      <w:bookmarkStart w:id="22" w:name="_Toc282686535"/>
      <w:bookmarkStart w:id="23" w:name="_Toc300330897"/>
      <w:bookmarkStart w:id="24" w:name="_Toc300646582"/>
      <w:bookmarkStart w:id="25" w:name="_Toc306089056"/>
      <w:r>
        <w:rPr>
          <w:rFonts w:ascii="Times New Roman" w:hAnsi="Times New Roman"/>
          <w:i w:val="0"/>
          <w:iCs w:val="0"/>
          <w:sz w:val="24"/>
          <w:szCs w:val="24"/>
        </w:rPr>
        <w:t>3</w:t>
      </w:r>
      <w:r w:rsidRPr="007F66EE">
        <w:rPr>
          <w:rFonts w:ascii="Times New Roman" w:hAnsi="Times New Roman"/>
          <w:i w:val="0"/>
          <w:iCs w:val="0"/>
          <w:sz w:val="24"/>
          <w:szCs w:val="24"/>
        </w:rPr>
        <w:t>.2. Rámec na zostavenie rozpočtu verejnej správy</w:t>
      </w:r>
      <w:bookmarkEnd w:id="16"/>
      <w:bookmarkEnd w:id="17"/>
      <w:bookmarkEnd w:id="18"/>
      <w:bookmarkEnd w:id="19"/>
      <w:bookmarkEnd w:id="20"/>
      <w:bookmarkEnd w:id="21"/>
      <w:bookmarkEnd w:id="22"/>
      <w:bookmarkEnd w:id="23"/>
      <w:bookmarkEnd w:id="24"/>
      <w:bookmarkEnd w:id="25"/>
      <w:r w:rsidRPr="007F66EE">
        <w:rPr>
          <w:rFonts w:ascii="Times New Roman" w:hAnsi="Times New Roman"/>
          <w:i w:val="0"/>
          <w:iCs w:val="0"/>
          <w:sz w:val="24"/>
          <w:szCs w:val="24"/>
        </w:rPr>
        <w:t xml:space="preserve"> </w:t>
      </w:r>
    </w:p>
    <w:p w:rsidR="00FE4FF6" w:rsidRPr="007F66EE" w:rsidP="00FE4FF6">
      <w:pPr>
        <w:pStyle w:val="BodyText"/>
        <w:tabs>
          <w:tab w:val="left" w:pos="0"/>
        </w:tabs>
        <w:bidi w:val="0"/>
        <w:rPr>
          <w:rFonts w:ascii="Times New Roman" w:hAnsi="Times New Roman" w:cs="Times New Roman"/>
        </w:rPr>
      </w:pPr>
      <w:r w:rsidRPr="007F66EE">
        <w:rPr>
          <w:rFonts w:ascii="Times New Roman" w:hAnsi="Times New Roman" w:cs="Times New Roman"/>
        </w:rPr>
        <w:tab/>
      </w:r>
    </w:p>
    <w:p w:rsidR="00FE4FF6" w:rsidRPr="00273061" w:rsidP="00FE4FF6">
      <w:pPr>
        <w:pStyle w:val="BodyText"/>
        <w:tabs>
          <w:tab w:val="left" w:pos="0"/>
        </w:tabs>
        <w:bidi w:val="0"/>
        <w:rPr>
          <w:rFonts w:ascii="Times New Roman" w:hAnsi="Times New Roman" w:cs="Times New Roman"/>
        </w:rPr>
      </w:pPr>
      <w:r w:rsidRPr="007F66EE">
        <w:rPr>
          <w:rFonts w:ascii="Times New Roman" w:hAnsi="Times New Roman" w:cs="Times New Roman"/>
        </w:rPr>
        <w:tab/>
        <w:t>Nasledujúca tabuľka poskytuje prehľad o základných parametroch fiškálneho rámca, a to o </w:t>
      </w:r>
      <w:r w:rsidRPr="00273061">
        <w:rPr>
          <w:rFonts w:ascii="Times New Roman" w:hAnsi="Times New Roman" w:cs="Times New Roman"/>
        </w:rPr>
        <w:t xml:space="preserve">konkrétnych výškach schodku štátneho rozpočtu v metodike ESA 95 v jednotlivých rokoch zostavovaného rozpočtu a predpokladanom vývoji hospodárenia ostatných subjektov verejnej správy, pričom na dosiahnutie cielených schodkov v rokoch 2013 a 2014 je potrebné prijať dodatočné konsolidačné opatrenia vo výške </w:t>
      </w:r>
      <w:r>
        <w:rPr>
          <w:rFonts w:ascii="Times New Roman" w:hAnsi="Times New Roman" w:cs="Times New Roman"/>
        </w:rPr>
        <w:t>210,9</w:t>
      </w:r>
      <w:r w:rsidRPr="00273061">
        <w:rPr>
          <w:rFonts w:ascii="Times New Roman" w:hAnsi="Times New Roman" w:cs="Times New Roman"/>
        </w:rPr>
        <w:t xml:space="preserve"> mil. eur a</w:t>
      </w:r>
      <w:r>
        <w:rPr>
          <w:rFonts w:ascii="Times New Roman" w:hAnsi="Times New Roman" w:cs="Times New Roman"/>
        </w:rPr>
        <w:t> 75,2</w:t>
      </w:r>
      <w:r w:rsidRPr="00273061">
        <w:rPr>
          <w:rFonts w:ascii="Times New Roman" w:hAnsi="Times New Roman" w:cs="Times New Roman"/>
        </w:rPr>
        <w:t xml:space="preserve"> mil. eur.</w:t>
      </w:r>
    </w:p>
    <w:p w:rsidR="00FE4FF6" w:rsidRPr="00273061" w:rsidP="00FE4FF6">
      <w:pPr>
        <w:pStyle w:val="BodyText"/>
        <w:tabs>
          <w:tab w:val="left" w:pos="0"/>
        </w:tabs>
        <w:bidi w:val="0"/>
        <w:rPr>
          <w:rFonts w:ascii="Times New Roman" w:hAnsi="Times New Roman" w:cs="Times New Roman"/>
        </w:rPr>
      </w:pPr>
    </w:p>
    <w:tbl>
      <w:tblPr>
        <w:tblStyle w:val="TableNormal"/>
        <w:tblW w:w="4914" w:type="pct"/>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097"/>
        <w:gridCol w:w="685"/>
        <w:gridCol w:w="752"/>
        <w:gridCol w:w="751"/>
        <w:gridCol w:w="751"/>
        <w:gridCol w:w="766"/>
        <w:gridCol w:w="751"/>
        <w:gridCol w:w="753"/>
        <w:gridCol w:w="748"/>
      </w:tblGrid>
      <w:tr>
        <w:tblPrEx>
          <w:tblW w:w="4914" w:type="pct"/>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66"/>
          <w:jc w:val="center"/>
        </w:trPr>
        <w:tc>
          <w:tcPr>
            <w:tcW w:w="1710"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FE4FF6" w:rsidRPr="00273061" w:rsidP="001A4CB9">
            <w:pPr>
              <w:bidi w:val="0"/>
              <w:rPr>
                <w:rFonts w:ascii="Times New Roman" w:hAnsi="Times New Roman" w:cs="Times New Roman"/>
                <w:sz w:val="14"/>
                <w:szCs w:val="14"/>
                <w:lang w:eastAsia="sk-SK"/>
              </w:rPr>
            </w:pPr>
            <w:r w:rsidRPr="00273061">
              <w:rPr>
                <w:rFonts w:ascii="Times New Roman" w:hAnsi="Times New Roman" w:cs="Times New Roman"/>
                <w:sz w:val="14"/>
                <w:szCs w:val="14"/>
                <w:lang w:eastAsia="sk-SK"/>
              </w:rPr>
              <w:t> </w:t>
            </w:r>
          </w:p>
        </w:tc>
        <w:tc>
          <w:tcPr>
            <w:tcW w:w="378" w:type="pct"/>
            <w:tcBorders>
              <w:top w:val="single" w:sz="4" w:space="0" w:color="auto"/>
              <w:left w:val="single" w:sz="4" w:space="0" w:color="auto"/>
              <w:bottom w:val="single" w:sz="4" w:space="0" w:color="auto"/>
              <w:right w:val="single" w:sz="4" w:space="0" w:color="auto"/>
            </w:tcBorders>
            <w:shd w:val="clear" w:color="auto" w:fill="A6A6A6"/>
            <w:textDirection w:val="lrTb"/>
            <w:vAlign w:val="bottom"/>
            <w:hideMark/>
          </w:tcPr>
          <w:p w:rsidR="00FE4FF6" w:rsidRPr="00273061" w:rsidP="001A4CB9">
            <w:pPr>
              <w:bidi w:val="0"/>
              <w:jc w:val="center"/>
              <w:rPr>
                <w:rFonts w:ascii="Times New Roman" w:hAnsi="Times New Roman" w:cs="Times New Roman"/>
                <w:b/>
                <w:bCs/>
                <w:sz w:val="14"/>
                <w:szCs w:val="14"/>
                <w:lang w:eastAsia="sk-SK"/>
              </w:rPr>
            </w:pPr>
            <w:r w:rsidRPr="00273061">
              <w:rPr>
                <w:rFonts w:ascii="Times New Roman" w:hAnsi="Times New Roman" w:cs="Times New Roman"/>
                <w:b/>
                <w:bCs/>
                <w:sz w:val="14"/>
                <w:szCs w:val="14"/>
                <w:lang w:eastAsia="sk-SK"/>
              </w:rPr>
              <w:t>m. j.</w:t>
            </w:r>
          </w:p>
        </w:tc>
        <w:tc>
          <w:tcPr>
            <w:tcW w:w="41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E4FF6" w:rsidRPr="00273061" w:rsidP="001A4CB9">
            <w:pPr>
              <w:bidi w:val="0"/>
              <w:jc w:val="center"/>
              <w:rPr>
                <w:rFonts w:ascii="Times New Roman" w:hAnsi="Times New Roman" w:cs="Times New Roman"/>
                <w:b/>
                <w:bCs/>
                <w:sz w:val="14"/>
                <w:szCs w:val="14"/>
                <w:lang w:eastAsia="sk-SK"/>
              </w:rPr>
            </w:pPr>
            <w:r w:rsidRPr="00273061">
              <w:rPr>
                <w:rFonts w:ascii="Times New Roman" w:hAnsi="Times New Roman" w:cs="Times New Roman"/>
                <w:b/>
                <w:bCs/>
                <w:sz w:val="14"/>
                <w:szCs w:val="14"/>
                <w:lang w:eastAsia="sk-SK"/>
              </w:rPr>
              <w:t>2009 S</w:t>
            </w:r>
          </w:p>
        </w:tc>
        <w:tc>
          <w:tcPr>
            <w:tcW w:w="41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E4FF6" w:rsidRPr="00273061" w:rsidP="001A4CB9">
            <w:pPr>
              <w:bidi w:val="0"/>
              <w:jc w:val="center"/>
              <w:rPr>
                <w:rFonts w:ascii="Times New Roman" w:hAnsi="Times New Roman" w:cs="Times New Roman"/>
                <w:b/>
                <w:bCs/>
                <w:sz w:val="14"/>
                <w:szCs w:val="14"/>
                <w:lang w:eastAsia="sk-SK"/>
              </w:rPr>
            </w:pPr>
            <w:r w:rsidRPr="00273061">
              <w:rPr>
                <w:rFonts w:ascii="Times New Roman" w:hAnsi="Times New Roman" w:cs="Times New Roman"/>
                <w:b/>
                <w:bCs/>
                <w:sz w:val="14"/>
                <w:szCs w:val="14"/>
                <w:lang w:eastAsia="sk-SK"/>
              </w:rPr>
              <w:t>2010 S</w:t>
            </w:r>
          </w:p>
        </w:tc>
        <w:tc>
          <w:tcPr>
            <w:tcW w:w="41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E4FF6" w:rsidRPr="00273061" w:rsidP="001A4CB9">
            <w:pPr>
              <w:bidi w:val="0"/>
              <w:jc w:val="center"/>
              <w:rPr>
                <w:rFonts w:ascii="Times New Roman" w:hAnsi="Times New Roman" w:cs="Times New Roman"/>
                <w:b/>
                <w:bCs/>
                <w:sz w:val="14"/>
                <w:szCs w:val="14"/>
                <w:lang w:eastAsia="sk-SK"/>
              </w:rPr>
            </w:pPr>
            <w:r w:rsidRPr="00273061">
              <w:rPr>
                <w:rFonts w:ascii="Times New Roman" w:hAnsi="Times New Roman" w:cs="Times New Roman"/>
                <w:b/>
                <w:bCs/>
                <w:sz w:val="14"/>
                <w:szCs w:val="14"/>
                <w:lang w:eastAsia="sk-SK"/>
              </w:rPr>
              <w:t>2011 R</w:t>
            </w:r>
          </w:p>
        </w:tc>
        <w:tc>
          <w:tcPr>
            <w:tcW w:w="423"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E4FF6" w:rsidRPr="00273061" w:rsidP="001A4CB9">
            <w:pPr>
              <w:bidi w:val="0"/>
              <w:jc w:val="center"/>
              <w:rPr>
                <w:rFonts w:ascii="Times New Roman" w:hAnsi="Times New Roman" w:cs="Times New Roman"/>
                <w:b/>
                <w:bCs/>
                <w:sz w:val="14"/>
                <w:szCs w:val="14"/>
                <w:lang w:eastAsia="sk-SK"/>
              </w:rPr>
            </w:pPr>
            <w:r w:rsidRPr="00273061">
              <w:rPr>
                <w:rFonts w:ascii="Times New Roman" w:hAnsi="Times New Roman" w:cs="Times New Roman"/>
                <w:b/>
                <w:bCs/>
                <w:sz w:val="14"/>
                <w:szCs w:val="14"/>
                <w:lang w:eastAsia="sk-SK"/>
              </w:rPr>
              <w:t>2011 OS</w:t>
            </w:r>
          </w:p>
        </w:tc>
        <w:tc>
          <w:tcPr>
            <w:tcW w:w="41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E4FF6" w:rsidRPr="00273061" w:rsidP="001A4CB9">
            <w:pPr>
              <w:bidi w:val="0"/>
              <w:jc w:val="center"/>
              <w:rPr>
                <w:rFonts w:ascii="Times New Roman" w:hAnsi="Times New Roman" w:cs="Times New Roman"/>
                <w:b/>
                <w:bCs/>
                <w:sz w:val="14"/>
                <w:szCs w:val="14"/>
                <w:lang w:eastAsia="sk-SK"/>
              </w:rPr>
            </w:pPr>
            <w:r w:rsidRPr="00273061">
              <w:rPr>
                <w:rFonts w:ascii="Times New Roman" w:hAnsi="Times New Roman" w:cs="Times New Roman"/>
                <w:b/>
                <w:bCs/>
                <w:sz w:val="14"/>
                <w:szCs w:val="14"/>
                <w:lang w:eastAsia="sk-SK"/>
              </w:rPr>
              <w:t>2012 N</w:t>
            </w:r>
          </w:p>
        </w:tc>
        <w:tc>
          <w:tcPr>
            <w:tcW w:w="41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E4FF6" w:rsidRPr="00273061" w:rsidP="001A4CB9">
            <w:pPr>
              <w:bidi w:val="0"/>
              <w:jc w:val="center"/>
              <w:rPr>
                <w:rFonts w:ascii="Times New Roman" w:hAnsi="Times New Roman" w:cs="Times New Roman"/>
                <w:b/>
                <w:bCs/>
                <w:sz w:val="14"/>
                <w:szCs w:val="14"/>
                <w:lang w:eastAsia="sk-SK"/>
              </w:rPr>
            </w:pPr>
            <w:r w:rsidRPr="00273061">
              <w:rPr>
                <w:rFonts w:ascii="Times New Roman" w:hAnsi="Times New Roman" w:cs="Times New Roman"/>
                <w:b/>
                <w:bCs/>
                <w:sz w:val="14"/>
                <w:szCs w:val="14"/>
                <w:lang w:eastAsia="sk-SK"/>
              </w:rPr>
              <w:t>2013 N</w:t>
            </w:r>
          </w:p>
        </w:tc>
        <w:tc>
          <w:tcPr>
            <w:tcW w:w="413"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E4FF6" w:rsidRPr="00273061" w:rsidP="001A4CB9">
            <w:pPr>
              <w:bidi w:val="0"/>
              <w:jc w:val="center"/>
              <w:rPr>
                <w:rFonts w:ascii="Times New Roman" w:hAnsi="Times New Roman" w:cs="Times New Roman"/>
                <w:b/>
                <w:bCs/>
                <w:sz w:val="14"/>
                <w:szCs w:val="14"/>
                <w:lang w:eastAsia="sk-SK"/>
              </w:rPr>
            </w:pPr>
            <w:r w:rsidRPr="00273061">
              <w:rPr>
                <w:rFonts w:ascii="Times New Roman" w:hAnsi="Times New Roman" w:cs="Times New Roman"/>
                <w:b/>
                <w:bCs/>
                <w:sz w:val="14"/>
                <w:szCs w:val="14"/>
                <w:lang w:eastAsia="sk-SK"/>
              </w:rPr>
              <w:t>2014 N</w:t>
            </w:r>
          </w:p>
        </w:tc>
      </w:tr>
      <w:tr>
        <w:tblPrEx>
          <w:tblW w:w="4914" w:type="pct"/>
          <w:jc w:val="center"/>
          <w:tblInd w:w="158" w:type="dxa"/>
          <w:tblCellMar>
            <w:left w:w="70" w:type="dxa"/>
            <w:right w:w="70" w:type="dxa"/>
          </w:tblCellMar>
          <w:tblLook w:val="04A0"/>
        </w:tblPrEx>
        <w:trPr>
          <w:trHeight w:val="266"/>
          <w:jc w:val="center"/>
        </w:trPr>
        <w:tc>
          <w:tcPr>
            <w:tcW w:w="171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E4FF6" w:rsidRPr="00273061" w:rsidP="001A4CB9">
            <w:pPr>
              <w:bidi w:val="0"/>
              <w:rPr>
                <w:rFonts w:ascii="Times New Roman" w:hAnsi="Times New Roman" w:cs="Times New Roman"/>
                <w:sz w:val="14"/>
                <w:szCs w:val="14"/>
                <w:lang w:eastAsia="sk-SK"/>
              </w:rPr>
            </w:pPr>
            <w:r w:rsidRPr="00273061">
              <w:rPr>
                <w:rFonts w:ascii="Times New Roman" w:hAnsi="Times New Roman" w:cs="Times New Roman"/>
                <w:sz w:val="14"/>
                <w:szCs w:val="14"/>
                <w:lang w:eastAsia="sk-SK"/>
              </w:rPr>
              <w:t>Cielený podiel schodku RVS na HDP</w:t>
            </w:r>
          </w:p>
        </w:tc>
        <w:tc>
          <w:tcPr>
            <w:tcW w:w="37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E4FF6" w:rsidRPr="00273061" w:rsidP="001A4CB9">
            <w:pPr>
              <w:bidi w:val="0"/>
              <w:jc w:val="center"/>
              <w:rPr>
                <w:rFonts w:ascii="Times New Roman" w:hAnsi="Times New Roman" w:cs="Times New Roman"/>
                <w:sz w:val="14"/>
                <w:szCs w:val="14"/>
                <w:lang w:eastAsia="sk-SK"/>
              </w:rPr>
            </w:pPr>
            <w:r w:rsidRPr="00273061">
              <w:rPr>
                <w:rFonts w:ascii="Times New Roman" w:hAnsi="Times New Roman" w:cs="Times New Roman"/>
                <w:sz w:val="14"/>
                <w:szCs w:val="14"/>
                <w:lang w:eastAsia="sk-SK"/>
              </w:rPr>
              <w:t>%</w:t>
            </w:r>
          </w:p>
        </w:tc>
        <w:tc>
          <w:tcPr>
            <w:tcW w:w="41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FE4FF6" w:rsidRPr="00273061" w:rsidP="001A4CB9">
            <w:pPr>
              <w:bidi w:val="0"/>
              <w:jc w:val="right"/>
              <w:rPr>
                <w:rFonts w:ascii="Times New Roman" w:hAnsi="Times New Roman" w:cs="Times New Roman"/>
                <w:sz w:val="14"/>
                <w:szCs w:val="14"/>
                <w:lang w:eastAsia="sk-SK"/>
              </w:rPr>
            </w:pPr>
          </w:p>
        </w:tc>
        <w:tc>
          <w:tcPr>
            <w:tcW w:w="41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FE4FF6" w:rsidRPr="00273061" w:rsidP="001A4CB9">
            <w:pPr>
              <w:bidi w:val="0"/>
              <w:jc w:val="right"/>
              <w:rPr>
                <w:rFonts w:ascii="Times New Roman" w:hAnsi="Times New Roman" w:cs="Times New Roman"/>
                <w:sz w:val="14"/>
                <w:szCs w:val="14"/>
                <w:lang w:eastAsia="sk-SK"/>
              </w:rPr>
            </w:pPr>
          </w:p>
        </w:tc>
        <w:tc>
          <w:tcPr>
            <w:tcW w:w="41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FE4FF6" w:rsidRPr="00273061" w:rsidP="001A4CB9">
            <w:pPr>
              <w:bidi w:val="0"/>
              <w:jc w:val="right"/>
              <w:rPr>
                <w:rFonts w:ascii="Times New Roman" w:hAnsi="Times New Roman" w:cs="Times New Roman"/>
                <w:sz w:val="14"/>
                <w:szCs w:val="14"/>
                <w:lang w:eastAsia="sk-SK"/>
              </w:rPr>
            </w:pPr>
          </w:p>
        </w:tc>
        <w:tc>
          <w:tcPr>
            <w:tcW w:w="42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FE4FF6" w:rsidRPr="00273061" w:rsidP="001A4CB9">
            <w:pPr>
              <w:bidi w:val="0"/>
              <w:jc w:val="right"/>
              <w:rPr>
                <w:rFonts w:ascii="Times New Roman" w:hAnsi="Times New Roman" w:cs="Times New Roman"/>
                <w:sz w:val="14"/>
                <w:szCs w:val="14"/>
                <w:lang w:eastAsia="sk-SK"/>
              </w:rPr>
            </w:pPr>
          </w:p>
        </w:tc>
        <w:tc>
          <w:tcPr>
            <w:tcW w:w="41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-3,8</w:t>
            </w:r>
          </w:p>
        </w:tc>
        <w:tc>
          <w:tcPr>
            <w:tcW w:w="41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-2,9</w:t>
            </w:r>
          </w:p>
        </w:tc>
        <w:tc>
          <w:tcPr>
            <w:tcW w:w="41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-2,8</w:t>
            </w:r>
          </w:p>
        </w:tc>
      </w:tr>
      <w:tr>
        <w:tblPrEx>
          <w:tblW w:w="4914" w:type="pct"/>
          <w:jc w:val="center"/>
          <w:tblInd w:w="158" w:type="dxa"/>
          <w:tblCellMar>
            <w:left w:w="70" w:type="dxa"/>
            <w:right w:w="70" w:type="dxa"/>
          </w:tblCellMar>
          <w:tblLook w:val="04A0"/>
        </w:tblPrEx>
        <w:trPr>
          <w:trHeight w:val="266"/>
          <w:jc w:val="center"/>
        </w:trPr>
        <w:tc>
          <w:tcPr>
            <w:tcW w:w="1710" w:type="pct"/>
            <w:tcBorders>
              <w:top w:val="single" w:sz="4" w:space="0" w:color="auto"/>
              <w:left w:val="single" w:sz="4" w:space="0" w:color="auto"/>
              <w:bottom w:val="single" w:sz="4" w:space="0" w:color="auto"/>
              <w:right w:val="single" w:sz="4" w:space="0" w:color="auto"/>
            </w:tcBorders>
            <w:noWrap/>
            <w:textDirection w:val="lrTb"/>
            <w:vAlign w:val="center"/>
          </w:tcPr>
          <w:p w:rsidR="00FE4FF6" w:rsidRPr="00273061" w:rsidP="001A4CB9">
            <w:pPr>
              <w:bidi w:val="0"/>
              <w:rPr>
                <w:rFonts w:ascii="Times New Roman" w:hAnsi="Times New Roman" w:cs="Times New Roman"/>
                <w:sz w:val="14"/>
                <w:szCs w:val="14"/>
                <w:lang w:eastAsia="sk-SK"/>
              </w:rPr>
            </w:pPr>
            <w:r w:rsidRPr="00273061">
              <w:rPr>
                <w:rFonts w:ascii="Times New Roman" w:hAnsi="Times New Roman" w:cs="Times New Roman"/>
                <w:sz w:val="14"/>
                <w:szCs w:val="14"/>
                <w:lang w:eastAsia="sk-SK"/>
              </w:rPr>
              <w:t>Cielený schodok RVS</w:t>
            </w:r>
          </w:p>
        </w:tc>
        <w:tc>
          <w:tcPr>
            <w:tcW w:w="378"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273061" w:rsidP="001A4CB9">
            <w:pPr>
              <w:bidi w:val="0"/>
              <w:jc w:val="center"/>
              <w:rPr>
                <w:rFonts w:ascii="Times New Roman" w:hAnsi="Times New Roman" w:cs="Times New Roman"/>
                <w:sz w:val="14"/>
                <w:szCs w:val="14"/>
                <w:lang w:eastAsia="sk-SK"/>
              </w:rPr>
            </w:pPr>
            <w:r w:rsidRPr="00273061">
              <w:rPr>
                <w:rFonts w:ascii="Times New Roman" w:hAnsi="Times New Roman" w:cs="Times New Roman"/>
                <w:sz w:val="14"/>
                <w:szCs w:val="14"/>
                <w:lang w:eastAsia="sk-SK"/>
              </w:rPr>
              <w:t>mil. eur</w:t>
            </w:r>
          </w:p>
        </w:tc>
        <w:tc>
          <w:tcPr>
            <w:tcW w:w="415"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273061" w:rsidP="001A4CB9">
            <w:pPr>
              <w:bidi w:val="0"/>
              <w:jc w:val="right"/>
              <w:rPr>
                <w:rFonts w:ascii="Times New Roman" w:hAnsi="Times New Roman" w:cs="Times New Roman"/>
                <w:sz w:val="14"/>
                <w:szCs w:val="14"/>
                <w:lang w:eastAsia="sk-SK"/>
              </w:rPr>
            </w:pPr>
          </w:p>
        </w:tc>
        <w:tc>
          <w:tcPr>
            <w:tcW w:w="415"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273061" w:rsidP="001A4CB9">
            <w:pPr>
              <w:bidi w:val="0"/>
              <w:jc w:val="right"/>
              <w:rPr>
                <w:rFonts w:ascii="Times New Roman" w:hAnsi="Times New Roman" w:cs="Times New Roman"/>
                <w:sz w:val="14"/>
                <w:szCs w:val="14"/>
                <w:lang w:eastAsia="sk-SK"/>
              </w:rPr>
            </w:pPr>
          </w:p>
        </w:tc>
        <w:tc>
          <w:tcPr>
            <w:tcW w:w="415"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273061" w:rsidP="001A4CB9">
            <w:pPr>
              <w:bidi w:val="0"/>
              <w:jc w:val="right"/>
              <w:rPr>
                <w:rFonts w:ascii="Times New Roman" w:hAnsi="Times New Roman" w:cs="Times New Roman"/>
                <w:sz w:val="14"/>
                <w:szCs w:val="14"/>
                <w:lang w:eastAsia="sk-SK"/>
              </w:rPr>
            </w:pPr>
          </w:p>
        </w:tc>
        <w:tc>
          <w:tcPr>
            <w:tcW w:w="423"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273061" w:rsidP="001A4CB9">
            <w:pPr>
              <w:bidi w:val="0"/>
              <w:jc w:val="right"/>
              <w:rPr>
                <w:rFonts w:ascii="Times New Roman" w:hAnsi="Times New Roman" w:cs="Times New Roman"/>
                <w:sz w:val="14"/>
                <w:szCs w:val="14"/>
                <w:lang w:eastAsia="sk-SK"/>
              </w:rPr>
            </w:pPr>
          </w:p>
        </w:tc>
        <w:tc>
          <w:tcPr>
            <w:tcW w:w="415"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-2 831,8</w:t>
            </w:r>
          </w:p>
        </w:tc>
        <w:tc>
          <w:tcPr>
            <w:tcW w:w="416"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-2 273,6</w:t>
            </w:r>
          </w:p>
        </w:tc>
        <w:tc>
          <w:tcPr>
            <w:tcW w:w="413"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-2 343,1</w:t>
            </w:r>
          </w:p>
        </w:tc>
      </w:tr>
      <w:tr>
        <w:tblPrEx>
          <w:tblW w:w="4914" w:type="pct"/>
          <w:jc w:val="center"/>
          <w:tblInd w:w="158" w:type="dxa"/>
          <w:tblCellMar>
            <w:left w:w="70" w:type="dxa"/>
            <w:right w:w="70" w:type="dxa"/>
          </w:tblCellMar>
          <w:tblLook w:val="04A0"/>
        </w:tblPrEx>
        <w:trPr>
          <w:trHeight w:val="266"/>
          <w:jc w:val="center"/>
        </w:trPr>
        <w:tc>
          <w:tcPr>
            <w:tcW w:w="1710" w:type="pct"/>
            <w:tcBorders>
              <w:top w:val="single" w:sz="4" w:space="0" w:color="auto"/>
              <w:left w:val="single" w:sz="4" w:space="0" w:color="auto"/>
              <w:bottom w:val="single" w:sz="4" w:space="0" w:color="auto"/>
              <w:right w:val="single" w:sz="4" w:space="0" w:color="auto"/>
            </w:tcBorders>
            <w:noWrap/>
            <w:textDirection w:val="lrTb"/>
            <w:vAlign w:val="center"/>
          </w:tcPr>
          <w:p w:rsidR="00FE4FF6" w:rsidRPr="00273061" w:rsidP="001A4CB9">
            <w:pPr>
              <w:bidi w:val="0"/>
              <w:rPr>
                <w:rFonts w:ascii="Times New Roman" w:hAnsi="Times New Roman" w:cs="Times New Roman"/>
                <w:sz w:val="14"/>
                <w:szCs w:val="14"/>
                <w:lang w:eastAsia="sk-SK"/>
              </w:rPr>
            </w:pPr>
            <w:r w:rsidRPr="00273061">
              <w:rPr>
                <w:rFonts w:ascii="Times New Roman" w:hAnsi="Times New Roman" w:cs="Times New Roman"/>
                <w:sz w:val="14"/>
                <w:szCs w:val="14"/>
                <w:lang w:eastAsia="sk-SK"/>
              </w:rPr>
              <w:t>Podiel schodku RVS na HDP</w:t>
            </w:r>
          </w:p>
        </w:tc>
        <w:tc>
          <w:tcPr>
            <w:tcW w:w="378"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273061" w:rsidP="001A4CB9">
            <w:pPr>
              <w:bidi w:val="0"/>
              <w:jc w:val="center"/>
              <w:rPr>
                <w:rFonts w:ascii="Times New Roman" w:hAnsi="Times New Roman" w:cs="Times New Roman"/>
                <w:sz w:val="14"/>
                <w:szCs w:val="14"/>
                <w:lang w:eastAsia="sk-SK"/>
              </w:rPr>
            </w:pPr>
            <w:r w:rsidRPr="00273061">
              <w:rPr>
                <w:rFonts w:ascii="Times New Roman" w:hAnsi="Times New Roman" w:cs="Times New Roman"/>
                <w:sz w:val="14"/>
                <w:szCs w:val="14"/>
                <w:lang w:eastAsia="sk-SK"/>
              </w:rPr>
              <w:t>%</w:t>
            </w:r>
          </w:p>
        </w:tc>
        <w:tc>
          <w:tcPr>
            <w:tcW w:w="415"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-8,0</w:t>
            </w:r>
          </w:p>
        </w:tc>
        <w:tc>
          <w:tcPr>
            <w:tcW w:w="415"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-7,9</w:t>
            </w:r>
          </w:p>
        </w:tc>
        <w:tc>
          <w:tcPr>
            <w:tcW w:w="415"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-4,9</w:t>
            </w:r>
          </w:p>
        </w:tc>
        <w:tc>
          <w:tcPr>
            <w:tcW w:w="423"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-4,9</w:t>
            </w:r>
          </w:p>
        </w:tc>
        <w:tc>
          <w:tcPr>
            <w:tcW w:w="415"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-3,8</w:t>
            </w:r>
          </w:p>
        </w:tc>
        <w:tc>
          <w:tcPr>
            <w:tcW w:w="416"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-3,</w:t>
            </w:r>
            <w:r>
              <w:rPr>
                <w:rFonts w:ascii="Times New Roman" w:hAnsi="Times New Roman" w:cs="Times New Roman"/>
                <w:sz w:val="14"/>
                <w:szCs w:val="14"/>
                <w:lang w:eastAsia="sk-SK"/>
              </w:rPr>
              <w:t>2</w:t>
            </w:r>
          </w:p>
        </w:tc>
        <w:tc>
          <w:tcPr>
            <w:tcW w:w="413"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w:t>
            </w:r>
            <w:r>
              <w:rPr>
                <w:rFonts w:ascii="Times New Roman" w:hAnsi="Times New Roman" w:cs="Times New Roman"/>
                <w:sz w:val="14"/>
                <w:szCs w:val="14"/>
                <w:lang w:eastAsia="sk-SK"/>
              </w:rPr>
              <w:t>2,9</w:t>
            </w:r>
          </w:p>
        </w:tc>
      </w:tr>
      <w:tr>
        <w:tblPrEx>
          <w:tblW w:w="4914" w:type="pct"/>
          <w:jc w:val="center"/>
          <w:tblInd w:w="158" w:type="dxa"/>
          <w:tblCellMar>
            <w:left w:w="70" w:type="dxa"/>
            <w:right w:w="70" w:type="dxa"/>
          </w:tblCellMar>
          <w:tblLook w:val="04A0"/>
        </w:tblPrEx>
        <w:trPr>
          <w:trHeight w:val="266"/>
          <w:jc w:val="center"/>
        </w:trPr>
        <w:tc>
          <w:tcPr>
            <w:tcW w:w="1710" w:type="pct"/>
            <w:tcBorders>
              <w:top w:val="single" w:sz="4" w:space="0" w:color="auto"/>
              <w:left w:val="single" w:sz="4" w:space="0" w:color="auto"/>
              <w:bottom w:val="single" w:sz="4" w:space="0" w:color="auto"/>
              <w:right w:val="single" w:sz="4" w:space="0" w:color="auto"/>
            </w:tcBorders>
            <w:noWrap/>
            <w:textDirection w:val="lrTb"/>
            <w:vAlign w:val="center"/>
          </w:tcPr>
          <w:p w:rsidR="00FE4FF6" w:rsidRPr="00273061" w:rsidP="001A4CB9">
            <w:pPr>
              <w:bidi w:val="0"/>
              <w:rPr>
                <w:rFonts w:ascii="Times New Roman" w:hAnsi="Times New Roman" w:cs="Times New Roman"/>
                <w:sz w:val="14"/>
                <w:szCs w:val="14"/>
                <w:lang w:eastAsia="sk-SK"/>
              </w:rPr>
            </w:pPr>
            <w:r w:rsidRPr="00273061">
              <w:rPr>
                <w:rFonts w:ascii="Times New Roman" w:hAnsi="Times New Roman" w:cs="Times New Roman"/>
                <w:sz w:val="14"/>
                <w:szCs w:val="14"/>
                <w:lang w:eastAsia="sk-SK"/>
              </w:rPr>
              <w:t>Potreba dodatočných konsolidačných opatrení</w:t>
            </w:r>
          </w:p>
        </w:tc>
        <w:tc>
          <w:tcPr>
            <w:tcW w:w="378"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273061" w:rsidP="001A4CB9">
            <w:pPr>
              <w:bidi w:val="0"/>
              <w:jc w:val="center"/>
              <w:rPr>
                <w:rFonts w:ascii="Times New Roman" w:hAnsi="Times New Roman" w:cs="Times New Roman"/>
                <w:sz w:val="14"/>
                <w:szCs w:val="14"/>
                <w:lang w:eastAsia="sk-SK"/>
              </w:rPr>
            </w:pPr>
            <w:r w:rsidRPr="00273061">
              <w:rPr>
                <w:rFonts w:ascii="Times New Roman" w:hAnsi="Times New Roman" w:cs="Times New Roman"/>
                <w:sz w:val="14"/>
                <w:szCs w:val="14"/>
                <w:lang w:eastAsia="sk-SK"/>
              </w:rPr>
              <w:t>mil. eur</w:t>
            </w:r>
          </w:p>
        </w:tc>
        <w:tc>
          <w:tcPr>
            <w:tcW w:w="415"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w:t>
            </w:r>
          </w:p>
        </w:tc>
        <w:tc>
          <w:tcPr>
            <w:tcW w:w="415"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w:t>
            </w:r>
          </w:p>
        </w:tc>
        <w:tc>
          <w:tcPr>
            <w:tcW w:w="415"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w:t>
            </w:r>
          </w:p>
        </w:tc>
        <w:tc>
          <w:tcPr>
            <w:tcW w:w="423"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w:t>
            </w:r>
          </w:p>
        </w:tc>
        <w:tc>
          <w:tcPr>
            <w:tcW w:w="415"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w:t>
            </w:r>
          </w:p>
        </w:tc>
        <w:tc>
          <w:tcPr>
            <w:tcW w:w="416"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273061" w:rsidP="001A4CB9">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210,9</w:t>
            </w:r>
          </w:p>
        </w:tc>
        <w:tc>
          <w:tcPr>
            <w:tcW w:w="413"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273061" w:rsidP="001A4CB9">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75,2</w:t>
            </w:r>
          </w:p>
        </w:tc>
      </w:tr>
      <w:tr>
        <w:tblPrEx>
          <w:tblW w:w="4914" w:type="pct"/>
          <w:jc w:val="center"/>
          <w:tblInd w:w="158" w:type="dxa"/>
          <w:tblCellMar>
            <w:left w:w="70" w:type="dxa"/>
            <w:right w:w="70" w:type="dxa"/>
          </w:tblCellMar>
          <w:tblLook w:val="04A0"/>
        </w:tblPrEx>
        <w:trPr>
          <w:trHeight w:val="266"/>
          <w:jc w:val="center"/>
        </w:trPr>
        <w:tc>
          <w:tcPr>
            <w:tcW w:w="1710"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273061" w:rsidP="001A4CB9">
            <w:pPr>
              <w:bidi w:val="0"/>
              <w:rPr>
                <w:rFonts w:ascii="Times New Roman" w:hAnsi="Times New Roman" w:cs="Times New Roman"/>
                <w:sz w:val="14"/>
                <w:szCs w:val="14"/>
                <w:lang w:eastAsia="sk-SK"/>
              </w:rPr>
            </w:pPr>
            <w:r w:rsidRPr="00273061">
              <w:rPr>
                <w:rFonts w:ascii="Times New Roman" w:hAnsi="Times New Roman" w:cs="Times New Roman"/>
                <w:sz w:val="14"/>
                <w:szCs w:val="14"/>
                <w:lang w:eastAsia="sk-SK"/>
              </w:rPr>
              <w:t>Rozpočet VS spolu</w:t>
            </w:r>
          </w:p>
        </w:tc>
        <w:tc>
          <w:tcPr>
            <w:tcW w:w="378"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273061" w:rsidP="001A4CB9">
            <w:pPr>
              <w:bidi w:val="0"/>
              <w:jc w:val="center"/>
              <w:rPr>
                <w:rFonts w:ascii="Times New Roman" w:hAnsi="Times New Roman" w:cs="Times New Roman"/>
                <w:sz w:val="14"/>
                <w:szCs w:val="14"/>
                <w:lang w:eastAsia="sk-SK"/>
              </w:rPr>
            </w:pPr>
            <w:r w:rsidRPr="00273061">
              <w:rPr>
                <w:rFonts w:ascii="Times New Roman" w:hAnsi="Times New Roman" w:cs="Times New Roman"/>
                <w:sz w:val="14"/>
                <w:szCs w:val="14"/>
                <w:lang w:eastAsia="sk-SK"/>
              </w:rPr>
              <w:t>mil. eur</w:t>
            </w:r>
          </w:p>
        </w:tc>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-5 022,0</w:t>
            </w:r>
          </w:p>
        </w:tc>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-5 207,0</w:t>
            </w:r>
          </w:p>
        </w:tc>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-3 448,9</w:t>
            </w:r>
          </w:p>
        </w:tc>
        <w:tc>
          <w:tcPr>
            <w:tcW w:w="423"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-3 443,2</w:t>
            </w:r>
          </w:p>
        </w:tc>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-2 831,8</w:t>
            </w:r>
          </w:p>
        </w:tc>
        <w:tc>
          <w:tcPr>
            <w:tcW w:w="416"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-2</w:t>
            </w:r>
            <w:r>
              <w:rPr>
                <w:rFonts w:ascii="Times New Roman" w:hAnsi="Times New Roman" w:cs="Times New Roman"/>
                <w:sz w:val="14"/>
                <w:szCs w:val="14"/>
                <w:lang w:eastAsia="sk-SK"/>
              </w:rPr>
              <w:t> 484,5</w:t>
            </w:r>
          </w:p>
        </w:tc>
        <w:tc>
          <w:tcPr>
            <w:tcW w:w="413"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-2</w:t>
            </w:r>
            <w:r>
              <w:rPr>
                <w:rFonts w:ascii="Times New Roman" w:hAnsi="Times New Roman" w:cs="Times New Roman"/>
                <w:sz w:val="14"/>
                <w:szCs w:val="14"/>
                <w:lang w:eastAsia="sk-SK"/>
              </w:rPr>
              <w:t> 418,3</w:t>
            </w:r>
          </w:p>
        </w:tc>
      </w:tr>
      <w:tr>
        <w:tblPrEx>
          <w:tblW w:w="4914" w:type="pct"/>
          <w:jc w:val="center"/>
          <w:tblInd w:w="158" w:type="dxa"/>
          <w:tblCellMar>
            <w:left w:w="70" w:type="dxa"/>
            <w:right w:w="70" w:type="dxa"/>
          </w:tblCellMar>
          <w:tblLook w:val="04A0"/>
        </w:tblPrEx>
        <w:trPr>
          <w:trHeight w:val="266"/>
          <w:jc w:val="center"/>
        </w:trPr>
        <w:tc>
          <w:tcPr>
            <w:tcW w:w="1710"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273061" w:rsidP="001A4CB9">
            <w:pPr>
              <w:bidi w:val="0"/>
              <w:rPr>
                <w:rFonts w:ascii="Times New Roman" w:hAnsi="Times New Roman" w:cs="Times New Roman"/>
                <w:sz w:val="14"/>
                <w:szCs w:val="14"/>
                <w:lang w:eastAsia="sk-SK"/>
              </w:rPr>
            </w:pPr>
            <w:r w:rsidRPr="00273061">
              <w:rPr>
                <w:rFonts w:ascii="Times New Roman" w:hAnsi="Times New Roman" w:cs="Times New Roman"/>
                <w:sz w:val="14"/>
                <w:szCs w:val="14"/>
                <w:lang w:eastAsia="sk-SK"/>
              </w:rPr>
              <w:t>Ostatné subjekty rozpočtu VS</w:t>
            </w:r>
          </w:p>
        </w:tc>
        <w:tc>
          <w:tcPr>
            <w:tcW w:w="378"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273061" w:rsidP="001A4CB9">
            <w:pPr>
              <w:bidi w:val="0"/>
              <w:jc w:val="center"/>
              <w:rPr>
                <w:rFonts w:ascii="Times New Roman" w:hAnsi="Times New Roman" w:cs="Times New Roman"/>
                <w:sz w:val="14"/>
                <w:szCs w:val="14"/>
                <w:lang w:eastAsia="sk-SK"/>
              </w:rPr>
            </w:pPr>
            <w:r w:rsidRPr="00273061">
              <w:rPr>
                <w:rFonts w:ascii="Times New Roman" w:hAnsi="Times New Roman" w:cs="Times New Roman"/>
                <w:sz w:val="14"/>
                <w:szCs w:val="14"/>
                <w:lang w:eastAsia="sk-SK"/>
              </w:rPr>
              <w:t>mil. eur</w:t>
            </w:r>
          </w:p>
        </w:tc>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-646,7</w:t>
            </w:r>
          </w:p>
        </w:tc>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-781,4</w:t>
            </w:r>
          </w:p>
        </w:tc>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257,6</w:t>
            </w:r>
          </w:p>
        </w:tc>
        <w:tc>
          <w:tcPr>
            <w:tcW w:w="423"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-110,7</w:t>
            </w:r>
          </w:p>
        </w:tc>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273061" w:rsidP="001A4CB9">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51,2</w:t>
            </w:r>
          </w:p>
        </w:tc>
        <w:tc>
          <w:tcPr>
            <w:tcW w:w="416"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192,</w:t>
            </w:r>
            <w:r>
              <w:rPr>
                <w:rFonts w:ascii="Times New Roman" w:hAnsi="Times New Roman" w:cs="Times New Roman"/>
                <w:sz w:val="14"/>
                <w:szCs w:val="14"/>
                <w:lang w:eastAsia="sk-SK"/>
              </w:rPr>
              <w:t>1</w:t>
            </w:r>
          </w:p>
        </w:tc>
        <w:tc>
          <w:tcPr>
            <w:tcW w:w="413"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104,</w:t>
            </w:r>
            <w:r>
              <w:rPr>
                <w:rFonts w:ascii="Times New Roman" w:hAnsi="Times New Roman" w:cs="Times New Roman"/>
                <w:sz w:val="14"/>
                <w:szCs w:val="14"/>
                <w:lang w:eastAsia="sk-SK"/>
              </w:rPr>
              <w:t>2</w:t>
            </w:r>
          </w:p>
        </w:tc>
      </w:tr>
      <w:tr>
        <w:tblPrEx>
          <w:tblW w:w="4914" w:type="pct"/>
          <w:jc w:val="center"/>
          <w:tblInd w:w="158" w:type="dxa"/>
          <w:tblCellMar>
            <w:left w:w="70" w:type="dxa"/>
            <w:right w:w="70" w:type="dxa"/>
          </w:tblCellMar>
          <w:tblLook w:val="04A0"/>
        </w:tblPrEx>
        <w:trPr>
          <w:trHeight w:val="266"/>
          <w:jc w:val="center"/>
        </w:trPr>
        <w:tc>
          <w:tcPr>
            <w:tcW w:w="1710"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273061" w:rsidP="001A4CB9">
            <w:pPr>
              <w:bidi w:val="0"/>
              <w:rPr>
                <w:rFonts w:ascii="Times New Roman" w:hAnsi="Times New Roman" w:cs="Times New Roman"/>
                <w:sz w:val="14"/>
                <w:szCs w:val="14"/>
                <w:lang w:eastAsia="sk-SK"/>
              </w:rPr>
            </w:pPr>
            <w:r w:rsidRPr="00273061">
              <w:rPr>
                <w:rFonts w:ascii="Times New Roman" w:hAnsi="Times New Roman" w:cs="Times New Roman"/>
                <w:sz w:val="14"/>
                <w:szCs w:val="14"/>
                <w:lang w:eastAsia="sk-SK"/>
              </w:rPr>
              <w:t xml:space="preserve">Štátny rozpočet </w:t>
            </w:r>
          </w:p>
        </w:tc>
        <w:tc>
          <w:tcPr>
            <w:tcW w:w="378"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273061" w:rsidP="001A4CB9">
            <w:pPr>
              <w:bidi w:val="0"/>
              <w:jc w:val="center"/>
              <w:rPr>
                <w:rFonts w:ascii="Times New Roman" w:hAnsi="Times New Roman" w:cs="Times New Roman"/>
                <w:sz w:val="14"/>
                <w:szCs w:val="14"/>
                <w:lang w:eastAsia="sk-SK"/>
              </w:rPr>
            </w:pPr>
            <w:r w:rsidRPr="00273061">
              <w:rPr>
                <w:rFonts w:ascii="Times New Roman" w:hAnsi="Times New Roman" w:cs="Times New Roman"/>
                <w:sz w:val="14"/>
                <w:szCs w:val="14"/>
                <w:lang w:eastAsia="sk-SK"/>
              </w:rPr>
              <w:t>mil. eur</w:t>
            </w:r>
          </w:p>
        </w:tc>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-4 375,3</w:t>
            </w:r>
          </w:p>
        </w:tc>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-4 425,6</w:t>
            </w:r>
          </w:p>
        </w:tc>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-3 706,5</w:t>
            </w:r>
          </w:p>
        </w:tc>
        <w:tc>
          <w:tcPr>
            <w:tcW w:w="423"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-3 332,5</w:t>
            </w:r>
          </w:p>
        </w:tc>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-2</w:t>
            </w:r>
            <w:r>
              <w:rPr>
                <w:rFonts w:ascii="Times New Roman" w:hAnsi="Times New Roman" w:cs="Times New Roman"/>
                <w:sz w:val="14"/>
                <w:szCs w:val="14"/>
                <w:lang w:eastAsia="sk-SK"/>
              </w:rPr>
              <w:t> </w:t>
            </w:r>
            <w:r w:rsidRPr="00273061">
              <w:rPr>
                <w:rFonts w:ascii="Times New Roman" w:hAnsi="Times New Roman" w:cs="Times New Roman"/>
                <w:sz w:val="14"/>
                <w:szCs w:val="14"/>
                <w:lang w:eastAsia="sk-SK"/>
              </w:rPr>
              <w:t>8</w:t>
            </w:r>
            <w:r>
              <w:rPr>
                <w:rFonts w:ascii="Times New Roman" w:hAnsi="Times New Roman" w:cs="Times New Roman"/>
                <w:sz w:val="14"/>
                <w:szCs w:val="14"/>
                <w:lang w:eastAsia="sk-SK"/>
              </w:rPr>
              <w:t>83,</w:t>
            </w:r>
            <w:r w:rsidRPr="00273061">
              <w:rPr>
                <w:rFonts w:ascii="Times New Roman" w:hAnsi="Times New Roman" w:cs="Times New Roman"/>
                <w:sz w:val="14"/>
                <w:szCs w:val="14"/>
                <w:lang w:eastAsia="sk-SK"/>
              </w:rPr>
              <w:t>0</w:t>
            </w:r>
          </w:p>
        </w:tc>
        <w:tc>
          <w:tcPr>
            <w:tcW w:w="416"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-2</w:t>
            </w:r>
            <w:r>
              <w:rPr>
                <w:rFonts w:ascii="Times New Roman" w:hAnsi="Times New Roman" w:cs="Times New Roman"/>
                <w:sz w:val="14"/>
                <w:szCs w:val="14"/>
                <w:lang w:eastAsia="sk-SK"/>
              </w:rPr>
              <w:t> 676,6</w:t>
            </w:r>
          </w:p>
        </w:tc>
        <w:tc>
          <w:tcPr>
            <w:tcW w:w="413"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-2</w:t>
            </w:r>
            <w:r>
              <w:rPr>
                <w:rFonts w:ascii="Times New Roman" w:hAnsi="Times New Roman" w:cs="Times New Roman"/>
                <w:sz w:val="14"/>
                <w:szCs w:val="14"/>
                <w:lang w:eastAsia="sk-SK"/>
              </w:rPr>
              <w:t> 522,5</w:t>
            </w:r>
          </w:p>
        </w:tc>
      </w:tr>
      <w:tr>
        <w:tblPrEx>
          <w:tblW w:w="4914" w:type="pct"/>
          <w:jc w:val="center"/>
          <w:tblInd w:w="158" w:type="dxa"/>
          <w:tblCellMar>
            <w:left w:w="70" w:type="dxa"/>
            <w:right w:w="70" w:type="dxa"/>
          </w:tblCellMar>
          <w:tblLook w:val="04A0"/>
        </w:tblPrEx>
        <w:trPr>
          <w:trHeight w:val="266"/>
          <w:jc w:val="center"/>
        </w:trPr>
        <w:tc>
          <w:tcPr>
            <w:tcW w:w="1710"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273061" w:rsidP="001A4CB9">
            <w:pPr>
              <w:bidi w:val="0"/>
              <w:rPr>
                <w:rFonts w:ascii="Times New Roman" w:hAnsi="Times New Roman" w:cs="Times New Roman"/>
                <w:sz w:val="14"/>
                <w:szCs w:val="14"/>
                <w:lang w:eastAsia="sk-SK"/>
              </w:rPr>
            </w:pPr>
            <w:r w:rsidRPr="00273061">
              <w:rPr>
                <w:rFonts w:ascii="Times New Roman" w:hAnsi="Times New Roman" w:cs="Times New Roman"/>
                <w:sz w:val="14"/>
                <w:szCs w:val="14"/>
                <w:lang w:eastAsia="sk-SK"/>
              </w:rPr>
              <w:t>HDP v b. c.</w:t>
            </w:r>
          </w:p>
        </w:tc>
        <w:tc>
          <w:tcPr>
            <w:tcW w:w="378"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273061" w:rsidP="001A4CB9">
            <w:pPr>
              <w:bidi w:val="0"/>
              <w:jc w:val="center"/>
              <w:rPr>
                <w:rFonts w:ascii="Times New Roman" w:hAnsi="Times New Roman" w:cs="Times New Roman"/>
                <w:sz w:val="14"/>
                <w:szCs w:val="14"/>
                <w:lang w:eastAsia="sk-SK"/>
              </w:rPr>
            </w:pPr>
            <w:r w:rsidRPr="00273061">
              <w:rPr>
                <w:rFonts w:ascii="Times New Roman" w:hAnsi="Times New Roman" w:cs="Times New Roman"/>
                <w:sz w:val="14"/>
                <w:szCs w:val="14"/>
                <w:lang w:eastAsia="sk-SK"/>
              </w:rPr>
              <w:t>mil. eur</w:t>
            </w:r>
          </w:p>
        </w:tc>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63 051,0</w:t>
            </w:r>
          </w:p>
        </w:tc>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65 906,0</w:t>
            </w:r>
          </w:p>
        </w:tc>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70 174,0</w:t>
            </w:r>
          </w:p>
        </w:tc>
        <w:tc>
          <w:tcPr>
            <w:tcW w:w="423"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69 521,0</w:t>
            </w:r>
          </w:p>
        </w:tc>
        <w:tc>
          <w:tcPr>
            <w:tcW w:w="415"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73 744,0</w:t>
            </w:r>
          </w:p>
        </w:tc>
        <w:tc>
          <w:tcPr>
            <w:tcW w:w="416"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78 399,0</w:t>
            </w:r>
          </w:p>
        </w:tc>
        <w:tc>
          <w:tcPr>
            <w:tcW w:w="413"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273061" w:rsidP="001A4CB9">
            <w:pPr>
              <w:bidi w:val="0"/>
              <w:jc w:val="right"/>
              <w:rPr>
                <w:rFonts w:ascii="Times New Roman" w:hAnsi="Times New Roman" w:cs="Times New Roman"/>
                <w:sz w:val="14"/>
                <w:szCs w:val="14"/>
                <w:lang w:eastAsia="sk-SK"/>
              </w:rPr>
            </w:pPr>
            <w:r w:rsidRPr="00273061">
              <w:rPr>
                <w:rFonts w:ascii="Times New Roman" w:hAnsi="Times New Roman" w:cs="Times New Roman"/>
                <w:sz w:val="14"/>
                <w:szCs w:val="14"/>
                <w:lang w:eastAsia="sk-SK"/>
              </w:rPr>
              <w:t>83 681,0</w:t>
            </w:r>
          </w:p>
        </w:tc>
      </w:tr>
    </w:tbl>
    <w:p w:rsidR="00FE4FF6" w:rsidRPr="00273061" w:rsidP="00FE4FF6">
      <w:pPr>
        <w:pStyle w:val="BodyText"/>
        <w:tabs>
          <w:tab w:val="left" w:pos="0"/>
        </w:tabs>
        <w:bidi w:val="0"/>
        <w:rPr>
          <w:rFonts w:ascii="Times New Roman" w:hAnsi="Times New Roman" w:cs="Times New Roman"/>
          <w:sz w:val="22"/>
          <w:szCs w:val="22"/>
        </w:rPr>
      </w:pPr>
    </w:p>
    <w:p w:rsidR="00FE4FF6" w:rsidP="00FE4FF6">
      <w:pPr>
        <w:pStyle w:val="BodyText"/>
        <w:tabs>
          <w:tab w:val="left" w:pos="0"/>
        </w:tabs>
        <w:bidi w:val="0"/>
        <w:rPr>
          <w:rFonts w:ascii="Times New Roman" w:hAnsi="Times New Roman" w:cs="Times New Roman"/>
          <w:szCs w:val="22"/>
        </w:rPr>
      </w:pPr>
      <w:r w:rsidRPr="007F66EE">
        <w:rPr>
          <w:rFonts w:ascii="Times New Roman" w:hAnsi="Times New Roman" w:cs="Times New Roman"/>
          <w:sz w:val="22"/>
          <w:szCs w:val="22"/>
        </w:rPr>
        <w:tab/>
      </w:r>
      <w:r w:rsidRPr="007F66EE">
        <w:rPr>
          <w:rFonts w:ascii="Times New Roman" w:hAnsi="Times New Roman" w:cs="Times New Roman"/>
          <w:szCs w:val="22"/>
        </w:rPr>
        <w:t xml:space="preserve">V roku 2012 sa predpokladá prebytkové hospodárenie ostatných subjektov verejnej správy vo výške </w:t>
      </w:r>
      <w:r>
        <w:rPr>
          <w:rFonts w:ascii="Times New Roman" w:hAnsi="Times New Roman" w:cs="Times New Roman"/>
          <w:szCs w:val="22"/>
        </w:rPr>
        <w:t>51,2</w:t>
      </w:r>
      <w:r w:rsidRPr="007F66EE">
        <w:rPr>
          <w:rFonts w:ascii="Times New Roman" w:hAnsi="Times New Roman" w:cs="Times New Roman"/>
          <w:szCs w:val="22"/>
        </w:rPr>
        <w:t xml:space="preserve"> mil. eur. Na tomto vývoji sa na jednej strane podieľa prebytkové hospodárenie niektorých subjektov verejnej správy, a to hlavne prebytok hospodárenia Národného jadrového fondu vo výške </w:t>
      </w:r>
      <w:r>
        <w:rPr>
          <w:rFonts w:ascii="Times New Roman" w:hAnsi="Times New Roman" w:cs="Times New Roman"/>
          <w:szCs w:val="22"/>
        </w:rPr>
        <w:t>141,0</w:t>
      </w:r>
      <w:r w:rsidRPr="007F66EE">
        <w:rPr>
          <w:rFonts w:ascii="Times New Roman" w:hAnsi="Times New Roman" w:cs="Times New Roman"/>
          <w:szCs w:val="22"/>
        </w:rPr>
        <w:t xml:space="preserve"> mil. eur, Štátneho fondu rozvoja bývania na úrovni 81</w:t>
      </w:r>
      <w:r>
        <w:rPr>
          <w:rFonts w:ascii="Times New Roman" w:hAnsi="Times New Roman" w:cs="Times New Roman"/>
          <w:szCs w:val="22"/>
        </w:rPr>
        <w:t xml:space="preserve"> </w:t>
      </w:r>
      <w:r w:rsidRPr="007F66EE">
        <w:rPr>
          <w:rFonts w:ascii="Times New Roman" w:hAnsi="Times New Roman" w:cs="Times New Roman"/>
          <w:szCs w:val="22"/>
        </w:rPr>
        <w:t xml:space="preserve">mil. eur a Environmentálneho fondu vo výške </w:t>
      </w:r>
      <w:r>
        <w:rPr>
          <w:rFonts w:ascii="Times New Roman" w:hAnsi="Times New Roman" w:cs="Times New Roman"/>
          <w:szCs w:val="22"/>
        </w:rPr>
        <w:t>44,4</w:t>
      </w:r>
      <w:r w:rsidRPr="007F66EE">
        <w:rPr>
          <w:rFonts w:ascii="Times New Roman" w:hAnsi="Times New Roman" w:cs="Times New Roman"/>
          <w:szCs w:val="22"/>
        </w:rPr>
        <w:t xml:space="preserve"> mil. eur.  Na druhej strane je to schodkové hospodárenie Sociálnej poisťovne vo výške 8</w:t>
      </w:r>
      <w:r>
        <w:rPr>
          <w:rFonts w:ascii="Times New Roman" w:hAnsi="Times New Roman" w:cs="Times New Roman"/>
          <w:szCs w:val="22"/>
        </w:rPr>
        <w:t>8,3</w:t>
      </w:r>
      <w:r w:rsidRPr="007F66EE">
        <w:rPr>
          <w:rFonts w:ascii="Times New Roman" w:hAnsi="Times New Roman" w:cs="Times New Roman"/>
          <w:szCs w:val="22"/>
        </w:rPr>
        <w:t xml:space="preserve"> mil. eur, vyšších územných celkov vo výške </w:t>
      </w:r>
      <w:r>
        <w:rPr>
          <w:rFonts w:ascii="Times New Roman" w:hAnsi="Times New Roman" w:cs="Times New Roman"/>
          <w:szCs w:val="22"/>
        </w:rPr>
        <w:t>50</w:t>
      </w:r>
      <w:r w:rsidRPr="007F66EE">
        <w:rPr>
          <w:rFonts w:ascii="Times New Roman" w:hAnsi="Times New Roman" w:cs="Times New Roman"/>
          <w:szCs w:val="22"/>
        </w:rPr>
        <w:t xml:space="preserve">,3 mil. eur, obcí vo výške </w:t>
      </w:r>
      <w:r>
        <w:rPr>
          <w:rFonts w:ascii="Times New Roman" w:hAnsi="Times New Roman" w:cs="Times New Roman"/>
          <w:szCs w:val="22"/>
        </w:rPr>
        <w:t>38,7</w:t>
      </w:r>
      <w:r w:rsidRPr="007F66EE">
        <w:rPr>
          <w:rFonts w:ascii="Times New Roman" w:hAnsi="Times New Roman" w:cs="Times New Roman"/>
          <w:szCs w:val="22"/>
        </w:rPr>
        <w:t xml:space="preserve"> mil. eur a Fondu národného majetku SR na úrovni 2</w:t>
      </w:r>
      <w:r>
        <w:rPr>
          <w:rFonts w:ascii="Times New Roman" w:hAnsi="Times New Roman" w:cs="Times New Roman"/>
          <w:szCs w:val="22"/>
        </w:rPr>
        <w:t>8,6</w:t>
      </w:r>
      <w:r w:rsidRPr="007F66EE">
        <w:rPr>
          <w:rFonts w:ascii="Times New Roman" w:hAnsi="Times New Roman" w:cs="Times New Roman"/>
          <w:szCs w:val="22"/>
        </w:rPr>
        <w:t xml:space="preserve"> mil. eur. Ostatné nespomenuté subjekty verejnej správy majú vo väčšine neutrálny vplyv na celkové hospodárenie ostatných subjektov verejnej správy. </w:t>
      </w:r>
      <w:r>
        <w:rPr>
          <w:rFonts w:ascii="Times New Roman" w:hAnsi="Times New Roman" w:cs="Times New Roman"/>
          <w:szCs w:val="22"/>
        </w:rPr>
        <w:t xml:space="preserve">Hospodárenie </w:t>
      </w:r>
      <w:r w:rsidRPr="007F66EE">
        <w:rPr>
          <w:rFonts w:ascii="Times New Roman" w:hAnsi="Times New Roman" w:cs="Times New Roman"/>
          <w:szCs w:val="22"/>
        </w:rPr>
        <w:t xml:space="preserve"> ostatných subjektov verejnej správy </w:t>
      </w:r>
      <w:r>
        <w:rPr>
          <w:rFonts w:ascii="Times New Roman" w:hAnsi="Times New Roman" w:cs="Times New Roman"/>
          <w:szCs w:val="22"/>
        </w:rPr>
        <w:t>zobrazuje nasledovná tabuľka a detaily sú uvedené v </w:t>
      </w:r>
      <w:r w:rsidRPr="007F66EE">
        <w:rPr>
          <w:rFonts w:ascii="Times New Roman" w:hAnsi="Times New Roman" w:cs="Times New Roman"/>
          <w:szCs w:val="22"/>
        </w:rPr>
        <w:t>príloh</w:t>
      </w:r>
      <w:r>
        <w:rPr>
          <w:rFonts w:ascii="Times New Roman" w:hAnsi="Times New Roman" w:cs="Times New Roman"/>
          <w:szCs w:val="22"/>
        </w:rPr>
        <w:t>e</w:t>
      </w:r>
      <w:r w:rsidRPr="007F66EE">
        <w:rPr>
          <w:rFonts w:ascii="Times New Roman" w:hAnsi="Times New Roman" w:cs="Times New Roman"/>
          <w:szCs w:val="22"/>
        </w:rPr>
        <w:t xml:space="preserve">  č. 1 tohto materiálu. </w:t>
      </w:r>
    </w:p>
    <w:p w:rsidR="0017084C" w:rsidP="00FE4FF6">
      <w:pPr>
        <w:pStyle w:val="BodyText"/>
        <w:tabs>
          <w:tab w:val="left" w:pos="0"/>
        </w:tabs>
        <w:bidi w:val="0"/>
        <w:rPr>
          <w:rFonts w:ascii="Times New Roman" w:hAnsi="Times New Roman" w:cs="Times New Roman"/>
          <w:szCs w:val="22"/>
        </w:rPr>
      </w:pPr>
    </w:p>
    <w:tbl>
      <w:tblPr>
        <w:tblStyle w:val="TableNormal"/>
        <w:tblW w:w="4914" w:type="pct"/>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891"/>
        <w:gridCol w:w="853"/>
        <w:gridCol w:w="873"/>
        <w:gridCol w:w="826"/>
        <w:gridCol w:w="846"/>
        <w:gridCol w:w="820"/>
        <w:gridCol w:w="974"/>
        <w:gridCol w:w="971"/>
      </w:tblGrid>
      <w:tr>
        <w:tblPrEx>
          <w:tblW w:w="4914" w:type="pct"/>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66"/>
          <w:jc w:val="center"/>
        </w:trPr>
        <w:tc>
          <w:tcPr>
            <w:tcW w:w="1597"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FE4FF6" w:rsidRPr="00595620" w:rsidP="001A4CB9">
            <w:pPr>
              <w:bidi w:val="0"/>
              <w:rPr>
                <w:rFonts w:ascii="Times New Roman" w:hAnsi="Times New Roman" w:cs="Times New Roman"/>
                <w:b/>
                <w:bCs/>
                <w:sz w:val="14"/>
                <w:szCs w:val="14"/>
                <w:lang w:eastAsia="sk-SK"/>
              </w:rPr>
            </w:pPr>
            <w:r w:rsidRPr="00595620">
              <w:rPr>
                <w:rFonts w:ascii="Times New Roman" w:hAnsi="Times New Roman" w:cs="Times New Roman"/>
                <w:b/>
                <w:bCs/>
                <w:sz w:val="14"/>
                <w:szCs w:val="14"/>
                <w:lang w:eastAsia="sk-SK"/>
              </w:rPr>
              <w:t>v mil. eur</w:t>
            </w:r>
          </w:p>
        </w:tc>
        <w:tc>
          <w:tcPr>
            <w:tcW w:w="47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E4FF6" w:rsidRPr="00595620" w:rsidP="001A4CB9">
            <w:pPr>
              <w:bidi w:val="0"/>
              <w:jc w:val="center"/>
              <w:rPr>
                <w:rFonts w:ascii="Times New Roman" w:hAnsi="Times New Roman" w:cs="Times New Roman"/>
                <w:b/>
                <w:bCs/>
                <w:sz w:val="14"/>
                <w:szCs w:val="14"/>
                <w:lang w:eastAsia="sk-SK"/>
              </w:rPr>
            </w:pPr>
            <w:r w:rsidRPr="00595620">
              <w:rPr>
                <w:rFonts w:ascii="Times New Roman" w:hAnsi="Times New Roman" w:cs="Times New Roman"/>
                <w:b/>
                <w:bCs/>
                <w:sz w:val="14"/>
                <w:szCs w:val="14"/>
                <w:lang w:eastAsia="sk-SK"/>
              </w:rPr>
              <w:t>2009 S</w:t>
            </w:r>
          </w:p>
        </w:tc>
        <w:tc>
          <w:tcPr>
            <w:tcW w:w="4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E4FF6" w:rsidRPr="00595620" w:rsidP="001A4CB9">
            <w:pPr>
              <w:bidi w:val="0"/>
              <w:jc w:val="center"/>
              <w:rPr>
                <w:rFonts w:ascii="Times New Roman" w:hAnsi="Times New Roman" w:cs="Times New Roman"/>
                <w:b/>
                <w:bCs/>
                <w:sz w:val="14"/>
                <w:szCs w:val="14"/>
                <w:lang w:eastAsia="sk-SK"/>
              </w:rPr>
            </w:pPr>
            <w:r w:rsidRPr="00595620">
              <w:rPr>
                <w:rFonts w:ascii="Times New Roman" w:hAnsi="Times New Roman" w:cs="Times New Roman"/>
                <w:b/>
                <w:bCs/>
                <w:sz w:val="14"/>
                <w:szCs w:val="14"/>
                <w:lang w:eastAsia="sk-SK"/>
              </w:rPr>
              <w:t>2010 S</w:t>
            </w:r>
          </w:p>
        </w:tc>
        <w:tc>
          <w:tcPr>
            <w:tcW w:w="45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E4FF6" w:rsidRPr="00595620" w:rsidP="001A4CB9">
            <w:pPr>
              <w:bidi w:val="0"/>
              <w:jc w:val="center"/>
              <w:rPr>
                <w:rFonts w:ascii="Times New Roman" w:hAnsi="Times New Roman" w:cs="Times New Roman"/>
                <w:b/>
                <w:bCs/>
                <w:sz w:val="14"/>
                <w:szCs w:val="14"/>
                <w:lang w:eastAsia="sk-SK"/>
              </w:rPr>
            </w:pPr>
            <w:r w:rsidRPr="00595620">
              <w:rPr>
                <w:rFonts w:ascii="Times New Roman" w:hAnsi="Times New Roman" w:cs="Times New Roman"/>
                <w:b/>
                <w:bCs/>
                <w:sz w:val="14"/>
                <w:szCs w:val="14"/>
                <w:lang w:eastAsia="sk-SK"/>
              </w:rPr>
              <w:t>2011 R</w:t>
            </w:r>
          </w:p>
        </w:tc>
        <w:tc>
          <w:tcPr>
            <w:tcW w:w="46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E4FF6" w:rsidRPr="00595620" w:rsidP="001A4CB9">
            <w:pPr>
              <w:bidi w:val="0"/>
              <w:jc w:val="center"/>
              <w:rPr>
                <w:rFonts w:ascii="Times New Roman" w:hAnsi="Times New Roman" w:cs="Times New Roman"/>
                <w:b/>
                <w:bCs/>
                <w:sz w:val="14"/>
                <w:szCs w:val="14"/>
                <w:lang w:eastAsia="sk-SK"/>
              </w:rPr>
            </w:pPr>
            <w:r w:rsidRPr="00595620">
              <w:rPr>
                <w:rFonts w:ascii="Times New Roman" w:hAnsi="Times New Roman" w:cs="Times New Roman"/>
                <w:b/>
                <w:bCs/>
                <w:sz w:val="14"/>
                <w:szCs w:val="14"/>
                <w:lang w:eastAsia="sk-SK"/>
              </w:rPr>
              <w:t>2011 OS</w:t>
            </w:r>
          </w:p>
        </w:tc>
        <w:tc>
          <w:tcPr>
            <w:tcW w:w="453"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E4FF6" w:rsidRPr="00595620" w:rsidP="001A4CB9">
            <w:pPr>
              <w:bidi w:val="0"/>
              <w:jc w:val="center"/>
              <w:rPr>
                <w:rFonts w:ascii="Times New Roman" w:hAnsi="Times New Roman" w:cs="Times New Roman"/>
                <w:b/>
                <w:bCs/>
                <w:sz w:val="14"/>
                <w:szCs w:val="14"/>
                <w:lang w:eastAsia="sk-SK"/>
              </w:rPr>
            </w:pPr>
            <w:r w:rsidRPr="00595620">
              <w:rPr>
                <w:rFonts w:ascii="Times New Roman" w:hAnsi="Times New Roman" w:cs="Times New Roman"/>
                <w:b/>
                <w:bCs/>
                <w:sz w:val="14"/>
                <w:szCs w:val="14"/>
                <w:lang w:eastAsia="sk-SK"/>
              </w:rPr>
              <w:t>2012 N</w:t>
            </w:r>
          </w:p>
        </w:tc>
        <w:tc>
          <w:tcPr>
            <w:tcW w:w="53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E4FF6" w:rsidRPr="00595620" w:rsidP="001A4CB9">
            <w:pPr>
              <w:bidi w:val="0"/>
              <w:jc w:val="center"/>
              <w:rPr>
                <w:rFonts w:ascii="Times New Roman" w:hAnsi="Times New Roman" w:cs="Times New Roman"/>
                <w:b/>
                <w:bCs/>
                <w:sz w:val="14"/>
                <w:szCs w:val="14"/>
                <w:lang w:eastAsia="sk-SK"/>
              </w:rPr>
            </w:pPr>
            <w:r w:rsidRPr="00595620">
              <w:rPr>
                <w:rFonts w:ascii="Times New Roman" w:hAnsi="Times New Roman" w:cs="Times New Roman"/>
                <w:b/>
                <w:bCs/>
                <w:sz w:val="14"/>
                <w:szCs w:val="14"/>
                <w:lang w:eastAsia="sk-SK"/>
              </w:rPr>
              <w:t>2013 N</w:t>
            </w:r>
          </w:p>
        </w:tc>
        <w:tc>
          <w:tcPr>
            <w:tcW w:w="53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E4FF6" w:rsidRPr="00595620" w:rsidP="001A4CB9">
            <w:pPr>
              <w:bidi w:val="0"/>
              <w:jc w:val="center"/>
              <w:rPr>
                <w:rFonts w:ascii="Times New Roman" w:hAnsi="Times New Roman" w:cs="Times New Roman"/>
                <w:b/>
                <w:bCs/>
                <w:sz w:val="14"/>
                <w:szCs w:val="14"/>
                <w:lang w:eastAsia="sk-SK"/>
              </w:rPr>
            </w:pPr>
            <w:r w:rsidRPr="00595620">
              <w:rPr>
                <w:rFonts w:ascii="Times New Roman" w:hAnsi="Times New Roman" w:cs="Times New Roman"/>
                <w:b/>
                <w:bCs/>
                <w:sz w:val="14"/>
                <w:szCs w:val="14"/>
                <w:lang w:eastAsia="sk-SK"/>
              </w:rPr>
              <w:t>2014 N</w:t>
            </w:r>
          </w:p>
        </w:tc>
      </w:tr>
      <w:tr>
        <w:tblPrEx>
          <w:tblW w:w="4914" w:type="pct"/>
          <w:jc w:val="center"/>
          <w:tblInd w:w="158" w:type="dxa"/>
          <w:tblCellMar>
            <w:left w:w="70" w:type="dxa"/>
            <w:right w:w="70" w:type="dxa"/>
          </w:tblCellMar>
          <w:tblLook w:val="04A0"/>
        </w:tblPrEx>
        <w:trPr>
          <w:trHeight w:val="266"/>
          <w:jc w:val="center"/>
        </w:trPr>
        <w:tc>
          <w:tcPr>
            <w:tcW w:w="159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E4FF6" w:rsidRPr="00595620" w:rsidP="001A4CB9">
            <w:pPr>
              <w:bidi w:val="0"/>
              <w:rPr>
                <w:rFonts w:ascii="Times New Roman" w:hAnsi="Times New Roman" w:cs="Times New Roman"/>
                <w:b/>
                <w:bCs/>
                <w:sz w:val="14"/>
                <w:szCs w:val="14"/>
                <w:lang w:eastAsia="sk-SK"/>
              </w:rPr>
            </w:pPr>
            <w:r w:rsidRPr="00595620">
              <w:rPr>
                <w:rFonts w:ascii="Times New Roman" w:hAnsi="Times New Roman" w:cs="Times New Roman"/>
                <w:b/>
                <w:bCs/>
                <w:sz w:val="14"/>
                <w:szCs w:val="14"/>
                <w:lang w:eastAsia="sk-SK"/>
              </w:rPr>
              <w:t>Ostatné subjekty rozpočtu VS spolu</w:t>
            </w:r>
          </w:p>
        </w:tc>
        <w:tc>
          <w:tcPr>
            <w:tcW w:w="47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E4FF6" w:rsidRPr="00595620" w:rsidP="001A4CB9">
            <w:pPr>
              <w:bidi w:val="0"/>
              <w:jc w:val="right"/>
              <w:rPr>
                <w:rFonts w:ascii="Times New Roman" w:hAnsi="Times New Roman" w:cs="Times New Roman"/>
                <w:b/>
                <w:bCs/>
                <w:sz w:val="14"/>
                <w:szCs w:val="14"/>
                <w:lang w:eastAsia="sk-SK"/>
              </w:rPr>
            </w:pPr>
            <w:r w:rsidRPr="00595620">
              <w:rPr>
                <w:rFonts w:ascii="Times New Roman" w:hAnsi="Times New Roman" w:cs="Times New Roman"/>
                <w:b/>
                <w:bCs/>
                <w:sz w:val="14"/>
                <w:szCs w:val="14"/>
                <w:lang w:eastAsia="sk-SK"/>
              </w:rPr>
              <w:t>-646,7</w:t>
            </w:r>
          </w:p>
        </w:tc>
        <w:tc>
          <w:tcPr>
            <w:tcW w:w="482"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E4FF6" w:rsidRPr="00595620" w:rsidP="001A4CB9">
            <w:pPr>
              <w:bidi w:val="0"/>
              <w:jc w:val="right"/>
              <w:rPr>
                <w:rFonts w:ascii="Times New Roman" w:hAnsi="Times New Roman" w:cs="Times New Roman"/>
                <w:b/>
                <w:bCs/>
                <w:sz w:val="14"/>
                <w:szCs w:val="14"/>
                <w:lang w:eastAsia="sk-SK"/>
              </w:rPr>
            </w:pPr>
            <w:r w:rsidRPr="00595620">
              <w:rPr>
                <w:rFonts w:ascii="Times New Roman" w:hAnsi="Times New Roman" w:cs="Times New Roman"/>
                <w:b/>
                <w:bCs/>
                <w:sz w:val="14"/>
                <w:szCs w:val="14"/>
                <w:lang w:eastAsia="sk-SK"/>
              </w:rPr>
              <w:t>-781,4</w:t>
            </w:r>
          </w:p>
        </w:tc>
        <w:tc>
          <w:tcPr>
            <w:tcW w:w="45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E4FF6" w:rsidRPr="00595620" w:rsidP="001A4CB9">
            <w:pPr>
              <w:bidi w:val="0"/>
              <w:jc w:val="right"/>
              <w:rPr>
                <w:rFonts w:ascii="Times New Roman" w:hAnsi="Times New Roman" w:cs="Times New Roman"/>
                <w:b/>
                <w:bCs/>
                <w:sz w:val="14"/>
                <w:szCs w:val="14"/>
                <w:lang w:eastAsia="sk-SK"/>
              </w:rPr>
            </w:pPr>
            <w:r w:rsidRPr="00595620">
              <w:rPr>
                <w:rFonts w:ascii="Times New Roman" w:hAnsi="Times New Roman" w:cs="Times New Roman"/>
                <w:b/>
                <w:bCs/>
                <w:sz w:val="14"/>
                <w:szCs w:val="14"/>
                <w:lang w:eastAsia="sk-SK"/>
              </w:rPr>
              <w:t>257,6</w:t>
            </w:r>
          </w:p>
        </w:tc>
        <w:tc>
          <w:tcPr>
            <w:tcW w:w="46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E4FF6" w:rsidRPr="00595620" w:rsidP="001A4CB9">
            <w:pPr>
              <w:bidi w:val="0"/>
              <w:jc w:val="right"/>
              <w:rPr>
                <w:rFonts w:ascii="Times New Roman" w:hAnsi="Times New Roman" w:cs="Times New Roman"/>
                <w:b/>
                <w:bCs/>
                <w:sz w:val="14"/>
                <w:szCs w:val="14"/>
                <w:lang w:eastAsia="sk-SK"/>
              </w:rPr>
            </w:pPr>
            <w:r w:rsidRPr="00595620">
              <w:rPr>
                <w:rFonts w:ascii="Times New Roman" w:hAnsi="Times New Roman" w:cs="Times New Roman"/>
                <w:b/>
                <w:bCs/>
                <w:sz w:val="14"/>
                <w:szCs w:val="14"/>
                <w:lang w:eastAsia="sk-SK"/>
              </w:rPr>
              <w:t>-110,7</w:t>
            </w:r>
          </w:p>
        </w:tc>
        <w:tc>
          <w:tcPr>
            <w:tcW w:w="45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E4FF6" w:rsidRPr="00595620" w:rsidP="001A4CB9">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51,2</w:t>
            </w:r>
          </w:p>
        </w:tc>
        <w:tc>
          <w:tcPr>
            <w:tcW w:w="53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E4FF6" w:rsidRPr="00595620" w:rsidP="001A4CB9">
            <w:pPr>
              <w:bidi w:val="0"/>
              <w:jc w:val="right"/>
              <w:rPr>
                <w:rFonts w:ascii="Times New Roman" w:hAnsi="Times New Roman" w:cs="Times New Roman"/>
                <w:b/>
                <w:bCs/>
                <w:sz w:val="14"/>
                <w:szCs w:val="14"/>
                <w:lang w:eastAsia="sk-SK"/>
              </w:rPr>
            </w:pPr>
            <w:r w:rsidRPr="00595620">
              <w:rPr>
                <w:rFonts w:ascii="Times New Roman" w:hAnsi="Times New Roman" w:cs="Times New Roman"/>
                <w:b/>
                <w:bCs/>
                <w:sz w:val="14"/>
                <w:szCs w:val="14"/>
                <w:lang w:eastAsia="sk-SK"/>
              </w:rPr>
              <w:t>192,</w:t>
            </w:r>
            <w:r>
              <w:rPr>
                <w:rFonts w:ascii="Times New Roman" w:hAnsi="Times New Roman" w:cs="Times New Roman"/>
                <w:b/>
                <w:bCs/>
                <w:sz w:val="14"/>
                <w:szCs w:val="14"/>
                <w:lang w:eastAsia="sk-SK"/>
              </w:rPr>
              <w:t>1</w:t>
            </w:r>
          </w:p>
        </w:tc>
        <w:tc>
          <w:tcPr>
            <w:tcW w:w="53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E4FF6" w:rsidRPr="00595620" w:rsidP="001A4CB9">
            <w:pPr>
              <w:bidi w:val="0"/>
              <w:jc w:val="right"/>
              <w:rPr>
                <w:rFonts w:ascii="Times New Roman" w:hAnsi="Times New Roman" w:cs="Times New Roman"/>
                <w:b/>
                <w:bCs/>
                <w:sz w:val="14"/>
                <w:szCs w:val="14"/>
                <w:lang w:eastAsia="sk-SK"/>
              </w:rPr>
            </w:pPr>
            <w:r w:rsidRPr="00595620">
              <w:rPr>
                <w:rFonts w:ascii="Times New Roman" w:hAnsi="Times New Roman" w:cs="Times New Roman"/>
                <w:b/>
                <w:bCs/>
                <w:sz w:val="14"/>
                <w:szCs w:val="14"/>
                <w:lang w:eastAsia="sk-SK"/>
              </w:rPr>
              <w:t>104,</w:t>
            </w:r>
            <w:r>
              <w:rPr>
                <w:rFonts w:ascii="Times New Roman" w:hAnsi="Times New Roman" w:cs="Times New Roman"/>
                <w:b/>
                <w:bCs/>
                <w:sz w:val="14"/>
                <w:szCs w:val="14"/>
                <w:lang w:eastAsia="sk-SK"/>
              </w:rPr>
              <w:t>2</w:t>
            </w:r>
          </w:p>
        </w:tc>
      </w:tr>
      <w:tr>
        <w:tblPrEx>
          <w:tblW w:w="4914" w:type="pct"/>
          <w:jc w:val="center"/>
          <w:tblInd w:w="158" w:type="dxa"/>
          <w:tblCellMar>
            <w:left w:w="70" w:type="dxa"/>
            <w:right w:w="70" w:type="dxa"/>
          </w:tblCellMar>
          <w:tblLook w:val="04A0"/>
        </w:tblPrEx>
        <w:trPr>
          <w:trHeight w:val="266"/>
          <w:jc w:val="center"/>
        </w:trPr>
        <w:tc>
          <w:tcPr>
            <w:tcW w:w="1597"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rPr>
                <w:rFonts w:ascii="Times New Roman" w:hAnsi="Times New Roman" w:cs="Times New Roman"/>
                <w:sz w:val="14"/>
                <w:szCs w:val="14"/>
                <w:lang w:eastAsia="sk-SK"/>
              </w:rPr>
            </w:pPr>
            <w:r w:rsidRPr="00595620">
              <w:rPr>
                <w:rFonts w:ascii="Times New Roman" w:hAnsi="Times New Roman" w:cs="Times New Roman"/>
                <w:sz w:val="14"/>
                <w:szCs w:val="14"/>
                <w:lang w:eastAsia="sk-SK"/>
              </w:rPr>
              <w:t xml:space="preserve">    Obce </w:t>
            </w:r>
          </w:p>
        </w:tc>
        <w:tc>
          <w:tcPr>
            <w:tcW w:w="471"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-282,8</w:t>
            </w:r>
          </w:p>
        </w:tc>
        <w:tc>
          <w:tcPr>
            <w:tcW w:w="482"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-541,9</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-75,8</w:t>
            </w:r>
          </w:p>
        </w:tc>
        <w:tc>
          <w:tcPr>
            <w:tcW w:w="467" w:type="pct"/>
            <w:tcBorders>
              <w:top w:val="single" w:sz="4" w:space="0" w:color="auto"/>
              <w:left w:val="single" w:sz="4" w:space="0" w:color="auto"/>
              <w:bottom w:val="single" w:sz="4" w:space="0" w:color="auto"/>
              <w:right w:val="single" w:sz="4" w:space="0" w:color="auto"/>
            </w:tcBorders>
            <w:noWrap/>
            <w:textDirection w:val="lrTb"/>
            <w:vAlign w:val="center"/>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-103,7</w:t>
            </w:r>
          </w:p>
        </w:tc>
        <w:tc>
          <w:tcPr>
            <w:tcW w:w="453"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-38,7</w:t>
            </w:r>
          </w:p>
        </w:tc>
        <w:tc>
          <w:tcPr>
            <w:tcW w:w="538"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-108,8</w:t>
            </w:r>
          </w:p>
        </w:tc>
        <w:tc>
          <w:tcPr>
            <w:tcW w:w="53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-220,2</w:t>
            </w:r>
          </w:p>
        </w:tc>
      </w:tr>
      <w:tr>
        <w:tblPrEx>
          <w:tblW w:w="4914" w:type="pct"/>
          <w:jc w:val="center"/>
          <w:tblInd w:w="158" w:type="dxa"/>
          <w:tblCellMar>
            <w:left w:w="70" w:type="dxa"/>
            <w:right w:w="70" w:type="dxa"/>
          </w:tblCellMar>
          <w:tblLook w:val="04A0"/>
        </w:tblPrEx>
        <w:trPr>
          <w:trHeight w:val="266"/>
          <w:jc w:val="center"/>
        </w:trPr>
        <w:tc>
          <w:tcPr>
            <w:tcW w:w="1597"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rPr>
                <w:rFonts w:ascii="Times New Roman" w:hAnsi="Times New Roman" w:cs="Times New Roman"/>
                <w:sz w:val="14"/>
                <w:szCs w:val="14"/>
                <w:lang w:eastAsia="sk-SK"/>
              </w:rPr>
            </w:pPr>
            <w:r w:rsidRPr="00595620">
              <w:rPr>
                <w:rFonts w:ascii="Times New Roman" w:hAnsi="Times New Roman" w:cs="Times New Roman"/>
                <w:sz w:val="14"/>
                <w:szCs w:val="14"/>
                <w:lang w:eastAsia="sk-SK"/>
              </w:rPr>
              <w:t xml:space="preserve">    Vyššie územné celky</w:t>
            </w:r>
          </w:p>
        </w:tc>
        <w:tc>
          <w:tcPr>
            <w:tcW w:w="471"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-125,0</w:t>
            </w:r>
          </w:p>
        </w:tc>
        <w:tc>
          <w:tcPr>
            <w:tcW w:w="482"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-25,2</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-60,0</w:t>
            </w:r>
          </w:p>
        </w:tc>
        <w:tc>
          <w:tcPr>
            <w:tcW w:w="467" w:type="pct"/>
            <w:tcBorders>
              <w:top w:val="single" w:sz="4" w:space="0" w:color="auto"/>
              <w:left w:val="single" w:sz="4" w:space="0" w:color="auto"/>
              <w:bottom w:val="single" w:sz="4" w:space="0" w:color="auto"/>
              <w:right w:val="single" w:sz="4" w:space="0" w:color="auto"/>
            </w:tcBorders>
            <w:noWrap/>
            <w:textDirection w:val="lrTb"/>
            <w:vAlign w:val="center"/>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-69,9</w:t>
            </w:r>
          </w:p>
        </w:tc>
        <w:tc>
          <w:tcPr>
            <w:tcW w:w="453"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-50,3</w:t>
            </w:r>
          </w:p>
        </w:tc>
        <w:tc>
          <w:tcPr>
            <w:tcW w:w="538"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-43,4</w:t>
            </w:r>
          </w:p>
        </w:tc>
        <w:tc>
          <w:tcPr>
            <w:tcW w:w="53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-18,3</w:t>
            </w:r>
          </w:p>
        </w:tc>
      </w:tr>
      <w:tr>
        <w:tblPrEx>
          <w:tblW w:w="4914" w:type="pct"/>
          <w:jc w:val="center"/>
          <w:tblInd w:w="158" w:type="dxa"/>
          <w:tblCellMar>
            <w:left w:w="70" w:type="dxa"/>
            <w:right w:w="70" w:type="dxa"/>
          </w:tblCellMar>
          <w:tblLook w:val="04A0"/>
        </w:tblPrEx>
        <w:trPr>
          <w:trHeight w:val="266"/>
          <w:jc w:val="center"/>
        </w:trPr>
        <w:tc>
          <w:tcPr>
            <w:tcW w:w="1597"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rPr>
                <w:rFonts w:ascii="Times New Roman" w:hAnsi="Times New Roman" w:cs="Times New Roman"/>
                <w:sz w:val="14"/>
                <w:szCs w:val="14"/>
                <w:lang w:eastAsia="sk-SK"/>
              </w:rPr>
            </w:pPr>
            <w:r w:rsidRPr="00595620">
              <w:rPr>
                <w:rFonts w:ascii="Times New Roman" w:hAnsi="Times New Roman" w:cs="Times New Roman"/>
                <w:sz w:val="14"/>
                <w:szCs w:val="14"/>
                <w:lang w:eastAsia="sk-SK"/>
              </w:rPr>
              <w:t xml:space="preserve">    Sociálna poisťovňa </w:t>
            </w:r>
          </w:p>
        </w:tc>
        <w:tc>
          <w:tcPr>
            <w:tcW w:w="471"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-316,3</w:t>
            </w:r>
          </w:p>
        </w:tc>
        <w:tc>
          <w:tcPr>
            <w:tcW w:w="482"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67,3</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91,4</w:t>
            </w:r>
          </w:p>
        </w:tc>
        <w:tc>
          <w:tcPr>
            <w:tcW w:w="467" w:type="pct"/>
            <w:tcBorders>
              <w:top w:val="single" w:sz="4" w:space="0" w:color="auto"/>
              <w:left w:val="single" w:sz="4" w:space="0" w:color="auto"/>
              <w:bottom w:val="single" w:sz="4" w:space="0" w:color="auto"/>
              <w:right w:val="single" w:sz="4" w:space="0" w:color="auto"/>
            </w:tcBorders>
            <w:noWrap/>
            <w:textDirection w:val="lrTb"/>
            <w:vAlign w:val="center"/>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116,6</w:t>
            </w:r>
          </w:p>
        </w:tc>
        <w:tc>
          <w:tcPr>
            <w:tcW w:w="453"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-88,3</w:t>
            </w:r>
          </w:p>
        </w:tc>
        <w:tc>
          <w:tcPr>
            <w:tcW w:w="538"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47,3</w:t>
            </w:r>
          </w:p>
        </w:tc>
        <w:tc>
          <w:tcPr>
            <w:tcW w:w="53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41,4</w:t>
            </w:r>
          </w:p>
        </w:tc>
      </w:tr>
      <w:tr>
        <w:tblPrEx>
          <w:tblW w:w="4914" w:type="pct"/>
          <w:jc w:val="center"/>
          <w:tblInd w:w="158" w:type="dxa"/>
          <w:tblCellMar>
            <w:left w:w="70" w:type="dxa"/>
            <w:right w:w="70" w:type="dxa"/>
          </w:tblCellMar>
          <w:tblLook w:val="04A0"/>
        </w:tblPrEx>
        <w:trPr>
          <w:trHeight w:val="266"/>
          <w:jc w:val="center"/>
        </w:trPr>
        <w:tc>
          <w:tcPr>
            <w:tcW w:w="1597"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rPr>
                <w:rFonts w:ascii="Times New Roman" w:hAnsi="Times New Roman" w:cs="Times New Roman"/>
                <w:sz w:val="14"/>
                <w:szCs w:val="14"/>
                <w:lang w:eastAsia="sk-SK"/>
              </w:rPr>
            </w:pPr>
            <w:r w:rsidRPr="00595620">
              <w:rPr>
                <w:rFonts w:ascii="Times New Roman" w:hAnsi="Times New Roman" w:cs="Times New Roman"/>
                <w:sz w:val="14"/>
                <w:szCs w:val="14"/>
                <w:lang w:eastAsia="sk-SK"/>
              </w:rPr>
              <w:t xml:space="preserve">    Verejné zdravotné poistenie</w:t>
            </w:r>
          </w:p>
        </w:tc>
        <w:tc>
          <w:tcPr>
            <w:tcW w:w="471"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-9,5</w:t>
            </w:r>
          </w:p>
        </w:tc>
        <w:tc>
          <w:tcPr>
            <w:tcW w:w="482"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-92,0</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14,0</w:t>
            </w:r>
          </w:p>
        </w:tc>
        <w:tc>
          <w:tcPr>
            <w:tcW w:w="467" w:type="pct"/>
            <w:tcBorders>
              <w:top w:val="single" w:sz="4" w:space="0" w:color="auto"/>
              <w:left w:val="single" w:sz="4" w:space="0" w:color="auto"/>
              <w:bottom w:val="single" w:sz="4" w:space="0" w:color="auto"/>
              <w:right w:val="single" w:sz="4" w:space="0" w:color="auto"/>
            </w:tcBorders>
            <w:noWrap/>
            <w:textDirection w:val="lrTb"/>
            <w:vAlign w:val="center"/>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10,3</w:t>
            </w:r>
          </w:p>
        </w:tc>
        <w:tc>
          <w:tcPr>
            <w:tcW w:w="453"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-9,4</w:t>
            </w:r>
          </w:p>
        </w:tc>
        <w:tc>
          <w:tcPr>
            <w:tcW w:w="538"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15,7</w:t>
            </w:r>
          </w:p>
        </w:tc>
        <w:tc>
          <w:tcPr>
            <w:tcW w:w="53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14,4</w:t>
            </w:r>
          </w:p>
        </w:tc>
      </w:tr>
      <w:tr>
        <w:tblPrEx>
          <w:tblW w:w="4914" w:type="pct"/>
          <w:jc w:val="center"/>
          <w:tblInd w:w="158" w:type="dxa"/>
          <w:tblCellMar>
            <w:left w:w="70" w:type="dxa"/>
            <w:right w:w="70" w:type="dxa"/>
          </w:tblCellMar>
          <w:tblLook w:val="04A0"/>
        </w:tblPrEx>
        <w:trPr>
          <w:trHeight w:val="266"/>
          <w:jc w:val="center"/>
        </w:trPr>
        <w:tc>
          <w:tcPr>
            <w:tcW w:w="1597"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rPr>
                <w:rFonts w:ascii="Times New Roman" w:hAnsi="Times New Roman" w:cs="Times New Roman"/>
                <w:sz w:val="14"/>
                <w:szCs w:val="14"/>
                <w:lang w:eastAsia="sk-SK"/>
              </w:rPr>
            </w:pPr>
            <w:r w:rsidRPr="00595620">
              <w:rPr>
                <w:rFonts w:ascii="Times New Roman" w:hAnsi="Times New Roman" w:cs="Times New Roman"/>
                <w:sz w:val="14"/>
                <w:szCs w:val="14"/>
                <w:lang w:eastAsia="sk-SK"/>
              </w:rPr>
              <w:t xml:space="preserve">    Národný jadrový fond </w:t>
            </w:r>
          </w:p>
        </w:tc>
        <w:tc>
          <w:tcPr>
            <w:tcW w:w="471"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45,4</w:t>
            </w:r>
          </w:p>
        </w:tc>
        <w:tc>
          <w:tcPr>
            <w:tcW w:w="482"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14,5</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112,0</w:t>
            </w:r>
          </w:p>
        </w:tc>
        <w:tc>
          <w:tcPr>
            <w:tcW w:w="467" w:type="pct"/>
            <w:tcBorders>
              <w:top w:val="single" w:sz="4" w:space="0" w:color="auto"/>
              <w:left w:val="single" w:sz="4" w:space="0" w:color="auto"/>
              <w:bottom w:val="single" w:sz="4" w:space="0" w:color="auto"/>
              <w:right w:val="single" w:sz="4" w:space="0" w:color="auto"/>
            </w:tcBorders>
            <w:noWrap/>
            <w:textDirection w:val="lrTb"/>
            <w:vAlign w:val="center"/>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104,8</w:t>
            </w:r>
          </w:p>
        </w:tc>
        <w:tc>
          <w:tcPr>
            <w:tcW w:w="453"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w:t>
            </w:r>
            <w:r>
              <w:rPr>
                <w:rFonts w:ascii="Times New Roman" w:hAnsi="Times New Roman" w:cs="Times New Roman"/>
                <w:sz w:val="14"/>
                <w:szCs w:val="14"/>
                <w:lang w:eastAsia="sk-SK"/>
              </w:rPr>
              <w:t>41</w:t>
            </w:r>
            <w:r w:rsidRPr="00595620">
              <w:rPr>
                <w:rFonts w:ascii="Times New Roman" w:hAnsi="Times New Roman" w:cs="Times New Roman"/>
                <w:sz w:val="14"/>
                <w:szCs w:val="14"/>
                <w:lang w:eastAsia="sk-SK"/>
              </w:rPr>
              <w:t>,0</w:t>
            </w:r>
          </w:p>
        </w:tc>
        <w:tc>
          <w:tcPr>
            <w:tcW w:w="538"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170,5</w:t>
            </w:r>
          </w:p>
        </w:tc>
        <w:tc>
          <w:tcPr>
            <w:tcW w:w="53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175,1</w:t>
            </w:r>
          </w:p>
        </w:tc>
      </w:tr>
      <w:tr>
        <w:tblPrEx>
          <w:tblW w:w="4914" w:type="pct"/>
          <w:jc w:val="center"/>
          <w:tblInd w:w="158" w:type="dxa"/>
          <w:tblCellMar>
            <w:left w:w="70" w:type="dxa"/>
            <w:right w:w="70" w:type="dxa"/>
          </w:tblCellMar>
          <w:tblLook w:val="04A0"/>
        </w:tblPrEx>
        <w:trPr>
          <w:trHeight w:val="266"/>
          <w:jc w:val="center"/>
        </w:trPr>
        <w:tc>
          <w:tcPr>
            <w:tcW w:w="1597"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rPr>
                <w:rFonts w:ascii="Times New Roman" w:hAnsi="Times New Roman" w:cs="Times New Roman"/>
                <w:sz w:val="14"/>
                <w:szCs w:val="14"/>
                <w:lang w:eastAsia="sk-SK"/>
              </w:rPr>
            </w:pPr>
            <w:r w:rsidRPr="00595620">
              <w:rPr>
                <w:rFonts w:ascii="Times New Roman" w:hAnsi="Times New Roman" w:cs="Times New Roman"/>
                <w:sz w:val="14"/>
                <w:szCs w:val="14"/>
                <w:lang w:eastAsia="sk-SK"/>
              </w:rPr>
              <w:t xml:space="preserve">    Fond národného majetku SR</w:t>
            </w:r>
          </w:p>
        </w:tc>
        <w:tc>
          <w:tcPr>
            <w:tcW w:w="471"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-80,1</w:t>
            </w:r>
          </w:p>
        </w:tc>
        <w:tc>
          <w:tcPr>
            <w:tcW w:w="482"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-213,3</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-22,5</w:t>
            </w:r>
          </w:p>
        </w:tc>
        <w:tc>
          <w:tcPr>
            <w:tcW w:w="467" w:type="pct"/>
            <w:tcBorders>
              <w:top w:val="single" w:sz="4" w:space="0" w:color="auto"/>
              <w:left w:val="single" w:sz="4" w:space="0" w:color="auto"/>
              <w:bottom w:val="single" w:sz="4" w:space="0" w:color="auto"/>
              <w:right w:val="single" w:sz="4" w:space="0" w:color="auto"/>
            </w:tcBorders>
            <w:noWrap/>
            <w:textDirection w:val="lrTb"/>
            <w:vAlign w:val="center"/>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-299,4</w:t>
            </w:r>
          </w:p>
        </w:tc>
        <w:tc>
          <w:tcPr>
            <w:tcW w:w="453"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-28,6</w:t>
            </w:r>
          </w:p>
        </w:tc>
        <w:tc>
          <w:tcPr>
            <w:tcW w:w="538"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-6,3</w:t>
            </w:r>
          </w:p>
        </w:tc>
        <w:tc>
          <w:tcPr>
            <w:tcW w:w="53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-5,2</w:t>
            </w:r>
          </w:p>
        </w:tc>
      </w:tr>
      <w:tr>
        <w:tblPrEx>
          <w:tblW w:w="4914" w:type="pct"/>
          <w:jc w:val="center"/>
          <w:tblInd w:w="158" w:type="dxa"/>
          <w:tblCellMar>
            <w:left w:w="70" w:type="dxa"/>
            <w:right w:w="70" w:type="dxa"/>
          </w:tblCellMar>
          <w:tblLook w:val="04A0"/>
        </w:tblPrEx>
        <w:trPr>
          <w:trHeight w:val="266"/>
          <w:jc w:val="center"/>
        </w:trPr>
        <w:tc>
          <w:tcPr>
            <w:tcW w:w="1597"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rPr>
                <w:rFonts w:ascii="Times New Roman" w:hAnsi="Times New Roman" w:cs="Times New Roman"/>
                <w:sz w:val="14"/>
                <w:szCs w:val="14"/>
                <w:lang w:eastAsia="sk-SK"/>
              </w:rPr>
            </w:pPr>
            <w:r w:rsidRPr="00595620">
              <w:rPr>
                <w:rFonts w:ascii="Times New Roman" w:hAnsi="Times New Roman" w:cs="Times New Roman"/>
                <w:sz w:val="14"/>
                <w:szCs w:val="14"/>
                <w:lang w:eastAsia="sk-SK"/>
              </w:rPr>
              <w:t xml:space="preserve">    Environmentálny fond </w:t>
            </w:r>
          </w:p>
        </w:tc>
        <w:tc>
          <w:tcPr>
            <w:tcW w:w="471"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-3,2</w:t>
            </w:r>
          </w:p>
        </w:tc>
        <w:tc>
          <w:tcPr>
            <w:tcW w:w="482"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3,2</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107,6</w:t>
            </w:r>
          </w:p>
        </w:tc>
        <w:tc>
          <w:tcPr>
            <w:tcW w:w="467" w:type="pct"/>
            <w:tcBorders>
              <w:top w:val="single" w:sz="4" w:space="0" w:color="auto"/>
              <w:left w:val="single" w:sz="4" w:space="0" w:color="auto"/>
              <w:bottom w:val="single" w:sz="4" w:space="0" w:color="auto"/>
              <w:right w:val="single" w:sz="4" w:space="0" w:color="auto"/>
            </w:tcBorders>
            <w:noWrap/>
            <w:textDirection w:val="lrTb"/>
            <w:vAlign w:val="center"/>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30,3</w:t>
            </w:r>
          </w:p>
        </w:tc>
        <w:tc>
          <w:tcPr>
            <w:tcW w:w="453"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44,4</w:t>
            </w:r>
          </w:p>
        </w:tc>
        <w:tc>
          <w:tcPr>
            <w:tcW w:w="538"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32,5</w:t>
            </w:r>
          </w:p>
        </w:tc>
        <w:tc>
          <w:tcPr>
            <w:tcW w:w="53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32,6</w:t>
            </w:r>
          </w:p>
        </w:tc>
      </w:tr>
      <w:tr>
        <w:tblPrEx>
          <w:tblW w:w="4914" w:type="pct"/>
          <w:jc w:val="center"/>
          <w:tblInd w:w="158" w:type="dxa"/>
          <w:tblCellMar>
            <w:left w:w="70" w:type="dxa"/>
            <w:right w:w="70" w:type="dxa"/>
          </w:tblCellMar>
          <w:tblLook w:val="04A0"/>
        </w:tblPrEx>
        <w:trPr>
          <w:trHeight w:val="266"/>
          <w:jc w:val="center"/>
        </w:trPr>
        <w:tc>
          <w:tcPr>
            <w:tcW w:w="1597"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rPr>
                <w:rFonts w:ascii="Times New Roman" w:hAnsi="Times New Roman" w:cs="Times New Roman"/>
                <w:sz w:val="14"/>
                <w:szCs w:val="14"/>
                <w:lang w:eastAsia="sk-SK"/>
              </w:rPr>
            </w:pPr>
            <w:r w:rsidRPr="00595620">
              <w:rPr>
                <w:rFonts w:ascii="Times New Roman" w:hAnsi="Times New Roman" w:cs="Times New Roman"/>
                <w:sz w:val="14"/>
                <w:szCs w:val="14"/>
                <w:lang w:eastAsia="sk-SK"/>
              </w:rPr>
              <w:t xml:space="preserve">    Štátny fond rozvoja bývania</w:t>
            </w:r>
          </w:p>
        </w:tc>
        <w:tc>
          <w:tcPr>
            <w:tcW w:w="471"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161,6</w:t>
            </w:r>
          </w:p>
        </w:tc>
        <w:tc>
          <w:tcPr>
            <w:tcW w:w="482"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81,3</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82,2</w:t>
            </w:r>
          </w:p>
        </w:tc>
        <w:tc>
          <w:tcPr>
            <w:tcW w:w="467" w:type="pct"/>
            <w:tcBorders>
              <w:top w:val="single" w:sz="4" w:space="0" w:color="auto"/>
              <w:left w:val="single" w:sz="4" w:space="0" w:color="auto"/>
              <w:bottom w:val="single" w:sz="4" w:space="0" w:color="auto"/>
              <w:right w:val="single" w:sz="4" w:space="0" w:color="auto"/>
            </w:tcBorders>
            <w:noWrap/>
            <w:textDirection w:val="lrTb"/>
            <w:vAlign w:val="center"/>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84,6</w:t>
            </w:r>
          </w:p>
        </w:tc>
        <w:tc>
          <w:tcPr>
            <w:tcW w:w="453"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81,0</w:t>
            </w:r>
          </w:p>
        </w:tc>
        <w:tc>
          <w:tcPr>
            <w:tcW w:w="538"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81,8</w:t>
            </w:r>
          </w:p>
        </w:tc>
        <w:tc>
          <w:tcPr>
            <w:tcW w:w="53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82,3</w:t>
            </w:r>
          </w:p>
        </w:tc>
      </w:tr>
      <w:tr>
        <w:tblPrEx>
          <w:tblW w:w="4914" w:type="pct"/>
          <w:jc w:val="center"/>
          <w:tblInd w:w="158" w:type="dxa"/>
          <w:tblCellMar>
            <w:left w:w="70" w:type="dxa"/>
            <w:right w:w="70" w:type="dxa"/>
          </w:tblCellMar>
          <w:tblLook w:val="04A0"/>
        </w:tblPrEx>
        <w:trPr>
          <w:trHeight w:val="266"/>
          <w:jc w:val="center"/>
        </w:trPr>
        <w:tc>
          <w:tcPr>
            <w:tcW w:w="1597"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rPr>
                <w:rFonts w:ascii="Times New Roman" w:hAnsi="Times New Roman" w:cs="Times New Roman"/>
                <w:sz w:val="14"/>
                <w:szCs w:val="14"/>
                <w:lang w:eastAsia="sk-SK"/>
              </w:rPr>
            </w:pPr>
            <w:r w:rsidRPr="00595620">
              <w:rPr>
                <w:rFonts w:ascii="Times New Roman" w:hAnsi="Times New Roman" w:cs="Times New Roman"/>
                <w:sz w:val="14"/>
                <w:szCs w:val="14"/>
                <w:lang w:eastAsia="sk-SK"/>
              </w:rPr>
              <w:t xml:space="preserve">    Úrad pre dohľad nad ZS</w:t>
            </w:r>
          </w:p>
        </w:tc>
        <w:tc>
          <w:tcPr>
            <w:tcW w:w="471"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0,4</w:t>
            </w:r>
          </w:p>
        </w:tc>
        <w:tc>
          <w:tcPr>
            <w:tcW w:w="482"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0,3</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0,2</w:t>
            </w:r>
          </w:p>
        </w:tc>
        <w:tc>
          <w:tcPr>
            <w:tcW w:w="467" w:type="pct"/>
            <w:tcBorders>
              <w:top w:val="single" w:sz="4" w:space="0" w:color="auto"/>
              <w:left w:val="single" w:sz="4" w:space="0" w:color="auto"/>
              <w:bottom w:val="single" w:sz="4" w:space="0" w:color="auto"/>
              <w:right w:val="single" w:sz="4" w:space="0" w:color="auto"/>
            </w:tcBorders>
            <w:noWrap/>
            <w:textDirection w:val="lrTb"/>
            <w:vAlign w:val="center"/>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-2,0</w:t>
            </w:r>
          </w:p>
        </w:tc>
        <w:tc>
          <w:tcPr>
            <w:tcW w:w="453"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-0,2</w:t>
            </w:r>
          </w:p>
        </w:tc>
        <w:tc>
          <w:tcPr>
            <w:tcW w:w="538"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w:t>
            </w:r>
            <w:r>
              <w:rPr>
                <w:rFonts w:ascii="Times New Roman" w:hAnsi="Times New Roman" w:cs="Times New Roman"/>
                <w:sz w:val="14"/>
                <w:szCs w:val="14"/>
                <w:lang w:eastAsia="sk-SK"/>
              </w:rPr>
              <w:t>4</w:t>
            </w:r>
          </w:p>
        </w:tc>
        <w:tc>
          <w:tcPr>
            <w:tcW w:w="53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w:t>
            </w:r>
            <w:r>
              <w:rPr>
                <w:rFonts w:ascii="Times New Roman" w:hAnsi="Times New Roman" w:cs="Times New Roman"/>
                <w:sz w:val="14"/>
                <w:szCs w:val="14"/>
                <w:lang w:eastAsia="sk-SK"/>
              </w:rPr>
              <w:t>4</w:t>
            </w:r>
          </w:p>
        </w:tc>
      </w:tr>
      <w:tr>
        <w:tblPrEx>
          <w:tblW w:w="4914" w:type="pct"/>
          <w:jc w:val="center"/>
          <w:tblInd w:w="158" w:type="dxa"/>
          <w:tblCellMar>
            <w:left w:w="70" w:type="dxa"/>
            <w:right w:w="70" w:type="dxa"/>
          </w:tblCellMar>
          <w:tblLook w:val="04A0"/>
        </w:tblPrEx>
        <w:trPr>
          <w:trHeight w:val="266"/>
          <w:jc w:val="center"/>
        </w:trPr>
        <w:tc>
          <w:tcPr>
            <w:tcW w:w="1597"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rPr>
                <w:rFonts w:ascii="Times New Roman" w:hAnsi="Times New Roman" w:cs="Times New Roman"/>
                <w:sz w:val="14"/>
                <w:szCs w:val="14"/>
                <w:lang w:eastAsia="sk-SK"/>
              </w:rPr>
            </w:pPr>
            <w:r w:rsidRPr="00595620">
              <w:rPr>
                <w:rFonts w:ascii="Times New Roman" w:hAnsi="Times New Roman" w:cs="Times New Roman"/>
                <w:sz w:val="14"/>
                <w:szCs w:val="14"/>
                <w:lang w:eastAsia="sk-SK"/>
              </w:rPr>
              <w:t xml:space="preserve">    Slovenský pozemkový fond</w:t>
            </w:r>
          </w:p>
        </w:tc>
        <w:tc>
          <w:tcPr>
            <w:tcW w:w="471"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-5,2</w:t>
            </w:r>
          </w:p>
        </w:tc>
        <w:tc>
          <w:tcPr>
            <w:tcW w:w="482"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2,3</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5,9</w:t>
            </w:r>
          </w:p>
        </w:tc>
        <w:tc>
          <w:tcPr>
            <w:tcW w:w="467" w:type="pct"/>
            <w:tcBorders>
              <w:top w:val="single" w:sz="4" w:space="0" w:color="auto"/>
              <w:left w:val="single" w:sz="4" w:space="0" w:color="auto"/>
              <w:bottom w:val="single" w:sz="4" w:space="0" w:color="auto"/>
              <w:right w:val="single" w:sz="4" w:space="0" w:color="auto"/>
            </w:tcBorders>
            <w:noWrap/>
            <w:textDirection w:val="lrTb"/>
            <w:vAlign w:val="center"/>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5,9</w:t>
            </w:r>
          </w:p>
        </w:tc>
        <w:tc>
          <w:tcPr>
            <w:tcW w:w="453"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6,2</w:t>
            </w:r>
          </w:p>
        </w:tc>
        <w:tc>
          <w:tcPr>
            <w:tcW w:w="538"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4,7</w:t>
            </w:r>
          </w:p>
        </w:tc>
        <w:tc>
          <w:tcPr>
            <w:tcW w:w="53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3,8</w:t>
            </w:r>
          </w:p>
        </w:tc>
      </w:tr>
      <w:tr>
        <w:tblPrEx>
          <w:tblW w:w="4914" w:type="pct"/>
          <w:jc w:val="center"/>
          <w:tblInd w:w="158" w:type="dxa"/>
          <w:tblCellMar>
            <w:left w:w="70" w:type="dxa"/>
            <w:right w:w="70" w:type="dxa"/>
          </w:tblCellMar>
          <w:tblLook w:val="04A0"/>
        </w:tblPrEx>
        <w:trPr>
          <w:trHeight w:val="266"/>
          <w:jc w:val="center"/>
        </w:trPr>
        <w:tc>
          <w:tcPr>
            <w:tcW w:w="1597"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rPr>
                <w:rFonts w:ascii="Times New Roman" w:hAnsi="Times New Roman" w:cs="Times New Roman"/>
                <w:sz w:val="14"/>
                <w:szCs w:val="14"/>
                <w:lang w:eastAsia="sk-SK"/>
              </w:rPr>
            </w:pPr>
            <w:r w:rsidRPr="00595620">
              <w:rPr>
                <w:rFonts w:ascii="Times New Roman" w:hAnsi="Times New Roman" w:cs="Times New Roman"/>
                <w:sz w:val="14"/>
                <w:szCs w:val="14"/>
                <w:lang w:eastAsia="sk-SK"/>
              </w:rPr>
              <w:t xml:space="preserve">    Slovenská konsolidačná, a. s.</w:t>
            </w:r>
          </w:p>
        </w:tc>
        <w:tc>
          <w:tcPr>
            <w:tcW w:w="471"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10,8</w:t>
            </w:r>
          </w:p>
        </w:tc>
        <w:tc>
          <w:tcPr>
            <w:tcW w:w="482"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-12,5</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-2,8</w:t>
            </w:r>
          </w:p>
        </w:tc>
        <w:tc>
          <w:tcPr>
            <w:tcW w:w="467" w:type="pct"/>
            <w:tcBorders>
              <w:top w:val="single" w:sz="4" w:space="0" w:color="auto"/>
              <w:left w:val="single" w:sz="4" w:space="0" w:color="auto"/>
              <w:bottom w:val="single" w:sz="4" w:space="0" w:color="auto"/>
              <w:right w:val="single" w:sz="4" w:space="0" w:color="auto"/>
            </w:tcBorders>
            <w:noWrap/>
            <w:textDirection w:val="lrTb"/>
            <w:vAlign w:val="center"/>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-5,4</w:t>
            </w:r>
          </w:p>
        </w:tc>
        <w:tc>
          <w:tcPr>
            <w:tcW w:w="453"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-11,3</w:t>
            </w:r>
          </w:p>
        </w:tc>
        <w:tc>
          <w:tcPr>
            <w:tcW w:w="538"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-6,4</w:t>
            </w:r>
          </w:p>
        </w:tc>
        <w:tc>
          <w:tcPr>
            <w:tcW w:w="53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-4,0</w:t>
            </w:r>
          </w:p>
        </w:tc>
      </w:tr>
      <w:tr>
        <w:tblPrEx>
          <w:tblW w:w="4914" w:type="pct"/>
          <w:jc w:val="center"/>
          <w:tblInd w:w="158" w:type="dxa"/>
          <w:tblCellMar>
            <w:left w:w="70" w:type="dxa"/>
            <w:right w:w="70" w:type="dxa"/>
          </w:tblCellMar>
          <w:tblLook w:val="04A0"/>
        </w:tblPrEx>
        <w:trPr>
          <w:trHeight w:val="266"/>
          <w:jc w:val="center"/>
        </w:trPr>
        <w:tc>
          <w:tcPr>
            <w:tcW w:w="1597"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rPr>
                <w:rFonts w:ascii="Times New Roman" w:hAnsi="Times New Roman" w:cs="Times New Roman"/>
                <w:sz w:val="14"/>
                <w:szCs w:val="14"/>
                <w:lang w:eastAsia="sk-SK"/>
              </w:rPr>
            </w:pPr>
            <w:r w:rsidRPr="00595620">
              <w:rPr>
                <w:rFonts w:ascii="Times New Roman" w:hAnsi="Times New Roman" w:cs="Times New Roman"/>
                <w:sz w:val="14"/>
                <w:szCs w:val="14"/>
                <w:lang w:eastAsia="sk-SK"/>
              </w:rPr>
              <w:t xml:space="preserve">    Verejné vysoké školy</w:t>
            </w:r>
          </w:p>
        </w:tc>
        <w:tc>
          <w:tcPr>
            <w:tcW w:w="471"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-57,6</w:t>
            </w:r>
          </w:p>
        </w:tc>
        <w:tc>
          <w:tcPr>
            <w:tcW w:w="482"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-24,1</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0,3</w:t>
            </w:r>
          </w:p>
        </w:tc>
        <w:tc>
          <w:tcPr>
            <w:tcW w:w="467" w:type="pct"/>
            <w:tcBorders>
              <w:top w:val="single" w:sz="4" w:space="0" w:color="auto"/>
              <w:left w:val="single" w:sz="4" w:space="0" w:color="auto"/>
              <w:bottom w:val="single" w:sz="4" w:space="0" w:color="auto"/>
              <w:right w:val="single" w:sz="4" w:space="0" w:color="auto"/>
            </w:tcBorders>
            <w:noWrap/>
            <w:textDirection w:val="lrTb"/>
            <w:vAlign w:val="center"/>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11,2</w:t>
            </w:r>
          </w:p>
        </w:tc>
        <w:tc>
          <w:tcPr>
            <w:tcW w:w="453"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0,4</w:t>
            </w:r>
          </w:p>
        </w:tc>
        <w:tc>
          <w:tcPr>
            <w:tcW w:w="538"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0,3</w:t>
            </w:r>
          </w:p>
        </w:tc>
        <w:tc>
          <w:tcPr>
            <w:tcW w:w="53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0,3</w:t>
            </w:r>
          </w:p>
        </w:tc>
      </w:tr>
      <w:tr>
        <w:tblPrEx>
          <w:tblW w:w="4914" w:type="pct"/>
          <w:jc w:val="center"/>
          <w:tblInd w:w="158" w:type="dxa"/>
          <w:tblCellMar>
            <w:left w:w="70" w:type="dxa"/>
            <w:right w:w="70" w:type="dxa"/>
          </w:tblCellMar>
          <w:tblLook w:val="04A0"/>
        </w:tblPrEx>
        <w:trPr>
          <w:trHeight w:val="266"/>
          <w:jc w:val="center"/>
        </w:trPr>
        <w:tc>
          <w:tcPr>
            <w:tcW w:w="1597"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rPr>
                <w:rFonts w:ascii="Times New Roman" w:hAnsi="Times New Roman" w:cs="Times New Roman"/>
                <w:sz w:val="14"/>
                <w:szCs w:val="14"/>
                <w:lang w:eastAsia="sk-SK"/>
              </w:rPr>
            </w:pPr>
            <w:r w:rsidRPr="00595620">
              <w:rPr>
                <w:rFonts w:ascii="Times New Roman" w:hAnsi="Times New Roman" w:cs="Times New Roman"/>
                <w:sz w:val="14"/>
                <w:szCs w:val="14"/>
                <w:lang w:eastAsia="sk-SK"/>
              </w:rPr>
              <w:t xml:space="preserve">    Rozhlas a televízia Slovenska</w:t>
            </w:r>
          </w:p>
        </w:tc>
        <w:tc>
          <w:tcPr>
            <w:tcW w:w="471"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0,3</w:t>
            </w:r>
          </w:p>
        </w:tc>
        <w:tc>
          <w:tcPr>
            <w:tcW w:w="482"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-14,1</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-0,7</w:t>
            </w:r>
          </w:p>
        </w:tc>
        <w:tc>
          <w:tcPr>
            <w:tcW w:w="467" w:type="pct"/>
            <w:tcBorders>
              <w:top w:val="single" w:sz="4" w:space="0" w:color="auto"/>
              <w:left w:val="single" w:sz="4" w:space="0" w:color="auto"/>
              <w:bottom w:val="single" w:sz="4" w:space="0" w:color="auto"/>
              <w:right w:val="single" w:sz="4" w:space="0" w:color="auto"/>
            </w:tcBorders>
            <w:noWrap/>
            <w:textDirection w:val="lrTb"/>
            <w:vAlign w:val="center"/>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0,4</w:t>
            </w:r>
          </w:p>
        </w:tc>
        <w:tc>
          <w:tcPr>
            <w:tcW w:w="453"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0,7</w:t>
            </w:r>
          </w:p>
        </w:tc>
        <w:tc>
          <w:tcPr>
            <w:tcW w:w="538"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0,9</w:t>
            </w:r>
          </w:p>
        </w:tc>
        <w:tc>
          <w:tcPr>
            <w:tcW w:w="53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1,1</w:t>
            </w:r>
          </w:p>
        </w:tc>
      </w:tr>
      <w:tr>
        <w:tblPrEx>
          <w:tblW w:w="4914" w:type="pct"/>
          <w:jc w:val="center"/>
          <w:tblInd w:w="158" w:type="dxa"/>
          <w:tblCellMar>
            <w:left w:w="70" w:type="dxa"/>
            <w:right w:w="70" w:type="dxa"/>
          </w:tblCellMar>
          <w:tblLook w:val="04A0"/>
        </w:tblPrEx>
        <w:trPr>
          <w:trHeight w:val="266"/>
          <w:jc w:val="center"/>
        </w:trPr>
        <w:tc>
          <w:tcPr>
            <w:tcW w:w="1597"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rPr>
                <w:rFonts w:ascii="Times New Roman" w:hAnsi="Times New Roman" w:cs="Times New Roman"/>
                <w:sz w:val="14"/>
                <w:szCs w:val="14"/>
                <w:lang w:eastAsia="sk-SK"/>
              </w:rPr>
            </w:pPr>
            <w:r w:rsidRPr="00595620">
              <w:rPr>
                <w:rFonts w:ascii="Times New Roman" w:hAnsi="Times New Roman" w:cs="Times New Roman"/>
                <w:sz w:val="14"/>
                <w:szCs w:val="14"/>
                <w:lang w:eastAsia="sk-SK"/>
              </w:rPr>
              <w:t xml:space="preserve">    RTVS, s.r.o.</w:t>
            </w:r>
          </w:p>
        </w:tc>
        <w:tc>
          <w:tcPr>
            <w:tcW w:w="471"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0,2</w:t>
            </w:r>
          </w:p>
        </w:tc>
        <w:tc>
          <w:tcPr>
            <w:tcW w:w="482"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0,0</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-0,4</w:t>
            </w:r>
          </w:p>
        </w:tc>
        <w:tc>
          <w:tcPr>
            <w:tcW w:w="467" w:type="pct"/>
            <w:tcBorders>
              <w:top w:val="single" w:sz="4" w:space="0" w:color="auto"/>
              <w:left w:val="single" w:sz="4" w:space="0" w:color="auto"/>
              <w:bottom w:val="single" w:sz="4" w:space="0" w:color="auto"/>
              <w:right w:val="single" w:sz="4" w:space="0" w:color="auto"/>
            </w:tcBorders>
            <w:noWrap/>
            <w:textDirection w:val="lrTb"/>
            <w:vAlign w:val="center"/>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-0,4</w:t>
            </w:r>
          </w:p>
        </w:tc>
        <w:tc>
          <w:tcPr>
            <w:tcW w:w="453"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-0,4</w:t>
            </w:r>
          </w:p>
        </w:tc>
        <w:tc>
          <w:tcPr>
            <w:tcW w:w="538"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-0,4</w:t>
            </w:r>
          </w:p>
        </w:tc>
        <w:tc>
          <w:tcPr>
            <w:tcW w:w="53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-0,4</w:t>
            </w:r>
          </w:p>
        </w:tc>
      </w:tr>
      <w:tr>
        <w:tblPrEx>
          <w:tblW w:w="4914" w:type="pct"/>
          <w:jc w:val="center"/>
          <w:tblInd w:w="158" w:type="dxa"/>
          <w:tblCellMar>
            <w:left w:w="70" w:type="dxa"/>
            <w:right w:w="70" w:type="dxa"/>
          </w:tblCellMar>
          <w:tblLook w:val="04A0"/>
        </w:tblPrEx>
        <w:trPr>
          <w:trHeight w:val="266"/>
          <w:jc w:val="center"/>
        </w:trPr>
        <w:tc>
          <w:tcPr>
            <w:tcW w:w="1597"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rPr>
                <w:rFonts w:ascii="Times New Roman" w:hAnsi="Times New Roman" w:cs="Times New Roman"/>
                <w:sz w:val="14"/>
                <w:szCs w:val="14"/>
                <w:lang w:eastAsia="sk-SK"/>
              </w:rPr>
            </w:pPr>
            <w:r w:rsidRPr="00595620">
              <w:rPr>
                <w:rFonts w:ascii="Times New Roman" w:hAnsi="Times New Roman" w:cs="Times New Roman"/>
                <w:sz w:val="14"/>
                <w:szCs w:val="14"/>
                <w:lang w:eastAsia="sk-SK"/>
              </w:rPr>
              <w:t xml:space="preserve">    TASR</w:t>
            </w:r>
          </w:p>
        </w:tc>
        <w:tc>
          <w:tcPr>
            <w:tcW w:w="471"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-0,4</w:t>
            </w:r>
          </w:p>
        </w:tc>
        <w:tc>
          <w:tcPr>
            <w:tcW w:w="482"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0,1</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0,0</w:t>
            </w:r>
          </w:p>
        </w:tc>
        <w:tc>
          <w:tcPr>
            <w:tcW w:w="467" w:type="pct"/>
            <w:tcBorders>
              <w:top w:val="single" w:sz="4" w:space="0" w:color="auto"/>
              <w:left w:val="single" w:sz="4" w:space="0" w:color="auto"/>
              <w:bottom w:val="single" w:sz="4" w:space="0" w:color="auto"/>
              <w:right w:val="single" w:sz="4" w:space="0" w:color="auto"/>
            </w:tcBorders>
            <w:noWrap/>
            <w:textDirection w:val="lrTb"/>
            <w:vAlign w:val="center"/>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-0,3</w:t>
            </w:r>
          </w:p>
        </w:tc>
        <w:tc>
          <w:tcPr>
            <w:tcW w:w="453"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0,0</w:t>
            </w:r>
          </w:p>
        </w:tc>
        <w:tc>
          <w:tcPr>
            <w:tcW w:w="538"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0,0</w:t>
            </w:r>
          </w:p>
        </w:tc>
        <w:tc>
          <w:tcPr>
            <w:tcW w:w="53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0,0</w:t>
            </w:r>
          </w:p>
        </w:tc>
      </w:tr>
      <w:tr>
        <w:tblPrEx>
          <w:tblW w:w="4914" w:type="pct"/>
          <w:jc w:val="center"/>
          <w:tblInd w:w="158" w:type="dxa"/>
          <w:tblCellMar>
            <w:left w:w="70" w:type="dxa"/>
            <w:right w:w="70" w:type="dxa"/>
          </w:tblCellMar>
          <w:tblLook w:val="04A0"/>
        </w:tblPrEx>
        <w:trPr>
          <w:trHeight w:val="266"/>
          <w:jc w:val="center"/>
        </w:trPr>
        <w:tc>
          <w:tcPr>
            <w:tcW w:w="1597"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rPr>
                <w:rFonts w:ascii="Times New Roman" w:hAnsi="Times New Roman" w:cs="Times New Roman"/>
                <w:sz w:val="14"/>
                <w:szCs w:val="14"/>
                <w:lang w:eastAsia="sk-SK"/>
              </w:rPr>
            </w:pPr>
            <w:r w:rsidRPr="00595620">
              <w:rPr>
                <w:rFonts w:ascii="Times New Roman" w:hAnsi="Times New Roman" w:cs="Times New Roman"/>
                <w:sz w:val="14"/>
                <w:szCs w:val="14"/>
                <w:lang w:eastAsia="sk-SK"/>
              </w:rPr>
              <w:t xml:space="preserve">    Úrad pre dohľad nad výkonom auditu</w:t>
            </w:r>
          </w:p>
        </w:tc>
        <w:tc>
          <w:tcPr>
            <w:tcW w:w="471"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0,1</w:t>
            </w:r>
          </w:p>
        </w:tc>
        <w:tc>
          <w:tcPr>
            <w:tcW w:w="482"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0,1</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0,0</w:t>
            </w:r>
          </w:p>
        </w:tc>
        <w:tc>
          <w:tcPr>
            <w:tcW w:w="467" w:type="pct"/>
            <w:tcBorders>
              <w:top w:val="single" w:sz="4" w:space="0" w:color="auto"/>
              <w:left w:val="single" w:sz="4" w:space="0" w:color="auto"/>
              <w:bottom w:val="single" w:sz="4" w:space="0" w:color="auto"/>
              <w:right w:val="single" w:sz="4" w:space="0" w:color="auto"/>
            </w:tcBorders>
            <w:noWrap/>
            <w:textDirection w:val="lrTb"/>
            <w:vAlign w:val="center"/>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0,0</w:t>
            </w:r>
          </w:p>
        </w:tc>
        <w:tc>
          <w:tcPr>
            <w:tcW w:w="453"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0,0</w:t>
            </w:r>
          </w:p>
        </w:tc>
        <w:tc>
          <w:tcPr>
            <w:tcW w:w="538"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0,0</w:t>
            </w:r>
          </w:p>
        </w:tc>
        <w:tc>
          <w:tcPr>
            <w:tcW w:w="53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0,0</w:t>
            </w:r>
          </w:p>
        </w:tc>
      </w:tr>
      <w:tr>
        <w:tblPrEx>
          <w:tblW w:w="4914" w:type="pct"/>
          <w:jc w:val="center"/>
          <w:tblInd w:w="158" w:type="dxa"/>
          <w:tblCellMar>
            <w:left w:w="70" w:type="dxa"/>
            <w:right w:w="70" w:type="dxa"/>
          </w:tblCellMar>
          <w:tblLook w:val="04A0"/>
        </w:tblPrEx>
        <w:trPr>
          <w:trHeight w:val="266"/>
          <w:jc w:val="center"/>
        </w:trPr>
        <w:tc>
          <w:tcPr>
            <w:tcW w:w="1597"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rPr>
                <w:rFonts w:ascii="Times New Roman" w:hAnsi="Times New Roman" w:cs="Times New Roman"/>
                <w:sz w:val="14"/>
                <w:szCs w:val="14"/>
                <w:lang w:eastAsia="sk-SK"/>
              </w:rPr>
            </w:pPr>
            <w:r w:rsidRPr="00595620">
              <w:rPr>
                <w:rFonts w:ascii="Times New Roman" w:hAnsi="Times New Roman" w:cs="Times New Roman"/>
                <w:sz w:val="14"/>
                <w:szCs w:val="14"/>
                <w:lang w:eastAsia="sk-SK"/>
              </w:rPr>
              <w:t xml:space="preserve">    Audiovizuálny fond </w:t>
            </w:r>
          </w:p>
        </w:tc>
        <w:tc>
          <w:tcPr>
            <w:tcW w:w="471"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0,0</w:t>
            </w:r>
          </w:p>
        </w:tc>
        <w:tc>
          <w:tcPr>
            <w:tcW w:w="482"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1,4</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-0,1</w:t>
            </w:r>
          </w:p>
        </w:tc>
        <w:tc>
          <w:tcPr>
            <w:tcW w:w="467" w:type="pct"/>
            <w:tcBorders>
              <w:top w:val="single" w:sz="4" w:space="0" w:color="auto"/>
              <w:left w:val="single" w:sz="4" w:space="0" w:color="auto"/>
              <w:bottom w:val="single" w:sz="4" w:space="0" w:color="auto"/>
              <w:right w:val="single" w:sz="4" w:space="0" w:color="auto"/>
            </w:tcBorders>
            <w:noWrap/>
            <w:textDirection w:val="lrTb"/>
            <w:vAlign w:val="center"/>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0,0</w:t>
            </w:r>
          </w:p>
        </w:tc>
        <w:tc>
          <w:tcPr>
            <w:tcW w:w="453"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0,0</w:t>
            </w:r>
          </w:p>
        </w:tc>
        <w:tc>
          <w:tcPr>
            <w:tcW w:w="538"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0,0</w:t>
            </w:r>
          </w:p>
        </w:tc>
        <w:tc>
          <w:tcPr>
            <w:tcW w:w="53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0,0</w:t>
            </w:r>
          </w:p>
        </w:tc>
      </w:tr>
      <w:tr>
        <w:tblPrEx>
          <w:tblW w:w="4914" w:type="pct"/>
          <w:jc w:val="center"/>
          <w:tblInd w:w="158" w:type="dxa"/>
          <w:tblCellMar>
            <w:left w:w="70" w:type="dxa"/>
            <w:right w:w="70" w:type="dxa"/>
          </w:tblCellMar>
          <w:tblLook w:val="04A0"/>
        </w:tblPrEx>
        <w:trPr>
          <w:trHeight w:val="266"/>
          <w:jc w:val="center"/>
        </w:trPr>
        <w:tc>
          <w:tcPr>
            <w:tcW w:w="1597"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rPr>
                <w:rFonts w:ascii="Times New Roman" w:hAnsi="Times New Roman" w:cs="Times New Roman"/>
                <w:sz w:val="14"/>
                <w:szCs w:val="14"/>
                <w:lang w:eastAsia="sk-SK"/>
              </w:rPr>
            </w:pPr>
            <w:r w:rsidRPr="00595620">
              <w:rPr>
                <w:rFonts w:ascii="Times New Roman" w:hAnsi="Times New Roman" w:cs="Times New Roman"/>
                <w:sz w:val="14"/>
                <w:szCs w:val="14"/>
                <w:lang w:eastAsia="sk-SK"/>
              </w:rPr>
              <w:t xml:space="preserve">    Príspevkové organizácie spolu</w:t>
            </w:r>
          </w:p>
        </w:tc>
        <w:tc>
          <w:tcPr>
            <w:tcW w:w="471"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14,6</w:t>
            </w:r>
          </w:p>
        </w:tc>
        <w:tc>
          <w:tcPr>
            <w:tcW w:w="482"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-28,8</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6,3</w:t>
            </w:r>
          </w:p>
        </w:tc>
        <w:tc>
          <w:tcPr>
            <w:tcW w:w="467" w:type="pct"/>
            <w:tcBorders>
              <w:top w:val="single" w:sz="4" w:space="0" w:color="auto"/>
              <w:left w:val="single" w:sz="4" w:space="0" w:color="auto"/>
              <w:bottom w:val="single" w:sz="4" w:space="0" w:color="auto"/>
              <w:right w:val="single" w:sz="4" w:space="0" w:color="auto"/>
            </w:tcBorders>
            <w:noWrap/>
            <w:textDirection w:val="lrTb"/>
            <w:vAlign w:val="center"/>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6,3</w:t>
            </w:r>
          </w:p>
        </w:tc>
        <w:tc>
          <w:tcPr>
            <w:tcW w:w="453"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4,7</w:t>
            </w:r>
          </w:p>
        </w:tc>
        <w:tc>
          <w:tcPr>
            <w:tcW w:w="538"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3,3</w:t>
            </w:r>
          </w:p>
        </w:tc>
        <w:tc>
          <w:tcPr>
            <w:tcW w:w="536"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0,9</w:t>
            </w:r>
          </w:p>
        </w:tc>
      </w:tr>
    </w:tbl>
    <w:p w:rsidR="00FE4FF6" w:rsidRPr="007F66EE" w:rsidP="00FE4FF6">
      <w:pPr>
        <w:pStyle w:val="BodyText"/>
        <w:tabs>
          <w:tab w:val="left" w:pos="0"/>
        </w:tabs>
        <w:bidi w:val="0"/>
        <w:rPr>
          <w:rFonts w:ascii="Times New Roman" w:hAnsi="Times New Roman" w:cs="Times New Roman"/>
          <w:b/>
          <w:bCs/>
          <w:sz w:val="28"/>
        </w:rPr>
      </w:pPr>
    </w:p>
    <w:p w:rsidR="00FE4FF6" w:rsidRPr="007F66EE" w:rsidP="00FE4FF6">
      <w:pPr>
        <w:pStyle w:val="BodyText"/>
        <w:tabs>
          <w:tab w:val="left" w:pos="0"/>
        </w:tabs>
        <w:bidi w:val="0"/>
        <w:rPr>
          <w:rFonts w:ascii="Times New Roman" w:hAnsi="Times New Roman" w:cs="Times New Roman"/>
          <w:szCs w:val="22"/>
        </w:rPr>
      </w:pPr>
      <w:r w:rsidRPr="007F66EE">
        <w:rPr>
          <w:rFonts w:ascii="Times New Roman" w:hAnsi="Times New Roman" w:cs="Times New Roman"/>
          <w:b/>
          <w:bCs/>
          <w:sz w:val="28"/>
        </w:rPr>
        <w:tab/>
      </w:r>
      <w:r w:rsidRPr="007F66EE">
        <w:rPr>
          <w:rFonts w:ascii="Times New Roman" w:hAnsi="Times New Roman" w:cs="Times New Roman"/>
          <w:szCs w:val="22"/>
        </w:rPr>
        <w:t xml:space="preserve">Schodok štátneho rozpočtu podľa metodiky ESA 95 je pretransformovaný pomocou modifikujúcich faktorov na hotovostné saldo. Takto získaný schodok štátneho rozpočtu na hotovostnom princípe spolu s prognózovanými hotovostnými príjmami štátneho rozpočtu vytvárajú priestor pre realizáciu výdavkov štátneho rozpočtu. </w:t>
      </w:r>
    </w:p>
    <w:p w:rsidR="00FE4FF6" w:rsidRPr="007F66EE" w:rsidP="00FE4FF6">
      <w:pPr>
        <w:pStyle w:val="BodyText"/>
        <w:tabs>
          <w:tab w:val="left" w:pos="0"/>
        </w:tabs>
        <w:bidi w:val="0"/>
        <w:rPr>
          <w:rFonts w:ascii="Times New Roman" w:hAnsi="Times New Roman" w:cs="Times New Roman"/>
          <w:sz w:val="22"/>
          <w:szCs w:val="22"/>
        </w:rPr>
      </w:pPr>
    </w:p>
    <w:p w:rsidR="00FE4FF6" w:rsidP="00FE4FF6">
      <w:pPr>
        <w:pStyle w:val="BodyText"/>
        <w:tabs>
          <w:tab w:val="left" w:pos="0"/>
        </w:tabs>
        <w:bidi w:val="0"/>
        <w:jc w:val="center"/>
        <w:rPr>
          <w:rFonts w:ascii="Times New Roman" w:hAnsi="Times New Roman" w:cs="Times New Roman"/>
          <w:b/>
          <w:bCs/>
          <w:sz w:val="22"/>
          <w:szCs w:val="22"/>
        </w:rPr>
      </w:pPr>
      <w:r w:rsidRPr="007F66EE">
        <w:rPr>
          <w:rFonts w:ascii="Times New Roman" w:hAnsi="Times New Roman" w:cs="Times New Roman"/>
          <w:b/>
          <w:bCs/>
          <w:sz w:val="22"/>
          <w:szCs w:val="22"/>
        </w:rPr>
        <w:t>Rámec štátneho rozpočtu</w:t>
      </w:r>
    </w:p>
    <w:p w:rsidR="00FE4FF6" w:rsidP="00FE4FF6">
      <w:pPr>
        <w:bidi w:val="0"/>
        <w:jc w:val="both"/>
        <w:rPr>
          <w:rFonts w:ascii="Times New Roman" w:hAnsi="Times New Roman" w:cs="Times New Roman"/>
          <w:szCs w:val="22"/>
        </w:rPr>
      </w:pPr>
    </w:p>
    <w:tbl>
      <w:tblPr>
        <w:tblStyle w:val="TableNormal"/>
        <w:tblW w:w="4943" w:type="pct"/>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495"/>
        <w:gridCol w:w="798"/>
        <w:gridCol w:w="798"/>
        <w:gridCol w:w="800"/>
        <w:gridCol w:w="816"/>
        <w:gridCol w:w="801"/>
        <w:gridCol w:w="801"/>
        <w:gridCol w:w="798"/>
      </w:tblGrid>
      <w:tr>
        <w:tblPrEx>
          <w:tblW w:w="4943" w:type="pct"/>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70"/>
          <w:jc w:val="center"/>
        </w:trPr>
        <w:tc>
          <w:tcPr>
            <w:tcW w:w="1919"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FE4FF6" w:rsidRPr="00595620" w:rsidP="001A4CB9">
            <w:pPr>
              <w:bidi w:val="0"/>
              <w:rPr>
                <w:rFonts w:ascii="Times New Roman" w:hAnsi="Times New Roman" w:cs="Times New Roman"/>
                <w:b/>
                <w:sz w:val="14"/>
                <w:szCs w:val="14"/>
                <w:lang w:eastAsia="sk-SK"/>
              </w:rPr>
            </w:pPr>
            <w:r w:rsidRPr="00595620">
              <w:rPr>
                <w:rFonts w:ascii="Times New Roman" w:hAnsi="Times New Roman" w:cs="Times New Roman"/>
                <w:b/>
                <w:sz w:val="14"/>
                <w:szCs w:val="14"/>
                <w:lang w:eastAsia="sk-SK"/>
              </w:rPr>
              <w:t> v mil. eur</w:t>
            </w:r>
          </w:p>
        </w:tc>
        <w:tc>
          <w:tcPr>
            <w:tcW w:w="43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E4FF6" w:rsidRPr="00595620" w:rsidP="001A4CB9">
            <w:pPr>
              <w:bidi w:val="0"/>
              <w:jc w:val="center"/>
              <w:rPr>
                <w:rFonts w:ascii="Times New Roman" w:hAnsi="Times New Roman" w:cs="Times New Roman"/>
                <w:b/>
                <w:bCs/>
                <w:sz w:val="14"/>
                <w:szCs w:val="14"/>
                <w:lang w:eastAsia="sk-SK"/>
              </w:rPr>
            </w:pPr>
            <w:r w:rsidRPr="00595620">
              <w:rPr>
                <w:rFonts w:ascii="Times New Roman" w:hAnsi="Times New Roman" w:cs="Times New Roman"/>
                <w:b/>
                <w:bCs/>
                <w:sz w:val="14"/>
                <w:szCs w:val="14"/>
                <w:lang w:eastAsia="sk-SK"/>
              </w:rPr>
              <w:t>2009 S</w:t>
            </w:r>
          </w:p>
        </w:tc>
        <w:tc>
          <w:tcPr>
            <w:tcW w:w="43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E4FF6" w:rsidRPr="00595620" w:rsidP="001A4CB9">
            <w:pPr>
              <w:bidi w:val="0"/>
              <w:jc w:val="center"/>
              <w:rPr>
                <w:rFonts w:ascii="Times New Roman" w:hAnsi="Times New Roman" w:cs="Times New Roman"/>
                <w:b/>
                <w:bCs/>
                <w:sz w:val="14"/>
                <w:szCs w:val="14"/>
                <w:lang w:eastAsia="sk-SK"/>
              </w:rPr>
            </w:pPr>
            <w:r w:rsidRPr="00595620">
              <w:rPr>
                <w:rFonts w:ascii="Times New Roman" w:hAnsi="Times New Roman" w:cs="Times New Roman"/>
                <w:b/>
                <w:bCs/>
                <w:sz w:val="14"/>
                <w:szCs w:val="14"/>
                <w:lang w:eastAsia="sk-SK"/>
              </w:rPr>
              <w:t>2010 S</w:t>
            </w:r>
          </w:p>
        </w:tc>
        <w:tc>
          <w:tcPr>
            <w:tcW w:w="43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E4FF6" w:rsidRPr="00595620" w:rsidP="001A4CB9">
            <w:pPr>
              <w:bidi w:val="0"/>
              <w:jc w:val="center"/>
              <w:rPr>
                <w:rFonts w:ascii="Times New Roman" w:hAnsi="Times New Roman" w:cs="Times New Roman"/>
                <w:b/>
                <w:bCs/>
                <w:sz w:val="14"/>
                <w:szCs w:val="14"/>
                <w:lang w:eastAsia="sk-SK"/>
              </w:rPr>
            </w:pPr>
            <w:r w:rsidRPr="00595620">
              <w:rPr>
                <w:rFonts w:ascii="Times New Roman" w:hAnsi="Times New Roman" w:cs="Times New Roman"/>
                <w:b/>
                <w:bCs/>
                <w:sz w:val="14"/>
                <w:szCs w:val="14"/>
                <w:lang w:eastAsia="sk-SK"/>
              </w:rPr>
              <w:t>2011 R</w:t>
            </w:r>
          </w:p>
        </w:tc>
        <w:tc>
          <w:tcPr>
            <w:tcW w:w="44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E4FF6" w:rsidRPr="00595620" w:rsidP="001A4CB9">
            <w:pPr>
              <w:bidi w:val="0"/>
              <w:jc w:val="center"/>
              <w:rPr>
                <w:rFonts w:ascii="Times New Roman" w:hAnsi="Times New Roman" w:cs="Times New Roman"/>
                <w:b/>
                <w:bCs/>
                <w:sz w:val="14"/>
                <w:szCs w:val="14"/>
                <w:lang w:eastAsia="sk-SK"/>
              </w:rPr>
            </w:pPr>
            <w:r w:rsidRPr="00595620">
              <w:rPr>
                <w:rFonts w:ascii="Times New Roman" w:hAnsi="Times New Roman" w:cs="Times New Roman"/>
                <w:b/>
                <w:bCs/>
                <w:sz w:val="14"/>
                <w:szCs w:val="14"/>
                <w:lang w:eastAsia="sk-SK"/>
              </w:rPr>
              <w:t>2011 OS</w:t>
            </w:r>
          </w:p>
        </w:tc>
        <w:tc>
          <w:tcPr>
            <w:tcW w:w="44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E4FF6" w:rsidRPr="00595620" w:rsidP="001A4CB9">
            <w:pPr>
              <w:bidi w:val="0"/>
              <w:jc w:val="center"/>
              <w:rPr>
                <w:rFonts w:ascii="Times New Roman" w:hAnsi="Times New Roman" w:cs="Times New Roman"/>
                <w:b/>
                <w:bCs/>
                <w:sz w:val="14"/>
                <w:szCs w:val="14"/>
                <w:lang w:eastAsia="sk-SK"/>
              </w:rPr>
            </w:pPr>
            <w:r w:rsidRPr="00595620">
              <w:rPr>
                <w:rFonts w:ascii="Times New Roman" w:hAnsi="Times New Roman" w:cs="Times New Roman"/>
                <w:b/>
                <w:bCs/>
                <w:sz w:val="14"/>
                <w:szCs w:val="14"/>
                <w:lang w:eastAsia="sk-SK"/>
              </w:rPr>
              <w:t>2012 N</w:t>
            </w:r>
          </w:p>
        </w:tc>
        <w:tc>
          <w:tcPr>
            <w:tcW w:w="44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E4FF6" w:rsidRPr="00595620" w:rsidP="001A4CB9">
            <w:pPr>
              <w:bidi w:val="0"/>
              <w:jc w:val="center"/>
              <w:rPr>
                <w:rFonts w:ascii="Times New Roman" w:hAnsi="Times New Roman" w:cs="Times New Roman"/>
                <w:b/>
                <w:bCs/>
                <w:sz w:val="14"/>
                <w:szCs w:val="14"/>
                <w:lang w:eastAsia="sk-SK"/>
              </w:rPr>
            </w:pPr>
            <w:r w:rsidRPr="00595620">
              <w:rPr>
                <w:rFonts w:ascii="Times New Roman" w:hAnsi="Times New Roman" w:cs="Times New Roman"/>
                <w:b/>
                <w:bCs/>
                <w:sz w:val="14"/>
                <w:szCs w:val="14"/>
                <w:lang w:eastAsia="sk-SK"/>
              </w:rPr>
              <w:t>2013 N</w:t>
            </w:r>
          </w:p>
        </w:tc>
        <w:tc>
          <w:tcPr>
            <w:tcW w:w="43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E4FF6" w:rsidRPr="00595620" w:rsidP="001A4CB9">
            <w:pPr>
              <w:bidi w:val="0"/>
              <w:jc w:val="center"/>
              <w:rPr>
                <w:rFonts w:ascii="Times New Roman" w:hAnsi="Times New Roman" w:cs="Times New Roman"/>
                <w:b/>
                <w:bCs/>
                <w:sz w:val="14"/>
                <w:szCs w:val="14"/>
                <w:lang w:eastAsia="sk-SK"/>
              </w:rPr>
            </w:pPr>
            <w:r w:rsidRPr="00595620">
              <w:rPr>
                <w:rFonts w:ascii="Times New Roman" w:hAnsi="Times New Roman" w:cs="Times New Roman"/>
                <w:b/>
                <w:bCs/>
                <w:sz w:val="14"/>
                <w:szCs w:val="14"/>
                <w:lang w:eastAsia="sk-SK"/>
              </w:rPr>
              <w:t>2014 N</w:t>
            </w:r>
          </w:p>
        </w:tc>
      </w:tr>
      <w:tr>
        <w:tblPrEx>
          <w:tblW w:w="4943" w:type="pct"/>
          <w:jc w:val="center"/>
          <w:tblInd w:w="105" w:type="dxa"/>
          <w:tblCellMar>
            <w:left w:w="70" w:type="dxa"/>
            <w:right w:w="70" w:type="dxa"/>
          </w:tblCellMar>
          <w:tblLook w:val="04A0"/>
        </w:tblPrEx>
        <w:trPr>
          <w:trHeight w:val="270"/>
          <w:jc w:val="center"/>
        </w:trPr>
        <w:tc>
          <w:tcPr>
            <w:tcW w:w="1919"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rPr>
                <w:rFonts w:ascii="Times New Roman" w:hAnsi="Times New Roman" w:cs="Times New Roman"/>
                <w:sz w:val="14"/>
                <w:szCs w:val="14"/>
                <w:lang w:eastAsia="sk-SK"/>
              </w:rPr>
            </w:pPr>
            <w:r w:rsidRPr="00595620">
              <w:rPr>
                <w:rFonts w:ascii="Times New Roman" w:hAnsi="Times New Roman" w:cs="Times New Roman"/>
                <w:sz w:val="14"/>
                <w:szCs w:val="14"/>
                <w:lang w:eastAsia="sk-SK"/>
              </w:rPr>
              <w:t>Schodok štátneho rozpočtu v metodike ESA 95</w:t>
            </w:r>
          </w:p>
        </w:tc>
        <w:tc>
          <w:tcPr>
            <w:tcW w:w="438"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-4 375,3</w:t>
            </w:r>
          </w:p>
        </w:tc>
        <w:tc>
          <w:tcPr>
            <w:tcW w:w="438"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-4 425,6</w:t>
            </w:r>
          </w:p>
        </w:tc>
        <w:tc>
          <w:tcPr>
            <w:tcW w:w="439"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-3 706,5</w:t>
            </w:r>
          </w:p>
        </w:tc>
        <w:tc>
          <w:tcPr>
            <w:tcW w:w="448"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-3 332,5</w:t>
            </w:r>
          </w:p>
        </w:tc>
        <w:tc>
          <w:tcPr>
            <w:tcW w:w="440"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-2</w:t>
            </w:r>
            <w:r>
              <w:rPr>
                <w:rFonts w:ascii="Times New Roman" w:hAnsi="Times New Roman" w:cs="Times New Roman"/>
                <w:sz w:val="14"/>
                <w:szCs w:val="14"/>
                <w:lang w:eastAsia="sk-SK"/>
              </w:rPr>
              <w:t> </w:t>
            </w:r>
            <w:r w:rsidRPr="00595620">
              <w:rPr>
                <w:rFonts w:ascii="Times New Roman" w:hAnsi="Times New Roman" w:cs="Times New Roman"/>
                <w:sz w:val="14"/>
                <w:szCs w:val="14"/>
                <w:lang w:eastAsia="sk-SK"/>
              </w:rPr>
              <w:t>8</w:t>
            </w:r>
            <w:r>
              <w:rPr>
                <w:rFonts w:ascii="Times New Roman" w:hAnsi="Times New Roman" w:cs="Times New Roman"/>
                <w:sz w:val="14"/>
                <w:szCs w:val="14"/>
                <w:lang w:eastAsia="sk-SK"/>
              </w:rPr>
              <w:t>83,0</w:t>
            </w:r>
          </w:p>
        </w:tc>
        <w:tc>
          <w:tcPr>
            <w:tcW w:w="440"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-2</w:t>
            </w:r>
            <w:r>
              <w:rPr>
                <w:rFonts w:ascii="Times New Roman" w:hAnsi="Times New Roman" w:cs="Times New Roman"/>
                <w:sz w:val="14"/>
                <w:szCs w:val="14"/>
                <w:lang w:eastAsia="sk-SK"/>
              </w:rPr>
              <w:t> 676,6</w:t>
            </w:r>
          </w:p>
        </w:tc>
        <w:tc>
          <w:tcPr>
            <w:tcW w:w="438"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-2</w:t>
            </w:r>
            <w:r>
              <w:rPr>
                <w:rFonts w:ascii="Times New Roman" w:hAnsi="Times New Roman" w:cs="Times New Roman"/>
                <w:sz w:val="14"/>
                <w:szCs w:val="14"/>
                <w:lang w:eastAsia="sk-SK"/>
              </w:rPr>
              <w:t> 522,5</w:t>
            </w:r>
          </w:p>
        </w:tc>
      </w:tr>
      <w:tr>
        <w:tblPrEx>
          <w:tblW w:w="4943" w:type="pct"/>
          <w:jc w:val="center"/>
          <w:tblInd w:w="105" w:type="dxa"/>
          <w:tblCellMar>
            <w:left w:w="70" w:type="dxa"/>
            <w:right w:w="70" w:type="dxa"/>
          </w:tblCellMar>
          <w:tblLook w:val="04A0"/>
        </w:tblPrEx>
        <w:trPr>
          <w:trHeight w:val="270"/>
          <w:jc w:val="center"/>
        </w:trPr>
        <w:tc>
          <w:tcPr>
            <w:tcW w:w="1919"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rPr>
                <w:rFonts w:ascii="Times New Roman" w:hAnsi="Times New Roman" w:cs="Times New Roman"/>
                <w:sz w:val="14"/>
                <w:szCs w:val="14"/>
                <w:lang w:eastAsia="sk-SK"/>
              </w:rPr>
            </w:pPr>
            <w:r w:rsidRPr="00595620">
              <w:rPr>
                <w:rFonts w:ascii="Times New Roman" w:hAnsi="Times New Roman" w:cs="Times New Roman"/>
                <w:sz w:val="14"/>
                <w:szCs w:val="14"/>
                <w:lang w:eastAsia="sk-SK"/>
              </w:rPr>
              <w:t>Modifikujúce faktory</w:t>
            </w:r>
          </w:p>
        </w:tc>
        <w:tc>
          <w:tcPr>
            <w:tcW w:w="438"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-1 584,0</w:t>
            </w:r>
          </w:p>
        </w:tc>
        <w:tc>
          <w:tcPr>
            <w:tcW w:w="438"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10,5</w:t>
            </w:r>
          </w:p>
        </w:tc>
        <w:tc>
          <w:tcPr>
            <w:tcW w:w="439"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103,4</w:t>
            </w:r>
          </w:p>
        </w:tc>
        <w:tc>
          <w:tcPr>
            <w:tcW w:w="448"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285,7</w:t>
            </w:r>
          </w:p>
        </w:tc>
        <w:tc>
          <w:tcPr>
            <w:tcW w:w="440"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595620" w:rsidP="001A4CB9">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437,6</w:t>
            </w:r>
          </w:p>
        </w:tc>
        <w:tc>
          <w:tcPr>
            <w:tcW w:w="440"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w:t>
            </w:r>
            <w:r>
              <w:rPr>
                <w:rFonts w:ascii="Times New Roman" w:hAnsi="Times New Roman" w:cs="Times New Roman"/>
                <w:sz w:val="14"/>
                <w:szCs w:val="14"/>
                <w:lang w:eastAsia="sk-SK"/>
              </w:rPr>
              <w:t>38,8</w:t>
            </w:r>
          </w:p>
        </w:tc>
        <w:tc>
          <w:tcPr>
            <w:tcW w:w="438"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w:t>
            </w:r>
            <w:r>
              <w:rPr>
                <w:rFonts w:ascii="Times New Roman" w:hAnsi="Times New Roman" w:cs="Times New Roman"/>
                <w:sz w:val="14"/>
                <w:szCs w:val="14"/>
                <w:lang w:eastAsia="sk-SK"/>
              </w:rPr>
              <w:t>8,3</w:t>
            </w:r>
          </w:p>
        </w:tc>
      </w:tr>
      <w:tr>
        <w:tblPrEx>
          <w:tblW w:w="4943" w:type="pct"/>
          <w:jc w:val="center"/>
          <w:tblInd w:w="105" w:type="dxa"/>
          <w:tblCellMar>
            <w:left w:w="70" w:type="dxa"/>
            <w:right w:w="70" w:type="dxa"/>
          </w:tblCellMar>
          <w:tblLook w:val="04A0"/>
        </w:tblPrEx>
        <w:trPr>
          <w:trHeight w:val="270"/>
          <w:jc w:val="center"/>
        </w:trPr>
        <w:tc>
          <w:tcPr>
            <w:tcW w:w="191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E4FF6" w:rsidRPr="00595620" w:rsidP="001A4CB9">
            <w:pPr>
              <w:bidi w:val="0"/>
              <w:rPr>
                <w:rFonts w:ascii="Times New Roman" w:hAnsi="Times New Roman" w:cs="Times New Roman"/>
                <w:sz w:val="14"/>
                <w:szCs w:val="14"/>
                <w:lang w:eastAsia="sk-SK"/>
              </w:rPr>
            </w:pPr>
            <w:r w:rsidRPr="00595620">
              <w:rPr>
                <w:rFonts w:ascii="Times New Roman" w:hAnsi="Times New Roman" w:cs="Times New Roman"/>
                <w:sz w:val="14"/>
                <w:szCs w:val="14"/>
                <w:lang w:eastAsia="sk-SK"/>
              </w:rPr>
              <w:t>Schodok štátneho rozpočtu na hotovostnom princípe</w:t>
            </w:r>
          </w:p>
        </w:tc>
        <w:tc>
          <w:tcPr>
            <w:tcW w:w="43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-2 791,3</w:t>
            </w:r>
          </w:p>
        </w:tc>
        <w:tc>
          <w:tcPr>
            <w:tcW w:w="43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-4 436,1</w:t>
            </w:r>
          </w:p>
        </w:tc>
        <w:tc>
          <w:tcPr>
            <w:tcW w:w="43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-3 809,9</w:t>
            </w:r>
          </w:p>
        </w:tc>
        <w:tc>
          <w:tcPr>
            <w:tcW w:w="44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-3 618,2</w:t>
            </w:r>
          </w:p>
        </w:tc>
        <w:tc>
          <w:tcPr>
            <w:tcW w:w="44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-3</w:t>
            </w:r>
            <w:r>
              <w:rPr>
                <w:rFonts w:ascii="Times New Roman" w:hAnsi="Times New Roman" w:cs="Times New Roman"/>
                <w:sz w:val="14"/>
                <w:szCs w:val="14"/>
                <w:lang w:eastAsia="sk-SK"/>
              </w:rPr>
              <w:t> 320,6</w:t>
            </w:r>
          </w:p>
        </w:tc>
        <w:tc>
          <w:tcPr>
            <w:tcW w:w="44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-2</w:t>
            </w:r>
            <w:r>
              <w:rPr>
                <w:rFonts w:ascii="Times New Roman" w:hAnsi="Times New Roman" w:cs="Times New Roman"/>
                <w:sz w:val="14"/>
                <w:szCs w:val="14"/>
                <w:lang w:eastAsia="sk-SK"/>
              </w:rPr>
              <w:t> </w:t>
            </w:r>
            <w:r w:rsidRPr="00595620">
              <w:rPr>
                <w:rFonts w:ascii="Times New Roman" w:hAnsi="Times New Roman" w:cs="Times New Roman"/>
                <w:sz w:val="14"/>
                <w:szCs w:val="14"/>
                <w:lang w:eastAsia="sk-SK"/>
              </w:rPr>
              <w:t>5</w:t>
            </w:r>
            <w:r>
              <w:rPr>
                <w:rFonts w:ascii="Times New Roman" w:hAnsi="Times New Roman" w:cs="Times New Roman"/>
                <w:sz w:val="14"/>
                <w:szCs w:val="14"/>
                <w:lang w:eastAsia="sk-SK"/>
              </w:rPr>
              <w:t>37,8</w:t>
            </w:r>
          </w:p>
        </w:tc>
        <w:tc>
          <w:tcPr>
            <w:tcW w:w="43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-2</w:t>
            </w:r>
            <w:r>
              <w:rPr>
                <w:rFonts w:ascii="Times New Roman" w:hAnsi="Times New Roman" w:cs="Times New Roman"/>
                <w:sz w:val="14"/>
                <w:szCs w:val="14"/>
                <w:lang w:eastAsia="sk-SK"/>
              </w:rPr>
              <w:t> </w:t>
            </w:r>
            <w:r w:rsidRPr="00595620">
              <w:rPr>
                <w:rFonts w:ascii="Times New Roman" w:hAnsi="Times New Roman" w:cs="Times New Roman"/>
                <w:sz w:val="14"/>
                <w:szCs w:val="14"/>
                <w:lang w:eastAsia="sk-SK"/>
              </w:rPr>
              <w:t>5</w:t>
            </w:r>
            <w:r>
              <w:rPr>
                <w:rFonts w:ascii="Times New Roman" w:hAnsi="Times New Roman" w:cs="Times New Roman"/>
                <w:sz w:val="14"/>
                <w:szCs w:val="14"/>
                <w:lang w:eastAsia="sk-SK"/>
              </w:rPr>
              <w:t>14,2</w:t>
            </w:r>
          </w:p>
        </w:tc>
      </w:tr>
      <w:tr>
        <w:tblPrEx>
          <w:tblW w:w="4943" w:type="pct"/>
          <w:jc w:val="center"/>
          <w:tblInd w:w="105" w:type="dxa"/>
          <w:tblCellMar>
            <w:left w:w="70" w:type="dxa"/>
            <w:right w:w="70" w:type="dxa"/>
          </w:tblCellMar>
          <w:tblLook w:val="04A0"/>
        </w:tblPrEx>
        <w:trPr>
          <w:trHeight w:val="270"/>
          <w:jc w:val="center"/>
        </w:trPr>
        <w:tc>
          <w:tcPr>
            <w:tcW w:w="1919"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rPr>
                <w:rFonts w:ascii="Times New Roman" w:hAnsi="Times New Roman" w:cs="Times New Roman"/>
                <w:sz w:val="14"/>
                <w:szCs w:val="14"/>
                <w:lang w:eastAsia="sk-SK"/>
              </w:rPr>
            </w:pPr>
            <w:r w:rsidRPr="00595620">
              <w:rPr>
                <w:rFonts w:ascii="Times New Roman" w:hAnsi="Times New Roman" w:cs="Times New Roman"/>
                <w:sz w:val="14"/>
                <w:szCs w:val="14"/>
                <w:lang w:eastAsia="sk-SK"/>
              </w:rPr>
              <w:t>Príjmy štátneho rozpočtu na hotovostnom princípe</w:t>
            </w:r>
          </w:p>
        </w:tc>
        <w:tc>
          <w:tcPr>
            <w:tcW w:w="438"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10 540,8</w:t>
            </w:r>
          </w:p>
        </w:tc>
        <w:tc>
          <w:tcPr>
            <w:tcW w:w="438"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10 900,9</w:t>
            </w:r>
          </w:p>
        </w:tc>
        <w:tc>
          <w:tcPr>
            <w:tcW w:w="439"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13 147,8</w:t>
            </w:r>
          </w:p>
        </w:tc>
        <w:tc>
          <w:tcPr>
            <w:tcW w:w="448"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11 943,3</w:t>
            </w:r>
          </w:p>
        </w:tc>
        <w:tc>
          <w:tcPr>
            <w:tcW w:w="440"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15</w:t>
            </w:r>
            <w:r>
              <w:rPr>
                <w:rFonts w:ascii="Times New Roman" w:hAnsi="Times New Roman" w:cs="Times New Roman"/>
                <w:sz w:val="14"/>
                <w:szCs w:val="14"/>
                <w:lang w:eastAsia="sk-SK"/>
              </w:rPr>
              <w:t> 360,3</w:t>
            </w:r>
          </w:p>
        </w:tc>
        <w:tc>
          <w:tcPr>
            <w:tcW w:w="440"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15 837,9</w:t>
            </w:r>
          </w:p>
        </w:tc>
        <w:tc>
          <w:tcPr>
            <w:tcW w:w="438"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16 572,9</w:t>
            </w:r>
          </w:p>
        </w:tc>
      </w:tr>
      <w:tr>
        <w:tblPrEx>
          <w:tblW w:w="4943" w:type="pct"/>
          <w:jc w:val="center"/>
          <w:tblInd w:w="105" w:type="dxa"/>
          <w:tblCellMar>
            <w:left w:w="70" w:type="dxa"/>
            <w:right w:w="70" w:type="dxa"/>
          </w:tblCellMar>
          <w:tblLook w:val="04A0"/>
        </w:tblPrEx>
        <w:trPr>
          <w:trHeight w:val="270"/>
          <w:jc w:val="center"/>
        </w:trPr>
        <w:tc>
          <w:tcPr>
            <w:tcW w:w="1919"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595620" w:rsidP="001A4CB9">
            <w:pPr>
              <w:bidi w:val="0"/>
              <w:rPr>
                <w:rFonts w:ascii="Times New Roman" w:hAnsi="Times New Roman" w:cs="Times New Roman"/>
                <w:sz w:val="14"/>
                <w:szCs w:val="14"/>
                <w:lang w:eastAsia="sk-SK"/>
              </w:rPr>
            </w:pPr>
            <w:r w:rsidRPr="00595620">
              <w:rPr>
                <w:rFonts w:ascii="Times New Roman" w:hAnsi="Times New Roman" w:cs="Times New Roman"/>
                <w:sz w:val="14"/>
                <w:szCs w:val="14"/>
                <w:lang w:eastAsia="sk-SK"/>
              </w:rPr>
              <w:t>Výdavky štátneho rozpočtu na hotovostnom princípe</w:t>
            </w:r>
          </w:p>
        </w:tc>
        <w:tc>
          <w:tcPr>
            <w:tcW w:w="438"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13 332,1</w:t>
            </w:r>
          </w:p>
        </w:tc>
        <w:tc>
          <w:tcPr>
            <w:tcW w:w="438"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15 337,0</w:t>
            </w:r>
          </w:p>
        </w:tc>
        <w:tc>
          <w:tcPr>
            <w:tcW w:w="439"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16 957,7</w:t>
            </w:r>
          </w:p>
        </w:tc>
        <w:tc>
          <w:tcPr>
            <w:tcW w:w="448"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15 561,5</w:t>
            </w:r>
          </w:p>
        </w:tc>
        <w:tc>
          <w:tcPr>
            <w:tcW w:w="440"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18</w:t>
            </w:r>
            <w:r>
              <w:rPr>
                <w:rFonts w:ascii="Times New Roman" w:hAnsi="Times New Roman" w:cs="Times New Roman"/>
                <w:sz w:val="14"/>
                <w:szCs w:val="14"/>
                <w:lang w:eastAsia="sk-SK"/>
              </w:rPr>
              <w:t> 680,9</w:t>
            </w:r>
          </w:p>
        </w:tc>
        <w:tc>
          <w:tcPr>
            <w:tcW w:w="440"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18</w:t>
            </w:r>
            <w:r>
              <w:rPr>
                <w:rFonts w:ascii="Times New Roman" w:hAnsi="Times New Roman" w:cs="Times New Roman"/>
                <w:sz w:val="14"/>
                <w:szCs w:val="14"/>
                <w:lang w:eastAsia="sk-SK"/>
              </w:rPr>
              <w:t> 375,7</w:t>
            </w:r>
          </w:p>
        </w:tc>
        <w:tc>
          <w:tcPr>
            <w:tcW w:w="438" w:type="pct"/>
            <w:tcBorders>
              <w:top w:val="single" w:sz="4" w:space="0" w:color="auto"/>
              <w:left w:val="single" w:sz="4" w:space="0" w:color="auto"/>
              <w:bottom w:val="single" w:sz="4" w:space="0" w:color="auto"/>
              <w:right w:val="single" w:sz="4" w:space="0" w:color="auto"/>
            </w:tcBorders>
            <w:noWrap/>
            <w:textDirection w:val="lrTb"/>
            <w:vAlign w:val="bottom"/>
          </w:tcPr>
          <w:p w:rsidR="00FE4FF6" w:rsidRPr="00595620" w:rsidP="001A4CB9">
            <w:pPr>
              <w:bidi w:val="0"/>
              <w:jc w:val="right"/>
              <w:rPr>
                <w:rFonts w:ascii="Times New Roman" w:hAnsi="Times New Roman" w:cs="Times New Roman"/>
                <w:sz w:val="14"/>
                <w:szCs w:val="14"/>
                <w:lang w:eastAsia="sk-SK"/>
              </w:rPr>
            </w:pPr>
            <w:r w:rsidRPr="00595620">
              <w:rPr>
                <w:rFonts w:ascii="Times New Roman" w:hAnsi="Times New Roman" w:cs="Times New Roman"/>
                <w:sz w:val="14"/>
                <w:szCs w:val="14"/>
                <w:lang w:eastAsia="sk-SK"/>
              </w:rPr>
              <w:t>19</w:t>
            </w:r>
            <w:r>
              <w:rPr>
                <w:rFonts w:ascii="Times New Roman" w:hAnsi="Times New Roman" w:cs="Times New Roman"/>
                <w:sz w:val="14"/>
                <w:szCs w:val="14"/>
                <w:lang w:eastAsia="sk-SK"/>
              </w:rPr>
              <w:t> 087,1</w:t>
            </w:r>
          </w:p>
        </w:tc>
      </w:tr>
    </w:tbl>
    <w:p w:rsidR="00FE4FF6" w:rsidP="00FE4FF6">
      <w:pPr>
        <w:bidi w:val="0"/>
        <w:jc w:val="both"/>
        <w:rPr>
          <w:rFonts w:ascii="Times New Roman" w:hAnsi="Times New Roman" w:cs="Times New Roman"/>
          <w:szCs w:val="22"/>
        </w:rPr>
      </w:pPr>
    </w:p>
    <w:p w:rsidR="00FE4FF6" w:rsidP="00FE4FF6">
      <w:pPr>
        <w:bidi w:val="0"/>
        <w:jc w:val="both"/>
        <w:rPr>
          <w:rFonts w:ascii="Times New Roman" w:hAnsi="Times New Roman" w:cs="Times New Roman"/>
          <w:szCs w:val="22"/>
        </w:rPr>
      </w:pPr>
      <w:r>
        <w:rPr>
          <w:rFonts w:ascii="Times New Roman" w:hAnsi="Times New Roman" w:cs="Times New Roman"/>
          <w:szCs w:val="22"/>
        </w:rPr>
        <w:tab/>
        <w:t xml:space="preserve">V roku 2012 dochádza oproti očakávanej skutočnosti roku 2011 k medziročnému nárastu príjmov a výdavkov štátneho rozpočtu v dôsledku plánovaného zavedenia daňovo- odvodovej reformy. </w:t>
      </w:r>
    </w:p>
    <w:p w:rsidR="00FE4FF6" w:rsidRPr="007F66EE" w:rsidP="00FE4FF6">
      <w:pPr>
        <w:bidi w:val="0"/>
        <w:jc w:val="both"/>
        <w:rPr>
          <w:rFonts w:ascii="Times New Roman" w:hAnsi="Times New Roman" w:cs="Times New Roman"/>
          <w:szCs w:val="22"/>
        </w:rPr>
      </w:pPr>
    </w:p>
    <w:p w:rsidR="00FE4FF6" w:rsidRPr="007F66EE" w:rsidP="00FE4FF6">
      <w:pPr>
        <w:bidi w:val="0"/>
        <w:jc w:val="both"/>
        <w:rPr>
          <w:rFonts w:ascii="Times New Roman" w:hAnsi="Times New Roman" w:cs="Times New Roman"/>
          <w:szCs w:val="22"/>
        </w:rPr>
      </w:pPr>
      <w:r w:rsidRPr="007F66EE">
        <w:rPr>
          <w:rFonts w:ascii="Times New Roman" w:hAnsi="Times New Roman" w:cs="Times New Roman"/>
          <w:szCs w:val="22"/>
        </w:rPr>
        <w:tab/>
        <w:t>Celkovú pozitívnu hodnotu modifikujúcich faktorov štátneho rozpočtu v roku 2012 tvorí predovšetkým pozitívny vplyv časového rozlíšenia daňových príjmov, a to vo výške 20</w:t>
      </w:r>
      <w:r>
        <w:rPr>
          <w:rFonts w:ascii="Times New Roman" w:hAnsi="Times New Roman" w:cs="Times New Roman"/>
          <w:szCs w:val="22"/>
        </w:rPr>
        <w:t>0,0</w:t>
      </w:r>
      <w:r w:rsidRPr="007F66EE">
        <w:rPr>
          <w:rFonts w:ascii="Times New Roman" w:hAnsi="Times New Roman" w:cs="Times New Roman"/>
          <w:szCs w:val="22"/>
        </w:rPr>
        <w:t xml:space="preserve"> mil. eur. Podrobnú identifikáciu modifikujúcich faktorov štátneho rozpočtu obsahuje časť </w:t>
      </w:r>
      <w:r>
        <w:rPr>
          <w:rFonts w:ascii="Times New Roman" w:hAnsi="Times New Roman" w:cs="Times New Roman"/>
          <w:szCs w:val="22"/>
        </w:rPr>
        <w:t>7</w:t>
      </w:r>
      <w:r w:rsidRPr="007F66EE">
        <w:rPr>
          <w:rFonts w:ascii="Times New Roman" w:hAnsi="Times New Roman" w:cs="Times New Roman"/>
          <w:szCs w:val="22"/>
        </w:rPr>
        <w:t>. Štátny rozpočet v metodike ESA 95.</w:t>
      </w:r>
    </w:p>
    <w:p w:rsidR="00FE4FF6" w:rsidRPr="007F66EE" w:rsidP="00FE4FF6">
      <w:pPr>
        <w:bidi w:val="0"/>
        <w:jc w:val="both"/>
        <w:rPr>
          <w:rFonts w:ascii="Times New Roman" w:hAnsi="Times New Roman" w:cs="Times New Roman"/>
          <w:szCs w:val="22"/>
        </w:rPr>
      </w:pPr>
    </w:p>
    <w:p w:rsidR="00FE4FF6" w:rsidRPr="007F66EE" w:rsidP="00FE4FF6">
      <w:pPr>
        <w:pStyle w:val="Zarkazkladnhotextu1"/>
        <w:bidi w:val="0"/>
        <w:spacing w:after="0"/>
        <w:ind w:left="0" w:firstLine="708"/>
        <w:jc w:val="both"/>
        <w:rPr>
          <w:rFonts w:ascii="Times New Roman" w:hAnsi="Times New Roman" w:cs="Times New Roman"/>
          <w:szCs w:val="22"/>
        </w:rPr>
      </w:pPr>
      <w:r w:rsidRPr="007F66EE">
        <w:rPr>
          <w:rFonts w:ascii="Times New Roman" w:hAnsi="Times New Roman" w:cs="Times New Roman"/>
          <w:szCs w:val="22"/>
        </w:rPr>
        <w:t xml:space="preserve">Na základe stanovených parametrov fiškálneho rámca, hospodárenia ostatných subjektov verejnej správy a stanovenia rámca štátneho rozpočtu je možné definovať nasledujúce základné parametre vývoja verejných financií.  </w:t>
      </w:r>
    </w:p>
    <w:p w:rsidR="0017084C" w:rsidP="00FE4FF6">
      <w:pPr>
        <w:pStyle w:val="BodyText"/>
        <w:tabs>
          <w:tab w:val="left" w:pos="0"/>
        </w:tabs>
        <w:bidi w:val="0"/>
        <w:jc w:val="center"/>
        <w:rPr>
          <w:rFonts w:ascii="Times New Roman" w:hAnsi="Times New Roman" w:cs="Times New Roman"/>
          <w:b/>
          <w:bCs/>
          <w:sz w:val="22"/>
          <w:szCs w:val="22"/>
        </w:rPr>
      </w:pPr>
    </w:p>
    <w:p w:rsidR="00FE4FF6" w:rsidRPr="009074DA" w:rsidP="00FE4FF6">
      <w:pPr>
        <w:pStyle w:val="BodyText"/>
        <w:tabs>
          <w:tab w:val="left" w:pos="0"/>
        </w:tabs>
        <w:bidi w:val="0"/>
        <w:jc w:val="center"/>
        <w:rPr>
          <w:rFonts w:ascii="Times New Roman" w:hAnsi="Times New Roman" w:cs="Times New Roman"/>
          <w:b/>
          <w:bCs/>
          <w:sz w:val="22"/>
          <w:szCs w:val="22"/>
        </w:rPr>
      </w:pPr>
      <w:r w:rsidRPr="009074DA">
        <w:rPr>
          <w:rFonts w:ascii="Times New Roman" w:hAnsi="Times New Roman" w:cs="Times New Roman"/>
          <w:b/>
          <w:bCs/>
          <w:sz w:val="22"/>
          <w:szCs w:val="22"/>
        </w:rPr>
        <w:t>Rámec rozpočtu verejnej správy</w:t>
      </w:r>
    </w:p>
    <w:p w:rsidR="00FE4FF6" w:rsidRPr="009074DA" w:rsidP="00FE4FF6">
      <w:pPr>
        <w:pStyle w:val="BodyText"/>
        <w:tabs>
          <w:tab w:val="left" w:pos="0"/>
        </w:tabs>
        <w:bidi w:val="0"/>
        <w:rPr>
          <w:rFonts w:ascii="Times New Roman" w:hAnsi="Times New Roman" w:cs="Times New Roman"/>
          <w:b/>
          <w:bCs/>
          <w:sz w:val="22"/>
          <w:szCs w:val="22"/>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91"/>
        <w:gridCol w:w="790"/>
        <w:gridCol w:w="857"/>
        <w:gridCol w:w="857"/>
        <w:gridCol w:w="860"/>
        <w:gridCol w:w="871"/>
        <w:gridCol w:w="888"/>
        <w:gridCol w:w="888"/>
        <w:gridCol w:w="91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70"/>
          <w:jc w:val="center"/>
        </w:trPr>
        <w:tc>
          <w:tcPr>
            <w:tcW w:w="1243"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FE4FF6" w:rsidRPr="009074DA" w:rsidP="001A4CB9">
            <w:pPr>
              <w:bidi w:val="0"/>
              <w:rPr>
                <w:rFonts w:ascii="Times New Roman" w:hAnsi="Times New Roman" w:cs="Times New Roman"/>
                <w:b/>
                <w:sz w:val="14"/>
                <w:szCs w:val="14"/>
                <w:lang w:eastAsia="sk-SK"/>
              </w:rPr>
            </w:pPr>
            <w:r w:rsidRPr="009074DA">
              <w:rPr>
                <w:rFonts w:ascii="Times New Roman" w:hAnsi="Times New Roman" w:cs="Times New Roman"/>
                <w:b/>
                <w:sz w:val="14"/>
                <w:szCs w:val="14"/>
                <w:lang w:eastAsia="sk-SK"/>
              </w:rPr>
              <w:t>v metodike ESA 95 na konsolidovanej báze</w:t>
            </w:r>
          </w:p>
        </w:tc>
        <w:tc>
          <w:tcPr>
            <w:tcW w:w="428" w:type="pct"/>
            <w:tcBorders>
              <w:top w:val="single" w:sz="4" w:space="0" w:color="auto"/>
              <w:left w:val="single" w:sz="4" w:space="0" w:color="auto"/>
              <w:bottom w:val="single" w:sz="4" w:space="0" w:color="auto"/>
              <w:right w:val="single" w:sz="4" w:space="0" w:color="auto"/>
            </w:tcBorders>
            <w:shd w:val="clear" w:color="auto" w:fill="A6A6A6"/>
            <w:textDirection w:val="lrTb"/>
            <w:vAlign w:val="bottom"/>
            <w:hideMark/>
          </w:tcPr>
          <w:p w:rsidR="00FE4FF6" w:rsidRPr="009074DA" w:rsidP="001A4CB9">
            <w:pPr>
              <w:bidi w:val="0"/>
              <w:jc w:val="center"/>
              <w:rPr>
                <w:rFonts w:ascii="Times New Roman" w:hAnsi="Times New Roman" w:cs="Times New Roman"/>
                <w:b/>
                <w:bCs/>
                <w:sz w:val="14"/>
                <w:szCs w:val="14"/>
                <w:lang w:eastAsia="sk-SK"/>
              </w:rPr>
            </w:pPr>
            <w:r w:rsidRPr="009074DA">
              <w:rPr>
                <w:rFonts w:ascii="Times New Roman" w:hAnsi="Times New Roman" w:cs="Times New Roman"/>
                <w:b/>
                <w:bCs/>
                <w:sz w:val="14"/>
                <w:szCs w:val="14"/>
                <w:lang w:eastAsia="sk-SK"/>
              </w:rPr>
              <w:t>m. j.</w:t>
            </w:r>
          </w:p>
        </w:tc>
        <w:tc>
          <w:tcPr>
            <w:tcW w:w="46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E4FF6" w:rsidRPr="009074DA" w:rsidP="001A4CB9">
            <w:pPr>
              <w:bidi w:val="0"/>
              <w:jc w:val="center"/>
              <w:rPr>
                <w:rFonts w:ascii="Times New Roman" w:hAnsi="Times New Roman" w:cs="Times New Roman"/>
                <w:b/>
                <w:bCs/>
                <w:sz w:val="14"/>
                <w:szCs w:val="14"/>
                <w:lang w:eastAsia="sk-SK"/>
              </w:rPr>
            </w:pPr>
            <w:r w:rsidRPr="009074DA">
              <w:rPr>
                <w:rFonts w:ascii="Times New Roman" w:hAnsi="Times New Roman" w:cs="Times New Roman"/>
                <w:b/>
                <w:bCs/>
                <w:sz w:val="14"/>
                <w:szCs w:val="14"/>
                <w:lang w:eastAsia="sk-SK"/>
              </w:rPr>
              <w:t>2009 S</w:t>
            </w:r>
          </w:p>
        </w:tc>
        <w:tc>
          <w:tcPr>
            <w:tcW w:w="46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E4FF6" w:rsidRPr="009074DA" w:rsidP="001A4CB9">
            <w:pPr>
              <w:bidi w:val="0"/>
              <w:jc w:val="center"/>
              <w:rPr>
                <w:rFonts w:ascii="Times New Roman" w:hAnsi="Times New Roman" w:cs="Times New Roman"/>
                <w:b/>
                <w:bCs/>
                <w:sz w:val="14"/>
                <w:szCs w:val="14"/>
                <w:lang w:eastAsia="sk-SK"/>
              </w:rPr>
            </w:pPr>
            <w:r w:rsidRPr="009074DA">
              <w:rPr>
                <w:rFonts w:ascii="Times New Roman" w:hAnsi="Times New Roman" w:cs="Times New Roman"/>
                <w:b/>
                <w:bCs/>
                <w:sz w:val="14"/>
                <w:szCs w:val="14"/>
                <w:lang w:eastAsia="sk-SK"/>
              </w:rPr>
              <w:t>2010 S</w:t>
            </w:r>
          </w:p>
        </w:tc>
        <w:tc>
          <w:tcPr>
            <w:tcW w:w="46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E4FF6" w:rsidRPr="009074DA" w:rsidP="001A4CB9">
            <w:pPr>
              <w:bidi w:val="0"/>
              <w:jc w:val="center"/>
              <w:rPr>
                <w:rFonts w:ascii="Times New Roman" w:hAnsi="Times New Roman" w:cs="Times New Roman"/>
                <w:b/>
                <w:bCs/>
                <w:sz w:val="14"/>
                <w:szCs w:val="14"/>
                <w:lang w:eastAsia="sk-SK"/>
              </w:rPr>
            </w:pPr>
            <w:r w:rsidRPr="009074DA">
              <w:rPr>
                <w:rFonts w:ascii="Times New Roman" w:hAnsi="Times New Roman" w:cs="Times New Roman"/>
                <w:b/>
                <w:bCs/>
                <w:sz w:val="14"/>
                <w:szCs w:val="14"/>
                <w:lang w:eastAsia="sk-SK"/>
              </w:rPr>
              <w:t>2011 R</w:t>
            </w:r>
          </w:p>
        </w:tc>
        <w:tc>
          <w:tcPr>
            <w:tcW w:w="473"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E4FF6" w:rsidRPr="009074DA" w:rsidP="001A4CB9">
            <w:pPr>
              <w:bidi w:val="0"/>
              <w:jc w:val="center"/>
              <w:rPr>
                <w:rFonts w:ascii="Times New Roman" w:hAnsi="Times New Roman" w:cs="Times New Roman"/>
                <w:b/>
                <w:bCs/>
                <w:sz w:val="14"/>
                <w:szCs w:val="14"/>
                <w:lang w:eastAsia="sk-SK"/>
              </w:rPr>
            </w:pPr>
            <w:r w:rsidRPr="009074DA">
              <w:rPr>
                <w:rFonts w:ascii="Times New Roman" w:hAnsi="Times New Roman" w:cs="Times New Roman"/>
                <w:b/>
                <w:bCs/>
                <w:sz w:val="14"/>
                <w:szCs w:val="14"/>
                <w:lang w:eastAsia="sk-SK"/>
              </w:rPr>
              <w:t>2011 OS</w:t>
            </w:r>
          </w:p>
        </w:tc>
        <w:tc>
          <w:tcPr>
            <w:tcW w:w="4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E4FF6" w:rsidRPr="009074DA" w:rsidP="001A4CB9">
            <w:pPr>
              <w:bidi w:val="0"/>
              <w:jc w:val="center"/>
              <w:rPr>
                <w:rFonts w:ascii="Times New Roman" w:hAnsi="Times New Roman" w:cs="Times New Roman"/>
                <w:b/>
                <w:bCs/>
                <w:sz w:val="14"/>
                <w:szCs w:val="14"/>
                <w:lang w:eastAsia="sk-SK"/>
              </w:rPr>
            </w:pPr>
            <w:r w:rsidRPr="009074DA">
              <w:rPr>
                <w:rFonts w:ascii="Times New Roman" w:hAnsi="Times New Roman" w:cs="Times New Roman"/>
                <w:b/>
                <w:bCs/>
                <w:sz w:val="14"/>
                <w:szCs w:val="14"/>
                <w:lang w:eastAsia="sk-SK"/>
              </w:rPr>
              <w:t>2012 N</w:t>
            </w:r>
          </w:p>
        </w:tc>
        <w:tc>
          <w:tcPr>
            <w:tcW w:w="48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E4FF6" w:rsidRPr="009074DA" w:rsidP="001A4CB9">
            <w:pPr>
              <w:bidi w:val="0"/>
              <w:jc w:val="center"/>
              <w:rPr>
                <w:rFonts w:ascii="Times New Roman" w:hAnsi="Times New Roman" w:cs="Times New Roman"/>
                <w:b/>
                <w:bCs/>
                <w:sz w:val="14"/>
                <w:szCs w:val="14"/>
                <w:lang w:eastAsia="sk-SK"/>
              </w:rPr>
            </w:pPr>
            <w:r w:rsidRPr="009074DA">
              <w:rPr>
                <w:rFonts w:ascii="Times New Roman" w:hAnsi="Times New Roman" w:cs="Times New Roman"/>
                <w:b/>
                <w:bCs/>
                <w:sz w:val="14"/>
                <w:szCs w:val="14"/>
                <w:lang w:eastAsia="sk-SK"/>
              </w:rPr>
              <w:t>2013 N</w:t>
            </w:r>
          </w:p>
        </w:tc>
        <w:tc>
          <w:tcPr>
            <w:tcW w:w="49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E4FF6" w:rsidRPr="009074DA" w:rsidP="001A4CB9">
            <w:pPr>
              <w:bidi w:val="0"/>
              <w:jc w:val="center"/>
              <w:rPr>
                <w:rFonts w:ascii="Times New Roman" w:hAnsi="Times New Roman" w:cs="Times New Roman"/>
                <w:b/>
                <w:bCs/>
                <w:sz w:val="14"/>
                <w:szCs w:val="14"/>
                <w:lang w:eastAsia="sk-SK"/>
              </w:rPr>
            </w:pPr>
            <w:r w:rsidRPr="009074DA">
              <w:rPr>
                <w:rFonts w:ascii="Times New Roman" w:hAnsi="Times New Roman" w:cs="Times New Roman"/>
                <w:b/>
                <w:bCs/>
                <w:sz w:val="14"/>
                <w:szCs w:val="14"/>
                <w:lang w:eastAsia="sk-SK"/>
              </w:rPr>
              <w:t>2014 N</w:t>
            </w:r>
          </w:p>
        </w:tc>
      </w:tr>
      <w:tr>
        <w:tblPrEx>
          <w:tblW w:w="5000" w:type="pct"/>
          <w:jc w:val="center"/>
          <w:tblCellMar>
            <w:left w:w="70" w:type="dxa"/>
            <w:right w:w="70" w:type="dxa"/>
          </w:tblCellMar>
          <w:tblLook w:val="04A0"/>
        </w:tblPrEx>
        <w:trPr>
          <w:trHeight w:val="270"/>
          <w:jc w:val="center"/>
        </w:trPr>
        <w:tc>
          <w:tcPr>
            <w:tcW w:w="1243"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9074DA" w:rsidP="001A4CB9">
            <w:pPr>
              <w:bidi w:val="0"/>
              <w:rPr>
                <w:rFonts w:ascii="Times New Roman" w:hAnsi="Times New Roman" w:cs="Times New Roman"/>
                <w:sz w:val="14"/>
                <w:szCs w:val="14"/>
                <w:lang w:eastAsia="sk-SK"/>
              </w:rPr>
            </w:pPr>
            <w:r w:rsidRPr="009074DA">
              <w:rPr>
                <w:rFonts w:ascii="Times New Roman" w:hAnsi="Times New Roman" w:cs="Times New Roman"/>
                <w:sz w:val="14"/>
                <w:szCs w:val="14"/>
                <w:lang w:eastAsia="sk-SK"/>
              </w:rPr>
              <w:t>Príjmy verejnej správy</w:t>
            </w:r>
          </w:p>
        </w:tc>
        <w:tc>
          <w:tcPr>
            <w:tcW w:w="428"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9074DA" w:rsidP="001A4CB9">
            <w:pPr>
              <w:bidi w:val="0"/>
              <w:jc w:val="center"/>
              <w:rPr>
                <w:rFonts w:ascii="Times New Roman" w:hAnsi="Times New Roman" w:cs="Times New Roman"/>
                <w:sz w:val="14"/>
                <w:szCs w:val="14"/>
                <w:lang w:eastAsia="sk-SK"/>
              </w:rPr>
            </w:pPr>
            <w:r w:rsidRPr="009074DA">
              <w:rPr>
                <w:rFonts w:ascii="Times New Roman" w:hAnsi="Times New Roman" w:cs="Times New Roman"/>
                <w:sz w:val="14"/>
                <w:szCs w:val="14"/>
                <w:lang w:eastAsia="sk-SK"/>
              </w:rPr>
              <w:t>mil. eur</w:t>
            </w:r>
          </w:p>
        </w:tc>
        <w:tc>
          <w:tcPr>
            <w:tcW w:w="465"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21 167,0</w:t>
            </w:r>
          </w:p>
        </w:tc>
        <w:tc>
          <w:tcPr>
            <w:tcW w:w="465"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21 814,0</w:t>
            </w:r>
          </w:p>
        </w:tc>
        <w:tc>
          <w:tcPr>
            <w:tcW w:w="467"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23 036,0</w:t>
            </w:r>
          </w:p>
        </w:tc>
        <w:tc>
          <w:tcPr>
            <w:tcW w:w="473"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22 683,0</w:t>
            </w:r>
          </w:p>
        </w:tc>
        <w:tc>
          <w:tcPr>
            <w:tcW w:w="482"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24</w:t>
            </w:r>
            <w:r>
              <w:rPr>
                <w:rFonts w:ascii="Times New Roman" w:hAnsi="Times New Roman" w:cs="Times New Roman"/>
                <w:sz w:val="14"/>
                <w:szCs w:val="14"/>
                <w:lang w:eastAsia="sk-SK"/>
              </w:rPr>
              <w:t> 478,0</w:t>
            </w:r>
            <w:r w:rsidRPr="009074DA">
              <w:rPr>
                <w:rFonts w:ascii="Times New Roman" w:hAnsi="Times New Roman" w:cs="Times New Roman"/>
                <w:sz w:val="14"/>
                <w:szCs w:val="14"/>
                <w:lang w:eastAsia="sk-SK"/>
              </w:rPr>
              <w:t> </w:t>
            </w:r>
          </w:p>
        </w:tc>
        <w:tc>
          <w:tcPr>
            <w:tcW w:w="482"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25</w:t>
            </w:r>
            <w:r>
              <w:rPr>
                <w:rFonts w:ascii="Times New Roman" w:hAnsi="Times New Roman" w:cs="Times New Roman"/>
                <w:sz w:val="14"/>
                <w:szCs w:val="14"/>
                <w:lang w:eastAsia="sk-SK"/>
              </w:rPr>
              <w:t> 120,5</w:t>
            </w:r>
            <w:r w:rsidRPr="009074DA">
              <w:rPr>
                <w:rFonts w:ascii="Times New Roman" w:hAnsi="Times New Roman" w:cs="Times New Roman"/>
                <w:sz w:val="14"/>
                <w:szCs w:val="14"/>
                <w:lang w:eastAsia="sk-SK"/>
              </w:rPr>
              <w:t> </w:t>
            </w:r>
          </w:p>
        </w:tc>
        <w:tc>
          <w:tcPr>
            <w:tcW w:w="494"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26</w:t>
            </w:r>
            <w:r>
              <w:rPr>
                <w:rFonts w:ascii="Times New Roman" w:hAnsi="Times New Roman" w:cs="Times New Roman"/>
                <w:sz w:val="14"/>
                <w:szCs w:val="14"/>
                <w:lang w:eastAsia="sk-SK"/>
              </w:rPr>
              <w:t> 314,9</w:t>
            </w:r>
          </w:p>
        </w:tc>
      </w:tr>
      <w:tr>
        <w:tblPrEx>
          <w:tblW w:w="5000" w:type="pct"/>
          <w:jc w:val="center"/>
          <w:tblCellMar>
            <w:left w:w="70" w:type="dxa"/>
            <w:right w:w="70" w:type="dxa"/>
          </w:tblCellMar>
          <w:tblLook w:val="04A0"/>
        </w:tblPrEx>
        <w:trPr>
          <w:trHeight w:val="270"/>
          <w:jc w:val="center"/>
        </w:trPr>
        <w:tc>
          <w:tcPr>
            <w:tcW w:w="124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E4FF6" w:rsidRPr="009074DA" w:rsidP="001A4CB9">
            <w:pPr>
              <w:bidi w:val="0"/>
              <w:rPr>
                <w:rFonts w:ascii="Times New Roman" w:hAnsi="Times New Roman" w:cs="Times New Roman"/>
                <w:sz w:val="14"/>
                <w:szCs w:val="14"/>
                <w:lang w:eastAsia="sk-SK"/>
              </w:rPr>
            </w:pPr>
            <w:r w:rsidRPr="009074DA">
              <w:rPr>
                <w:rFonts w:ascii="Times New Roman" w:hAnsi="Times New Roman" w:cs="Times New Roman"/>
                <w:sz w:val="14"/>
                <w:szCs w:val="14"/>
                <w:lang w:eastAsia="sk-SK"/>
              </w:rPr>
              <w:t xml:space="preserve">Príjmy verejnej správy </w:t>
            </w:r>
          </w:p>
        </w:tc>
        <w:tc>
          <w:tcPr>
            <w:tcW w:w="42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E4FF6" w:rsidRPr="009074DA" w:rsidP="001A4CB9">
            <w:pPr>
              <w:bidi w:val="0"/>
              <w:jc w:val="center"/>
              <w:rPr>
                <w:rFonts w:ascii="Times New Roman" w:hAnsi="Times New Roman" w:cs="Times New Roman"/>
                <w:sz w:val="14"/>
                <w:szCs w:val="14"/>
                <w:lang w:eastAsia="sk-SK"/>
              </w:rPr>
            </w:pPr>
            <w:r w:rsidRPr="009074DA">
              <w:rPr>
                <w:rFonts w:ascii="Times New Roman" w:hAnsi="Times New Roman" w:cs="Times New Roman"/>
                <w:sz w:val="14"/>
                <w:szCs w:val="14"/>
                <w:lang w:eastAsia="sk-SK"/>
              </w:rPr>
              <w:t>%</w:t>
            </w:r>
          </w:p>
        </w:tc>
        <w:tc>
          <w:tcPr>
            <w:tcW w:w="46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33,6</w:t>
            </w:r>
          </w:p>
        </w:tc>
        <w:tc>
          <w:tcPr>
            <w:tcW w:w="46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33,1</w:t>
            </w:r>
          </w:p>
        </w:tc>
        <w:tc>
          <w:tcPr>
            <w:tcW w:w="46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32,8</w:t>
            </w:r>
          </w:p>
        </w:tc>
        <w:tc>
          <w:tcPr>
            <w:tcW w:w="47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32,6</w:t>
            </w:r>
          </w:p>
        </w:tc>
        <w:tc>
          <w:tcPr>
            <w:tcW w:w="482"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3</w:t>
            </w:r>
            <w:r>
              <w:rPr>
                <w:rFonts w:ascii="Times New Roman" w:hAnsi="Times New Roman" w:cs="Times New Roman"/>
                <w:sz w:val="14"/>
                <w:szCs w:val="14"/>
                <w:lang w:eastAsia="sk-SK"/>
              </w:rPr>
              <w:t>3,2</w:t>
            </w:r>
          </w:p>
        </w:tc>
        <w:tc>
          <w:tcPr>
            <w:tcW w:w="482"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32,0</w:t>
            </w:r>
          </w:p>
        </w:tc>
        <w:tc>
          <w:tcPr>
            <w:tcW w:w="49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31,</w:t>
            </w:r>
            <w:r>
              <w:rPr>
                <w:rFonts w:ascii="Times New Roman" w:hAnsi="Times New Roman" w:cs="Times New Roman"/>
                <w:sz w:val="14"/>
                <w:szCs w:val="14"/>
                <w:lang w:eastAsia="sk-SK"/>
              </w:rPr>
              <w:t>4</w:t>
            </w:r>
          </w:p>
        </w:tc>
      </w:tr>
      <w:tr>
        <w:tblPrEx>
          <w:tblW w:w="5000" w:type="pct"/>
          <w:jc w:val="center"/>
          <w:tblCellMar>
            <w:left w:w="70" w:type="dxa"/>
            <w:right w:w="70" w:type="dxa"/>
          </w:tblCellMar>
          <w:tblLook w:val="04A0"/>
        </w:tblPrEx>
        <w:trPr>
          <w:trHeight w:val="270"/>
          <w:jc w:val="center"/>
        </w:trPr>
        <w:tc>
          <w:tcPr>
            <w:tcW w:w="1243"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9074DA" w:rsidP="001A4CB9">
            <w:pPr>
              <w:bidi w:val="0"/>
              <w:rPr>
                <w:rFonts w:ascii="Times New Roman" w:hAnsi="Times New Roman" w:cs="Times New Roman"/>
                <w:sz w:val="14"/>
                <w:szCs w:val="14"/>
                <w:lang w:eastAsia="sk-SK"/>
              </w:rPr>
            </w:pPr>
            <w:r w:rsidRPr="009074DA">
              <w:rPr>
                <w:rFonts w:ascii="Times New Roman" w:hAnsi="Times New Roman" w:cs="Times New Roman"/>
                <w:sz w:val="14"/>
                <w:szCs w:val="14"/>
                <w:lang w:eastAsia="sk-SK"/>
              </w:rPr>
              <w:t>Výdavky verejnej správy</w:t>
            </w:r>
          </w:p>
        </w:tc>
        <w:tc>
          <w:tcPr>
            <w:tcW w:w="428"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9074DA" w:rsidP="001A4CB9">
            <w:pPr>
              <w:bidi w:val="0"/>
              <w:jc w:val="center"/>
              <w:rPr>
                <w:rFonts w:ascii="Times New Roman" w:hAnsi="Times New Roman" w:cs="Times New Roman"/>
                <w:sz w:val="14"/>
                <w:szCs w:val="14"/>
                <w:lang w:eastAsia="sk-SK"/>
              </w:rPr>
            </w:pPr>
            <w:r w:rsidRPr="009074DA">
              <w:rPr>
                <w:rFonts w:ascii="Times New Roman" w:hAnsi="Times New Roman" w:cs="Times New Roman"/>
                <w:sz w:val="14"/>
                <w:szCs w:val="14"/>
                <w:lang w:eastAsia="sk-SK"/>
              </w:rPr>
              <w:t>mil. eur</w:t>
            </w:r>
          </w:p>
        </w:tc>
        <w:tc>
          <w:tcPr>
            <w:tcW w:w="465"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26 189,0</w:t>
            </w:r>
          </w:p>
        </w:tc>
        <w:tc>
          <w:tcPr>
            <w:tcW w:w="465"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27 021,0</w:t>
            </w:r>
          </w:p>
        </w:tc>
        <w:tc>
          <w:tcPr>
            <w:tcW w:w="467"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26 485,0</w:t>
            </w:r>
          </w:p>
        </w:tc>
        <w:tc>
          <w:tcPr>
            <w:tcW w:w="473"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26 126,2</w:t>
            </w:r>
          </w:p>
        </w:tc>
        <w:tc>
          <w:tcPr>
            <w:tcW w:w="482"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27</w:t>
            </w:r>
            <w:r>
              <w:rPr>
                <w:rFonts w:ascii="Times New Roman" w:hAnsi="Times New Roman" w:cs="Times New Roman"/>
                <w:sz w:val="14"/>
                <w:szCs w:val="14"/>
                <w:lang w:eastAsia="sk-SK"/>
              </w:rPr>
              <w:t> 309,8</w:t>
            </w:r>
            <w:r w:rsidRPr="009074DA">
              <w:rPr>
                <w:rFonts w:ascii="Times New Roman" w:hAnsi="Times New Roman" w:cs="Times New Roman"/>
                <w:sz w:val="14"/>
                <w:szCs w:val="14"/>
                <w:lang w:eastAsia="sk-SK"/>
              </w:rPr>
              <w:t> </w:t>
            </w:r>
          </w:p>
        </w:tc>
        <w:tc>
          <w:tcPr>
            <w:tcW w:w="482"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27 605,</w:t>
            </w:r>
            <w:r>
              <w:rPr>
                <w:rFonts w:ascii="Times New Roman" w:hAnsi="Times New Roman" w:cs="Times New Roman"/>
                <w:sz w:val="14"/>
                <w:szCs w:val="14"/>
                <w:lang w:eastAsia="sk-SK"/>
              </w:rPr>
              <w:t>0</w:t>
            </w:r>
            <w:r w:rsidRPr="009074DA">
              <w:rPr>
                <w:rFonts w:ascii="Times New Roman" w:hAnsi="Times New Roman" w:cs="Times New Roman"/>
                <w:sz w:val="14"/>
                <w:szCs w:val="14"/>
                <w:lang w:eastAsia="sk-SK"/>
              </w:rPr>
              <w:t> </w:t>
            </w:r>
          </w:p>
        </w:tc>
        <w:tc>
          <w:tcPr>
            <w:tcW w:w="494"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28 733,</w:t>
            </w:r>
            <w:r>
              <w:rPr>
                <w:rFonts w:ascii="Times New Roman" w:hAnsi="Times New Roman" w:cs="Times New Roman"/>
                <w:sz w:val="14"/>
                <w:szCs w:val="14"/>
                <w:lang w:eastAsia="sk-SK"/>
              </w:rPr>
              <w:t>2</w:t>
            </w:r>
            <w:r w:rsidRPr="009074DA">
              <w:rPr>
                <w:rFonts w:ascii="Times New Roman" w:hAnsi="Times New Roman" w:cs="Times New Roman"/>
                <w:sz w:val="14"/>
                <w:szCs w:val="14"/>
                <w:lang w:eastAsia="sk-SK"/>
              </w:rPr>
              <w:t> </w:t>
            </w:r>
          </w:p>
        </w:tc>
      </w:tr>
      <w:tr>
        <w:tblPrEx>
          <w:tblW w:w="5000" w:type="pct"/>
          <w:jc w:val="center"/>
          <w:tblCellMar>
            <w:left w:w="70" w:type="dxa"/>
            <w:right w:w="70" w:type="dxa"/>
          </w:tblCellMar>
          <w:tblLook w:val="04A0"/>
        </w:tblPrEx>
        <w:trPr>
          <w:trHeight w:val="270"/>
          <w:jc w:val="center"/>
        </w:trPr>
        <w:tc>
          <w:tcPr>
            <w:tcW w:w="124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E4FF6" w:rsidRPr="009074DA" w:rsidP="001A4CB9">
            <w:pPr>
              <w:bidi w:val="0"/>
              <w:rPr>
                <w:rFonts w:ascii="Times New Roman" w:hAnsi="Times New Roman" w:cs="Times New Roman"/>
                <w:sz w:val="14"/>
                <w:szCs w:val="14"/>
                <w:lang w:eastAsia="sk-SK"/>
              </w:rPr>
            </w:pPr>
            <w:r w:rsidRPr="009074DA">
              <w:rPr>
                <w:rFonts w:ascii="Times New Roman" w:hAnsi="Times New Roman" w:cs="Times New Roman"/>
                <w:sz w:val="14"/>
                <w:szCs w:val="14"/>
                <w:lang w:eastAsia="sk-SK"/>
              </w:rPr>
              <w:t xml:space="preserve">Výdavky verejnej správy </w:t>
            </w:r>
          </w:p>
        </w:tc>
        <w:tc>
          <w:tcPr>
            <w:tcW w:w="42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E4FF6" w:rsidRPr="009074DA" w:rsidP="001A4CB9">
            <w:pPr>
              <w:bidi w:val="0"/>
              <w:jc w:val="center"/>
              <w:rPr>
                <w:rFonts w:ascii="Times New Roman" w:hAnsi="Times New Roman" w:cs="Times New Roman"/>
                <w:sz w:val="14"/>
                <w:szCs w:val="14"/>
                <w:lang w:eastAsia="sk-SK"/>
              </w:rPr>
            </w:pPr>
            <w:r w:rsidRPr="009074DA">
              <w:rPr>
                <w:rFonts w:ascii="Times New Roman" w:hAnsi="Times New Roman" w:cs="Times New Roman"/>
                <w:sz w:val="14"/>
                <w:szCs w:val="14"/>
                <w:lang w:eastAsia="sk-SK"/>
              </w:rPr>
              <w:t>%</w:t>
            </w:r>
          </w:p>
        </w:tc>
        <w:tc>
          <w:tcPr>
            <w:tcW w:w="46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41,5</w:t>
            </w:r>
          </w:p>
        </w:tc>
        <w:tc>
          <w:tcPr>
            <w:tcW w:w="46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41,0</w:t>
            </w:r>
          </w:p>
        </w:tc>
        <w:tc>
          <w:tcPr>
            <w:tcW w:w="46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37,7</w:t>
            </w:r>
          </w:p>
        </w:tc>
        <w:tc>
          <w:tcPr>
            <w:tcW w:w="47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37,6</w:t>
            </w:r>
          </w:p>
        </w:tc>
        <w:tc>
          <w:tcPr>
            <w:tcW w:w="482"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37,0</w:t>
            </w:r>
          </w:p>
        </w:tc>
        <w:tc>
          <w:tcPr>
            <w:tcW w:w="482"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35,2</w:t>
            </w:r>
          </w:p>
        </w:tc>
        <w:tc>
          <w:tcPr>
            <w:tcW w:w="49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34,3</w:t>
            </w:r>
          </w:p>
        </w:tc>
      </w:tr>
      <w:tr>
        <w:tblPrEx>
          <w:tblW w:w="5000" w:type="pct"/>
          <w:jc w:val="center"/>
          <w:tblCellMar>
            <w:left w:w="70" w:type="dxa"/>
            <w:right w:w="70" w:type="dxa"/>
          </w:tblCellMar>
          <w:tblLook w:val="04A0"/>
        </w:tblPrEx>
        <w:trPr>
          <w:trHeight w:val="270"/>
          <w:jc w:val="center"/>
        </w:trPr>
        <w:tc>
          <w:tcPr>
            <w:tcW w:w="1243" w:type="pct"/>
            <w:tcBorders>
              <w:top w:val="single" w:sz="4" w:space="0" w:color="auto"/>
              <w:left w:val="single" w:sz="4" w:space="0" w:color="auto"/>
              <w:bottom w:val="single" w:sz="4" w:space="0" w:color="auto"/>
              <w:right w:val="single" w:sz="4" w:space="0" w:color="auto"/>
            </w:tcBorders>
            <w:noWrap/>
            <w:textDirection w:val="lrTb"/>
            <w:vAlign w:val="center"/>
            <w:hideMark/>
          </w:tcPr>
          <w:p w:rsidR="00FE4FF6" w:rsidRPr="009074DA" w:rsidP="001A4CB9">
            <w:pPr>
              <w:bidi w:val="0"/>
              <w:rPr>
                <w:rFonts w:ascii="Times New Roman" w:hAnsi="Times New Roman" w:cs="Times New Roman"/>
                <w:sz w:val="14"/>
                <w:szCs w:val="14"/>
                <w:lang w:eastAsia="sk-SK"/>
              </w:rPr>
            </w:pPr>
            <w:r w:rsidRPr="009074DA">
              <w:rPr>
                <w:rFonts w:ascii="Times New Roman" w:hAnsi="Times New Roman" w:cs="Times New Roman"/>
                <w:sz w:val="14"/>
                <w:szCs w:val="14"/>
                <w:lang w:eastAsia="sk-SK"/>
              </w:rPr>
              <w:t>Schodok verejnej správy</w:t>
            </w:r>
          </w:p>
        </w:tc>
        <w:tc>
          <w:tcPr>
            <w:tcW w:w="428"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9074DA" w:rsidP="001A4CB9">
            <w:pPr>
              <w:bidi w:val="0"/>
              <w:jc w:val="center"/>
              <w:rPr>
                <w:rFonts w:ascii="Times New Roman" w:hAnsi="Times New Roman" w:cs="Times New Roman"/>
                <w:sz w:val="14"/>
                <w:szCs w:val="14"/>
                <w:lang w:eastAsia="sk-SK"/>
              </w:rPr>
            </w:pPr>
            <w:r w:rsidRPr="009074DA">
              <w:rPr>
                <w:rFonts w:ascii="Times New Roman" w:hAnsi="Times New Roman" w:cs="Times New Roman"/>
                <w:sz w:val="14"/>
                <w:szCs w:val="14"/>
                <w:lang w:eastAsia="sk-SK"/>
              </w:rPr>
              <w:t>mil. eur</w:t>
            </w:r>
          </w:p>
        </w:tc>
        <w:tc>
          <w:tcPr>
            <w:tcW w:w="465"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-5 022,0</w:t>
            </w:r>
          </w:p>
        </w:tc>
        <w:tc>
          <w:tcPr>
            <w:tcW w:w="465"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-5 207,0</w:t>
            </w:r>
          </w:p>
        </w:tc>
        <w:tc>
          <w:tcPr>
            <w:tcW w:w="467"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-3 449,0</w:t>
            </w:r>
          </w:p>
        </w:tc>
        <w:tc>
          <w:tcPr>
            <w:tcW w:w="473"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-3 443,2</w:t>
            </w:r>
          </w:p>
        </w:tc>
        <w:tc>
          <w:tcPr>
            <w:tcW w:w="482"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-2 831,8</w:t>
            </w:r>
          </w:p>
        </w:tc>
        <w:tc>
          <w:tcPr>
            <w:tcW w:w="482"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-2 </w:t>
            </w:r>
            <w:r>
              <w:rPr>
                <w:rFonts w:ascii="Times New Roman" w:hAnsi="Times New Roman" w:cs="Times New Roman"/>
                <w:sz w:val="14"/>
                <w:szCs w:val="14"/>
                <w:lang w:eastAsia="sk-SK"/>
              </w:rPr>
              <w:t>484,5</w:t>
            </w:r>
          </w:p>
        </w:tc>
        <w:tc>
          <w:tcPr>
            <w:tcW w:w="494" w:type="pct"/>
            <w:tcBorders>
              <w:top w:val="single" w:sz="4" w:space="0" w:color="auto"/>
              <w:left w:val="single" w:sz="4" w:space="0" w:color="auto"/>
              <w:bottom w:val="single" w:sz="4" w:space="0" w:color="auto"/>
              <w:right w:val="single" w:sz="4" w:space="0" w:color="auto"/>
            </w:tcBorders>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-2</w:t>
            </w:r>
            <w:r>
              <w:rPr>
                <w:rFonts w:ascii="Times New Roman" w:hAnsi="Times New Roman" w:cs="Times New Roman"/>
                <w:sz w:val="14"/>
                <w:szCs w:val="14"/>
                <w:lang w:eastAsia="sk-SK"/>
              </w:rPr>
              <w:t> 418,3</w:t>
            </w:r>
          </w:p>
        </w:tc>
      </w:tr>
      <w:tr>
        <w:tblPrEx>
          <w:tblW w:w="5000" w:type="pct"/>
          <w:jc w:val="center"/>
          <w:tblCellMar>
            <w:left w:w="70" w:type="dxa"/>
            <w:right w:w="70" w:type="dxa"/>
          </w:tblCellMar>
          <w:tblLook w:val="04A0"/>
        </w:tblPrEx>
        <w:trPr>
          <w:trHeight w:val="270"/>
          <w:jc w:val="center"/>
        </w:trPr>
        <w:tc>
          <w:tcPr>
            <w:tcW w:w="124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E4FF6" w:rsidRPr="009074DA" w:rsidP="001A4CB9">
            <w:pPr>
              <w:bidi w:val="0"/>
              <w:rPr>
                <w:rFonts w:ascii="Times New Roman" w:hAnsi="Times New Roman" w:cs="Times New Roman"/>
                <w:sz w:val="14"/>
                <w:szCs w:val="14"/>
                <w:lang w:eastAsia="sk-SK"/>
              </w:rPr>
            </w:pPr>
            <w:r w:rsidRPr="009074DA">
              <w:rPr>
                <w:rFonts w:ascii="Times New Roman" w:hAnsi="Times New Roman" w:cs="Times New Roman"/>
                <w:sz w:val="14"/>
                <w:szCs w:val="14"/>
                <w:lang w:eastAsia="sk-SK"/>
              </w:rPr>
              <w:t xml:space="preserve">Schodok verejnej správy </w:t>
            </w:r>
          </w:p>
        </w:tc>
        <w:tc>
          <w:tcPr>
            <w:tcW w:w="42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E4FF6" w:rsidRPr="009074DA" w:rsidP="001A4CB9">
            <w:pPr>
              <w:bidi w:val="0"/>
              <w:jc w:val="center"/>
              <w:rPr>
                <w:rFonts w:ascii="Times New Roman" w:hAnsi="Times New Roman" w:cs="Times New Roman"/>
                <w:sz w:val="14"/>
                <w:szCs w:val="14"/>
                <w:lang w:eastAsia="sk-SK"/>
              </w:rPr>
            </w:pPr>
            <w:r w:rsidRPr="009074DA">
              <w:rPr>
                <w:rFonts w:ascii="Times New Roman" w:hAnsi="Times New Roman" w:cs="Times New Roman"/>
                <w:sz w:val="14"/>
                <w:szCs w:val="14"/>
                <w:lang w:eastAsia="sk-SK"/>
              </w:rPr>
              <w:t>%</w:t>
            </w:r>
          </w:p>
        </w:tc>
        <w:tc>
          <w:tcPr>
            <w:tcW w:w="46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-8,0</w:t>
            </w:r>
          </w:p>
        </w:tc>
        <w:tc>
          <w:tcPr>
            <w:tcW w:w="46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-7,9</w:t>
            </w:r>
          </w:p>
        </w:tc>
        <w:tc>
          <w:tcPr>
            <w:tcW w:w="46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-4,9</w:t>
            </w:r>
          </w:p>
        </w:tc>
        <w:tc>
          <w:tcPr>
            <w:tcW w:w="47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-4,9</w:t>
            </w:r>
          </w:p>
        </w:tc>
        <w:tc>
          <w:tcPr>
            <w:tcW w:w="482"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-3,8</w:t>
            </w:r>
          </w:p>
        </w:tc>
        <w:tc>
          <w:tcPr>
            <w:tcW w:w="482"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-3,</w:t>
            </w:r>
            <w:r>
              <w:rPr>
                <w:rFonts w:ascii="Times New Roman" w:hAnsi="Times New Roman" w:cs="Times New Roman"/>
                <w:sz w:val="14"/>
                <w:szCs w:val="14"/>
                <w:lang w:eastAsia="sk-SK"/>
              </w:rPr>
              <w:t>2</w:t>
            </w:r>
          </w:p>
        </w:tc>
        <w:tc>
          <w:tcPr>
            <w:tcW w:w="49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E4FF6" w:rsidRPr="009074DA" w:rsidP="001A4CB9">
            <w:pPr>
              <w:bidi w:val="0"/>
              <w:jc w:val="right"/>
              <w:rPr>
                <w:rFonts w:ascii="Times New Roman" w:hAnsi="Times New Roman" w:cs="Times New Roman"/>
                <w:sz w:val="14"/>
                <w:szCs w:val="14"/>
                <w:lang w:eastAsia="sk-SK"/>
              </w:rPr>
            </w:pPr>
            <w:r w:rsidRPr="009074DA">
              <w:rPr>
                <w:rFonts w:ascii="Times New Roman" w:hAnsi="Times New Roman" w:cs="Times New Roman"/>
                <w:sz w:val="14"/>
                <w:szCs w:val="14"/>
                <w:lang w:eastAsia="sk-SK"/>
              </w:rPr>
              <w:t>-</w:t>
            </w:r>
            <w:r>
              <w:rPr>
                <w:rFonts w:ascii="Times New Roman" w:hAnsi="Times New Roman" w:cs="Times New Roman"/>
                <w:sz w:val="14"/>
                <w:szCs w:val="14"/>
                <w:lang w:eastAsia="sk-SK"/>
              </w:rPr>
              <w:t>2,9</w:t>
            </w:r>
          </w:p>
        </w:tc>
      </w:tr>
    </w:tbl>
    <w:p w:rsidR="00FE4FF6" w:rsidRPr="009074DA" w:rsidP="00FE4FF6">
      <w:pPr>
        <w:pStyle w:val="Zarkazkladnhotextu1"/>
        <w:bidi w:val="0"/>
        <w:spacing w:after="0"/>
        <w:ind w:left="0" w:firstLine="708"/>
        <w:jc w:val="both"/>
        <w:rPr>
          <w:rFonts w:ascii="Times New Roman" w:hAnsi="Times New Roman"/>
        </w:rPr>
      </w:pPr>
    </w:p>
    <w:p w:rsidR="00FE4FF6" w:rsidRPr="009074DA" w:rsidP="00FE4FF6">
      <w:pPr>
        <w:pStyle w:val="Zarkazkladnhotextu1"/>
        <w:bidi w:val="0"/>
        <w:spacing w:after="0"/>
        <w:ind w:left="0" w:firstLine="708"/>
        <w:jc w:val="both"/>
        <w:rPr>
          <w:rFonts w:ascii="Times New Roman" w:hAnsi="Times New Roman"/>
        </w:rPr>
      </w:pPr>
      <w:r w:rsidRPr="009074DA">
        <w:rPr>
          <w:rFonts w:ascii="Times New Roman" w:hAnsi="Times New Roman"/>
        </w:rPr>
        <w:t>Z vyššie uvedenej tabuľky je možné vidieť ozdravenie verejných financií v roku 2012. Verejné príjmy vzrastú v roku 2012 v porovnaní s tohtoročnou predpokladanou skutočnosťou o 0,</w:t>
      </w:r>
      <w:r>
        <w:rPr>
          <w:rFonts w:ascii="Times New Roman" w:hAnsi="Times New Roman"/>
        </w:rPr>
        <w:t>6</w:t>
      </w:r>
      <w:r w:rsidRPr="009074DA">
        <w:rPr>
          <w:rFonts w:ascii="Times New Roman" w:hAnsi="Times New Roman"/>
        </w:rPr>
        <w:t xml:space="preserve"> p. b. HDP. Naopak výdavky poklesnú o 0,</w:t>
      </w:r>
      <w:r>
        <w:rPr>
          <w:rFonts w:ascii="Times New Roman" w:hAnsi="Times New Roman"/>
        </w:rPr>
        <w:t>6</w:t>
      </w:r>
      <w:r w:rsidRPr="009074DA">
        <w:rPr>
          <w:rFonts w:ascii="Times New Roman" w:hAnsi="Times New Roman"/>
        </w:rPr>
        <w:t xml:space="preserve"> p. b. </w:t>
      </w:r>
    </w:p>
    <w:p w:rsidR="00FE4FF6" w:rsidRPr="009074DA" w:rsidP="00FE4FF6">
      <w:pPr>
        <w:pStyle w:val="Zarkazkladnhotextu1"/>
        <w:bidi w:val="0"/>
        <w:spacing w:after="0"/>
        <w:ind w:left="0" w:firstLine="708"/>
        <w:jc w:val="both"/>
        <w:rPr>
          <w:rFonts w:ascii="Times New Roman" w:hAnsi="Times New Roman"/>
        </w:rPr>
      </w:pPr>
    </w:p>
    <w:p w:rsidR="00FE4FF6" w:rsidRPr="009074DA" w:rsidP="00FE4FF6">
      <w:pPr>
        <w:pStyle w:val="Zarkazkladnhotextu1"/>
        <w:bidi w:val="0"/>
        <w:spacing w:after="0"/>
        <w:ind w:left="0" w:firstLine="708"/>
        <w:jc w:val="both"/>
        <w:rPr>
          <w:rFonts w:ascii="Times New Roman" w:hAnsi="Times New Roman"/>
        </w:rPr>
      </w:pPr>
      <w:r w:rsidRPr="009074DA">
        <w:rPr>
          <w:rFonts w:ascii="Times New Roman" w:hAnsi="Times New Roman"/>
        </w:rPr>
        <w:t>Tieto čísla sú ešte čiastočne skreslené čerpaním eurofondov, ktoré „navyšujú“ úroveň verejných príjmov aj výdavkov (podľa metodiky ESA 95 sú eurofondy, ktoré využijú verejné subjekty súčasťou verejných príjmov aj výdavkov). Ak by sme od eurofondov abstrahovali, príjmy verejných financií dosiahnu v roku 2012 úroveň 31,</w:t>
      </w:r>
      <w:r>
        <w:rPr>
          <w:rFonts w:ascii="Times New Roman" w:hAnsi="Times New Roman"/>
        </w:rPr>
        <w:t>3</w:t>
      </w:r>
      <w:r w:rsidRPr="009074DA">
        <w:rPr>
          <w:rFonts w:ascii="Times New Roman" w:hAnsi="Times New Roman"/>
        </w:rPr>
        <w:t xml:space="preserve"> % HDP </w:t>
      </w:r>
      <w:r>
        <w:rPr>
          <w:rFonts w:ascii="Times New Roman" w:hAnsi="Times New Roman"/>
        </w:rPr>
        <w:t>a oproti roku 2011 vzrastú o 0,2</w:t>
      </w:r>
      <w:r w:rsidRPr="0095343E">
        <w:rPr>
          <w:rFonts w:ascii="Times New Roman" w:hAnsi="Times New Roman"/>
        </w:rPr>
        <w:t xml:space="preserve"> </w:t>
      </w:r>
      <w:r w:rsidRPr="009074DA">
        <w:rPr>
          <w:rFonts w:ascii="Times New Roman" w:hAnsi="Times New Roman"/>
        </w:rPr>
        <w:t>p. b. HDP</w:t>
      </w:r>
      <w:r>
        <w:rPr>
          <w:rFonts w:ascii="Times New Roman" w:hAnsi="Times New Roman"/>
        </w:rPr>
        <w:t xml:space="preserve">. </w:t>
      </w:r>
      <w:r w:rsidRPr="009074DA">
        <w:rPr>
          <w:rFonts w:ascii="Times New Roman" w:hAnsi="Times New Roman"/>
        </w:rPr>
        <w:t xml:space="preserve">  </w:t>
      </w:r>
    </w:p>
    <w:p w:rsidR="00FE4FF6" w:rsidRPr="009074DA" w:rsidP="00FE4FF6">
      <w:pPr>
        <w:pStyle w:val="Zarkazkladnhotextu1"/>
        <w:bidi w:val="0"/>
        <w:spacing w:after="0"/>
        <w:ind w:left="0" w:firstLine="708"/>
        <w:jc w:val="both"/>
        <w:rPr>
          <w:rFonts w:ascii="Times New Roman" w:hAnsi="Times New Roman"/>
        </w:rPr>
      </w:pPr>
    </w:p>
    <w:p w:rsidR="00FE4FF6" w:rsidRPr="009074DA" w:rsidP="00FE4FF6">
      <w:pPr>
        <w:pStyle w:val="Zarkazkladnhotextu1"/>
        <w:bidi w:val="0"/>
        <w:spacing w:after="0"/>
        <w:ind w:left="0" w:firstLine="708"/>
        <w:jc w:val="both"/>
        <w:rPr>
          <w:rFonts w:ascii="Times New Roman" w:hAnsi="Times New Roman"/>
        </w:rPr>
      </w:pPr>
      <w:r w:rsidRPr="009074DA">
        <w:rPr>
          <w:rFonts w:ascii="Times New Roman" w:hAnsi="Times New Roman"/>
        </w:rPr>
        <w:t>Výdavky verejných financií bez EÚ fondov v roku 2012 dosiahnu 3</w:t>
      </w:r>
      <w:r>
        <w:rPr>
          <w:rFonts w:ascii="Times New Roman" w:hAnsi="Times New Roman"/>
        </w:rPr>
        <w:t>5,2</w:t>
      </w:r>
      <w:r w:rsidRPr="009074DA">
        <w:rPr>
          <w:rFonts w:ascii="Times New Roman" w:hAnsi="Times New Roman"/>
        </w:rPr>
        <w:t xml:space="preserve"> % HDP. V porovnaní s očakávanou skutočnosťou roku 2011 klesajú o</w:t>
      </w:r>
      <w:r>
        <w:rPr>
          <w:rFonts w:ascii="Times New Roman" w:hAnsi="Times New Roman"/>
        </w:rPr>
        <w:t> 0,9</w:t>
      </w:r>
      <w:r w:rsidRPr="009074DA">
        <w:rPr>
          <w:rFonts w:ascii="Times New Roman" w:hAnsi="Times New Roman"/>
        </w:rPr>
        <w:t xml:space="preserve"> %. </w:t>
      </w:r>
    </w:p>
    <w:p w:rsidR="00FE4FF6" w:rsidRPr="009074DA" w:rsidP="00FE4FF6">
      <w:pPr>
        <w:pStyle w:val="Zarkazkladnhotextu1"/>
        <w:bidi w:val="0"/>
        <w:spacing w:after="0"/>
        <w:ind w:left="0" w:firstLine="708"/>
        <w:jc w:val="both"/>
        <w:rPr>
          <w:rFonts w:ascii="Times New Roman" w:hAnsi="Times New Roman"/>
          <w:color w:val="0070C0"/>
        </w:rPr>
      </w:pPr>
    </w:p>
    <w:p w:rsidR="00FE4FF6" w:rsidRPr="00226C64" w:rsidP="00FE4FF6">
      <w:pPr>
        <w:pStyle w:val="Heading2"/>
        <w:bidi w:val="0"/>
        <w:spacing w:before="0" w:after="0"/>
        <w:rPr>
          <w:rFonts w:ascii="Times New Roman" w:hAnsi="Times New Roman"/>
          <w:i w:val="0"/>
          <w:iCs w:val="0"/>
          <w:sz w:val="24"/>
        </w:rPr>
      </w:pPr>
      <w:bookmarkStart w:id="26" w:name="_Toc273148229"/>
      <w:bookmarkStart w:id="27" w:name="_Toc300330898"/>
      <w:bookmarkStart w:id="28" w:name="_Toc300646583"/>
      <w:bookmarkStart w:id="29" w:name="_Toc306089057"/>
      <w:bookmarkStart w:id="30" w:name="_Toc206478402"/>
      <w:bookmarkStart w:id="31" w:name="_Toc211592393"/>
      <w:r w:rsidRPr="009445DF">
        <w:rPr>
          <w:rFonts w:ascii="Times New Roman" w:hAnsi="Times New Roman"/>
          <w:i w:val="0"/>
          <w:iCs w:val="0"/>
          <w:sz w:val="24"/>
        </w:rPr>
        <w:t>3.3. Dlh verejnej správy</w:t>
      </w:r>
      <w:bookmarkEnd w:id="26"/>
      <w:bookmarkEnd w:id="27"/>
      <w:bookmarkEnd w:id="28"/>
      <w:bookmarkEnd w:id="29"/>
      <w:r w:rsidRPr="00226C64">
        <w:rPr>
          <w:rFonts w:ascii="Times New Roman" w:hAnsi="Times New Roman"/>
          <w:i w:val="0"/>
          <w:iCs w:val="0"/>
          <w:sz w:val="24"/>
        </w:rPr>
        <w:t xml:space="preserve"> </w:t>
      </w:r>
    </w:p>
    <w:p w:rsidR="00FE4FF6" w:rsidRPr="006A2BBE" w:rsidP="00FE4FF6">
      <w:pPr>
        <w:pStyle w:val="Heading2"/>
        <w:bidi w:val="0"/>
        <w:spacing w:before="0" w:after="0"/>
        <w:rPr>
          <w:rFonts w:ascii="Times New Roman" w:hAnsi="Times New Roman"/>
          <w:i w:val="0"/>
          <w:iCs w:val="0"/>
          <w:sz w:val="24"/>
          <w:szCs w:val="24"/>
          <w:highlight w:val="yellow"/>
        </w:rPr>
      </w:pPr>
      <w:r w:rsidRPr="006A2BBE">
        <w:rPr>
          <w:rFonts w:ascii="Times New Roman" w:hAnsi="Times New Roman"/>
          <w:i w:val="0"/>
          <w:iCs w:val="0"/>
          <w:sz w:val="24"/>
          <w:szCs w:val="24"/>
          <w:highlight w:val="yellow"/>
        </w:rPr>
        <w:t xml:space="preserve">       </w:t>
      </w:r>
    </w:p>
    <w:p w:rsidR="00FE4FF6" w:rsidP="00FE4FF6">
      <w:pPr>
        <w:bidi w:val="0"/>
        <w:ind w:firstLine="708"/>
        <w:jc w:val="both"/>
        <w:rPr>
          <w:rFonts w:ascii="Times New Roman" w:hAnsi="Times New Roman" w:cs="Times New Roman"/>
        </w:rPr>
      </w:pPr>
      <w:bookmarkEnd w:id="30"/>
      <w:bookmarkEnd w:id="31"/>
      <w:r w:rsidRPr="000C0E95">
        <w:rPr>
          <w:rFonts w:ascii="Times New Roman" w:hAnsi="Times New Roman" w:cs="Times New Roman"/>
        </w:rPr>
        <w:t>Hrubý dlh verejnej správy</w:t>
      </w:r>
      <w:r>
        <w:rPr>
          <w:rStyle w:val="FootnoteReference"/>
          <w:rFonts w:ascii="Times New Roman" w:hAnsi="Times New Roman" w:cs="Times New Roman"/>
          <w:rtl w:val="0"/>
        </w:rPr>
        <w:footnoteReference w:id="3"/>
      </w:r>
      <w:r w:rsidRPr="000C0E95">
        <w:rPr>
          <w:rFonts w:ascii="Times New Roman" w:hAnsi="Times New Roman" w:cs="Times New Roman"/>
        </w:rPr>
        <w:t xml:space="preserve"> dosiahol na konci roku 2010 úroveň 26 998 mil. eur, čo predstavuje 41,0</w:t>
      </w:r>
      <w:r>
        <w:rPr>
          <w:rFonts w:ascii="Times New Roman" w:hAnsi="Times New Roman" w:cs="Times New Roman"/>
        </w:rPr>
        <w:t xml:space="preserve"> </w:t>
      </w:r>
      <w:r w:rsidRPr="000C0E95">
        <w:rPr>
          <w:rFonts w:ascii="Times New Roman" w:hAnsi="Times New Roman" w:cs="Times New Roman"/>
        </w:rPr>
        <w:t>% HDP. Za predpokladu naplnenia rozpočtových cieľov do roku 2014 sa tempo nárastu dlhu postupne spomalí, pričom sa predpokladá, že v roku 2014 podiel dlhu verejnej správy dosiahne úroveň 46,8</w:t>
      </w:r>
      <w:r>
        <w:rPr>
          <w:rFonts w:ascii="Times New Roman" w:hAnsi="Times New Roman" w:cs="Times New Roman"/>
        </w:rPr>
        <w:t xml:space="preserve"> </w:t>
      </w:r>
      <w:r w:rsidRPr="000C0E95">
        <w:rPr>
          <w:rFonts w:ascii="Times New Roman" w:hAnsi="Times New Roman" w:cs="Times New Roman"/>
        </w:rPr>
        <w:t xml:space="preserve">% HDP. </w:t>
      </w:r>
    </w:p>
    <w:p w:rsidR="00FE4FF6" w:rsidRPr="000C0E95" w:rsidP="00FE4FF6">
      <w:pPr>
        <w:bidi w:val="0"/>
        <w:jc w:val="both"/>
        <w:rPr>
          <w:rFonts w:ascii="Times New Roman" w:hAnsi="Times New Roman" w:cs="Times New Roman"/>
          <w:sz w:val="22"/>
          <w:szCs w:val="22"/>
        </w:rPr>
      </w:pPr>
    </w:p>
    <w:tbl>
      <w:tblPr>
        <w:tblStyle w:val="TableNormal"/>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3315"/>
        <w:gridCol w:w="972"/>
        <w:gridCol w:w="971"/>
        <w:gridCol w:w="971"/>
        <w:gridCol w:w="971"/>
        <w:gridCol w:w="971"/>
        <w:gridCol w:w="971"/>
      </w:tblGrid>
      <w:tr>
        <w:tblPrEx>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60"/>
          <w:jc w:val="center"/>
        </w:trPr>
        <w:tc>
          <w:tcPr>
            <w:tcW w:w="331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E4FF6" w:rsidRPr="000C0E95" w:rsidP="001A4CB9">
            <w:pPr>
              <w:bidi w:val="0"/>
              <w:rPr>
                <w:rFonts w:ascii="Times New Roman" w:hAnsi="Times New Roman" w:cs="Times New Roman"/>
                <w:b/>
                <w:bCs/>
                <w:sz w:val="14"/>
                <w:szCs w:val="16"/>
                <w:lang w:eastAsia="sk-SK"/>
              </w:rPr>
            </w:pPr>
            <w:r>
              <w:rPr>
                <w:rFonts w:ascii="Times New Roman" w:hAnsi="Times New Roman" w:cs="Times New Roman"/>
                <w:b/>
                <w:bCs/>
                <w:sz w:val="14"/>
                <w:szCs w:val="16"/>
                <w:lang w:eastAsia="sk-SK"/>
              </w:rPr>
              <w:t>v mil. eur</w:t>
            </w:r>
          </w:p>
        </w:tc>
        <w:tc>
          <w:tcPr>
            <w:tcW w:w="97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E4FF6" w:rsidRPr="000C0E95" w:rsidP="001A4CB9">
            <w:pPr>
              <w:bidi w:val="0"/>
              <w:jc w:val="center"/>
              <w:rPr>
                <w:rFonts w:ascii="Times New Roman" w:hAnsi="Times New Roman" w:cs="Times New Roman"/>
                <w:b/>
                <w:bCs/>
                <w:sz w:val="14"/>
                <w:szCs w:val="16"/>
                <w:lang w:eastAsia="sk-SK"/>
              </w:rPr>
            </w:pPr>
            <w:r w:rsidRPr="000C0E95">
              <w:rPr>
                <w:rFonts w:ascii="Times New Roman" w:hAnsi="Times New Roman" w:cs="Times New Roman"/>
                <w:b/>
                <w:bCs/>
                <w:sz w:val="14"/>
                <w:szCs w:val="16"/>
                <w:lang w:eastAsia="sk-SK"/>
              </w:rPr>
              <w:t>2009 S</w:t>
            </w:r>
          </w:p>
        </w:tc>
        <w:tc>
          <w:tcPr>
            <w:tcW w:w="97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E4FF6" w:rsidRPr="000C0E95" w:rsidP="001A4CB9">
            <w:pPr>
              <w:bidi w:val="0"/>
              <w:jc w:val="center"/>
              <w:rPr>
                <w:rFonts w:ascii="Times New Roman" w:hAnsi="Times New Roman" w:cs="Times New Roman"/>
                <w:b/>
                <w:bCs/>
                <w:sz w:val="14"/>
                <w:szCs w:val="16"/>
                <w:lang w:eastAsia="sk-SK"/>
              </w:rPr>
            </w:pPr>
            <w:r w:rsidRPr="000C0E95">
              <w:rPr>
                <w:rFonts w:ascii="Times New Roman" w:hAnsi="Times New Roman" w:cs="Times New Roman"/>
                <w:b/>
                <w:bCs/>
                <w:sz w:val="14"/>
                <w:szCs w:val="16"/>
                <w:lang w:eastAsia="sk-SK"/>
              </w:rPr>
              <w:t>2010 S</w:t>
            </w:r>
          </w:p>
        </w:tc>
        <w:tc>
          <w:tcPr>
            <w:tcW w:w="97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E4FF6" w:rsidRPr="000C0E95" w:rsidP="001A4CB9">
            <w:pPr>
              <w:bidi w:val="0"/>
              <w:jc w:val="center"/>
              <w:rPr>
                <w:rFonts w:ascii="Times New Roman" w:hAnsi="Times New Roman" w:cs="Times New Roman"/>
                <w:b/>
                <w:bCs/>
                <w:sz w:val="14"/>
                <w:szCs w:val="16"/>
                <w:lang w:eastAsia="sk-SK"/>
              </w:rPr>
            </w:pPr>
            <w:r w:rsidRPr="000C0E95">
              <w:rPr>
                <w:rFonts w:ascii="Times New Roman" w:hAnsi="Times New Roman" w:cs="Times New Roman"/>
                <w:b/>
                <w:bCs/>
                <w:sz w:val="14"/>
                <w:szCs w:val="16"/>
                <w:lang w:eastAsia="sk-SK"/>
              </w:rPr>
              <w:t>2011 OS</w:t>
            </w:r>
          </w:p>
        </w:tc>
        <w:tc>
          <w:tcPr>
            <w:tcW w:w="97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E4FF6" w:rsidRPr="000C0E95" w:rsidP="001A4CB9">
            <w:pPr>
              <w:bidi w:val="0"/>
              <w:jc w:val="center"/>
              <w:rPr>
                <w:rFonts w:ascii="Times New Roman" w:hAnsi="Times New Roman" w:cs="Times New Roman"/>
                <w:b/>
                <w:bCs/>
                <w:sz w:val="14"/>
                <w:szCs w:val="16"/>
                <w:lang w:eastAsia="sk-SK"/>
              </w:rPr>
            </w:pPr>
            <w:r w:rsidRPr="000C0E95">
              <w:rPr>
                <w:rFonts w:ascii="Times New Roman" w:hAnsi="Times New Roman" w:cs="Times New Roman"/>
                <w:b/>
                <w:bCs/>
                <w:sz w:val="14"/>
                <w:szCs w:val="16"/>
                <w:lang w:eastAsia="sk-SK"/>
              </w:rPr>
              <w:t>2012 N</w:t>
            </w:r>
          </w:p>
        </w:tc>
        <w:tc>
          <w:tcPr>
            <w:tcW w:w="97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E4FF6" w:rsidRPr="000C0E95" w:rsidP="001A4CB9">
            <w:pPr>
              <w:bidi w:val="0"/>
              <w:jc w:val="center"/>
              <w:rPr>
                <w:rFonts w:ascii="Times New Roman" w:hAnsi="Times New Roman" w:cs="Times New Roman"/>
                <w:b/>
                <w:bCs/>
                <w:sz w:val="14"/>
                <w:szCs w:val="16"/>
                <w:lang w:eastAsia="sk-SK"/>
              </w:rPr>
            </w:pPr>
            <w:r w:rsidRPr="000C0E95">
              <w:rPr>
                <w:rFonts w:ascii="Times New Roman" w:hAnsi="Times New Roman" w:cs="Times New Roman"/>
                <w:b/>
                <w:bCs/>
                <w:sz w:val="14"/>
                <w:szCs w:val="16"/>
                <w:lang w:eastAsia="sk-SK"/>
              </w:rPr>
              <w:t>2013 N</w:t>
            </w:r>
          </w:p>
        </w:tc>
        <w:tc>
          <w:tcPr>
            <w:tcW w:w="97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E4FF6" w:rsidRPr="000C0E95" w:rsidP="001A4CB9">
            <w:pPr>
              <w:bidi w:val="0"/>
              <w:jc w:val="center"/>
              <w:rPr>
                <w:rFonts w:ascii="Times New Roman" w:hAnsi="Times New Roman" w:cs="Times New Roman"/>
                <w:b/>
                <w:bCs/>
                <w:sz w:val="14"/>
                <w:szCs w:val="16"/>
                <w:lang w:eastAsia="sk-SK"/>
              </w:rPr>
            </w:pPr>
            <w:r w:rsidRPr="000C0E95">
              <w:rPr>
                <w:rFonts w:ascii="Times New Roman" w:hAnsi="Times New Roman" w:cs="Times New Roman"/>
                <w:b/>
                <w:bCs/>
                <w:sz w:val="14"/>
                <w:szCs w:val="16"/>
                <w:lang w:eastAsia="sk-SK"/>
              </w:rPr>
              <w:t>2014 N</w:t>
            </w:r>
          </w:p>
        </w:tc>
      </w:tr>
      <w:tr>
        <w:tblPrEx>
          <w:tblW w:w="9142" w:type="dxa"/>
          <w:jc w:val="center"/>
          <w:tblCellMar>
            <w:left w:w="70" w:type="dxa"/>
            <w:right w:w="70" w:type="dxa"/>
          </w:tblCellMar>
        </w:tblPrEx>
        <w:trPr>
          <w:trHeight w:val="360"/>
          <w:jc w:val="center"/>
        </w:trPr>
        <w:tc>
          <w:tcPr>
            <w:tcW w:w="3315" w:type="dxa"/>
            <w:tcBorders>
              <w:top w:val="single" w:sz="4" w:space="0" w:color="auto"/>
              <w:left w:val="single" w:sz="4" w:space="0" w:color="auto"/>
              <w:bottom w:val="single" w:sz="4" w:space="0" w:color="auto"/>
              <w:right w:val="single" w:sz="4" w:space="0" w:color="auto"/>
            </w:tcBorders>
            <w:noWrap/>
            <w:textDirection w:val="lrTb"/>
            <w:vAlign w:val="center"/>
          </w:tcPr>
          <w:p w:rsidR="00FE4FF6" w:rsidRPr="000C0E95" w:rsidP="001A4CB9">
            <w:pPr>
              <w:bidi w:val="0"/>
              <w:rPr>
                <w:rFonts w:ascii="Times New Roman" w:hAnsi="Times New Roman" w:cs="Times New Roman"/>
                <w:b/>
                <w:bCs/>
                <w:sz w:val="14"/>
                <w:szCs w:val="16"/>
                <w:lang w:eastAsia="sk-SK"/>
              </w:rPr>
            </w:pPr>
            <w:r w:rsidRPr="000C0E95">
              <w:rPr>
                <w:rFonts w:ascii="Times New Roman" w:hAnsi="Times New Roman" w:cs="Times New Roman"/>
                <w:b/>
                <w:bCs/>
                <w:sz w:val="14"/>
                <w:szCs w:val="16"/>
                <w:lang w:eastAsia="sk-SK"/>
              </w:rPr>
              <w:t xml:space="preserve">Hrubý dlh verejnej správy </w:t>
            </w:r>
          </w:p>
        </w:tc>
        <w:tc>
          <w:tcPr>
            <w:tcW w:w="972" w:type="dxa"/>
            <w:tcBorders>
              <w:top w:val="single" w:sz="4" w:space="0" w:color="auto"/>
              <w:left w:val="single" w:sz="4" w:space="0" w:color="auto"/>
              <w:bottom w:val="single" w:sz="4" w:space="0" w:color="auto"/>
              <w:right w:val="single" w:sz="4" w:space="0" w:color="auto"/>
            </w:tcBorders>
            <w:textDirection w:val="lrTb"/>
            <w:vAlign w:val="center"/>
          </w:tcPr>
          <w:p w:rsidR="00FE4FF6" w:rsidRPr="000C0E95" w:rsidP="001A4CB9">
            <w:pPr>
              <w:bidi w:val="0"/>
              <w:jc w:val="right"/>
              <w:rPr>
                <w:rFonts w:ascii="Times New Roman" w:hAnsi="Times New Roman" w:cs="Times New Roman"/>
                <w:b/>
                <w:bCs/>
                <w:sz w:val="14"/>
                <w:szCs w:val="16"/>
              </w:rPr>
            </w:pPr>
            <w:r w:rsidRPr="000C0E95">
              <w:rPr>
                <w:rFonts w:ascii="Times New Roman" w:hAnsi="Times New Roman" w:cs="Times New Roman"/>
                <w:b/>
                <w:bCs/>
                <w:sz w:val="14"/>
                <w:szCs w:val="16"/>
              </w:rPr>
              <w:t>22 331</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FE4FF6" w:rsidRPr="000C0E95" w:rsidP="001A4CB9">
            <w:pPr>
              <w:bidi w:val="0"/>
              <w:jc w:val="right"/>
              <w:rPr>
                <w:rFonts w:ascii="Times New Roman" w:hAnsi="Times New Roman" w:cs="Times New Roman"/>
                <w:b/>
                <w:bCs/>
                <w:sz w:val="14"/>
                <w:szCs w:val="16"/>
              </w:rPr>
            </w:pPr>
            <w:r w:rsidRPr="000C0E95">
              <w:rPr>
                <w:rFonts w:ascii="Times New Roman" w:hAnsi="Times New Roman" w:cs="Times New Roman"/>
                <w:b/>
                <w:bCs/>
                <w:sz w:val="14"/>
                <w:szCs w:val="16"/>
              </w:rPr>
              <w:t>26 998</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FE4FF6" w:rsidRPr="000C0E95" w:rsidP="001A4CB9">
            <w:pPr>
              <w:bidi w:val="0"/>
              <w:jc w:val="right"/>
              <w:rPr>
                <w:rFonts w:ascii="Times New Roman" w:hAnsi="Times New Roman" w:cs="Times New Roman"/>
                <w:b/>
                <w:bCs/>
                <w:sz w:val="14"/>
                <w:szCs w:val="16"/>
              </w:rPr>
            </w:pPr>
            <w:r w:rsidRPr="000C0E95">
              <w:rPr>
                <w:rFonts w:ascii="Times New Roman" w:hAnsi="Times New Roman" w:cs="Times New Roman"/>
                <w:b/>
                <w:bCs/>
                <w:sz w:val="14"/>
                <w:szCs w:val="16"/>
              </w:rPr>
              <w:t>30 846</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FE4FF6" w:rsidRPr="000C0E95" w:rsidP="001A4CB9">
            <w:pPr>
              <w:bidi w:val="0"/>
              <w:jc w:val="right"/>
              <w:rPr>
                <w:rFonts w:ascii="Times New Roman" w:hAnsi="Times New Roman" w:cs="Times New Roman"/>
                <w:b/>
                <w:bCs/>
                <w:sz w:val="14"/>
                <w:szCs w:val="16"/>
              </w:rPr>
            </w:pPr>
            <w:r w:rsidRPr="000C0E95">
              <w:rPr>
                <w:rFonts w:ascii="Times New Roman" w:hAnsi="Times New Roman" w:cs="Times New Roman"/>
                <w:b/>
                <w:bCs/>
                <w:sz w:val="14"/>
                <w:szCs w:val="16"/>
              </w:rPr>
              <w:t>33 677</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FE4FF6" w:rsidRPr="000C0E95" w:rsidP="001A4CB9">
            <w:pPr>
              <w:bidi w:val="0"/>
              <w:jc w:val="right"/>
              <w:rPr>
                <w:rFonts w:ascii="Times New Roman" w:hAnsi="Times New Roman" w:cs="Times New Roman"/>
                <w:b/>
                <w:bCs/>
                <w:sz w:val="14"/>
                <w:szCs w:val="16"/>
              </w:rPr>
            </w:pPr>
            <w:r w:rsidRPr="000C0E95">
              <w:rPr>
                <w:rFonts w:ascii="Times New Roman" w:hAnsi="Times New Roman" w:cs="Times New Roman"/>
                <w:b/>
                <w:bCs/>
                <w:sz w:val="14"/>
                <w:szCs w:val="16"/>
              </w:rPr>
              <w:t>36 384</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FE4FF6" w:rsidRPr="000C0E95" w:rsidP="001A4CB9">
            <w:pPr>
              <w:bidi w:val="0"/>
              <w:jc w:val="right"/>
              <w:rPr>
                <w:rFonts w:ascii="Times New Roman" w:hAnsi="Times New Roman" w:cs="Times New Roman"/>
                <w:b/>
                <w:bCs/>
                <w:sz w:val="14"/>
                <w:szCs w:val="16"/>
              </w:rPr>
            </w:pPr>
            <w:r w:rsidRPr="000C0E95">
              <w:rPr>
                <w:rFonts w:ascii="Times New Roman" w:hAnsi="Times New Roman" w:cs="Times New Roman"/>
                <w:b/>
                <w:bCs/>
                <w:sz w:val="14"/>
                <w:szCs w:val="16"/>
              </w:rPr>
              <w:t>39 145</w:t>
            </w:r>
          </w:p>
        </w:tc>
      </w:tr>
      <w:tr>
        <w:tblPrEx>
          <w:tblW w:w="9142" w:type="dxa"/>
          <w:jc w:val="center"/>
          <w:tblCellMar>
            <w:left w:w="70" w:type="dxa"/>
            <w:right w:w="70" w:type="dxa"/>
          </w:tblCellMar>
        </w:tblPrEx>
        <w:trPr>
          <w:trHeight w:val="360"/>
          <w:jc w:val="center"/>
        </w:trPr>
        <w:tc>
          <w:tcPr>
            <w:tcW w:w="3315" w:type="dxa"/>
            <w:tcBorders>
              <w:top w:val="single" w:sz="4" w:space="0" w:color="auto"/>
              <w:left w:val="single" w:sz="4" w:space="0" w:color="auto"/>
              <w:bottom w:val="single" w:sz="4" w:space="0" w:color="auto"/>
              <w:right w:val="single" w:sz="4" w:space="0" w:color="auto"/>
            </w:tcBorders>
            <w:noWrap/>
            <w:textDirection w:val="lrTb"/>
            <w:vAlign w:val="center"/>
          </w:tcPr>
          <w:p w:rsidR="00FE4FF6" w:rsidRPr="000C0E95" w:rsidP="001A4CB9">
            <w:pPr>
              <w:bidi w:val="0"/>
              <w:rPr>
                <w:rFonts w:ascii="Times New Roman" w:hAnsi="Times New Roman" w:cs="Times New Roman"/>
                <w:sz w:val="14"/>
                <w:szCs w:val="16"/>
                <w:lang w:eastAsia="sk-SK"/>
              </w:rPr>
            </w:pPr>
            <w:r w:rsidRPr="000C0E95">
              <w:rPr>
                <w:rFonts w:ascii="Times New Roman" w:hAnsi="Times New Roman" w:cs="Times New Roman"/>
                <w:sz w:val="14"/>
                <w:szCs w:val="16"/>
                <w:lang w:eastAsia="sk-SK"/>
              </w:rPr>
              <w:t xml:space="preserve">  - štátny dlh</w:t>
            </w:r>
          </w:p>
        </w:tc>
        <w:tc>
          <w:tcPr>
            <w:tcW w:w="972" w:type="dxa"/>
            <w:tcBorders>
              <w:top w:val="single" w:sz="4" w:space="0" w:color="auto"/>
              <w:left w:val="single" w:sz="4" w:space="0" w:color="auto"/>
              <w:bottom w:val="single" w:sz="4" w:space="0" w:color="auto"/>
              <w:right w:val="single" w:sz="4" w:space="0" w:color="auto"/>
            </w:tcBorders>
            <w:textDirection w:val="lrTb"/>
            <w:vAlign w:val="center"/>
          </w:tcPr>
          <w:p w:rsidR="00FE4FF6" w:rsidRPr="000C0E95" w:rsidP="001A4CB9">
            <w:pPr>
              <w:bidi w:val="0"/>
              <w:jc w:val="right"/>
              <w:rPr>
                <w:rFonts w:ascii="Times New Roman" w:hAnsi="Times New Roman" w:cs="Times New Roman"/>
                <w:sz w:val="14"/>
                <w:szCs w:val="16"/>
              </w:rPr>
            </w:pPr>
            <w:r w:rsidRPr="000C0E95">
              <w:rPr>
                <w:rFonts w:ascii="Times New Roman" w:hAnsi="Times New Roman" w:cs="Times New Roman"/>
                <w:sz w:val="14"/>
                <w:szCs w:val="16"/>
              </w:rPr>
              <w:t>21 362</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FE4FF6" w:rsidRPr="000C0E95" w:rsidP="001A4CB9">
            <w:pPr>
              <w:bidi w:val="0"/>
              <w:jc w:val="right"/>
              <w:rPr>
                <w:rFonts w:ascii="Times New Roman" w:hAnsi="Times New Roman" w:cs="Times New Roman"/>
                <w:sz w:val="14"/>
                <w:szCs w:val="16"/>
              </w:rPr>
            </w:pPr>
            <w:r w:rsidRPr="000C0E95">
              <w:rPr>
                <w:rFonts w:ascii="Times New Roman" w:hAnsi="Times New Roman" w:cs="Times New Roman"/>
                <w:sz w:val="14"/>
                <w:szCs w:val="16"/>
              </w:rPr>
              <w:t>25 825</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FE4FF6" w:rsidRPr="000C0E95" w:rsidP="001A4CB9">
            <w:pPr>
              <w:bidi w:val="0"/>
              <w:jc w:val="right"/>
              <w:rPr>
                <w:rFonts w:ascii="Times New Roman" w:hAnsi="Times New Roman" w:cs="Times New Roman"/>
                <w:bCs/>
                <w:sz w:val="14"/>
                <w:szCs w:val="16"/>
              </w:rPr>
            </w:pPr>
            <w:r w:rsidRPr="000C0E95">
              <w:rPr>
                <w:rFonts w:ascii="Times New Roman" w:hAnsi="Times New Roman" w:cs="Times New Roman"/>
                <w:bCs/>
                <w:sz w:val="14"/>
                <w:szCs w:val="16"/>
              </w:rPr>
              <w:t>29 570</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FE4FF6" w:rsidRPr="000C0E95" w:rsidP="001A4CB9">
            <w:pPr>
              <w:bidi w:val="0"/>
              <w:jc w:val="right"/>
              <w:rPr>
                <w:rFonts w:ascii="Times New Roman" w:hAnsi="Times New Roman" w:cs="Times New Roman"/>
                <w:bCs/>
                <w:sz w:val="14"/>
                <w:szCs w:val="16"/>
              </w:rPr>
            </w:pPr>
            <w:r w:rsidRPr="000C0E95">
              <w:rPr>
                <w:rFonts w:ascii="Times New Roman" w:hAnsi="Times New Roman" w:cs="Times New Roman"/>
                <w:bCs/>
                <w:sz w:val="14"/>
                <w:szCs w:val="16"/>
              </w:rPr>
              <w:t>32 306</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FE4FF6" w:rsidRPr="000C0E95" w:rsidP="001A4CB9">
            <w:pPr>
              <w:bidi w:val="0"/>
              <w:jc w:val="right"/>
              <w:rPr>
                <w:rFonts w:ascii="Times New Roman" w:hAnsi="Times New Roman" w:cs="Times New Roman"/>
                <w:bCs/>
                <w:sz w:val="14"/>
                <w:szCs w:val="16"/>
              </w:rPr>
            </w:pPr>
            <w:r w:rsidRPr="000C0E95">
              <w:rPr>
                <w:rFonts w:ascii="Times New Roman" w:hAnsi="Times New Roman" w:cs="Times New Roman"/>
                <w:bCs/>
                <w:sz w:val="14"/>
                <w:szCs w:val="16"/>
              </w:rPr>
              <w:t>34 916</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FE4FF6" w:rsidRPr="000C0E95" w:rsidP="001A4CB9">
            <w:pPr>
              <w:bidi w:val="0"/>
              <w:jc w:val="right"/>
              <w:rPr>
                <w:rFonts w:ascii="Times New Roman" w:hAnsi="Times New Roman" w:cs="Times New Roman"/>
                <w:bCs/>
                <w:sz w:val="14"/>
                <w:szCs w:val="16"/>
              </w:rPr>
            </w:pPr>
            <w:r w:rsidRPr="000C0E95">
              <w:rPr>
                <w:rFonts w:ascii="Times New Roman" w:hAnsi="Times New Roman" w:cs="Times New Roman"/>
                <w:bCs/>
                <w:sz w:val="14"/>
                <w:szCs w:val="16"/>
              </w:rPr>
              <w:t>37 495</w:t>
            </w:r>
          </w:p>
        </w:tc>
      </w:tr>
      <w:tr>
        <w:tblPrEx>
          <w:tblW w:w="9142" w:type="dxa"/>
          <w:jc w:val="center"/>
          <w:tblCellMar>
            <w:left w:w="70" w:type="dxa"/>
            <w:right w:w="70" w:type="dxa"/>
          </w:tblCellMar>
        </w:tblPrEx>
        <w:trPr>
          <w:trHeight w:val="360"/>
          <w:jc w:val="center"/>
        </w:trPr>
        <w:tc>
          <w:tcPr>
            <w:tcW w:w="3315" w:type="dxa"/>
            <w:tcBorders>
              <w:top w:val="single" w:sz="4" w:space="0" w:color="auto"/>
              <w:left w:val="single" w:sz="4" w:space="0" w:color="auto"/>
              <w:bottom w:val="single" w:sz="4" w:space="0" w:color="auto"/>
              <w:right w:val="single" w:sz="4" w:space="0" w:color="auto"/>
            </w:tcBorders>
            <w:noWrap/>
            <w:textDirection w:val="lrTb"/>
            <w:vAlign w:val="center"/>
          </w:tcPr>
          <w:p w:rsidR="00FE4FF6" w:rsidRPr="000C0E95" w:rsidP="001A4CB9">
            <w:pPr>
              <w:bidi w:val="0"/>
              <w:rPr>
                <w:rFonts w:ascii="Times New Roman" w:hAnsi="Times New Roman" w:cs="Times New Roman"/>
                <w:sz w:val="14"/>
                <w:szCs w:val="16"/>
                <w:lang w:eastAsia="sk-SK"/>
              </w:rPr>
            </w:pPr>
            <w:r w:rsidRPr="000C0E95">
              <w:rPr>
                <w:rFonts w:ascii="Times New Roman" w:hAnsi="Times New Roman" w:cs="Times New Roman"/>
                <w:sz w:val="14"/>
                <w:szCs w:val="16"/>
                <w:lang w:eastAsia="sk-SK"/>
              </w:rPr>
              <w:t xml:space="preserve">  - dlh ostatných zložiek verejnej správy</w:t>
            </w:r>
          </w:p>
        </w:tc>
        <w:tc>
          <w:tcPr>
            <w:tcW w:w="972" w:type="dxa"/>
            <w:tcBorders>
              <w:top w:val="single" w:sz="4" w:space="0" w:color="auto"/>
              <w:left w:val="single" w:sz="4" w:space="0" w:color="auto"/>
              <w:bottom w:val="single" w:sz="4" w:space="0" w:color="auto"/>
              <w:right w:val="single" w:sz="4" w:space="0" w:color="auto"/>
            </w:tcBorders>
            <w:textDirection w:val="lrTb"/>
            <w:vAlign w:val="center"/>
          </w:tcPr>
          <w:p w:rsidR="00FE4FF6" w:rsidRPr="000C0E95" w:rsidP="001A4CB9">
            <w:pPr>
              <w:bidi w:val="0"/>
              <w:jc w:val="right"/>
              <w:rPr>
                <w:rFonts w:ascii="Times New Roman" w:hAnsi="Times New Roman" w:cs="Times New Roman"/>
                <w:sz w:val="14"/>
                <w:szCs w:val="16"/>
              </w:rPr>
            </w:pPr>
            <w:r w:rsidRPr="000C0E95">
              <w:rPr>
                <w:rFonts w:ascii="Times New Roman" w:hAnsi="Times New Roman" w:cs="Times New Roman"/>
                <w:sz w:val="14"/>
                <w:szCs w:val="16"/>
              </w:rPr>
              <w:t>969</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FE4FF6" w:rsidRPr="000C0E95" w:rsidP="001A4CB9">
            <w:pPr>
              <w:bidi w:val="0"/>
              <w:jc w:val="right"/>
              <w:rPr>
                <w:rFonts w:ascii="Times New Roman" w:hAnsi="Times New Roman" w:cs="Times New Roman"/>
                <w:sz w:val="14"/>
                <w:szCs w:val="16"/>
              </w:rPr>
            </w:pPr>
            <w:r w:rsidRPr="000C0E95">
              <w:rPr>
                <w:rFonts w:ascii="Times New Roman" w:hAnsi="Times New Roman" w:cs="Times New Roman"/>
                <w:sz w:val="14"/>
                <w:szCs w:val="16"/>
              </w:rPr>
              <w:t>1 173</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FE4FF6" w:rsidRPr="000C0E95" w:rsidP="001A4CB9">
            <w:pPr>
              <w:bidi w:val="0"/>
              <w:jc w:val="right"/>
              <w:rPr>
                <w:rFonts w:ascii="Times New Roman" w:hAnsi="Times New Roman" w:cs="Times New Roman"/>
                <w:bCs/>
                <w:sz w:val="14"/>
                <w:szCs w:val="16"/>
              </w:rPr>
            </w:pPr>
            <w:r w:rsidRPr="000C0E95">
              <w:rPr>
                <w:rFonts w:ascii="Times New Roman" w:hAnsi="Times New Roman" w:cs="Times New Roman"/>
                <w:bCs/>
                <w:sz w:val="14"/>
                <w:szCs w:val="16"/>
              </w:rPr>
              <w:t>1 276</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FE4FF6" w:rsidRPr="000C0E95" w:rsidP="001A4CB9">
            <w:pPr>
              <w:bidi w:val="0"/>
              <w:jc w:val="right"/>
              <w:rPr>
                <w:rFonts w:ascii="Times New Roman" w:hAnsi="Times New Roman" w:cs="Times New Roman"/>
                <w:bCs/>
                <w:sz w:val="14"/>
                <w:szCs w:val="16"/>
              </w:rPr>
            </w:pPr>
            <w:r w:rsidRPr="000C0E95">
              <w:rPr>
                <w:rFonts w:ascii="Times New Roman" w:hAnsi="Times New Roman" w:cs="Times New Roman"/>
                <w:bCs/>
                <w:sz w:val="14"/>
                <w:szCs w:val="16"/>
              </w:rPr>
              <w:t>1 371</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FE4FF6" w:rsidRPr="000C0E95" w:rsidP="001A4CB9">
            <w:pPr>
              <w:bidi w:val="0"/>
              <w:jc w:val="right"/>
              <w:rPr>
                <w:rFonts w:ascii="Times New Roman" w:hAnsi="Times New Roman" w:cs="Times New Roman"/>
                <w:bCs/>
                <w:sz w:val="14"/>
                <w:szCs w:val="16"/>
              </w:rPr>
            </w:pPr>
            <w:r w:rsidRPr="000C0E95">
              <w:rPr>
                <w:rFonts w:ascii="Times New Roman" w:hAnsi="Times New Roman" w:cs="Times New Roman"/>
                <w:bCs/>
                <w:sz w:val="14"/>
                <w:szCs w:val="16"/>
              </w:rPr>
              <w:t>1 468</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FE4FF6" w:rsidRPr="000C0E95" w:rsidP="001A4CB9">
            <w:pPr>
              <w:bidi w:val="0"/>
              <w:jc w:val="right"/>
              <w:rPr>
                <w:rFonts w:ascii="Times New Roman" w:hAnsi="Times New Roman" w:cs="Times New Roman"/>
                <w:bCs/>
                <w:sz w:val="14"/>
                <w:szCs w:val="16"/>
              </w:rPr>
            </w:pPr>
            <w:r w:rsidRPr="000C0E95">
              <w:rPr>
                <w:rFonts w:ascii="Times New Roman" w:hAnsi="Times New Roman" w:cs="Times New Roman"/>
                <w:bCs/>
                <w:sz w:val="14"/>
                <w:szCs w:val="16"/>
              </w:rPr>
              <w:t>1 650</w:t>
            </w:r>
          </w:p>
        </w:tc>
      </w:tr>
      <w:tr>
        <w:tblPrEx>
          <w:tblW w:w="9142" w:type="dxa"/>
          <w:jc w:val="center"/>
          <w:tblCellMar>
            <w:left w:w="70" w:type="dxa"/>
            <w:right w:w="70" w:type="dxa"/>
          </w:tblCellMar>
        </w:tblPrEx>
        <w:trPr>
          <w:trHeight w:val="360"/>
          <w:jc w:val="center"/>
        </w:trPr>
        <w:tc>
          <w:tcPr>
            <w:tcW w:w="3315" w:type="dxa"/>
            <w:tcBorders>
              <w:top w:val="single" w:sz="4" w:space="0" w:color="auto"/>
              <w:left w:val="single" w:sz="4" w:space="0" w:color="auto"/>
              <w:bottom w:val="single" w:sz="4" w:space="0" w:color="auto"/>
              <w:right w:val="single" w:sz="4" w:space="0" w:color="auto"/>
            </w:tcBorders>
            <w:noWrap/>
            <w:textDirection w:val="lrTb"/>
            <w:vAlign w:val="center"/>
          </w:tcPr>
          <w:p w:rsidR="00FE4FF6" w:rsidRPr="000C0E95" w:rsidP="001A4CB9">
            <w:pPr>
              <w:bidi w:val="0"/>
              <w:rPr>
                <w:rFonts w:ascii="Times New Roman" w:hAnsi="Times New Roman" w:cs="Times New Roman"/>
                <w:b/>
                <w:bCs/>
                <w:sz w:val="14"/>
                <w:szCs w:val="16"/>
                <w:lang w:eastAsia="sk-SK"/>
              </w:rPr>
            </w:pPr>
            <w:r w:rsidRPr="000C0E95">
              <w:rPr>
                <w:rFonts w:ascii="Times New Roman" w:hAnsi="Times New Roman" w:cs="Times New Roman"/>
                <w:b/>
                <w:bCs/>
                <w:sz w:val="14"/>
                <w:szCs w:val="16"/>
                <w:lang w:eastAsia="sk-SK"/>
              </w:rPr>
              <w:t>Hrubý dlh verejnej správy (% HDP)</w:t>
            </w:r>
          </w:p>
        </w:tc>
        <w:tc>
          <w:tcPr>
            <w:tcW w:w="972" w:type="dxa"/>
            <w:tcBorders>
              <w:top w:val="single" w:sz="4" w:space="0" w:color="auto"/>
              <w:left w:val="single" w:sz="4" w:space="0" w:color="auto"/>
              <w:bottom w:val="single" w:sz="4" w:space="0" w:color="auto"/>
              <w:right w:val="single" w:sz="4" w:space="0" w:color="auto"/>
            </w:tcBorders>
            <w:textDirection w:val="lrTb"/>
            <w:vAlign w:val="center"/>
          </w:tcPr>
          <w:p w:rsidR="00FE4FF6" w:rsidRPr="000C0E95" w:rsidP="001A4CB9">
            <w:pPr>
              <w:bidi w:val="0"/>
              <w:jc w:val="right"/>
              <w:rPr>
                <w:rFonts w:ascii="Times New Roman" w:hAnsi="Times New Roman" w:cs="Times New Roman"/>
                <w:b/>
                <w:bCs/>
                <w:sz w:val="14"/>
                <w:szCs w:val="16"/>
              </w:rPr>
            </w:pPr>
            <w:r w:rsidRPr="000C0E95">
              <w:rPr>
                <w:rFonts w:ascii="Times New Roman" w:hAnsi="Times New Roman" w:cs="Times New Roman"/>
                <w:b/>
                <w:bCs/>
                <w:sz w:val="14"/>
                <w:szCs w:val="16"/>
              </w:rPr>
              <w:t>35,4</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FE4FF6" w:rsidRPr="000C0E95" w:rsidP="001A4CB9">
            <w:pPr>
              <w:bidi w:val="0"/>
              <w:jc w:val="right"/>
              <w:rPr>
                <w:rFonts w:ascii="Times New Roman" w:hAnsi="Times New Roman" w:cs="Times New Roman"/>
                <w:b/>
                <w:bCs/>
                <w:sz w:val="14"/>
                <w:szCs w:val="16"/>
              </w:rPr>
            </w:pPr>
            <w:r w:rsidRPr="000C0E95">
              <w:rPr>
                <w:rFonts w:ascii="Times New Roman" w:hAnsi="Times New Roman" w:cs="Times New Roman"/>
                <w:b/>
                <w:bCs/>
                <w:sz w:val="14"/>
                <w:szCs w:val="16"/>
              </w:rPr>
              <w:t>41,0</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FE4FF6" w:rsidRPr="000C0E95" w:rsidP="001A4CB9">
            <w:pPr>
              <w:bidi w:val="0"/>
              <w:jc w:val="right"/>
              <w:rPr>
                <w:rFonts w:ascii="Times New Roman" w:hAnsi="Times New Roman" w:cs="Times New Roman"/>
                <w:b/>
                <w:bCs/>
                <w:sz w:val="14"/>
                <w:szCs w:val="16"/>
              </w:rPr>
            </w:pPr>
            <w:r w:rsidRPr="000C0E95">
              <w:rPr>
                <w:rFonts w:ascii="Times New Roman" w:hAnsi="Times New Roman" w:cs="Times New Roman"/>
                <w:b/>
                <w:bCs/>
                <w:sz w:val="14"/>
                <w:szCs w:val="16"/>
              </w:rPr>
              <w:t>44,4</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FE4FF6" w:rsidRPr="000C0E95" w:rsidP="001A4CB9">
            <w:pPr>
              <w:bidi w:val="0"/>
              <w:jc w:val="right"/>
              <w:rPr>
                <w:rFonts w:ascii="Times New Roman" w:hAnsi="Times New Roman" w:cs="Times New Roman"/>
                <w:b/>
                <w:bCs/>
                <w:sz w:val="14"/>
                <w:szCs w:val="16"/>
              </w:rPr>
            </w:pPr>
            <w:r w:rsidRPr="000C0E95">
              <w:rPr>
                <w:rFonts w:ascii="Times New Roman" w:hAnsi="Times New Roman" w:cs="Times New Roman"/>
                <w:b/>
                <w:bCs/>
                <w:sz w:val="14"/>
                <w:szCs w:val="16"/>
              </w:rPr>
              <w:t>45,7</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FE4FF6" w:rsidRPr="000C0E95" w:rsidP="001A4CB9">
            <w:pPr>
              <w:bidi w:val="0"/>
              <w:jc w:val="right"/>
              <w:rPr>
                <w:rFonts w:ascii="Times New Roman" w:hAnsi="Times New Roman" w:cs="Times New Roman"/>
                <w:b/>
                <w:bCs/>
                <w:sz w:val="14"/>
                <w:szCs w:val="16"/>
              </w:rPr>
            </w:pPr>
            <w:r w:rsidRPr="000C0E95">
              <w:rPr>
                <w:rFonts w:ascii="Times New Roman" w:hAnsi="Times New Roman" w:cs="Times New Roman"/>
                <w:b/>
                <w:bCs/>
                <w:sz w:val="14"/>
                <w:szCs w:val="16"/>
              </w:rPr>
              <w:t>46,4</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tcPr>
          <w:p w:rsidR="00FE4FF6" w:rsidRPr="000C0E95" w:rsidP="001A4CB9">
            <w:pPr>
              <w:bidi w:val="0"/>
              <w:jc w:val="right"/>
              <w:rPr>
                <w:rFonts w:ascii="Times New Roman" w:hAnsi="Times New Roman" w:cs="Times New Roman"/>
                <w:b/>
                <w:bCs/>
                <w:sz w:val="14"/>
                <w:szCs w:val="16"/>
              </w:rPr>
            </w:pPr>
            <w:r w:rsidRPr="000C0E95">
              <w:rPr>
                <w:rFonts w:ascii="Times New Roman" w:hAnsi="Times New Roman" w:cs="Times New Roman"/>
                <w:b/>
                <w:bCs/>
                <w:sz w:val="14"/>
                <w:szCs w:val="16"/>
              </w:rPr>
              <w:t>46,8</w:t>
            </w:r>
          </w:p>
        </w:tc>
      </w:tr>
    </w:tbl>
    <w:p w:rsidR="00FE4FF6" w:rsidRPr="000C0E95" w:rsidP="00FE4FF6">
      <w:pPr>
        <w:bidi w:val="0"/>
        <w:spacing w:before="240"/>
        <w:ind w:firstLine="708"/>
        <w:jc w:val="both"/>
        <w:rPr>
          <w:rFonts w:ascii="Times New Roman" w:hAnsi="Times New Roman" w:cs="Times New Roman"/>
          <w:szCs w:val="22"/>
        </w:rPr>
      </w:pPr>
      <w:r w:rsidRPr="000C0E95">
        <w:rPr>
          <w:rFonts w:ascii="Times New Roman" w:hAnsi="Times New Roman" w:cs="Times New Roman"/>
          <w:szCs w:val="22"/>
        </w:rPr>
        <w:t>Hlavným faktorom prispievajúcim k nárastu hrubého dlhu verejnej správy bude hotovostný</w:t>
      </w:r>
      <w:r w:rsidRPr="000C0E95">
        <w:rPr>
          <w:rFonts w:ascii="Times New Roman" w:hAnsi="Times New Roman" w:cs="Times New Roman"/>
          <w:b/>
          <w:szCs w:val="22"/>
        </w:rPr>
        <w:t xml:space="preserve"> schodok štátneho rozpočtu</w:t>
      </w:r>
      <w:r w:rsidRPr="000C0E95">
        <w:rPr>
          <w:rFonts w:ascii="Times New Roman" w:hAnsi="Times New Roman" w:cs="Times New Roman"/>
          <w:szCs w:val="22"/>
        </w:rPr>
        <w:t>. V prípade napĺňania konsolidačných cieľov rozpočtu verejnej správy sa očakáva jeho postupné znižovanie, čím dôjde aj k znižovaniu negatívneho vplyvu na dlh.</w:t>
      </w:r>
    </w:p>
    <w:p w:rsidR="00FE4FF6" w:rsidRPr="000C0E95" w:rsidP="00FE4FF6">
      <w:pPr>
        <w:bidi w:val="0"/>
        <w:jc w:val="both"/>
        <w:rPr>
          <w:rFonts w:ascii="Times New Roman" w:hAnsi="Times New Roman" w:cs="Times New Roman"/>
          <w:szCs w:val="22"/>
        </w:rPr>
      </w:pPr>
    </w:p>
    <w:p w:rsidR="00FE4FF6" w:rsidRPr="000C0E95" w:rsidP="00FE4FF6">
      <w:pPr>
        <w:bidi w:val="0"/>
        <w:ind w:firstLine="708"/>
        <w:jc w:val="both"/>
        <w:rPr>
          <w:rFonts w:ascii="Times New Roman" w:hAnsi="Times New Roman" w:cs="Times New Roman"/>
          <w:szCs w:val="22"/>
        </w:rPr>
      </w:pPr>
      <w:r w:rsidRPr="000C0E95">
        <w:rPr>
          <w:rFonts w:ascii="Times New Roman" w:hAnsi="Times New Roman" w:cs="Times New Roman"/>
          <w:szCs w:val="22"/>
        </w:rPr>
        <w:t xml:space="preserve">Takisto sa predpokladá, že </w:t>
      </w:r>
      <w:r w:rsidRPr="000C0E95">
        <w:rPr>
          <w:rFonts w:ascii="Times New Roman" w:hAnsi="Times New Roman" w:cs="Times New Roman"/>
          <w:b/>
          <w:szCs w:val="22"/>
        </w:rPr>
        <w:t>aj samospráva bude zvyšovať dlh</w:t>
      </w:r>
      <w:r w:rsidRPr="000C0E95">
        <w:rPr>
          <w:rFonts w:ascii="Times New Roman" w:hAnsi="Times New Roman" w:cs="Times New Roman"/>
          <w:szCs w:val="22"/>
        </w:rPr>
        <w:t>, pretože sa očakáva, že výška prijatých úverov obcí a VÚC presiahne splátky istín.</w:t>
      </w:r>
    </w:p>
    <w:p w:rsidR="00FE4FF6" w:rsidRPr="000C0E95" w:rsidP="00FE4FF6">
      <w:pPr>
        <w:bidi w:val="0"/>
        <w:jc w:val="both"/>
        <w:rPr>
          <w:rFonts w:ascii="Times New Roman" w:hAnsi="Times New Roman" w:cs="Times New Roman"/>
          <w:szCs w:val="22"/>
        </w:rPr>
      </w:pPr>
    </w:p>
    <w:p w:rsidR="00FE4FF6" w:rsidP="00FE4FF6">
      <w:pPr>
        <w:bidi w:val="0"/>
        <w:ind w:firstLine="708"/>
        <w:jc w:val="both"/>
        <w:rPr>
          <w:rFonts w:ascii="Times New Roman" w:hAnsi="Times New Roman" w:cs="Times New Roman"/>
          <w:szCs w:val="22"/>
        </w:rPr>
      </w:pPr>
      <w:r w:rsidR="00327C10">
        <w:rPr>
          <w:rFonts w:ascii="Times New Roman" w:hAnsi="Times New Roman" w:cs="Times New Roman"/>
          <w:szCs w:val="22"/>
        </w:rPr>
        <w:t>N</w:t>
      </w:r>
      <w:r w:rsidRPr="000C0E95">
        <w:rPr>
          <w:rFonts w:ascii="Times New Roman" w:hAnsi="Times New Roman" w:cs="Times New Roman"/>
          <w:szCs w:val="22"/>
        </w:rPr>
        <w:t xml:space="preserve">egatívnym faktorom, ktorý prispeje k zvýšeniu dlhu je </w:t>
      </w:r>
      <w:r w:rsidRPr="000C0E95">
        <w:rPr>
          <w:rFonts w:ascii="Times New Roman" w:hAnsi="Times New Roman" w:cs="Times New Roman"/>
          <w:b/>
          <w:bCs/>
          <w:szCs w:val="22"/>
        </w:rPr>
        <w:t>diskont pri emisii štátnych dlhopisov</w:t>
      </w:r>
      <w:r w:rsidRPr="000C0E95">
        <w:rPr>
          <w:rFonts w:ascii="Times New Roman" w:hAnsi="Times New Roman" w:cs="Times New Roman"/>
          <w:szCs w:val="22"/>
        </w:rPr>
        <w:t xml:space="preserve"> a štátnych pokladničných poukážok. Keďže v okamihu emisie dlhopisov narastú záväzky štátu o nominálnu hodnotu dlhopisov, avšak štát získava v hotovosti nižšiu sumu (zníženú práve o diskont), potom emisný diskont je faktorom, ktorý prispieva k nárastu dlhu. V čase splatnosti dlhopisov je výška </w:t>
      </w:r>
      <w:r w:rsidRPr="000C0E95">
        <w:rPr>
          <w:rFonts w:ascii="Times New Roman" w:hAnsi="Times New Roman" w:cs="Times New Roman"/>
          <w:bCs/>
          <w:szCs w:val="22"/>
        </w:rPr>
        <w:t>plateného diskontu</w:t>
      </w:r>
      <w:r w:rsidRPr="000C0E95">
        <w:rPr>
          <w:rFonts w:ascii="Times New Roman" w:hAnsi="Times New Roman" w:cs="Times New Roman"/>
          <w:szCs w:val="22"/>
        </w:rPr>
        <w:t xml:space="preserve"> súčasťou hotovostných výdavkov štátneho rozpočtu, avšak táto suma neprispieva k nárastu dlhu. Spôsob výpočtu predpokladá, že </w:t>
      </w:r>
      <w:r w:rsidRPr="000C0E95">
        <w:rPr>
          <w:rFonts w:ascii="Times New Roman" w:hAnsi="Times New Roman" w:cs="Times New Roman"/>
          <w:b/>
          <w:szCs w:val="22"/>
        </w:rPr>
        <w:t>ak hotovostný deficit štátneho rozpočtu v plnej výške zvyšuje štátny dlh, potom diskont pri splatení štátnych dlhopisov má pozitívny vplyv na dlh.</w:t>
      </w:r>
      <w:r w:rsidRPr="000C0E95">
        <w:rPr>
          <w:rFonts w:ascii="Times New Roman" w:hAnsi="Times New Roman" w:cs="Times New Roman"/>
          <w:szCs w:val="22"/>
        </w:rPr>
        <w:t xml:space="preserve"> Dôvodom je skutočnosť, že k nárastu dlhu dochádza už pri emisii dlhopisov, a to v nominálnej hodnote dlhopisu a nie pri ich splatení.</w:t>
      </w:r>
    </w:p>
    <w:p w:rsidR="00FE4FF6" w:rsidP="00FE4FF6">
      <w:pPr>
        <w:bidi w:val="0"/>
        <w:ind w:firstLine="708"/>
        <w:jc w:val="both"/>
        <w:rPr>
          <w:rFonts w:ascii="Times New Roman" w:hAnsi="Times New Roman" w:cs="Times New Roman"/>
          <w:szCs w:val="22"/>
        </w:rPr>
      </w:pPr>
    </w:p>
    <w:p w:rsidR="00FE4FF6" w:rsidRPr="00710175" w:rsidP="00FE4FF6">
      <w:pPr>
        <w:bidi w:val="0"/>
        <w:ind w:firstLine="708"/>
        <w:jc w:val="both"/>
        <w:rPr>
          <w:rFonts w:ascii="Times New Roman" w:hAnsi="Times New Roman"/>
        </w:rPr>
      </w:pPr>
      <w:r w:rsidRPr="00710175">
        <w:rPr>
          <w:rFonts w:ascii="Times New Roman" w:hAnsi="Times New Roman"/>
        </w:rPr>
        <w:t>Na medziročnú zmenu hrubého dlhu VS negatívne vplýva aj započítanie podielu SR na ručení voči Írsku a Portugalsku prostredníctvom mechanizmu EFSF v zmysle rozhodnutia Eurostatu 13/2011 z 27. januára 2011, ktorým sa uložila členským krajinám eurozóny povinnosť viesť vo svojom hrubom dlhu aj záväzky vyplývajúce z mechanizmu EFSF vo výške podielu stanoveného pre členskú krajinu.</w:t>
      </w:r>
    </w:p>
    <w:p w:rsidR="00FE4FF6" w:rsidP="00FE4FF6">
      <w:pPr>
        <w:bidi w:val="0"/>
        <w:jc w:val="both"/>
        <w:rPr>
          <w:rFonts w:ascii="Times New Roman" w:hAnsi="Times New Roman"/>
        </w:rPr>
      </w:pPr>
    </w:p>
    <w:tbl>
      <w:tblPr>
        <w:tblStyle w:val="TableNormal"/>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920"/>
        <w:gridCol w:w="1038"/>
        <w:gridCol w:w="1038"/>
        <w:gridCol w:w="1038"/>
        <w:gridCol w:w="1038"/>
      </w:tblGrid>
      <w:tr>
        <w:tblPrEx>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60"/>
          <w:jc w:val="center"/>
        </w:trPr>
        <w:tc>
          <w:tcPr>
            <w:tcW w:w="4920"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center"/>
            <w:hideMark/>
          </w:tcPr>
          <w:p w:rsidR="00FE4FF6" w:rsidP="001A4CB9">
            <w:pPr>
              <w:bidi w:val="0"/>
              <w:jc w:val="both"/>
              <w:rPr>
                <w:rFonts w:ascii="Times New Roman" w:hAnsi="Times New Roman"/>
                <w:b/>
                <w:bCs/>
                <w:sz w:val="14"/>
                <w:szCs w:val="14"/>
              </w:rPr>
            </w:pPr>
            <w:r>
              <w:rPr>
                <w:rFonts w:ascii="Times New Roman" w:hAnsi="Times New Roman"/>
                <w:b/>
                <w:bCs/>
                <w:sz w:val="14"/>
                <w:szCs w:val="14"/>
              </w:rPr>
              <w:t>Vplyvy na zmenu hrubého dlhu verejnej správy, v mil. eur</w:t>
            </w:r>
          </w:p>
        </w:tc>
        <w:tc>
          <w:tcPr>
            <w:tcW w:w="1038"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center"/>
            <w:hideMark/>
          </w:tcPr>
          <w:p w:rsidR="00FE4FF6" w:rsidP="001A4CB9">
            <w:pPr>
              <w:bidi w:val="0"/>
              <w:jc w:val="center"/>
              <w:rPr>
                <w:rFonts w:ascii="Times New Roman" w:hAnsi="Times New Roman"/>
                <w:b/>
                <w:bCs/>
                <w:sz w:val="14"/>
                <w:szCs w:val="14"/>
              </w:rPr>
            </w:pPr>
            <w:r>
              <w:rPr>
                <w:rFonts w:ascii="Times New Roman" w:hAnsi="Times New Roman"/>
                <w:b/>
                <w:bCs/>
                <w:sz w:val="14"/>
                <w:szCs w:val="14"/>
              </w:rPr>
              <w:t>2011 OS</w:t>
            </w:r>
          </w:p>
        </w:tc>
        <w:tc>
          <w:tcPr>
            <w:tcW w:w="1038"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center"/>
            <w:hideMark/>
          </w:tcPr>
          <w:p w:rsidR="00FE4FF6" w:rsidP="001A4CB9">
            <w:pPr>
              <w:bidi w:val="0"/>
              <w:jc w:val="center"/>
              <w:rPr>
                <w:rFonts w:ascii="Times New Roman" w:hAnsi="Times New Roman"/>
                <w:b/>
                <w:bCs/>
                <w:sz w:val="14"/>
                <w:szCs w:val="14"/>
              </w:rPr>
            </w:pPr>
            <w:r>
              <w:rPr>
                <w:rFonts w:ascii="Times New Roman" w:hAnsi="Times New Roman"/>
                <w:b/>
                <w:bCs/>
                <w:sz w:val="14"/>
                <w:szCs w:val="14"/>
              </w:rPr>
              <w:t>2012 N</w:t>
            </w:r>
          </w:p>
        </w:tc>
        <w:tc>
          <w:tcPr>
            <w:tcW w:w="1038"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center"/>
            <w:hideMark/>
          </w:tcPr>
          <w:p w:rsidR="00FE4FF6" w:rsidP="001A4CB9">
            <w:pPr>
              <w:bidi w:val="0"/>
              <w:jc w:val="center"/>
              <w:rPr>
                <w:rFonts w:ascii="Times New Roman" w:hAnsi="Times New Roman"/>
                <w:b/>
                <w:bCs/>
                <w:sz w:val="14"/>
                <w:szCs w:val="14"/>
              </w:rPr>
            </w:pPr>
            <w:r>
              <w:rPr>
                <w:rFonts w:ascii="Times New Roman" w:hAnsi="Times New Roman"/>
                <w:b/>
                <w:bCs/>
                <w:sz w:val="14"/>
                <w:szCs w:val="14"/>
              </w:rPr>
              <w:t>2013 N</w:t>
            </w:r>
          </w:p>
        </w:tc>
        <w:tc>
          <w:tcPr>
            <w:tcW w:w="1038"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center"/>
            <w:hideMark/>
          </w:tcPr>
          <w:p w:rsidR="00FE4FF6" w:rsidP="001A4CB9">
            <w:pPr>
              <w:bidi w:val="0"/>
              <w:jc w:val="center"/>
              <w:rPr>
                <w:rFonts w:ascii="Times New Roman" w:hAnsi="Times New Roman"/>
                <w:b/>
                <w:bCs/>
                <w:sz w:val="14"/>
                <w:szCs w:val="14"/>
              </w:rPr>
            </w:pPr>
            <w:r>
              <w:rPr>
                <w:rFonts w:ascii="Times New Roman" w:hAnsi="Times New Roman"/>
                <w:b/>
                <w:bCs/>
                <w:sz w:val="14"/>
                <w:szCs w:val="14"/>
              </w:rPr>
              <w:t>2014 N</w:t>
            </w:r>
          </w:p>
        </w:tc>
      </w:tr>
      <w:tr>
        <w:tblPrEx>
          <w:tblW w:w="9072" w:type="dxa"/>
          <w:jc w:val="center"/>
          <w:tblCellMar>
            <w:left w:w="0" w:type="dxa"/>
            <w:right w:w="0" w:type="dxa"/>
          </w:tblCellMar>
          <w:tblLook w:val="04A0"/>
        </w:tblPrEx>
        <w:trPr>
          <w:trHeight w:val="360"/>
          <w:jc w:val="center"/>
        </w:trPr>
        <w:tc>
          <w:tcPr>
            <w:tcW w:w="49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FE4FF6" w:rsidP="001A4CB9">
            <w:pPr>
              <w:bidi w:val="0"/>
              <w:rPr>
                <w:rFonts w:ascii="Times New Roman" w:hAnsi="Times New Roman"/>
                <w:sz w:val="14"/>
                <w:szCs w:val="14"/>
              </w:rPr>
            </w:pPr>
            <w:r>
              <w:rPr>
                <w:rFonts w:ascii="Times New Roman" w:hAnsi="Times New Roman"/>
                <w:sz w:val="14"/>
                <w:szCs w:val="14"/>
              </w:rPr>
              <w:t>Deficit ŠR na hotovostnom princípe</w:t>
            </w:r>
          </w:p>
        </w:tc>
        <w:tc>
          <w:tcPr>
            <w:tcW w:w="10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FE4FF6" w:rsidP="001A4CB9">
            <w:pPr>
              <w:bidi w:val="0"/>
              <w:jc w:val="right"/>
              <w:rPr>
                <w:rFonts w:ascii="Times New Roman" w:hAnsi="Times New Roman"/>
                <w:b/>
                <w:bCs/>
                <w:sz w:val="14"/>
                <w:szCs w:val="14"/>
              </w:rPr>
            </w:pPr>
            <w:r>
              <w:rPr>
                <w:rFonts w:ascii="Times New Roman" w:hAnsi="Times New Roman"/>
                <w:b/>
                <w:bCs/>
                <w:sz w:val="14"/>
                <w:szCs w:val="14"/>
              </w:rPr>
              <w:t>3 618</w:t>
            </w:r>
          </w:p>
        </w:tc>
        <w:tc>
          <w:tcPr>
            <w:tcW w:w="10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FE4FF6" w:rsidP="001A4CB9">
            <w:pPr>
              <w:bidi w:val="0"/>
              <w:jc w:val="right"/>
              <w:rPr>
                <w:rFonts w:ascii="Times New Roman" w:hAnsi="Times New Roman"/>
                <w:b/>
                <w:bCs/>
                <w:sz w:val="14"/>
                <w:szCs w:val="14"/>
              </w:rPr>
            </w:pPr>
            <w:r>
              <w:rPr>
                <w:rFonts w:ascii="Times New Roman" w:hAnsi="Times New Roman"/>
                <w:b/>
                <w:bCs/>
                <w:sz w:val="14"/>
                <w:szCs w:val="14"/>
              </w:rPr>
              <w:t>3 321</w:t>
            </w:r>
          </w:p>
        </w:tc>
        <w:tc>
          <w:tcPr>
            <w:tcW w:w="10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FE4FF6" w:rsidP="001A4CB9">
            <w:pPr>
              <w:bidi w:val="0"/>
              <w:jc w:val="right"/>
              <w:rPr>
                <w:rFonts w:ascii="Times New Roman" w:hAnsi="Times New Roman"/>
                <w:b/>
                <w:bCs/>
                <w:sz w:val="14"/>
                <w:szCs w:val="14"/>
              </w:rPr>
            </w:pPr>
            <w:r>
              <w:rPr>
                <w:rFonts w:ascii="Times New Roman" w:hAnsi="Times New Roman"/>
                <w:b/>
                <w:bCs/>
                <w:sz w:val="14"/>
                <w:szCs w:val="14"/>
              </w:rPr>
              <w:t>2 327</w:t>
            </w:r>
          </w:p>
        </w:tc>
        <w:tc>
          <w:tcPr>
            <w:tcW w:w="10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FE4FF6" w:rsidP="001A4CB9">
            <w:pPr>
              <w:bidi w:val="0"/>
              <w:jc w:val="right"/>
              <w:rPr>
                <w:rFonts w:ascii="Times New Roman" w:hAnsi="Times New Roman"/>
                <w:b/>
                <w:bCs/>
                <w:sz w:val="14"/>
                <w:szCs w:val="14"/>
              </w:rPr>
            </w:pPr>
            <w:r>
              <w:rPr>
                <w:rFonts w:ascii="Times New Roman" w:hAnsi="Times New Roman"/>
                <w:b/>
                <w:bCs/>
                <w:sz w:val="14"/>
                <w:szCs w:val="14"/>
              </w:rPr>
              <w:t>2 439</w:t>
            </w:r>
          </w:p>
        </w:tc>
      </w:tr>
      <w:tr>
        <w:tblPrEx>
          <w:tblW w:w="9072" w:type="dxa"/>
          <w:jc w:val="center"/>
          <w:tblCellMar>
            <w:left w:w="0" w:type="dxa"/>
            <w:right w:w="0" w:type="dxa"/>
          </w:tblCellMar>
          <w:tblLook w:val="04A0"/>
        </w:tblPrEx>
        <w:trPr>
          <w:trHeight w:val="360"/>
          <w:jc w:val="center"/>
        </w:trPr>
        <w:tc>
          <w:tcPr>
            <w:tcW w:w="49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FE4FF6" w:rsidP="001A4CB9">
            <w:pPr>
              <w:bidi w:val="0"/>
              <w:rPr>
                <w:rFonts w:ascii="Times New Roman" w:hAnsi="Times New Roman"/>
                <w:sz w:val="14"/>
                <w:szCs w:val="14"/>
              </w:rPr>
            </w:pPr>
            <w:r>
              <w:rPr>
                <w:rFonts w:ascii="Times New Roman" w:hAnsi="Times New Roman"/>
                <w:sz w:val="14"/>
                <w:szCs w:val="14"/>
              </w:rPr>
              <w:t xml:space="preserve">Saldo prijatých a splatených úverov (obce a VÚC) </w:t>
            </w:r>
          </w:p>
        </w:tc>
        <w:tc>
          <w:tcPr>
            <w:tcW w:w="10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FE4FF6" w:rsidP="001A4CB9">
            <w:pPr>
              <w:bidi w:val="0"/>
              <w:jc w:val="right"/>
              <w:rPr>
                <w:rFonts w:ascii="Times New Roman" w:hAnsi="Times New Roman"/>
                <w:b/>
                <w:bCs/>
                <w:sz w:val="14"/>
                <w:szCs w:val="14"/>
              </w:rPr>
            </w:pPr>
            <w:r>
              <w:rPr>
                <w:rFonts w:ascii="Times New Roman" w:hAnsi="Times New Roman"/>
                <w:b/>
                <w:bCs/>
                <w:sz w:val="14"/>
                <w:szCs w:val="14"/>
              </w:rPr>
              <w:t>103</w:t>
            </w:r>
          </w:p>
        </w:tc>
        <w:tc>
          <w:tcPr>
            <w:tcW w:w="10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FE4FF6" w:rsidP="001A4CB9">
            <w:pPr>
              <w:bidi w:val="0"/>
              <w:jc w:val="right"/>
              <w:rPr>
                <w:rFonts w:ascii="Times New Roman" w:hAnsi="Times New Roman"/>
                <w:b/>
                <w:bCs/>
                <w:sz w:val="14"/>
                <w:szCs w:val="14"/>
              </w:rPr>
            </w:pPr>
            <w:r>
              <w:rPr>
                <w:rFonts w:ascii="Times New Roman" w:hAnsi="Times New Roman"/>
                <w:b/>
                <w:bCs/>
                <w:sz w:val="14"/>
                <w:szCs w:val="14"/>
              </w:rPr>
              <w:t>95</w:t>
            </w:r>
          </w:p>
        </w:tc>
        <w:tc>
          <w:tcPr>
            <w:tcW w:w="10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FE4FF6" w:rsidP="001A4CB9">
            <w:pPr>
              <w:bidi w:val="0"/>
              <w:jc w:val="right"/>
              <w:rPr>
                <w:rFonts w:ascii="Times New Roman" w:hAnsi="Times New Roman"/>
                <w:b/>
                <w:bCs/>
                <w:sz w:val="14"/>
                <w:szCs w:val="14"/>
              </w:rPr>
            </w:pPr>
            <w:r>
              <w:rPr>
                <w:rFonts w:ascii="Times New Roman" w:hAnsi="Times New Roman"/>
                <w:b/>
                <w:bCs/>
                <w:sz w:val="14"/>
                <w:szCs w:val="14"/>
              </w:rPr>
              <w:t>97</w:t>
            </w:r>
          </w:p>
        </w:tc>
        <w:tc>
          <w:tcPr>
            <w:tcW w:w="10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FE4FF6" w:rsidP="001A4CB9">
            <w:pPr>
              <w:bidi w:val="0"/>
              <w:jc w:val="right"/>
              <w:rPr>
                <w:rFonts w:ascii="Times New Roman" w:hAnsi="Times New Roman"/>
                <w:b/>
                <w:bCs/>
                <w:sz w:val="14"/>
                <w:szCs w:val="14"/>
              </w:rPr>
            </w:pPr>
            <w:r>
              <w:rPr>
                <w:rFonts w:ascii="Times New Roman" w:hAnsi="Times New Roman"/>
                <w:b/>
                <w:bCs/>
                <w:sz w:val="14"/>
                <w:szCs w:val="14"/>
              </w:rPr>
              <w:t>182</w:t>
            </w:r>
          </w:p>
        </w:tc>
      </w:tr>
      <w:tr>
        <w:tblPrEx>
          <w:tblW w:w="9072" w:type="dxa"/>
          <w:jc w:val="center"/>
          <w:tblCellMar>
            <w:left w:w="0" w:type="dxa"/>
            <w:right w:w="0" w:type="dxa"/>
          </w:tblCellMar>
          <w:tblLook w:val="04A0"/>
        </w:tblPrEx>
        <w:trPr>
          <w:trHeight w:val="329"/>
          <w:jc w:val="center"/>
        </w:trPr>
        <w:tc>
          <w:tcPr>
            <w:tcW w:w="49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FE4FF6" w:rsidP="001A4CB9">
            <w:pPr>
              <w:bidi w:val="0"/>
              <w:rPr>
                <w:rFonts w:ascii="Times New Roman" w:hAnsi="Times New Roman"/>
                <w:sz w:val="14"/>
                <w:szCs w:val="14"/>
              </w:rPr>
            </w:pPr>
            <w:r>
              <w:rPr>
                <w:rFonts w:ascii="Times New Roman" w:hAnsi="Times New Roman"/>
                <w:sz w:val="14"/>
                <w:szCs w:val="14"/>
              </w:rPr>
              <w:t>Zmena stavu výpožičiek zo Štátnej pokladnice používaných na krytie dlhu</w:t>
            </w:r>
          </w:p>
        </w:tc>
        <w:tc>
          <w:tcPr>
            <w:tcW w:w="10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FE4FF6" w:rsidP="001A4CB9">
            <w:pPr>
              <w:bidi w:val="0"/>
              <w:jc w:val="right"/>
              <w:rPr>
                <w:rFonts w:ascii="Times New Roman" w:hAnsi="Times New Roman"/>
                <w:b/>
                <w:bCs/>
                <w:sz w:val="14"/>
                <w:szCs w:val="14"/>
              </w:rPr>
            </w:pPr>
            <w:r>
              <w:rPr>
                <w:rFonts w:ascii="Times New Roman" w:hAnsi="Times New Roman"/>
                <w:b/>
                <w:bCs/>
                <w:sz w:val="14"/>
                <w:szCs w:val="14"/>
              </w:rPr>
              <w:t>-200</w:t>
            </w:r>
          </w:p>
        </w:tc>
        <w:tc>
          <w:tcPr>
            <w:tcW w:w="10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FE4FF6" w:rsidP="001A4CB9">
            <w:pPr>
              <w:bidi w:val="0"/>
              <w:jc w:val="right"/>
              <w:rPr>
                <w:rFonts w:ascii="Times New Roman" w:hAnsi="Times New Roman"/>
                <w:b/>
                <w:bCs/>
                <w:sz w:val="14"/>
                <w:szCs w:val="14"/>
              </w:rPr>
            </w:pPr>
            <w:r>
              <w:rPr>
                <w:rFonts w:ascii="Times New Roman" w:hAnsi="Times New Roman"/>
                <w:b/>
                <w:bCs/>
                <w:sz w:val="14"/>
                <w:szCs w:val="14"/>
              </w:rPr>
              <w:t>-707</w:t>
            </w:r>
          </w:p>
        </w:tc>
        <w:tc>
          <w:tcPr>
            <w:tcW w:w="10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FE4FF6" w:rsidP="001A4CB9">
            <w:pPr>
              <w:bidi w:val="0"/>
              <w:jc w:val="right"/>
              <w:rPr>
                <w:rFonts w:ascii="Times New Roman" w:hAnsi="Times New Roman"/>
                <w:b/>
                <w:bCs/>
                <w:sz w:val="14"/>
                <w:szCs w:val="14"/>
              </w:rPr>
            </w:pPr>
            <w:r w:rsidR="002A76EF">
              <w:rPr>
                <w:rFonts w:ascii="Times New Roman" w:hAnsi="Times New Roman"/>
                <w:b/>
                <w:bCs/>
                <w:sz w:val="14"/>
                <w:szCs w:val="14"/>
              </w:rPr>
              <w:t>241</w:t>
            </w:r>
          </w:p>
        </w:tc>
        <w:tc>
          <w:tcPr>
            <w:tcW w:w="10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FE4FF6" w:rsidP="001A4CB9">
            <w:pPr>
              <w:bidi w:val="0"/>
              <w:jc w:val="right"/>
              <w:rPr>
                <w:rFonts w:ascii="Times New Roman" w:hAnsi="Times New Roman"/>
                <w:b/>
                <w:bCs/>
                <w:sz w:val="14"/>
                <w:szCs w:val="14"/>
              </w:rPr>
            </w:pPr>
            <w:r>
              <w:rPr>
                <w:rFonts w:ascii="Times New Roman" w:hAnsi="Times New Roman"/>
                <w:b/>
                <w:bCs/>
                <w:sz w:val="14"/>
                <w:szCs w:val="14"/>
              </w:rPr>
              <w:t>94</w:t>
            </w:r>
          </w:p>
        </w:tc>
      </w:tr>
      <w:tr>
        <w:tblPrEx>
          <w:tblW w:w="9072" w:type="dxa"/>
          <w:jc w:val="center"/>
          <w:tblCellMar>
            <w:left w:w="0" w:type="dxa"/>
            <w:right w:w="0" w:type="dxa"/>
          </w:tblCellMar>
          <w:tblLook w:val="04A0"/>
        </w:tblPrEx>
        <w:trPr>
          <w:trHeight w:val="354"/>
          <w:jc w:val="center"/>
        </w:trPr>
        <w:tc>
          <w:tcPr>
            <w:tcW w:w="49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FE4FF6" w:rsidP="001A4CB9">
            <w:pPr>
              <w:bidi w:val="0"/>
              <w:rPr>
                <w:rFonts w:ascii="Times New Roman" w:hAnsi="Times New Roman"/>
                <w:sz w:val="14"/>
                <w:szCs w:val="14"/>
              </w:rPr>
            </w:pPr>
            <w:r>
              <w:rPr>
                <w:rFonts w:ascii="Times New Roman" w:hAnsi="Times New Roman"/>
                <w:sz w:val="14"/>
                <w:szCs w:val="14"/>
              </w:rPr>
              <w:t>Emisný diskont</w:t>
            </w:r>
          </w:p>
        </w:tc>
        <w:tc>
          <w:tcPr>
            <w:tcW w:w="10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FE4FF6" w:rsidP="001A4CB9">
            <w:pPr>
              <w:bidi w:val="0"/>
              <w:jc w:val="right"/>
              <w:rPr>
                <w:rFonts w:ascii="Times New Roman" w:hAnsi="Times New Roman"/>
                <w:b/>
                <w:bCs/>
                <w:sz w:val="14"/>
                <w:szCs w:val="14"/>
              </w:rPr>
            </w:pPr>
            <w:r>
              <w:rPr>
                <w:rFonts w:ascii="Times New Roman" w:hAnsi="Times New Roman"/>
                <w:b/>
                <w:bCs/>
                <w:sz w:val="14"/>
                <w:szCs w:val="14"/>
              </w:rPr>
              <w:t>135</w:t>
            </w:r>
          </w:p>
        </w:tc>
        <w:tc>
          <w:tcPr>
            <w:tcW w:w="10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FE4FF6" w:rsidP="001A4CB9">
            <w:pPr>
              <w:bidi w:val="0"/>
              <w:jc w:val="right"/>
              <w:rPr>
                <w:rFonts w:ascii="Times New Roman" w:hAnsi="Times New Roman"/>
                <w:b/>
                <w:bCs/>
                <w:sz w:val="14"/>
                <w:szCs w:val="14"/>
              </w:rPr>
            </w:pPr>
            <w:r>
              <w:rPr>
                <w:rFonts w:ascii="Times New Roman" w:hAnsi="Times New Roman"/>
                <w:b/>
                <w:bCs/>
                <w:sz w:val="14"/>
                <w:szCs w:val="14"/>
              </w:rPr>
              <w:t>102</w:t>
            </w:r>
          </w:p>
        </w:tc>
        <w:tc>
          <w:tcPr>
            <w:tcW w:w="10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FE4FF6" w:rsidP="001A4CB9">
            <w:pPr>
              <w:bidi w:val="0"/>
              <w:jc w:val="right"/>
              <w:rPr>
                <w:rFonts w:ascii="Times New Roman" w:hAnsi="Times New Roman"/>
                <w:b/>
                <w:bCs/>
                <w:sz w:val="14"/>
                <w:szCs w:val="14"/>
              </w:rPr>
            </w:pPr>
            <w:r w:rsidR="002A76EF">
              <w:rPr>
                <w:rFonts w:ascii="Times New Roman" w:hAnsi="Times New Roman"/>
                <w:b/>
                <w:bCs/>
                <w:sz w:val="14"/>
                <w:szCs w:val="14"/>
              </w:rPr>
              <w:t>109</w:t>
            </w:r>
          </w:p>
        </w:tc>
        <w:tc>
          <w:tcPr>
            <w:tcW w:w="10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FE4FF6" w:rsidP="001A4CB9">
            <w:pPr>
              <w:bidi w:val="0"/>
              <w:jc w:val="right"/>
              <w:rPr>
                <w:rFonts w:ascii="Times New Roman" w:hAnsi="Times New Roman"/>
                <w:b/>
                <w:bCs/>
                <w:sz w:val="14"/>
                <w:szCs w:val="14"/>
              </w:rPr>
            </w:pPr>
            <w:r>
              <w:rPr>
                <w:rFonts w:ascii="Times New Roman" w:hAnsi="Times New Roman"/>
                <w:b/>
                <w:bCs/>
                <w:sz w:val="14"/>
                <w:szCs w:val="14"/>
              </w:rPr>
              <w:t>124</w:t>
            </w:r>
          </w:p>
        </w:tc>
      </w:tr>
      <w:tr>
        <w:tblPrEx>
          <w:tblW w:w="9072" w:type="dxa"/>
          <w:jc w:val="center"/>
          <w:tblCellMar>
            <w:left w:w="0" w:type="dxa"/>
            <w:right w:w="0" w:type="dxa"/>
          </w:tblCellMar>
          <w:tblLook w:val="04A0"/>
        </w:tblPrEx>
        <w:trPr>
          <w:trHeight w:val="336"/>
          <w:jc w:val="center"/>
        </w:trPr>
        <w:tc>
          <w:tcPr>
            <w:tcW w:w="49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FE4FF6" w:rsidP="001A4CB9">
            <w:pPr>
              <w:bidi w:val="0"/>
              <w:rPr>
                <w:rFonts w:ascii="Times New Roman" w:hAnsi="Times New Roman"/>
                <w:sz w:val="14"/>
                <w:szCs w:val="14"/>
              </w:rPr>
            </w:pPr>
            <w:r>
              <w:rPr>
                <w:rFonts w:ascii="Times New Roman" w:hAnsi="Times New Roman"/>
                <w:sz w:val="14"/>
                <w:szCs w:val="14"/>
              </w:rPr>
              <w:t>Splatenie dlhopisov (diskont)</w:t>
            </w:r>
          </w:p>
        </w:tc>
        <w:tc>
          <w:tcPr>
            <w:tcW w:w="10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FE4FF6" w:rsidP="001A4CB9">
            <w:pPr>
              <w:bidi w:val="0"/>
              <w:jc w:val="right"/>
              <w:rPr>
                <w:rFonts w:ascii="Times New Roman" w:hAnsi="Times New Roman"/>
                <w:b/>
                <w:bCs/>
                <w:sz w:val="14"/>
                <w:szCs w:val="14"/>
              </w:rPr>
            </w:pPr>
            <w:r>
              <w:rPr>
                <w:rFonts w:ascii="Times New Roman" w:hAnsi="Times New Roman"/>
                <w:b/>
                <w:bCs/>
                <w:sz w:val="14"/>
                <w:szCs w:val="14"/>
              </w:rPr>
              <w:t>-104</w:t>
            </w:r>
          </w:p>
        </w:tc>
        <w:tc>
          <w:tcPr>
            <w:tcW w:w="10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FE4FF6" w:rsidP="001A4CB9">
            <w:pPr>
              <w:bidi w:val="0"/>
              <w:jc w:val="right"/>
              <w:rPr>
                <w:rFonts w:ascii="Times New Roman" w:hAnsi="Times New Roman"/>
                <w:b/>
                <w:bCs/>
                <w:sz w:val="14"/>
                <w:szCs w:val="14"/>
              </w:rPr>
            </w:pPr>
            <w:r>
              <w:rPr>
                <w:rFonts w:ascii="Times New Roman" w:hAnsi="Times New Roman"/>
                <w:b/>
                <w:bCs/>
                <w:sz w:val="14"/>
                <w:szCs w:val="14"/>
              </w:rPr>
              <w:t>-309</w:t>
            </w:r>
          </w:p>
        </w:tc>
        <w:tc>
          <w:tcPr>
            <w:tcW w:w="10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FE4FF6" w:rsidP="001A4CB9">
            <w:pPr>
              <w:bidi w:val="0"/>
              <w:jc w:val="right"/>
              <w:rPr>
                <w:rFonts w:ascii="Times New Roman" w:hAnsi="Times New Roman"/>
                <w:b/>
                <w:bCs/>
                <w:sz w:val="14"/>
                <w:szCs w:val="14"/>
              </w:rPr>
            </w:pPr>
            <w:r>
              <w:rPr>
                <w:rFonts w:ascii="Times New Roman" w:hAnsi="Times New Roman"/>
                <w:b/>
                <w:bCs/>
                <w:sz w:val="14"/>
                <w:szCs w:val="14"/>
              </w:rPr>
              <w:t>-67</w:t>
            </w:r>
          </w:p>
        </w:tc>
        <w:tc>
          <w:tcPr>
            <w:tcW w:w="10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FE4FF6" w:rsidP="001A4CB9">
            <w:pPr>
              <w:bidi w:val="0"/>
              <w:jc w:val="right"/>
              <w:rPr>
                <w:rFonts w:ascii="Times New Roman" w:hAnsi="Times New Roman"/>
                <w:b/>
                <w:bCs/>
                <w:sz w:val="14"/>
                <w:szCs w:val="14"/>
              </w:rPr>
            </w:pPr>
            <w:r>
              <w:rPr>
                <w:rFonts w:ascii="Times New Roman" w:hAnsi="Times New Roman"/>
                <w:b/>
                <w:bCs/>
                <w:sz w:val="14"/>
                <w:szCs w:val="14"/>
              </w:rPr>
              <w:t>-78</w:t>
            </w:r>
          </w:p>
        </w:tc>
      </w:tr>
      <w:tr>
        <w:tblPrEx>
          <w:tblW w:w="9072" w:type="dxa"/>
          <w:jc w:val="center"/>
          <w:tblCellMar>
            <w:left w:w="0" w:type="dxa"/>
            <w:right w:w="0" w:type="dxa"/>
          </w:tblCellMar>
          <w:tblLook w:val="04A0"/>
        </w:tblPrEx>
        <w:trPr>
          <w:trHeight w:val="336"/>
          <w:jc w:val="center"/>
        </w:trPr>
        <w:tc>
          <w:tcPr>
            <w:tcW w:w="49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FE4FF6" w:rsidP="001A4CB9">
            <w:pPr>
              <w:bidi w:val="0"/>
              <w:rPr>
                <w:rFonts w:ascii="Times New Roman" w:hAnsi="Times New Roman"/>
                <w:sz w:val="14"/>
                <w:szCs w:val="14"/>
              </w:rPr>
            </w:pPr>
            <w:r>
              <w:rPr>
                <w:rFonts w:ascii="Times New Roman" w:hAnsi="Times New Roman"/>
                <w:sz w:val="14"/>
                <w:szCs w:val="14"/>
              </w:rPr>
              <w:t>Započítanie podielu ručenia SR na EFSF voči Írsku a Portugalsku</w:t>
            </w:r>
          </w:p>
        </w:tc>
        <w:tc>
          <w:tcPr>
            <w:tcW w:w="10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FE4FF6" w:rsidP="001A4CB9">
            <w:pPr>
              <w:bidi w:val="0"/>
              <w:jc w:val="right"/>
              <w:rPr>
                <w:rFonts w:ascii="Times New Roman" w:hAnsi="Times New Roman"/>
                <w:b/>
                <w:bCs/>
                <w:sz w:val="14"/>
                <w:szCs w:val="14"/>
              </w:rPr>
            </w:pPr>
            <w:r>
              <w:rPr>
                <w:rFonts w:ascii="Times New Roman" w:hAnsi="Times New Roman"/>
                <w:b/>
                <w:bCs/>
                <w:sz w:val="14"/>
                <w:szCs w:val="14"/>
              </w:rPr>
              <w:t>296</w:t>
            </w:r>
          </w:p>
        </w:tc>
        <w:tc>
          <w:tcPr>
            <w:tcW w:w="10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FE4FF6" w:rsidP="001A4CB9">
            <w:pPr>
              <w:bidi w:val="0"/>
              <w:jc w:val="right"/>
              <w:rPr>
                <w:rFonts w:ascii="Times New Roman" w:hAnsi="Times New Roman"/>
                <w:b/>
                <w:bCs/>
                <w:sz w:val="14"/>
                <w:szCs w:val="14"/>
              </w:rPr>
            </w:pPr>
            <w:r>
              <w:rPr>
                <w:rFonts w:ascii="Times New Roman" w:hAnsi="Times New Roman"/>
                <w:b/>
                <w:bCs/>
                <w:sz w:val="14"/>
                <w:szCs w:val="14"/>
              </w:rPr>
              <w:t>329</w:t>
            </w:r>
          </w:p>
        </w:tc>
        <w:tc>
          <w:tcPr>
            <w:tcW w:w="10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FE4FF6" w:rsidP="001A4CB9">
            <w:pPr>
              <w:bidi w:val="0"/>
              <w:jc w:val="right"/>
              <w:rPr>
                <w:rFonts w:ascii="Times New Roman" w:hAnsi="Times New Roman"/>
                <w:b/>
                <w:bCs/>
                <w:sz w:val="14"/>
                <w:szCs w:val="14"/>
              </w:rPr>
            </w:pPr>
            <w:r>
              <w:rPr>
                <w:rFonts w:ascii="Times New Roman" w:hAnsi="Times New Roman"/>
                <w:b/>
                <w:bCs/>
                <w:sz w:val="14"/>
                <w:szCs w:val="14"/>
              </w:rPr>
              <w:t>0</w:t>
            </w:r>
          </w:p>
        </w:tc>
        <w:tc>
          <w:tcPr>
            <w:tcW w:w="10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FE4FF6" w:rsidP="001A4CB9">
            <w:pPr>
              <w:bidi w:val="0"/>
              <w:jc w:val="right"/>
              <w:rPr>
                <w:rFonts w:ascii="Times New Roman" w:hAnsi="Times New Roman"/>
                <w:b/>
                <w:bCs/>
                <w:sz w:val="14"/>
                <w:szCs w:val="14"/>
              </w:rPr>
            </w:pPr>
            <w:r>
              <w:rPr>
                <w:rFonts w:ascii="Times New Roman" w:hAnsi="Times New Roman"/>
                <w:b/>
                <w:bCs/>
                <w:sz w:val="14"/>
                <w:szCs w:val="14"/>
              </w:rPr>
              <w:t>0</w:t>
            </w:r>
          </w:p>
        </w:tc>
      </w:tr>
      <w:tr>
        <w:tblPrEx>
          <w:tblW w:w="9072" w:type="dxa"/>
          <w:jc w:val="center"/>
          <w:tblCellMar>
            <w:left w:w="0" w:type="dxa"/>
            <w:right w:w="0" w:type="dxa"/>
          </w:tblCellMar>
          <w:tblLook w:val="04A0"/>
        </w:tblPrEx>
        <w:trPr>
          <w:trHeight w:val="360"/>
          <w:jc w:val="center"/>
        </w:trPr>
        <w:tc>
          <w:tcPr>
            <w:tcW w:w="49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FE4FF6" w:rsidP="001A4CB9">
            <w:pPr>
              <w:bidi w:val="0"/>
              <w:jc w:val="both"/>
              <w:rPr>
                <w:rFonts w:ascii="Times New Roman" w:hAnsi="Times New Roman"/>
                <w:b/>
                <w:bCs/>
                <w:sz w:val="14"/>
                <w:szCs w:val="14"/>
              </w:rPr>
            </w:pPr>
            <w:r>
              <w:rPr>
                <w:rFonts w:ascii="Times New Roman" w:hAnsi="Times New Roman"/>
                <w:b/>
                <w:bCs/>
                <w:sz w:val="14"/>
                <w:szCs w:val="14"/>
              </w:rPr>
              <w:t>Spolu (medziročná zmena hrubého dlhu VS)</w:t>
            </w:r>
          </w:p>
        </w:tc>
        <w:tc>
          <w:tcPr>
            <w:tcW w:w="10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FE4FF6" w:rsidP="001A4CB9">
            <w:pPr>
              <w:bidi w:val="0"/>
              <w:jc w:val="right"/>
              <w:rPr>
                <w:rFonts w:ascii="Times New Roman" w:hAnsi="Times New Roman"/>
                <w:b/>
                <w:bCs/>
                <w:sz w:val="14"/>
                <w:szCs w:val="14"/>
              </w:rPr>
            </w:pPr>
            <w:r>
              <w:rPr>
                <w:rFonts w:ascii="Times New Roman" w:hAnsi="Times New Roman"/>
                <w:b/>
                <w:bCs/>
                <w:sz w:val="14"/>
                <w:szCs w:val="14"/>
              </w:rPr>
              <w:t>3 848</w:t>
            </w:r>
          </w:p>
        </w:tc>
        <w:tc>
          <w:tcPr>
            <w:tcW w:w="10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FE4FF6" w:rsidP="001A4CB9">
            <w:pPr>
              <w:bidi w:val="0"/>
              <w:jc w:val="right"/>
              <w:rPr>
                <w:rFonts w:ascii="Times New Roman" w:hAnsi="Times New Roman"/>
                <w:b/>
                <w:bCs/>
                <w:sz w:val="14"/>
                <w:szCs w:val="14"/>
              </w:rPr>
            </w:pPr>
            <w:r>
              <w:rPr>
                <w:rFonts w:ascii="Times New Roman" w:hAnsi="Times New Roman"/>
                <w:b/>
                <w:bCs/>
                <w:sz w:val="14"/>
                <w:szCs w:val="14"/>
              </w:rPr>
              <w:t>2 831</w:t>
            </w:r>
          </w:p>
        </w:tc>
        <w:tc>
          <w:tcPr>
            <w:tcW w:w="10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FE4FF6" w:rsidP="001A4CB9">
            <w:pPr>
              <w:bidi w:val="0"/>
              <w:jc w:val="right"/>
              <w:rPr>
                <w:rFonts w:ascii="Times New Roman" w:hAnsi="Times New Roman"/>
                <w:b/>
                <w:bCs/>
                <w:sz w:val="14"/>
                <w:szCs w:val="14"/>
              </w:rPr>
            </w:pPr>
            <w:r>
              <w:rPr>
                <w:rFonts w:ascii="Times New Roman" w:hAnsi="Times New Roman"/>
                <w:b/>
                <w:bCs/>
                <w:sz w:val="14"/>
                <w:szCs w:val="14"/>
              </w:rPr>
              <w:t>2 707</w:t>
            </w:r>
          </w:p>
        </w:tc>
        <w:tc>
          <w:tcPr>
            <w:tcW w:w="10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FE4FF6" w:rsidP="001A4CB9">
            <w:pPr>
              <w:bidi w:val="0"/>
              <w:jc w:val="right"/>
              <w:rPr>
                <w:rFonts w:ascii="Times New Roman" w:hAnsi="Times New Roman"/>
                <w:b/>
                <w:bCs/>
                <w:sz w:val="14"/>
                <w:szCs w:val="14"/>
              </w:rPr>
            </w:pPr>
            <w:r>
              <w:rPr>
                <w:rFonts w:ascii="Times New Roman" w:hAnsi="Times New Roman"/>
                <w:b/>
                <w:bCs/>
                <w:sz w:val="14"/>
                <w:szCs w:val="14"/>
              </w:rPr>
              <w:t>2 761</w:t>
            </w:r>
          </w:p>
        </w:tc>
      </w:tr>
    </w:tbl>
    <w:p w:rsidR="00FE4FF6" w:rsidP="00FE4FF6">
      <w:pPr>
        <w:bidi w:val="0"/>
        <w:rPr>
          <w:rFonts w:ascii="Times New Roman" w:hAnsi="Times New Roman"/>
          <w:sz w:val="20"/>
          <w:szCs w:val="20"/>
        </w:rPr>
      </w:pPr>
      <w:r>
        <w:rPr>
          <w:rFonts w:ascii="Times New Roman" w:hAnsi="Times New Roman"/>
          <w:i/>
          <w:iCs/>
          <w:sz w:val="14"/>
          <w:szCs w:val="14"/>
        </w:rPr>
        <w:t>Pozn.: Plusové položky zvyšujú dlh verejnej správy  k 31.12. príslušného roku, mínusové položky dlh znižujú.</w:t>
      </w:r>
    </w:p>
    <w:p w:rsidR="00FE4FF6" w:rsidRPr="00E67586" w:rsidP="00FE4FF6">
      <w:pPr>
        <w:bidi w:val="0"/>
        <w:rPr>
          <w:rFonts w:ascii="Times New Roman" w:hAnsi="Times New Roman" w:cs="Times New Roman"/>
          <w:szCs w:val="22"/>
        </w:rPr>
      </w:pPr>
    </w:p>
    <w:p w:rsidR="00FE4FF6" w:rsidRPr="000C0E95" w:rsidP="00FE4FF6">
      <w:pPr>
        <w:bidi w:val="0"/>
        <w:ind w:firstLine="708"/>
        <w:jc w:val="both"/>
        <w:rPr>
          <w:rFonts w:ascii="Times New Roman" w:hAnsi="Times New Roman" w:cs="Times New Roman"/>
          <w:szCs w:val="22"/>
        </w:rPr>
      </w:pPr>
    </w:p>
    <w:p w:rsidR="00992BC9" w:rsidRPr="00896984" w:rsidP="00992BC9">
      <w:pPr>
        <w:pStyle w:val="Heading1"/>
        <w:bidi w:val="0"/>
        <w:spacing w:before="0"/>
        <w:rPr>
          <w:rFonts w:ascii="Times New Roman" w:hAnsi="Times New Roman"/>
          <w:sz w:val="28"/>
          <w:szCs w:val="28"/>
        </w:rPr>
      </w:pPr>
      <w:bookmarkStart w:id="32" w:name="_Toc306089058"/>
      <w:r w:rsidRPr="00896984" w:rsidR="002331AA">
        <w:rPr>
          <w:rFonts w:ascii="Times New Roman" w:hAnsi="Times New Roman"/>
          <w:sz w:val="28"/>
          <w:szCs w:val="28"/>
        </w:rPr>
        <w:t>4</w:t>
      </w:r>
      <w:r w:rsidRPr="00896984">
        <w:rPr>
          <w:rFonts w:ascii="Times New Roman" w:hAnsi="Times New Roman"/>
          <w:sz w:val="28"/>
          <w:szCs w:val="28"/>
        </w:rPr>
        <w:t xml:space="preserve">. </w:t>
      </w:r>
      <w:bookmarkStart w:id="33" w:name="_Toc273148230"/>
      <w:bookmarkStart w:id="34" w:name="_Toc273950830"/>
      <w:r w:rsidRPr="00896984">
        <w:rPr>
          <w:rFonts w:ascii="Times New Roman" w:hAnsi="Times New Roman"/>
          <w:sz w:val="28"/>
          <w:szCs w:val="28"/>
        </w:rPr>
        <w:t xml:space="preserve">Rozpočtovanie príjmov </w:t>
      </w:r>
      <w:bookmarkEnd w:id="33"/>
      <w:bookmarkEnd w:id="34"/>
      <w:r w:rsidRPr="00896984" w:rsidR="002331AA">
        <w:rPr>
          <w:rFonts w:ascii="Times New Roman" w:hAnsi="Times New Roman"/>
          <w:sz w:val="28"/>
          <w:szCs w:val="28"/>
        </w:rPr>
        <w:t>verejnej správy</w:t>
      </w:r>
      <w:bookmarkEnd w:id="32"/>
    </w:p>
    <w:p w:rsidR="000A6169" w:rsidRPr="00896984" w:rsidP="000A6169">
      <w:pPr>
        <w:pStyle w:val="Heading2"/>
        <w:bidi w:val="0"/>
        <w:rPr>
          <w:rFonts w:ascii="Times New Roman" w:hAnsi="Times New Roman"/>
          <w:i w:val="0"/>
          <w:iCs w:val="0"/>
          <w:sz w:val="24"/>
          <w:szCs w:val="24"/>
        </w:rPr>
      </w:pPr>
      <w:bookmarkStart w:id="35" w:name="_Toc306089059"/>
      <w:bookmarkStart w:id="36" w:name="_Toc273950831"/>
      <w:bookmarkEnd w:id="15"/>
      <w:r w:rsidRPr="00896984">
        <w:rPr>
          <w:rFonts w:ascii="Times New Roman" w:hAnsi="Times New Roman"/>
          <w:i w:val="0"/>
          <w:iCs w:val="0"/>
          <w:sz w:val="24"/>
          <w:szCs w:val="24"/>
        </w:rPr>
        <w:t>4.1. Celkové príjmy verejnej správy</w:t>
      </w:r>
      <w:bookmarkEnd w:id="35"/>
      <w:r w:rsidRPr="00896984">
        <w:rPr>
          <w:rFonts w:ascii="Times New Roman" w:hAnsi="Times New Roman"/>
          <w:i w:val="0"/>
          <w:iCs w:val="0"/>
          <w:sz w:val="24"/>
          <w:szCs w:val="24"/>
        </w:rPr>
        <w:t xml:space="preserve"> </w:t>
      </w:r>
    </w:p>
    <w:p w:rsidR="000A6169" w:rsidRPr="00896984" w:rsidP="000A6169">
      <w:pPr>
        <w:bidi w:val="0"/>
        <w:ind w:firstLine="708"/>
        <w:jc w:val="both"/>
        <w:rPr>
          <w:rFonts w:ascii="Times New Roman" w:hAnsi="Times New Roman" w:cs="Times New Roman"/>
        </w:rPr>
      </w:pPr>
    </w:p>
    <w:p w:rsidR="000A6169" w:rsidRPr="00896984" w:rsidP="000A6169">
      <w:pPr>
        <w:bidi w:val="0"/>
        <w:ind w:firstLine="708"/>
        <w:jc w:val="both"/>
        <w:rPr>
          <w:rFonts w:ascii="Times New Roman" w:hAnsi="Times New Roman" w:cs="Times New Roman"/>
        </w:rPr>
      </w:pPr>
      <w:r w:rsidRPr="00896984">
        <w:rPr>
          <w:rFonts w:ascii="Times New Roman" w:hAnsi="Times New Roman" w:cs="Times New Roman"/>
        </w:rPr>
        <w:t>Veľkosť zdrojov, ktorými verejné financie v danej ekonomike disponujú, možno vyjadriť podielom celkových príjmov na HDP. Na Slovensku dosiahol tento podiel úroveň 33,1 % HDP v roku 2010. Pri porovnaní v rámci EÚ je to najnižšia hodnota, pričom je približne 11 p. b. pod priemerom EÚ.</w:t>
      </w:r>
    </w:p>
    <w:p w:rsidR="000A6169" w:rsidRPr="00896984" w:rsidP="000A6169">
      <w:pPr>
        <w:bidi w:val="0"/>
        <w:ind w:firstLine="708"/>
        <w:jc w:val="both"/>
        <w:rPr>
          <w:rFonts w:ascii="Times New Roman" w:hAnsi="Times New Roman" w:cs="Times New Roman"/>
        </w:rPr>
      </w:pPr>
    </w:p>
    <w:p w:rsidR="000A6169" w:rsidRPr="00896984" w:rsidP="000A6169">
      <w:pPr>
        <w:bidi w:val="0"/>
        <w:ind w:firstLine="708"/>
        <w:jc w:val="both"/>
        <w:rPr>
          <w:rFonts w:ascii="Times New Roman" w:hAnsi="Times New Roman" w:cs="Times New Roman"/>
        </w:rPr>
      </w:pPr>
      <w:r w:rsidRPr="00896984">
        <w:rPr>
          <w:rFonts w:ascii="Times New Roman" w:hAnsi="Times New Roman" w:cs="Times New Roman"/>
        </w:rPr>
        <w:t xml:space="preserve">Pri pohľade na štruktúru príjmov výrazne prevažujú daňové a odvodové príjmy. V roku 2010 tvorili približne 85 % celkových príjmov verejnej správy na Slovensku, kým priemer EÚ je na úrovni 90 %. Od priemeru EÚ sa Slovensko líši aj v podiele príjmov z grantov a transferov, čo súvisí najmä s čerpaním prostriedkov z fondov EÚ, ktoré je vyššie </w:t>
      </w:r>
      <w:r w:rsidRPr="00896984" w:rsidR="00457027">
        <w:rPr>
          <w:rFonts w:ascii="Times New Roman" w:hAnsi="Times New Roman" w:cs="Times New Roman"/>
        </w:rPr>
        <w:t>vo</w:t>
      </w:r>
      <w:r w:rsidRPr="00896984">
        <w:rPr>
          <w:rFonts w:ascii="Times New Roman" w:hAnsi="Times New Roman" w:cs="Times New Roman"/>
        </w:rPr>
        <w:t> všetkých nových členských kraj</w:t>
      </w:r>
      <w:r w:rsidRPr="00896984" w:rsidR="00457027">
        <w:rPr>
          <w:rFonts w:ascii="Times New Roman" w:hAnsi="Times New Roman" w:cs="Times New Roman"/>
        </w:rPr>
        <w:t>i</w:t>
      </w:r>
      <w:r w:rsidRPr="00896984">
        <w:rPr>
          <w:rFonts w:ascii="Times New Roman" w:hAnsi="Times New Roman" w:cs="Times New Roman"/>
        </w:rPr>
        <w:t>n</w:t>
      </w:r>
      <w:r w:rsidRPr="00896984" w:rsidR="00457027">
        <w:rPr>
          <w:rFonts w:ascii="Times New Roman" w:hAnsi="Times New Roman" w:cs="Times New Roman"/>
        </w:rPr>
        <w:t>ách</w:t>
      </w:r>
      <w:r w:rsidRPr="00896984">
        <w:rPr>
          <w:rFonts w:ascii="Times New Roman" w:hAnsi="Times New Roman" w:cs="Times New Roman"/>
        </w:rPr>
        <w:t xml:space="preserve">. </w:t>
      </w:r>
    </w:p>
    <w:tbl>
      <w:tblPr>
        <w:tblStyle w:val="TableNormal"/>
        <w:tblW w:w="10774" w:type="dxa"/>
        <w:tblInd w:w="-743" w:type="dxa"/>
        <w:tblLayout w:type="fixed"/>
        <w:tblLook w:val="01E0"/>
      </w:tblPr>
      <w:tblGrid>
        <w:gridCol w:w="4811"/>
        <w:gridCol w:w="218"/>
        <w:gridCol w:w="19"/>
        <w:gridCol w:w="5726"/>
      </w:tblGrid>
      <w:tr>
        <w:tblPrEx>
          <w:tblW w:w="10774" w:type="dxa"/>
          <w:tblInd w:w="-743" w:type="dxa"/>
          <w:tblLayout w:type="fixed"/>
          <w:tblLook w:val="01E0"/>
        </w:tblPrEx>
        <w:trPr>
          <w:trHeight w:val="358"/>
        </w:trPr>
        <w:tc>
          <w:tcPr>
            <w:tcW w:w="4811" w:type="dxa"/>
            <w:tcBorders>
              <w:top w:val="none" w:sz="0" w:space="0" w:color="auto"/>
              <w:left w:val="none" w:sz="0" w:space="0" w:color="auto"/>
              <w:bottom w:val="single" w:sz="4" w:space="0" w:color="auto"/>
              <w:right w:val="none" w:sz="0" w:space="0" w:color="auto"/>
            </w:tcBorders>
            <w:textDirection w:val="lrTb"/>
            <w:vAlign w:val="center"/>
          </w:tcPr>
          <w:p w:rsidR="000A6169" w:rsidRPr="00896984" w:rsidP="00942EF3">
            <w:pPr>
              <w:bidi w:val="0"/>
              <w:spacing w:before="40" w:after="40"/>
              <w:ind w:right="69"/>
              <w:rPr>
                <w:rFonts w:ascii="Times New Roman" w:hAnsi="Times New Roman" w:cs="Times New Roman"/>
                <w:b/>
                <w:bCs/>
                <w:sz w:val="20"/>
                <w:szCs w:val="20"/>
              </w:rPr>
            </w:pPr>
            <w:r w:rsidRPr="00896984">
              <w:rPr>
                <w:rFonts w:ascii="Times New Roman" w:hAnsi="Times New Roman" w:cs="Times New Roman"/>
                <w:b/>
                <w:sz w:val="20"/>
                <w:szCs w:val="20"/>
              </w:rPr>
              <w:t>Príjmy verejnej správy na HDP v EÚ v roku 2010  (% HDP)</w:t>
            </w:r>
          </w:p>
        </w:tc>
        <w:tc>
          <w:tcPr>
            <w:tcW w:w="237" w:type="dxa"/>
            <w:gridSpan w:val="2"/>
            <w:tcBorders>
              <w:top w:val="none" w:sz="0" w:space="0" w:color="auto"/>
              <w:left w:val="none" w:sz="0" w:space="0" w:color="auto"/>
              <w:bottom w:val="none" w:sz="0" w:space="0" w:color="auto"/>
              <w:right w:val="none" w:sz="0" w:space="0" w:color="auto"/>
            </w:tcBorders>
            <w:textDirection w:val="lrTb"/>
            <w:vAlign w:val="top"/>
          </w:tcPr>
          <w:p w:rsidR="000A6169" w:rsidRPr="00896984" w:rsidP="00942EF3">
            <w:pPr>
              <w:bidi w:val="0"/>
              <w:spacing w:before="40" w:after="40"/>
              <w:ind w:left="72" w:right="-162"/>
              <w:rPr>
                <w:rFonts w:ascii="Times New Roman" w:hAnsi="Times New Roman" w:cs="Times New Roman"/>
                <w:b/>
                <w:sz w:val="20"/>
                <w:szCs w:val="20"/>
              </w:rPr>
            </w:pPr>
          </w:p>
        </w:tc>
        <w:tc>
          <w:tcPr>
            <w:tcW w:w="5726" w:type="dxa"/>
            <w:tcBorders>
              <w:top w:val="none" w:sz="0" w:space="0" w:color="auto"/>
              <w:left w:val="none" w:sz="0" w:space="0" w:color="auto"/>
              <w:bottom w:val="single" w:sz="4" w:space="0" w:color="auto"/>
              <w:right w:val="none" w:sz="0" w:space="0" w:color="auto"/>
            </w:tcBorders>
            <w:textDirection w:val="lrTb"/>
            <w:vAlign w:val="center"/>
          </w:tcPr>
          <w:p w:rsidR="000A6169" w:rsidRPr="00896984" w:rsidP="00942EF3">
            <w:pPr>
              <w:bidi w:val="0"/>
              <w:spacing w:before="40" w:after="40"/>
              <w:ind w:left="141" w:right="-162"/>
              <w:rPr>
                <w:rFonts w:ascii="Times New Roman" w:hAnsi="Times New Roman" w:cs="Times New Roman"/>
                <w:b/>
                <w:bCs/>
                <w:sz w:val="20"/>
                <w:szCs w:val="20"/>
              </w:rPr>
            </w:pPr>
            <w:r w:rsidRPr="00896984">
              <w:rPr>
                <w:rFonts w:ascii="Times New Roman" w:hAnsi="Times New Roman" w:cs="Times New Roman"/>
                <w:b/>
                <w:sz w:val="20"/>
                <w:szCs w:val="20"/>
              </w:rPr>
              <w:t>Štruktúra príjmov verejnej správy v EÚ v roku 2010  (podiel na celkových príjmoch)</w:t>
            </w:r>
          </w:p>
        </w:tc>
      </w:tr>
      <w:tr>
        <w:tblPrEx>
          <w:tblW w:w="10774" w:type="dxa"/>
          <w:tblInd w:w="-743" w:type="dxa"/>
          <w:tblLayout w:type="fixed"/>
          <w:tblCellMar>
            <w:left w:w="70" w:type="dxa"/>
            <w:right w:w="70" w:type="dxa"/>
          </w:tblCellMar>
          <w:tblLook w:val="01E0"/>
        </w:tblPrEx>
        <w:trPr>
          <w:trHeight w:val="3354"/>
        </w:trPr>
        <w:tc>
          <w:tcPr>
            <w:tcW w:w="4811" w:type="dxa"/>
            <w:tcBorders>
              <w:top w:val="single" w:sz="4" w:space="0" w:color="auto"/>
              <w:left w:val="none" w:sz="0" w:space="0" w:color="auto"/>
              <w:bottom w:val="single" w:sz="4" w:space="0" w:color="auto"/>
              <w:right w:val="none" w:sz="0" w:space="0" w:color="auto"/>
            </w:tcBorders>
            <w:textDirection w:val="lrTb"/>
            <w:vAlign w:val="top"/>
          </w:tcPr>
          <w:p w:rsidR="000A6169" w:rsidRPr="00896984" w:rsidP="00942EF3">
            <w:pPr>
              <w:bidi w:val="0"/>
              <w:spacing w:before="40" w:after="40"/>
              <w:jc w:val="center"/>
              <w:rPr>
                <w:rFonts w:ascii="Times New Roman" w:hAnsi="Times New Roman" w:cs="Times New Roman"/>
                <w:b/>
                <w:bCs/>
                <w:noProof/>
                <w:lang w:eastAsia="sk-SK"/>
              </w:rPr>
            </w:pPr>
            <w:r>
              <w:rPr>
                <w:rFonts w:ascii="Times New Roman" w:hAnsi="Times New Roman" w:cs="Times New Roman"/>
                <w:b/>
                <w:noProof/>
                <w:lang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5" o:spid="_x0000_i1025" type="#_x0000_t75" style="width:230.88pt;height:156.06pt;visibility:visible" filled="f" stroked="f">
                  <v:imagedata r:id="rId6" o:title=""/>
                  <o:lock v:ext="edit" aspectratio="t"/>
                </v:shape>
              </w:pict>
            </w:r>
          </w:p>
        </w:tc>
        <w:tc>
          <w:tcPr>
            <w:tcW w:w="218" w:type="dxa"/>
            <w:tcBorders>
              <w:top w:val="none" w:sz="0" w:space="0" w:color="auto"/>
              <w:left w:val="none" w:sz="0" w:space="0" w:color="auto"/>
              <w:bottom w:val="none" w:sz="0" w:space="0" w:color="auto"/>
              <w:right w:val="none" w:sz="0" w:space="0" w:color="auto"/>
            </w:tcBorders>
            <w:textDirection w:val="lrTb"/>
            <w:vAlign w:val="top"/>
          </w:tcPr>
          <w:p w:rsidR="000A6169" w:rsidRPr="00896984" w:rsidP="00942EF3">
            <w:pPr>
              <w:bidi w:val="0"/>
              <w:spacing w:before="40" w:after="40"/>
              <w:jc w:val="center"/>
              <w:rPr>
                <w:rFonts w:ascii="Times New Roman" w:hAnsi="Times New Roman" w:cs="Times New Roman"/>
                <w:noProof/>
                <w:lang w:eastAsia="sk-SK"/>
              </w:rPr>
            </w:pPr>
          </w:p>
        </w:tc>
        <w:tc>
          <w:tcPr>
            <w:tcW w:w="5745" w:type="dxa"/>
            <w:gridSpan w:val="2"/>
            <w:tcBorders>
              <w:top w:val="single" w:sz="4" w:space="0" w:color="auto"/>
              <w:left w:val="none" w:sz="0" w:space="0" w:color="auto"/>
              <w:bottom w:val="single" w:sz="4" w:space="0" w:color="auto"/>
              <w:right w:val="none" w:sz="0" w:space="0" w:color="auto"/>
            </w:tcBorders>
            <w:textDirection w:val="lrTb"/>
            <w:vAlign w:val="top"/>
          </w:tcPr>
          <w:p w:rsidR="000A6169" w:rsidRPr="00896984" w:rsidP="00942EF3">
            <w:pPr>
              <w:bidi w:val="0"/>
              <w:spacing w:before="40" w:after="40"/>
              <w:jc w:val="center"/>
              <w:rPr>
                <w:rFonts w:ascii="Times New Roman" w:hAnsi="Times New Roman" w:cs="Times New Roman"/>
                <w:b/>
                <w:bCs/>
              </w:rPr>
            </w:pPr>
            <w:r>
              <w:rPr>
                <w:noProof/>
              </w:rPr>
              <w:pict>
                <v:shape id="Obrázok 4" o:spid="_x0000_s1026" type="#_x0000_t75" style="width:265.25pt;height:157.75pt;margin-top:1.7pt;margin-left:-3.25pt;position:absolute;visibility:visible;z-index:251659264" o:allowoverlap="f" filled="f" stroked="f">
                  <v:imagedata r:id="rId7" o:title=""/>
                  <o:lock v:ext="edit" aspectratio="t"/>
                  <w10:wrap type="topAndBottom"/>
                </v:shape>
              </w:pict>
            </w:r>
          </w:p>
        </w:tc>
      </w:tr>
      <w:tr>
        <w:tblPrEx>
          <w:tblW w:w="10774" w:type="dxa"/>
          <w:tblInd w:w="-743" w:type="dxa"/>
          <w:tblLayout w:type="fixed"/>
          <w:tblLook w:val="01E0"/>
        </w:tblPrEx>
        <w:trPr>
          <w:trHeight w:val="300"/>
        </w:trPr>
        <w:tc>
          <w:tcPr>
            <w:tcW w:w="4811" w:type="dxa"/>
            <w:tcBorders>
              <w:top w:val="none" w:sz="0" w:space="0" w:color="auto"/>
              <w:left w:val="none" w:sz="0" w:space="0" w:color="auto"/>
              <w:bottom w:val="none" w:sz="0" w:space="0" w:color="auto"/>
              <w:right w:val="none" w:sz="0" w:space="0" w:color="auto"/>
            </w:tcBorders>
            <w:textDirection w:val="lrTb"/>
            <w:vAlign w:val="top"/>
          </w:tcPr>
          <w:p w:rsidR="000A6169" w:rsidRPr="00896984" w:rsidP="00942EF3">
            <w:pPr>
              <w:bidi w:val="0"/>
              <w:spacing w:before="40" w:after="40"/>
              <w:jc w:val="right"/>
              <w:rPr>
                <w:rFonts w:ascii="Times New Roman" w:hAnsi="Times New Roman" w:cs="Times New Roman"/>
                <w:i/>
                <w:iCs/>
                <w:sz w:val="18"/>
                <w:szCs w:val="18"/>
              </w:rPr>
            </w:pPr>
            <w:r w:rsidRPr="00896984">
              <w:rPr>
                <w:rFonts w:ascii="Times New Roman" w:hAnsi="Times New Roman" w:cs="Times New Roman"/>
                <w:i/>
                <w:iCs/>
                <w:sz w:val="18"/>
                <w:szCs w:val="18"/>
              </w:rPr>
              <w:t>Zdroj: Eurostat</w:t>
            </w:r>
          </w:p>
        </w:tc>
        <w:tc>
          <w:tcPr>
            <w:tcW w:w="237" w:type="dxa"/>
            <w:gridSpan w:val="2"/>
            <w:tcBorders>
              <w:top w:val="none" w:sz="0" w:space="0" w:color="auto"/>
              <w:left w:val="none" w:sz="0" w:space="0" w:color="auto"/>
              <w:bottom w:val="none" w:sz="0" w:space="0" w:color="auto"/>
              <w:right w:val="none" w:sz="0" w:space="0" w:color="auto"/>
            </w:tcBorders>
            <w:textDirection w:val="lrTb"/>
            <w:vAlign w:val="top"/>
          </w:tcPr>
          <w:p w:rsidR="000A6169" w:rsidRPr="00896984" w:rsidP="00942EF3">
            <w:pPr>
              <w:bidi w:val="0"/>
              <w:spacing w:before="40" w:after="40"/>
              <w:jc w:val="right"/>
              <w:rPr>
                <w:rFonts w:ascii="Times New Roman" w:hAnsi="Times New Roman" w:cs="Times New Roman"/>
                <w:i/>
                <w:iCs/>
                <w:sz w:val="18"/>
                <w:szCs w:val="18"/>
              </w:rPr>
            </w:pPr>
          </w:p>
        </w:tc>
        <w:tc>
          <w:tcPr>
            <w:tcW w:w="5726" w:type="dxa"/>
            <w:tcBorders>
              <w:top w:val="none" w:sz="0" w:space="0" w:color="auto"/>
              <w:left w:val="none" w:sz="0" w:space="0" w:color="auto"/>
              <w:bottom w:val="none" w:sz="0" w:space="0" w:color="auto"/>
              <w:right w:val="none" w:sz="0" w:space="0" w:color="auto"/>
            </w:tcBorders>
            <w:textDirection w:val="lrTb"/>
            <w:vAlign w:val="top"/>
          </w:tcPr>
          <w:p w:rsidR="000A6169" w:rsidRPr="00896984" w:rsidP="00942EF3">
            <w:pPr>
              <w:bidi w:val="0"/>
              <w:spacing w:before="40" w:after="40"/>
              <w:jc w:val="right"/>
              <w:rPr>
                <w:rFonts w:ascii="Times New Roman" w:hAnsi="Times New Roman" w:cs="Times New Roman"/>
                <w:i/>
                <w:iCs/>
                <w:sz w:val="18"/>
                <w:szCs w:val="18"/>
              </w:rPr>
            </w:pPr>
            <w:r w:rsidRPr="00896984">
              <w:rPr>
                <w:rFonts w:ascii="Times New Roman" w:hAnsi="Times New Roman" w:cs="Times New Roman"/>
                <w:i/>
                <w:iCs/>
                <w:sz w:val="18"/>
                <w:szCs w:val="18"/>
              </w:rPr>
              <w:t>Zdroj: Eurostat</w:t>
            </w:r>
          </w:p>
        </w:tc>
      </w:tr>
    </w:tbl>
    <w:p w:rsidR="000A6169" w:rsidRPr="00896984" w:rsidP="000A6169">
      <w:pPr>
        <w:pStyle w:val="Heading2"/>
        <w:bidi w:val="0"/>
        <w:rPr>
          <w:rFonts w:ascii="Times New Roman" w:hAnsi="Times New Roman"/>
          <w:i w:val="0"/>
          <w:iCs w:val="0"/>
          <w:sz w:val="24"/>
          <w:szCs w:val="24"/>
        </w:rPr>
      </w:pPr>
      <w:bookmarkStart w:id="37" w:name="_Toc306089060"/>
      <w:r w:rsidRPr="00896984">
        <w:rPr>
          <w:rFonts w:ascii="Times New Roman" w:hAnsi="Times New Roman"/>
          <w:i w:val="0"/>
          <w:iCs w:val="0"/>
          <w:sz w:val="24"/>
          <w:szCs w:val="24"/>
        </w:rPr>
        <w:t>4.2. Daňové a odvodové zaťaženie</w:t>
      </w:r>
      <w:bookmarkEnd w:id="36"/>
      <w:r w:rsidRPr="00896984">
        <w:rPr>
          <w:rFonts w:ascii="Times New Roman" w:hAnsi="Times New Roman"/>
          <w:i w:val="0"/>
          <w:iCs w:val="0"/>
          <w:sz w:val="24"/>
          <w:szCs w:val="24"/>
        </w:rPr>
        <w:t xml:space="preserve"> v SR</w:t>
      </w:r>
      <w:bookmarkEnd w:id="37"/>
      <w:r w:rsidRPr="00896984">
        <w:rPr>
          <w:rFonts w:ascii="Times New Roman" w:hAnsi="Times New Roman"/>
          <w:i w:val="0"/>
          <w:iCs w:val="0"/>
          <w:sz w:val="24"/>
          <w:szCs w:val="24"/>
        </w:rPr>
        <w:t xml:space="preserve"> </w:t>
      </w:r>
    </w:p>
    <w:p w:rsidR="000A6169" w:rsidRPr="00896984" w:rsidP="000A6169">
      <w:pPr>
        <w:bidi w:val="0"/>
        <w:ind w:firstLine="708"/>
        <w:jc w:val="both"/>
        <w:rPr>
          <w:rFonts w:ascii="Times New Roman" w:hAnsi="Times New Roman" w:cs="Times New Roman"/>
        </w:rPr>
      </w:pPr>
    </w:p>
    <w:p w:rsidR="000A6169" w:rsidRPr="00896984" w:rsidP="000A6169">
      <w:pPr>
        <w:bidi w:val="0"/>
        <w:ind w:firstLine="708"/>
        <w:jc w:val="both"/>
        <w:rPr>
          <w:rFonts w:ascii="Times New Roman" w:hAnsi="Times New Roman" w:cs="Times New Roman"/>
        </w:rPr>
      </w:pPr>
      <w:r w:rsidRPr="00896984">
        <w:rPr>
          <w:rFonts w:ascii="Times New Roman" w:hAnsi="Times New Roman" w:cs="Times New Roman"/>
        </w:rPr>
        <w:t>Z hľadiska fiškálnej politiky je optimálne, ak sa úroveň celkového daňového zaťaženia meraného ako podiel daní a odvodov na HDP, bez vplyvu legislatívnych zmien, dlhodobo výrazne nemení. Stabilný podiel daní a odvodov na HDP zvyšuje predvídateľnosť vývoja verejných financií a umožňuje rýchlejšiu konsolidáciu verejných financií. Na Slovensku  celkové daňové zaťaženie dlhodobo klesá, čo zvyšuje náročnosť fiškálnej konsolidácie, keďže si vyžaduje prijímanie prísnejších konsolidačných opatrení na strane výdavkov.</w:t>
      </w:r>
    </w:p>
    <w:p w:rsidR="000A6169" w:rsidRPr="00896984" w:rsidP="000A6169">
      <w:pPr>
        <w:bidi w:val="0"/>
        <w:ind w:firstLine="708"/>
        <w:jc w:val="both"/>
        <w:rPr>
          <w:rFonts w:ascii="Times New Roman" w:hAnsi="Times New Roman" w:cs="Times New Roman"/>
        </w:rPr>
      </w:pPr>
    </w:p>
    <w:p w:rsidR="000A6169" w:rsidRPr="00896984" w:rsidP="000A6169">
      <w:pPr>
        <w:bidi w:val="0"/>
        <w:ind w:firstLine="708"/>
        <w:jc w:val="both"/>
        <w:rPr>
          <w:rFonts w:ascii="Times New Roman" w:hAnsi="Times New Roman" w:cs="Times New Roman"/>
        </w:rPr>
      </w:pPr>
      <w:r w:rsidRPr="00896984">
        <w:rPr>
          <w:rFonts w:ascii="Times New Roman" w:hAnsi="Times New Roman" w:cs="Times New Roman"/>
        </w:rPr>
        <w:t xml:space="preserve">Aktuálna prognóza daní a odvodov predpokladá v období rokov 2011 až 2014 mierny pokles celkového daňového zaťaženia, ktoré by malo poklesnúť z úrovne 28,7 % HDP v roku 2011 na úroveň  28,4 % HDP v roku 2014. </w:t>
      </w:r>
    </w:p>
    <w:p w:rsidR="000A6169" w:rsidRPr="00896984" w:rsidP="000A6169">
      <w:pPr>
        <w:bidi w:val="0"/>
        <w:ind w:firstLine="708"/>
        <w:jc w:val="both"/>
        <w:rPr>
          <w:rFonts w:ascii="Times New Roman" w:hAnsi="Times New Roman" w:cs="Times New Roman"/>
        </w:rPr>
      </w:pPr>
    </w:p>
    <w:p w:rsidR="000A6169" w:rsidRPr="00896984" w:rsidP="000A6169">
      <w:pPr>
        <w:bidi w:val="0"/>
        <w:ind w:firstLine="708"/>
        <w:jc w:val="both"/>
        <w:rPr>
          <w:rFonts w:ascii="Times New Roman" w:hAnsi="Times New Roman" w:cs="Times New Roman"/>
        </w:rPr>
      </w:pPr>
      <w:r w:rsidRPr="00896984">
        <w:rPr>
          <w:rFonts w:ascii="Times New Roman" w:hAnsi="Times New Roman" w:cs="Times New Roman"/>
        </w:rPr>
        <w:t>Hlavnými faktormi, ktoré spôsobujú pokles daňového zaťaženia na Slovensku patria:</w:t>
      </w:r>
    </w:p>
    <w:p w:rsidR="000A6169" w:rsidRPr="00896984" w:rsidP="000A6169">
      <w:pPr>
        <w:pStyle w:val="ListParagraph"/>
        <w:numPr>
          <w:numId w:val="42"/>
        </w:numPr>
        <w:bidi w:val="0"/>
        <w:jc w:val="both"/>
        <w:rPr>
          <w:rFonts w:ascii="Times New Roman" w:hAnsi="Times New Roman" w:cs="Times New Roman"/>
        </w:rPr>
      </w:pPr>
      <w:r w:rsidRPr="00896984">
        <w:rPr>
          <w:rFonts w:ascii="Times New Roman" w:hAnsi="Times New Roman" w:cs="Times New Roman"/>
        </w:rPr>
        <w:t>Štruktúra ekonomického rastu – ekonomický rast je na Slovensku ťahaný predovšetkým zahraničným dopytom (exportom), ktorý je menej daňovo intenzívny v porovnaní s domácim dopytom (spotreba vlády a spotreba domácností).</w:t>
      </w:r>
    </w:p>
    <w:p w:rsidR="000A6169" w:rsidRPr="00896984" w:rsidP="000A6169">
      <w:pPr>
        <w:pStyle w:val="ListParagraph"/>
        <w:numPr>
          <w:numId w:val="42"/>
        </w:numPr>
        <w:bidi w:val="0"/>
        <w:jc w:val="both"/>
        <w:rPr>
          <w:rFonts w:ascii="Times New Roman" w:hAnsi="Times New Roman" w:cs="Times New Roman"/>
        </w:rPr>
      </w:pPr>
      <w:r w:rsidRPr="00896984">
        <w:rPr>
          <w:rFonts w:ascii="Times New Roman" w:hAnsi="Times New Roman" w:cs="Times New Roman"/>
        </w:rPr>
        <w:t>Pevné daňové sadzby – pri niektorých typoch daní sú sadzby dane definované pevnou sumou (napr. spotrebné dane alebo dane z nehnuteľností).</w:t>
      </w:r>
    </w:p>
    <w:p w:rsidR="000A6169" w:rsidRPr="00896984" w:rsidP="000A6169">
      <w:pPr>
        <w:pStyle w:val="ListParagraph"/>
        <w:numPr>
          <w:numId w:val="42"/>
        </w:numPr>
        <w:bidi w:val="0"/>
        <w:jc w:val="both"/>
        <w:rPr>
          <w:rFonts w:ascii="Times New Roman" w:hAnsi="Times New Roman" w:cs="Times New Roman"/>
        </w:rPr>
      </w:pPr>
      <w:r w:rsidRPr="00896984">
        <w:rPr>
          <w:rFonts w:ascii="Times New Roman" w:hAnsi="Times New Roman" w:cs="Times New Roman"/>
        </w:rPr>
        <w:t>Daňové úniky – napriek zohľadneniu vyššie spomenutých faktorov majú niektoré dane a odvody tendenciu klesať na HDP (napr. DPH), čo je možné pripísať daňovým únikom.</w:t>
      </w:r>
    </w:p>
    <w:p w:rsidR="000A6169" w:rsidRPr="00896984" w:rsidP="000A6169">
      <w:pPr>
        <w:pStyle w:val="ListParagraph"/>
        <w:bidi w:val="0"/>
        <w:ind w:left="1428"/>
        <w:jc w:val="both"/>
        <w:rPr>
          <w:rFonts w:ascii="Times New Roman" w:hAnsi="Times New Roman" w:cs="Times New Roman"/>
        </w:rPr>
      </w:pPr>
    </w:p>
    <w:p w:rsidR="000A6169" w:rsidRPr="00896984" w:rsidP="000A6169">
      <w:pPr>
        <w:bidi w:val="0"/>
        <w:ind w:firstLine="708"/>
        <w:jc w:val="both"/>
        <w:rPr>
          <w:rFonts w:ascii="Times New Roman" w:hAnsi="Times New Roman" w:cs="Times New Roman"/>
        </w:rPr>
      </w:pPr>
      <w:r w:rsidRPr="00896984">
        <w:rPr>
          <w:rFonts w:ascii="Times New Roman" w:hAnsi="Times New Roman" w:cs="Times New Roman"/>
        </w:rPr>
        <w:t xml:space="preserve">Na výšku daní má vplyv aj prijatá legislatíva. Balíček opatrení prijatý s účinnosťou od roku 2011 prispel k zvýšeniu daňových príjmov o viac ako 1,0 % HDP. Vplyv novej legislatívy účinnej od roku 2012 je zanedbateľný, nakoľko s výnimkou zmien v odpisovaní </w:t>
      </w:r>
      <w:r w:rsidRPr="00896984" w:rsidR="00457027">
        <w:rPr>
          <w:rFonts w:ascii="Times New Roman" w:hAnsi="Times New Roman" w:cs="Times New Roman"/>
        </w:rPr>
        <w:t>v</w:t>
      </w:r>
      <w:r w:rsidRPr="00896984">
        <w:rPr>
          <w:rFonts w:ascii="Times New Roman" w:hAnsi="Times New Roman" w:cs="Times New Roman"/>
        </w:rPr>
        <w:t xml:space="preserve"> dani z príjmov a zmeny sadzby dane </w:t>
      </w:r>
      <w:r w:rsidRPr="00896984" w:rsidR="00457027">
        <w:rPr>
          <w:rFonts w:ascii="Times New Roman" w:hAnsi="Times New Roman" w:cs="Times New Roman"/>
        </w:rPr>
        <w:t>z</w:t>
      </w:r>
      <w:r w:rsidRPr="00896984">
        <w:rPr>
          <w:rFonts w:ascii="Times New Roman" w:hAnsi="Times New Roman" w:cs="Times New Roman"/>
        </w:rPr>
        <w:t xml:space="preserve"> tabaku neboli do rozpočtu zahrnuté žiadne významné konsolidačné opatrenia na strane príjmov (maximálny vplyv 0,2 % HDP v roku 2012). </w:t>
      </w:r>
    </w:p>
    <w:p w:rsidR="00942EF3" w:rsidP="000A6169">
      <w:pPr>
        <w:bidi w:val="0"/>
        <w:ind w:firstLine="708"/>
        <w:jc w:val="both"/>
        <w:rPr>
          <w:rFonts w:ascii="Times New Roman" w:hAnsi="Times New Roman" w:cs="Times New Roman"/>
        </w:rPr>
      </w:pPr>
    </w:p>
    <w:p w:rsidR="00E67586" w:rsidP="000A6169">
      <w:pPr>
        <w:bidi w:val="0"/>
        <w:ind w:firstLine="708"/>
        <w:jc w:val="both"/>
        <w:rPr>
          <w:rFonts w:ascii="Times New Roman" w:hAnsi="Times New Roman" w:cs="Times New Roman"/>
        </w:rPr>
      </w:pPr>
    </w:p>
    <w:p w:rsidR="00D01F5D" w:rsidP="000A6169">
      <w:pPr>
        <w:bidi w:val="0"/>
        <w:ind w:firstLine="708"/>
        <w:jc w:val="both"/>
        <w:rPr>
          <w:rFonts w:ascii="Times New Roman" w:hAnsi="Times New Roman" w:cs="Times New Roman"/>
        </w:rPr>
      </w:pPr>
    </w:p>
    <w:p w:rsidR="00E67586" w:rsidRPr="00896984" w:rsidP="000A6169">
      <w:pPr>
        <w:bidi w:val="0"/>
        <w:ind w:firstLine="708"/>
        <w:jc w:val="both"/>
        <w:rPr>
          <w:rFonts w:ascii="Times New Roman" w:hAnsi="Times New Roman" w:cs="Times New Roman"/>
        </w:rPr>
      </w:pPr>
    </w:p>
    <w:tbl>
      <w:tblPr>
        <w:tblStyle w:val="TableNormal"/>
        <w:tblW w:w="9696" w:type="dxa"/>
        <w:jc w:val="center"/>
        <w:tblInd w:w="283" w:type="dxa"/>
        <w:tblLayout w:type="fixed"/>
        <w:tblLook w:val="01E0"/>
      </w:tblPr>
      <w:tblGrid>
        <w:gridCol w:w="4674"/>
        <w:gridCol w:w="217"/>
        <w:gridCol w:w="19"/>
        <w:gridCol w:w="4767"/>
        <w:gridCol w:w="19"/>
      </w:tblGrid>
      <w:tr>
        <w:tblPrEx>
          <w:tblW w:w="9696" w:type="dxa"/>
          <w:jc w:val="center"/>
          <w:tblInd w:w="283" w:type="dxa"/>
          <w:tblLayout w:type="fixed"/>
          <w:tblLook w:val="01E0"/>
        </w:tblPrEx>
        <w:trPr>
          <w:trHeight w:val="340"/>
          <w:jc w:val="center"/>
        </w:trPr>
        <w:tc>
          <w:tcPr>
            <w:tcW w:w="4674" w:type="dxa"/>
            <w:tcBorders>
              <w:top w:val="none" w:sz="0" w:space="0" w:color="auto"/>
              <w:left w:val="none" w:sz="0" w:space="0" w:color="auto"/>
              <w:bottom w:val="single" w:sz="4" w:space="0" w:color="auto"/>
              <w:right w:val="none" w:sz="0" w:space="0" w:color="auto"/>
            </w:tcBorders>
            <w:textDirection w:val="lrTb"/>
            <w:vAlign w:val="center"/>
          </w:tcPr>
          <w:p w:rsidR="000A6169" w:rsidRPr="00896984" w:rsidP="00942EF3">
            <w:pPr>
              <w:bidi w:val="0"/>
              <w:spacing w:before="40" w:after="40"/>
              <w:ind w:right="69"/>
              <w:rPr>
                <w:rFonts w:ascii="Times New Roman" w:hAnsi="Times New Roman" w:cs="Times New Roman"/>
                <w:b/>
                <w:bCs/>
                <w:sz w:val="20"/>
                <w:szCs w:val="20"/>
              </w:rPr>
            </w:pPr>
            <w:r w:rsidRPr="00896984">
              <w:rPr>
                <w:rFonts w:ascii="Times New Roman" w:hAnsi="Times New Roman" w:cs="Times New Roman"/>
                <w:b/>
                <w:bCs/>
                <w:sz w:val="20"/>
                <w:szCs w:val="20"/>
              </w:rPr>
              <w:t>Celkové daňové a odvodové zaťaženie na Slovensku v rokoch 2008 - 2014</w:t>
            </w:r>
          </w:p>
        </w:tc>
        <w:tc>
          <w:tcPr>
            <w:tcW w:w="236" w:type="dxa"/>
            <w:gridSpan w:val="2"/>
            <w:tcBorders>
              <w:top w:val="none" w:sz="0" w:space="0" w:color="auto"/>
              <w:left w:val="none" w:sz="0" w:space="0" w:color="auto"/>
              <w:bottom w:val="none" w:sz="0" w:space="0" w:color="auto"/>
              <w:right w:val="none" w:sz="0" w:space="0" w:color="auto"/>
            </w:tcBorders>
            <w:textDirection w:val="lrTb"/>
            <w:vAlign w:val="top"/>
          </w:tcPr>
          <w:p w:rsidR="000A6169" w:rsidRPr="00896984" w:rsidP="00942EF3">
            <w:pPr>
              <w:bidi w:val="0"/>
              <w:spacing w:before="40" w:after="40"/>
              <w:ind w:left="72" w:right="-162"/>
              <w:rPr>
                <w:rFonts w:ascii="Times New Roman" w:hAnsi="Times New Roman" w:cs="Times New Roman"/>
                <w:b/>
                <w:sz w:val="20"/>
                <w:szCs w:val="20"/>
              </w:rPr>
            </w:pPr>
          </w:p>
        </w:tc>
        <w:tc>
          <w:tcPr>
            <w:tcW w:w="4786" w:type="dxa"/>
            <w:gridSpan w:val="2"/>
            <w:tcBorders>
              <w:top w:val="none" w:sz="0" w:space="0" w:color="auto"/>
              <w:left w:val="none" w:sz="0" w:space="0" w:color="auto"/>
              <w:bottom w:val="single" w:sz="4" w:space="0" w:color="auto"/>
              <w:right w:val="none" w:sz="0" w:space="0" w:color="auto"/>
            </w:tcBorders>
            <w:textDirection w:val="lrTb"/>
            <w:vAlign w:val="center"/>
          </w:tcPr>
          <w:p w:rsidR="000A6169" w:rsidRPr="00896984" w:rsidP="00942EF3">
            <w:pPr>
              <w:bidi w:val="0"/>
              <w:spacing w:before="40" w:after="40"/>
              <w:ind w:left="141" w:right="-162"/>
              <w:rPr>
                <w:rFonts w:ascii="Times New Roman" w:hAnsi="Times New Roman" w:cs="Times New Roman"/>
                <w:b/>
                <w:bCs/>
                <w:sz w:val="20"/>
                <w:szCs w:val="20"/>
              </w:rPr>
            </w:pPr>
            <w:r w:rsidRPr="00896984">
              <w:rPr>
                <w:rFonts w:ascii="Times New Roman" w:hAnsi="Times New Roman" w:cs="Times New Roman"/>
                <w:b/>
                <w:sz w:val="20"/>
                <w:szCs w:val="20"/>
              </w:rPr>
              <w:t>Dane na HDP EÚ 27 v roku 2010  (% HDP)</w:t>
            </w:r>
          </w:p>
        </w:tc>
      </w:tr>
      <w:tr>
        <w:tblPrEx>
          <w:tblW w:w="9696" w:type="dxa"/>
          <w:jc w:val="center"/>
          <w:tblInd w:w="283" w:type="dxa"/>
          <w:tblLayout w:type="fixed"/>
          <w:tblCellMar>
            <w:left w:w="70" w:type="dxa"/>
            <w:right w:w="70" w:type="dxa"/>
          </w:tblCellMar>
          <w:tblLook w:val="01E0"/>
        </w:tblPrEx>
        <w:trPr>
          <w:gridAfter w:val="1"/>
          <w:wAfter w:w="19" w:type="dxa"/>
          <w:trHeight w:val="1531"/>
          <w:jc w:val="center"/>
        </w:trPr>
        <w:tc>
          <w:tcPr>
            <w:tcW w:w="4674" w:type="dxa"/>
            <w:tcBorders>
              <w:top w:val="single" w:sz="4" w:space="0" w:color="auto"/>
              <w:left w:val="none" w:sz="0" w:space="0" w:color="auto"/>
              <w:bottom w:val="single" w:sz="4" w:space="0" w:color="auto"/>
              <w:right w:val="none" w:sz="0" w:space="0" w:color="auto"/>
            </w:tcBorders>
            <w:textDirection w:val="lrTb"/>
            <w:vAlign w:val="top"/>
          </w:tcPr>
          <w:p w:rsidR="000A6169" w:rsidRPr="00896984" w:rsidP="00942EF3">
            <w:pPr>
              <w:bidi w:val="0"/>
              <w:spacing w:before="40" w:after="40"/>
              <w:jc w:val="center"/>
              <w:rPr>
                <w:rFonts w:ascii="Times New Roman" w:hAnsi="Times New Roman" w:cs="Times New Roman"/>
                <w:b/>
                <w:bCs/>
                <w:noProof/>
                <w:lang w:eastAsia="sk-SK"/>
              </w:rPr>
            </w:pPr>
            <w:r>
              <w:rPr>
                <w:rFonts w:ascii="Times New Roman" w:hAnsi="Times New Roman" w:cs="Times New Roman"/>
                <w:b/>
                <w:noProof/>
                <w:rtl w:val="0"/>
                <w:lang w:eastAsia="sk-SK"/>
              </w:rPr>
              <w:pict>
                <v:shape id="Obrázok 2" o:spid="_x0000_i1027" type="#_x0000_t75" style="width:225.11pt;height:140.97pt;visibility:visible" filled="f" stroked="f">
                  <v:imagedata r:id="rId8" o:title=""/>
                  <o:lock v:ext="edit" aspectratio="t"/>
                </v:shape>
              </w:pict>
            </w:r>
          </w:p>
        </w:tc>
        <w:tc>
          <w:tcPr>
            <w:tcW w:w="217" w:type="dxa"/>
            <w:tcBorders>
              <w:top w:val="none" w:sz="0" w:space="0" w:color="auto"/>
              <w:left w:val="none" w:sz="0" w:space="0" w:color="auto"/>
              <w:bottom w:val="none" w:sz="0" w:space="0" w:color="auto"/>
              <w:right w:val="none" w:sz="0" w:space="0" w:color="auto"/>
            </w:tcBorders>
            <w:textDirection w:val="lrTb"/>
            <w:vAlign w:val="top"/>
          </w:tcPr>
          <w:p w:rsidR="000A6169" w:rsidRPr="00896984" w:rsidP="00942EF3">
            <w:pPr>
              <w:bidi w:val="0"/>
              <w:spacing w:before="40" w:after="40"/>
              <w:jc w:val="center"/>
              <w:rPr>
                <w:rFonts w:ascii="Times New Roman" w:hAnsi="Times New Roman" w:cs="Times New Roman"/>
                <w:noProof/>
                <w:lang w:eastAsia="sk-SK"/>
              </w:rPr>
            </w:pPr>
          </w:p>
        </w:tc>
        <w:tc>
          <w:tcPr>
            <w:tcW w:w="4786" w:type="dxa"/>
            <w:gridSpan w:val="2"/>
            <w:tcBorders>
              <w:top w:val="single" w:sz="4" w:space="0" w:color="auto"/>
              <w:left w:val="none" w:sz="0" w:space="0" w:color="auto"/>
              <w:bottom w:val="single" w:sz="4" w:space="0" w:color="auto"/>
              <w:right w:val="none" w:sz="0" w:space="0" w:color="auto"/>
            </w:tcBorders>
            <w:textDirection w:val="lrTb"/>
            <w:vAlign w:val="top"/>
          </w:tcPr>
          <w:p w:rsidR="000A6169" w:rsidRPr="00896984" w:rsidP="00942EF3">
            <w:pPr>
              <w:bidi w:val="0"/>
              <w:spacing w:before="40" w:after="40"/>
              <w:jc w:val="center"/>
              <w:rPr>
                <w:rFonts w:ascii="Times New Roman" w:hAnsi="Times New Roman" w:cs="Times New Roman"/>
                <w:b/>
                <w:bCs/>
              </w:rPr>
            </w:pPr>
            <w:r>
              <w:rPr>
                <w:rFonts w:ascii="Times New Roman" w:hAnsi="Times New Roman" w:cs="Times New Roman"/>
                <w:b/>
                <w:noProof/>
                <w:lang w:eastAsia="sk-SK"/>
              </w:rPr>
              <w:pict>
                <v:shape id="Obrázok 6" o:spid="_x0000_i1028" type="#_x0000_t75" style="width:216.45pt;height:139.95pt;visibility:visible" filled="f" stroked="f">
                  <v:imagedata r:id="rId9" o:title=""/>
                  <o:lock v:ext="edit" aspectratio="t"/>
                </v:shape>
              </w:pict>
            </w:r>
          </w:p>
        </w:tc>
      </w:tr>
      <w:tr>
        <w:tblPrEx>
          <w:tblW w:w="9696" w:type="dxa"/>
          <w:jc w:val="center"/>
          <w:tblInd w:w="283" w:type="dxa"/>
          <w:tblLayout w:type="fixed"/>
          <w:tblLook w:val="01E0"/>
        </w:tblPrEx>
        <w:trPr>
          <w:jc w:val="center"/>
        </w:trPr>
        <w:tc>
          <w:tcPr>
            <w:tcW w:w="4674" w:type="dxa"/>
            <w:tcBorders>
              <w:top w:val="none" w:sz="0" w:space="0" w:color="auto"/>
              <w:left w:val="none" w:sz="0" w:space="0" w:color="auto"/>
              <w:bottom w:val="none" w:sz="0" w:space="0" w:color="auto"/>
              <w:right w:val="none" w:sz="0" w:space="0" w:color="auto"/>
            </w:tcBorders>
            <w:textDirection w:val="lrTb"/>
            <w:vAlign w:val="top"/>
          </w:tcPr>
          <w:p w:rsidR="000A6169" w:rsidRPr="00896984" w:rsidP="00942EF3">
            <w:pPr>
              <w:bidi w:val="0"/>
              <w:spacing w:before="40" w:after="40"/>
              <w:jc w:val="right"/>
              <w:rPr>
                <w:rFonts w:ascii="Times New Roman" w:hAnsi="Times New Roman" w:cs="Times New Roman"/>
                <w:i/>
                <w:iCs/>
                <w:sz w:val="18"/>
                <w:szCs w:val="18"/>
              </w:rPr>
            </w:pPr>
          </w:p>
        </w:tc>
        <w:tc>
          <w:tcPr>
            <w:tcW w:w="236" w:type="dxa"/>
            <w:gridSpan w:val="2"/>
            <w:tcBorders>
              <w:top w:val="none" w:sz="0" w:space="0" w:color="auto"/>
              <w:left w:val="none" w:sz="0" w:space="0" w:color="auto"/>
              <w:bottom w:val="none" w:sz="0" w:space="0" w:color="auto"/>
              <w:right w:val="none" w:sz="0" w:space="0" w:color="auto"/>
            </w:tcBorders>
            <w:textDirection w:val="lrTb"/>
            <w:vAlign w:val="top"/>
          </w:tcPr>
          <w:p w:rsidR="000A6169" w:rsidRPr="00896984" w:rsidP="00942EF3">
            <w:pPr>
              <w:bidi w:val="0"/>
              <w:spacing w:before="40" w:after="40"/>
              <w:jc w:val="right"/>
              <w:rPr>
                <w:rFonts w:ascii="Times New Roman" w:hAnsi="Times New Roman" w:cs="Times New Roman"/>
                <w:i/>
                <w:iCs/>
                <w:sz w:val="18"/>
                <w:szCs w:val="18"/>
              </w:rPr>
            </w:pPr>
          </w:p>
        </w:tc>
        <w:tc>
          <w:tcPr>
            <w:tcW w:w="4786" w:type="dxa"/>
            <w:gridSpan w:val="2"/>
            <w:tcBorders>
              <w:top w:val="none" w:sz="0" w:space="0" w:color="auto"/>
              <w:left w:val="none" w:sz="0" w:space="0" w:color="auto"/>
              <w:bottom w:val="none" w:sz="0" w:space="0" w:color="auto"/>
              <w:right w:val="none" w:sz="0" w:space="0" w:color="auto"/>
            </w:tcBorders>
            <w:textDirection w:val="lrTb"/>
            <w:vAlign w:val="top"/>
          </w:tcPr>
          <w:p w:rsidR="000A6169" w:rsidRPr="00896984" w:rsidP="00942EF3">
            <w:pPr>
              <w:bidi w:val="0"/>
              <w:spacing w:before="40" w:after="40"/>
              <w:rPr>
                <w:rFonts w:ascii="Times New Roman" w:hAnsi="Times New Roman" w:cs="Times New Roman"/>
                <w:i/>
                <w:iCs/>
                <w:sz w:val="18"/>
                <w:szCs w:val="18"/>
              </w:rPr>
            </w:pPr>
            <w:r w:rsidRPr="00896984">
              <w:rPr>
                <w:rFonts w:ascii="Times New Roman" w:hAnsi="Times New Roman" w:cs="Times New Roman"/>
                <w:i/>
                <w:iCs/>
                <w:sz w:val="18"/>
                <w:szCs w:val="18"/>
              </w:rPr>
              <w:t>Pozn.: Údaj za Slovensko bol upravený na základe aktuálneho odhadu (DPFO, DPPO)</w:t>
            </w:r>
            <w:r w:rsidRPr="00896984">
              <w:rPr>
                <w:i/>
                <w:iCs/>
                <w:sz w:val="18"/>
                <w:szCs w:val="18"/>
              </w:rPr>
              <w:t xml:space="preserve">         </w:t>
            </w:r>
            <w:r w:rsidRPr="00896984">
              <w:rPr>
                <w:rFonts w:ascii="Times New Roman" w:hAnsi="Times New Roman" w:cs="Times New Roman"/>
                <w:i/>
                <w:iCs/>
                <w:sz w:val="18"/>
                <w:szCs w:val="18"/>
              </w:rPr>
              <w:t>Zdroj: Eurostat, MF SR</w:t>
            </w:r>
          </w:p>
        </w:tc>
      </w:tr>
    </w:tbl>
    <w:p w:rsidR="000A6169" w:rsidRPr="00896984" w:rsidP="000A6169">
      <w:pPr>
        <w:bidi w:val="0"/>
        <w:ind w:firstLine="708"/>
        <w:jc w:val="both"/>
        <w:rPr>
          <w:rFonts w:ascii="Times New Roman" w:hAnsi="Times New Roman" w:cs="Times New Roman"/>
          <w:highlight w:val="yellow"/>
        </w:rPr>
      </w:pPr>
    </w:p>
    <w:p w:rsidR="000A6169" w:rsidRPr="00896984" w:rsidP="000A6169">
      <w:pPr>
        <w:bidi w:val="0"/>
        <w:ind w:firstLine="708"/>
        <w:jc w:val="both"/>
        <w:rPr>
          <w:rFonts w:ascii="Times New Roman" w:hAnsi="Times New Roman" w:cs="Times New Roman"/>
        </w:rPr>
      </w:pPr>
      <w:r w:rsidRPr="00896984">
        <w:rPr>
          <w:rFonts w:ascii="Times New Roman" w:hAnsi="Times New Roman" w:cs="Times New Roman"/>
        </w:rPr>
        <w:t>V rámci EÚ dosiahlo Slovensko v roku 2010 piaty najnižší podiel daní a odvodov na HDP, a to vo výške 28,0 % HDP, nižší už malo len Rumunsko, Lotyšsko, Litva a Bulharsko. V rámci regiónu strednej Európy má Slovensko najnižšie daňovo-odvodové zaťaženie.</w:t>
      </w:r>
    </w:p>
    <w:p w:rsidR="000A6169" w:rsidRPr="00896984" w:rsidP="000A6169">
      <w:pPr>
        <w:bidi w:val="0"/>
        <w:ind w:firstLine="708"/>
        <w:jc w:val="both"/>
        <w:rPr>
          <w:rFonts w:ascii="Times New Roman" w:hAnsi="Times New Roman" w:cs="Times New Roman"/>
        </w:rPr>
      </w:pPr>
    </w:p>
    <w:p w:rsidR="000A6169" w:rsidRPr="00896984" w:rsidP="000A6169">
      <w:pPr>
        <w:bidi w:val="0"/>
        <w:ind w:firstLine="708"/>
        <w:jc w:val="both"/>
        <w:rPr>
          <w:rFonts w:ascii="Times New Roman" w:hAnsi="Times New Roman" w:cs="Times New Roman"/>
        </w:rPr>
      </w:pPr>
      <w:r w:rsidRPr="00896984">
        <w:rPr>
          <w:rFonts w:ascii="Times New Roman" w:hAnsi="Times New Roman" w:cs="Times New Roman"/>
        </w:rPr>
        <w:t>Medzi hlavné dôvody nižšieho podielu daní a odvodov na HDP v porovnaní s ostatnými krajinami EÚ patria:</w:t>
      </w:r>
    </w:p>
    <w:p w:rsidR="000A6169" w:rsidRPr="00896984" w:rsidP="000A6169">
      <w:pPr>
        <w:bidi w:val="0"/>
        <w:jc w:val="both"/>
        <w:rPr>
          <w:rFonts w:ascii="Times New Roman" w:hAnsi="Times New Roman" w:cs="Times New Roman"/>
        </w:rPr>
      </w:pPr>
    </w:p>
    <w:p w:rsidR="000A6169" w:rsidRPr="00896984" w:rsidP="000A6169">
      <w:pPr>
        <w:pStyle w:val="ListParagraph"/>
        <w:numPr>
          <w:numId w:val="43"/>
        </w:numPr>
        <w:bidi w:val="0"/>
        <w:jc w:val="both"/>
        <w:rPr>
          <w:rFonts w:ascii="Times New Roman" w:hAnsi="Times New Roman" w:cs="Times New Roman"/>
        </w:rPr>
      </w:pPr>
      <w:r w:rsidRPr="00896984">
        <w:rPr>
          <w:rFonts w:ascii="Times New Roman" w:hAnsi="Times New Roman" w:cs="Times New Roman"/>
          <w:b/>
        </w:rPr>
        <w:t xml:space="preserve">Výrazne nižšie zdaňovanie kapitálu, príjmov SZČO a mierne nižšie zdanenie práce </w:t>
      </w:r>
      <w:r w:rsidRPr="00896984">
        <w:rPr>
          <w:rFonts w:ascii="Times New Roman" w:hAnsi="Times New Roman" w:cs="Times New Roman"/>
        </w:rPr>
        <w:t>– v porovnaní s krajinami EÚ má Slovensko výrazne nižšie zaťaženie kapitálu a mierne nižšie zaťaženie práce. Na druhej strane zaťaženie práce je v porovnaní s kapitálom zdaňované oveľa viac. Do úvahy je nutné vziať aj daňové straty z titulu výrazne nižšieho efektívneho zaťaženia rastúceho počtu SZČO a pravdepodobne väčší rozsah neformálneho sektora v porovnaní s vyspelými krajinami.</w:t>
      </w:r>
    </w:p>
    <w:p w:rsidR="000A6169" w:rsidRPr="00896984" w:rsidP="000A6169">
      <w:pPr>
        <w:pStyle w:val="ListParagraph"/>
        <w:numPr>
          <w:numId w:val="43"/>
        </w:numPr>
        <w:bidi w:val="0"/>
        <w:jc w:val="both"/>
        <w:rPr>
          <w:rFonts w:ascii="Times New Roman" w:hAnsi="Times New Roman" w:cs="Times New Roman"/>
        </w:rPr>
      </w:pPr>
      <w:r w:rsidRPr="00896984">
        <w:rPr>
          <w:rFonts w:ascii="Times New Roman" w:hAnsi="Times New Roman" w:cs="Times New Roman"/>
          <w:b/>
        </w:rPr>
        <w:t>Efektivita výberu DPH</w:t>
      </w:r>
      <w:r w:rsidRPr="00896984">
        <w:rPr>
          <w:rFonts w:ascii="Times New Roman" w:hAnsi="Times New Roman" w:cs="Times New Roman"/>
        </w:rPr>
        <w:t xml:space="preserve"> </w:t>
      </w:r>
      <w:r w:rsidRPr="00896984">
        <w:rPr>
          <w:rFonts w:ascii="Times New Roman" w:hAnsi="Times New Roman" w:cs="Times New Roman"/>
          <w:b/>
        </w:rPr>
        <w:t>(daňové úniky)</w:t>
      </w:r>
      <w:r w:rsidRPr="00896984">
        <w:rPr>
          <w:rFonts w:ascii="Times New Roman" w:hAnsi="Times New Roman" w:cs="Times New Roman"/>
        </w:rPr>
        <w:t xml:space="preserve"> – skutočnosť, že napriek vysokej efektívnej sadzbe DPH (18,8 %) s minimálnym počtom tovarov v zníženej sadzbe a porovnateľnej daňovej základni sú príjmy z DPH ako podiel na HDP nižšie ako priemer EÚ indikuje, že výnos DPH nie je na úrovni, ktorá by zodpovedala legislatívnemu nastaveniu dane. Príčinou sú vyššie daňové úniky ako v ostatných krajinách EÚ. Pokiaľ by sa opatreniami zabezpečilo zlepšenie výberu na úroveň priemeru EÚ 27, podľa doterajších predbežných odhadov by dodatočný výnos dane mohol dosiahnuť 1,6 % HDP (1,1 mld. </w:t>
      </w:r>
      <w:r w:rsidRPr="00896984" w:rsidR="00457027">
        <w:rPr>
          <w:rFonts w:ascii="Times New Roman" w:hAnsi="Times New Roman" w:cs="Times New Roman"/>
        </w:rPr>
        <w:t>e</w:t>
      </w:r>
      <w:r w:rsidRPr="00896984">
        <w:rPr>
          <w:rFonts w:ascii="Times New Roman" w:hAnsi="Times New Roman" w:cs="Times New Roman"/>
        </w:rPr>
        <w:t xml:space="preserve">ur). </w:t>
      </w:r>
    </w:p>
    <w:p w:rsidR="000A6169" w:rsidRPr="00896984" w:rsidP="000A6169">
      <w:pPr>
        <w:pStyle w:val="ListParagraph"/>
        <w:numPr>
          <w:numId w:val="43"/>
        </w:numPr>
        <w:bidi w:val="0"/>
        <w:jc w:val="both"/>
        <w:rPr>
          <w:rFonts w:ascii="Times New Roman" w:hAnsi="Times New Roman" w:cs="Times New Roman"/>
          <w:b/>
        </w:rPr>
      </w:pPr>
      <w:r w:rsidRPr="00896984">
        <w:rPr>
          <w:rFonts w:ascii="Times New Roman" w:hAnsi="Times New Roman" w:cs="Times New Roman"/>
          <w:b/>
        </w:rPr>
        <w:t xml:space="preserve">Zdaňovanie nehnuteľností </w:t>
      </w:r>
      <w:r w:rsidRPr="00896984">
        <w:rPr>
          <w:rFonts w:ascii="Times New Roman" w:hAnsi="Times New Roman" w:cs="Times New Roman"/>
        </w:rPr>
        <w:t>– v porovnaní s vyspelými krajinami EÚ a OECD má Slovensko veľmi nízke zdanenie nehnuteľností, pričom ide o daň, ktorá má veľmi nízky negatívny efekt na ekonomický rast oproti ostatným daniam (najmä daniam z príjmov) a zároveň je možné dosiahnuť vysokú efektívnosť výberu dane – predmet dane je viditeľný a nehnuteľný, čo znižuje možnosť vyhýbať sa plateniu dane.</w:t>
      </w:r>
    </w:p>
    <w:p w:rsidR="000A6169" w:rsidRPr="00F90A86" w:rsidP="000A6169">
      <w:pPr>
        <w:pStyle w:val="ListParagraph"/>
        <w:numPr>
          <w:numId w:val="43"/>
        </w:numPr>
        <w:bidi w:val="0"/>
        <w:jc w:val="both"/>
        <w:rPr>
          <w:rFonts w:ascii="Times New Roman" w:hAnsi="Times New Roman" w:cs="Times New Roman"/>
          <w:b/>
        </w:rPr>
      </w:pPr>
      <w:r w:rsidRPr="00896984">
        <w:rPr>
          <w:rFonts w:ascii="Times New Roman" w:hAnsi="Times New Roman" w:cs="Times New Roman"/>
          <w:b/>
        </w:rPr>
        <w:t xml:space="preserve">Zdaňovanie energií – </w:t>
      </w:r>
      <w:r w:rsidRPr="00896984">
        <w:rPr>
          <w:rFonts w:ascii="Times New Roman" w:hAnsi="Times New Roman" w:cs="Times New Roman"/>
        </w:rPr>
        <w:t>napriek rastúcemu trendu za posledných deväť rokov je zdaňovanie energií v SR výrazne nižšie ako v EÚ a najmä v prípade nových energetických daní (uhlie, plyn, elektrina) existuje priestor na zvyšovanie sadzieb.</w:t>
      </w:r>
    </w:p>
    <w:p w:rsidR="00F90A86" w:rsidP="00F90A86">
      <w:pPr>
        <w:pStyle w:val="ListParagraph"/>
        <w:bidi w:val="0"/>
        <w:ind w:left="785"/>
        <w:jc w:val="both"/>
        <w:rPr>
          <w:rFonts w:ascii="Times New Roman" w:hAnsi="Times New Roman" w:cs="Times New Roman"/>
          <w:b/>
        </w:rPr>
      </w:pPr>
    </w:p>
    <w:p w:rsidR="00F90A86" w:rsidP="00F90A86">
      <w:pPr>
        <w:pStyle w:val="ListParagraph"/>
        <w:bidi w:val="0"/>
        <w:ind w:left="785"/>
        <w:jc w:val="both"/>
        <w:rPr>
          <w:rFonts w:ascii="Times New Roman" w:hAnsi="Times New Roman" w:cs="Times New Roman"/>
          <w:b/>
        </w:rPr>
      </w:pPr>
    </w:p>
    <w:p w:rsidR="00F90A86" w:rsidP="00F90A86">
      <w:pPr>
        <w:pStyle w:val="ListParagraph"/>
        <w:bidi w:val="0"/>
        <w:ind w:left="785"/>
        <w:jc w:val="both"/>
        <w:rPr>
          <w:rFonts w:ascii="Times New Roman" w:hAnsi="Times New Roman" w:cs="Times New Roman"/>
          <w:b/>
        </w:rPr>
      </w:pPr>
    </w:p>
    <w:p w:rsidR="00F90A86" w:rsidP="00F90A86">
      <w:pPr>
        <w:pStyle w:val="ListParagraph"/>
        <w:bidi w:val="0"/>
        <w:ind w:left="785"/>
        <w:jc w:val="both"/>
        <w:rPr>
          <w:rFonts w:ascii="Times New Roman" w:hAnsi="Times New Roman" w:cs="Times New Roman"/>
          <w:b/>
        </w:rPr>
      </w:pPr>
    </w:p>
    <w:p w:rsidR="00D01F5D" w:rsidP="00F90A86">
      <w:pPr>
        <w:pStyle w:val="ListParagraph"/>
        <w:bidi w:val="0"/>
        <w:ind w:left="785"/>
        <w:jc w:val="both"/>
        <w:rPr>
          <w:rFonts w:ascii="Times New Roman" w:hAnsi="Times New Roman" w:cs="Times New Roman"/>
          <w:b/>
        </w:rPr>
      </w:pPr>
    </w:p>
    <w:p w:rsidR="00F90A86" w:rsidP="00F90A86">
      <w:pPr>
        <w:pStyle w:val="ListParagraph"/>
        <w:bidi w:val="0"/>
        <w:ind w:left="785"/>
        <w:jc w:val="both"/>
        <w:rPr>
          <w:rFonts w:ascii="Times New Roman" w:hAnsi="Times New Roman" w:cs="Times New Roman"/>
          <w:b/>
        </w:rPr>
      </w:pPr>
    </w:p>
    <w:p w:rsidR="00F90A86" w:rsidRPr="00896984" w:rsidP="00F90A86">
      <w:pPr>
        <w:pStyle w:val="ListParagraph"/>
        <w:bidi w:val="0"/>
        <w:ind w:left="785"/>
        <w:jc w:val="both"/>
        <w:rPr>
          <w:rFonts w:ascii="Times New Roman" w:hAnsi="Times New Roman" w:cs="Times New Roman"/>
          <w:b/>
        </w:rPr>
      </w:pPr>
    </w:p>
    <w:tbl>
      <w:tblPr>
        <w:tblStyle w:val="TableGrid"/>
        <w:tblW w:w="9212" w:type="dxa"/>
        <w:tblInd w:w="108" w:type="dxa"/>
        <w:tblLook w:val="04A0"/>
      </w:tblPr>
      <w:tblGrid>
        <w:gridCol w:w="9212"/>
      </w:tblGrid>
      <w:tr>
        <w:tblPrEx>
          <w:tblW w:w="9212" w:type="dxa"/>
          <w:tblInd w:w="108" w:type="dxa"/>
          <w:tblLook w:val="04A0"/>
        </w:tblPrEx>
        <w:tc>
          <w:tcPr>
            <w:tcW w:w="9212" w:type="dxa"/>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0A6169" w:rsidRPr="00896984" w:rsidP="00942EF3">
            <w:pPr>
              <w:bidi w:val="0"/>
              <w:jc w:val="both"/>
              <w:rPr>
                <w:rFonts w:ascii="Times New Roman" w:eastAsia="Calibri" w:hAnsi="Times New Roman" w:cs="Times New Roman"/>
                <w:b/>
                <w:sz w:val="10"/>
                <w:szCs w:val="10"/>
              </w:rPr>
            </w:pPr>
          </w:p>
          <w:p w:rsidR="000A6169" w:rsidRPr="00896984" w:rsidP="00942EF3">
            <w:pPr>
              <w:bidi w:val="0"/>
              <w:jc w:val="both"/>
              <w:rPr>
                <w:rFonts w:ascii="Times New Roman" w:eastAsia="Calibri" w:hAnsi="Times New Roman" w:cs="Times New Roman" w:hint="default"/>
                <w:b/>
              </w:rPr>
            </w:pPr>
            <w:r w:rsidRPr="00896984">
              <w:rPr>
                <w:rFonts w:ascii="Times New Roman" w:eastAsia="Calibri" w:hAnsi="Times New Roman" w:cs="Times New Roman" w:hint="default"/>
                <w:b/>
              </w:rPr>
              <w:t>BOX: Š</w:t>
            </w:r>
            <w:r w:rsidRPr="00896984">
              <w:rPr>
                <w:rFonts w:ascii="Times New Roman" w:eastAsia="Calibri" w:hAnsi="Times New Roman" w:cs="Times New Roman" w:hint="default"/>
                <w:b/>
              </w:rPr>
              <w:t>truktú</w:t>
            </w:r>
            <w:r w:rsidRPr="00896984">
              <w:rPr>
                <w:rFonts w:ascii="Times New Roman" w:eastAsia="Calibri" w:hAnsi="Times New Roman" w:cs="Times New Roman" w:hint="default"/>
                <w:b/>
              </w:rPr>
              <w:t>ra daň</w:t>
            </w:r>
            <w:r w:rsidRPr="00896984">
              <w:rPr>
                <w:rFonts w:ascii="Times New Roman" w:eastAsia="Calibri" w:hAnsi="Times New Roman" w:cs="Times New Roman" w:hint="default"/>
                <w:b/>
              </w:rPr>
              <w:t>ové</w:t>
            </w:r>
            <w:r w:rsidRPr="00896984">
              <w:rPr>
                <w:rFonts w:ascii="Times New Roman" w:eastAsia="Calibri" w:hAnsi="Times New Roman" w:cs="Times New Roman" w:hint="default"/>
                <w:b/>
              </w:rPr>
              <w:t>ho systé</w:t>
            </w:r>
            <w:r w:rsidRPr="00896984">
              <w:rPr>
                <w:rFonts w:ascii="Times New Roman" w:eastAsia="Calibri" w:hAnsi="Times New Roman" w:cs="Times New Roman" w:hint="default"/>
                <w:b/>
              </w:rPr>
              <w:t>mu by sa mala zmeniť</w:t>
            </w:r>
          </w:p>
          <w:p w:rsidR="000A6169" w:rsidRPr="00896984" w:rsidP="00942EF3">
            <w:pPr>
              <w:bidi w:val="0"/>
              <w:jc w:val="both"/>
              <w:rPr>
                <w:rFonts w:ascii="Times New Roman" w:eastAsia="Calibri" w:hAnsi="Times New Roman" w:cs="Times New Roman" w:hint="default"/>
                <w:b/>
              </w:rPr>
            </w:pPr>
          </w:p>
          <w:p w:rsidR="000A6169" w:rsidRPr="00896984" w:rsidP="00942EF3">
            <w:pPr>
              <w:bidi w:val="0"/>
              <w:jc w:val="both"/>
              <w:rPr>
                <w:rFonts w:ascii="Times New Roman" w:eastAsia="Calibri" w:hAnsi="Times New Roman" w:cs="Times New Roman" w:hint="default"/>
              </w:rPr>
            </w:pPr>
            <w:r w:rsidRPr="00896984">
              <w:rPr>
                <w:rFonts w:ascii="Times New Roman" w:eastAsia="Calibri" w:hAnsi="Times New Roman" w:cs="Times New Roman" w:hint="default"/>
              </w:rPr>
              <w:t>Š</w:t>
            </w:r>
            <w:r w:rsidRPr="00896984">
              <w:rPr>
                <w:rFonts w:ascii="Times New Roman" w:eastAsia="Calibri" w:hAnsi="Times New Roman" w:cs="Times New Roman" w:hint="default"/>
              </w:rPr>
              <w:t>truktú</w:t>
            </w:r>
            <w:r w:rsidRPr="00896984">
              <w:rPr>
                <w:rFonts w:ascii="Times New Roman" w:eastAsia="Calibri" w:hAnsi="Times New Roman" w:cs="Times New Roman" w:hint="default"/>
              </w:rPr>
              <w:t>ra daň</w:t>
            </w:r>
            <w:r w:rsidRPr="00896984">
              <w:rPr>
                <w:rFonts w:ascii="Times New Roman" w:eastAsia="Calibri" w:hAnsi="Times New Roman" w:cs="Times New Roman" w:hint="default"/>
              </w:rPr>
              <w:t>ové</w:t>
            </w:r>
            <w:r w:rsidRPr="00896984">
              <w:rPr>
                <w:rFonts w:ascii="Times New Roman" w:eastAsia="Calibri" w:hAnsi="Times New Roman" w:cs="Times New Roman" w:hint="default"/>
              </w:rPr>
              <w:t>ho systé</w:t>
            </w:r>
            <w:r w:rsidRPr="00896984">
              <w:rPr>
                <w:rFonts w:ascii="Times New Roman" w:eastAsia="Calibri" w:hAnsi="Times New Roman" w:cs="Times New Roman" w:hint="default"/>
              </w:rPr>
              <w:t>mu je jedný</w:t>
            </w:r>
            <w:r w:rsidRPr="00896984">
              <w:rPr>
                <w:rFonts w:ascii="Times New Roman" w:eastAsia="Calibri" w:hAnsi="Times New Roman" w:cs="Times New Roman" w:hint="default"/>
              </w:rPr>
              <w:t>m z </w:t>
            </w:r>
            <w:r w:rsidRPr="00896984">
              <w:rPr>
                <w:rFonts w:ascii="Times New Roman" w:eastAsia="Calibri" w:hAnsi="Times New Roman" w:cs="Times New Roman" w:hint="default"/>
              </w:rPr>
              <w:t>faktorov, ktoré</w:t>
            </w:r>
            <w:r w:rsidRPr="00896984">
              <w:rPr>
                <w:rFonts w:ascii="Times New Roman" w:eastAsia="Calibri" w:hAnsi="Times New Roman" w:cs="Times New Roman" w:hint="default"/>
              </w:rPr>
              <w:t xml:space="preserve"> vý</w:t>
            </w:r>
            <w:r w:rsidRPr="00896984">
              <w:rPr>
                <w:rFonts w:ascii="Times New Roman" w:eastAsia="Calibri" w:hAnsi="Times New Roman" w:cs="Times New Roman" w:hint="default"/>
              </w:rPr>
              <w:t>znamne ovplyvň</w:t>
            </w:r>
            <w:r w:rsidRPr="00896984">
              <w:rPr>
                <w:rFonts w:ascii="Times New Roman" w:eastAsia="Calibri" w:hAnsi="Times New Roman" w:cs="Times New Roman" w:hint="default"/>
              </w:rPr>
              <w:t>ujú</w:t>
            </w:r>
            <w:r w:rsidRPr="00896984">
              <w:rPr>
                <w:rFonts w:ascii="Times New Roman" w:eastAsia="Calibri" w:hAnsi="Times New Roman" w:cs="Times New Roman" w:hint="default"/>
              </w:rPr>
              <w:t xml:space="preserve"> ekonomický</w:t>
            </w:r>
            <w:r w:rsidRPr="00896984">
              <w:rPr>
                <w:rFonts w:ascii="Times New Roman" w:eastAsia="Calibri" w:hAnsi="Times New Roman" w:cs="Times New Roman" w:hint="default"/>
              </w:rPr>
              <w:t xml:space="preserve"> rast krajiny.  Z </w:t>
            </w:r>
            <w:r w:rsidRPr="00896984">
              <w:rPr>
                <w:rFonts w:ascii="Times New Roman" w:eastAsia="Calibri" w:hAnsi="Times New Roman" w:cs="Times New Roman" w:hint="default"/>
              </w:rPr>
              <w:t>tohto dô</w:t>
            </w:r>
            <w:r w:rsidRPr="00896984">
              <w:rPr>
                <w:rFonts w:ascii="Times New Roman" w:eastAsia="Calibri" w:hAnsi="Times New Roman" w:cs="Times New Roman" w:hint="default"/>
              </w:rPr>
              <w:t>vodu je dô</w:t>
            </w:r>
            <w:r w:rsidRPr="00896984">
              <w:rPr>
                <w:rFonts w:ascii="Times New Roman" w:eastAsia="Calibri" w:hAnsi="Times New Roman" w:cs="Times New Roman" w:hint="default"/>
              </w:rPr>
              <w:t>lež</w:t>
            </w:r>
            <w:r w:rsidRPr="00896984">
              <w:rPr>
                <w:rFonts w:ascii="Times New Roman" w:eastAsia="Calibri" w:hAnsi="Times New Roman" w:cs="Times New Roman" w:hint="default"/>
              </w:rPr>
              <w:t>ité</w:t>
            </w:r>
            <w:r w:rsidRPr="00896984">
              <w:rPr>
                <w:rFonts w:ascii="Times New Roman" w:eastAsia="Calibri" w:hAnsi="Times New Roman" w:cs="Times New Roman" w:hint="default"/>
              </w:rPr>
              <w:t xml:space="preserve"> pozerať</w:t>
            </w:r>
            <w:r w:rsidRPr="00896984">
              <w:rPr>
                <w:rFonts w:ascii="Times New Roman" w:eastAsia="Calibri" w:hAnsi="Times New Roman" w:cs="Times New Roman" w:hint="default"/>
              </w:rPr>
              <w:t xml:space="preserve"> sa na jednotlivé</w:t>
            </w:r>
            <w:r w:rsidRPr="00896984">
              <w:rPr>
                <w:rFonts w:ascii="Times New Roman" w:eastAsia="Calibri" w:hAnsi="Times New Roman" w:cs="Times New Roman" w:hint="default"/>
              </w:rPr>
              <w:t xml:space="preserve"> dane nielen ako na mož</w:t>
            </w:r>
            <w:r w:rsidRPr="00896984">
              <w:rPr>
                <w:rFonts w:ascii="Times New Roman" w:eastAsia="Calibri" w:hAnsi="Times New Roman" w:cs="Times New Roman" w:hint="default"/>
              </w:rPr>
              <w:t>ný</w:t>
            </w:r>
            <w:r w:rsidRPr="00896984">
              <w:rPr>
                <w:rFonts w:ascii="Times New Roman" w:eastAsia="Calibri" w:hAnsi="Times New Roman" w:cs="Times New Roman" w:hint="default"/>
              </w:rPr>
              <w:t xml:space="preserve"> zdroj prí</w:t>
            </w:r>
            <w:r w:rsidRPr="00896984">
              <w:rPr>
                <w:rFonts w:ascii="Times New Roman" w:eastAsia="Calibri" w:hAnsi="Times New Roman" w:cs="Times New Roman" w:hint="default"/>
              </w:rPr>
              <w:t>jmov rozpoč</w:t>
            </w:r>
            <w:r w:rsidRPr="00896984">
              <w:rPr>
                <w:rFonts w:ascii="Times New Roman" w:eastAsia="Calibri" w:hAnsi="Times New Roman" w:cs="Times New Roman" w:hint="default"/>
              </w:rPr>
              <w:t>tu, ale aj  z </w:t>
            </w:r>
            <w:r w:rsidRPr="00896984">
              <w:rPr>
                <w:rFonts w:ascii="Times New Roman" w:eastAsia="Calibri" w:hAnsi="Times New Roman" w:cs="Times New Roman" w:hint="default"/>
              </w:rPr>
              <w:t>pohľ</w:t>
            </w:r>
            <w:r w:rsidRPr="00896984">
              <w:rPr>
                <w:rFonts w:ascii="Times New Roman" w:eastAsia="Calibri" w:hAnsi="Times New Roman" w:cs="Times New Roman" w:hint="default"/>
              </w:rPr>
              <w:t>adu ich vplyvu na hospodá</w:t>
            </w:r>
            <w:r w:rsidRPr="00896984">
              <w:rPr>
                <w:rFonts w:ascii="Times New Roman" w:eastAsia="Calibri" w:hAnsi="Times New Roman" w:cs="Times New Roman" w:hint="default"/>
              </w:rPr>
              <w:t>rsky rast. Pre</w:t>
            </w:r>
            <w:r w:rsidRPr="00896984">
              <w:rPr>
                <w:rFonts w:ascii="Times New Roman" w:eastAsia="Calibri" w:hAnsi="Times New Roman" w:cs="Times New Roman" w:hint="default"/>
              </w:rPr>
              <w:t>t</w:t>
            </w:r>
            <w:r w:rsidRPr="00896984">
              <w:rPr>
                <w:rFonts w:ascii="Times New Roman" w:eastAsia="Calibri" w:hAnsi="Times New Roman" w:cs="Times New Roman" w:hint="default"/>
              </w:rPr>
              <w:t>o v </w:t>
            </w:r>
            <w:r w:rsidRPr="00896984">
              <w:rPr>
                <w:rFonts w:ascii="Times New Roman" w:eastAsia="Calibri" w:hAnsi="Times New Roman" w:cs="Times New Roman" w:hint="default"/>
              </w:rPr>
              <w:t>prí</w:t>
            </w:r>
            <w:r w:rsidRPr="00896984">
              <w:rPr>
                <w:rFonts w:ascii="Times New Roman" w:eastAsia="Calibri" w:hAnsi="Times New Roman" w:cs="Times New Roman" w:hint="default"/>
              </w:rPr>
              <w:t>pade potreby zmeny š</w:t>
            </w:r>
            <w:r w:rsidRPr="00896984">
              <w:rPr>
                <w:rFonts w:ascii="Times New Roman" w:eastAsia="Calibri" w:hAnsi="Times New Roman" w:cs="Times New Roman" w:hint="default"/>
              </w:rPr>
              <w:t>truktú</w:t>
            </w:r>
            <w:r w:rsidRPr="00896984">
              <w:rPr>
                <w:rFonts w:ascii="Times New Roman" w:eastAsia="Calibri" w:hAnsi="Times New Roman" w:cs="Times New Roman" w:hint="default"/>
              </w:rPr>
              <w:t>ry daň</w:t>
            </w:r>
            <w:r w:rsidRPr="00896984">
              <w:rPr>
                <w:rFonts w:ascii="Times New Roman" w:eastAsia="Calibri" w:hAnsi="Times New Roman" w:cs="Times New Roman" w:hint="default"/>
              </w:rPr>
              <w:t>ové</w:t>
            </w:r>
            <w:r w:rsidRPr="00896984">
              <w:rPr>
                <w:rFonts w:ascii="Times New Roman" w:eastAsia="Calibri" w:hAnsi="Times New Roman" w:cs="Times New Roman" w:hint="default"/>
              </w:rPr>
              <w:t>ho systé</w:t>
            </w:r>
            <w:r w:rsidRPr="00896984">
              <w:rPr>
                <w:rFonts w:ascii="Times New Roman" w:eastAsia="Calibri" w:hAnsi="Times New Roman" w:cs="Times New Roman" w:hint="default"/>
              </w:rPr>
              <w:t>mu, resp. potreby zí</w:t>
            </w:r>
            <w:r w:rsidRPr="00896984">
              <w:rPr>
                <w:rFonts w:ascii="Times New Roman" w:eastAsia="Calibri" w:hAnsi="Times New Roman" w:cs="Times New Roman" w:hint="default"/>
              </w:rPr>
              <w:t>skania dodatoč</w:t>
            </w:r>
            <w:r w:rsidRPr="00896984">
              <w:rPr>
                <w:rFonts w:ascii="Times New Roman" w:eastAsia="Calibri" w:hAnsi="Times New Roman" w:cs="Times New Roman" w:hint="default"/>
              </w:rPr>
              <w:t>ný</w:t>
            </w:r>
            <w:r w:rsidRPr="00896984">
              <w:rPr>
                <w:rFonts w:ascii="Times New Roman" w:eastAsia="Calibri" w:hAnsi="Times New Roman" w:cs="Times New Roman" w:hint="default"/>
              </w:rPr>
              <w:t>ch prí</w:t>
            </w:r>
            <w:r w:rsidRPr="00896984">
              <w:rPr>
                <w:rFonts w:ascii="Times New Roman" w:eastAsia="Calibri" w:hAnsi="Times New Roman" w:cs="Times New Roman" w:hint="default"/>
              </w:rPr>
              <w:t>jmov pre konsolidá</w:t>
            </w:r>
            <w:r w:rsidRPr="00896984">
              <w:rPr>
                <w:rFonts w:ascii="Times New Roman" w:eastAsia="Calibri" w:hAnsi="Times New Roman" w:cs="Times New Roman" w:hint="default"/>
              </w:rPr>
              <w:t>ciu verejný</w:t>
            </w:r>
            <w:r w:rsidRPr="00896984">
              <w:rPr>
                <w:rFonts w:ascii="Times New Roman" w:eastAsia="Calibri" w:hAnsi="Times New Roman" w:cs="Times New Roman" w:hint="default"/>
              </w:rPr>
              <w:t>ch rozpoč</w:t>
            </w:r>
            <w:r w:rsidRPr="00896984">
              <w:rPr>
                <w:rFonts w:ascii="Times New Roman" w:eastAsia="Calibri" w:hAnsi="Times New Roman" w:cs="Times New Roman" w:hint="default"/>
              </w:rPr>
              <w:t>tov, by bolo vhodné</w:t>
            </w:r>
            <w:r w:rsidRPr="00896984">
              <w:rPr>
                <w:rFonts w:ascii="Times New Roman" w:eastAsia="Calibri" w:hAnsi="Times New Roman" w:cs="Times New Roman" w:hint="default"/>
              </w:rPr>
              <w:t xml:space="preserve">  zamerať</w:t>
            </w:r>
            <w:r w:rsidRPr="00896984">
              <w:rPr>
                <w:rFonts w:ascii="Times New Roman" w:eastAsia="Calibri" w:hAnsi="Times New Roman" w:cs="Times New Roman" w:hint="default"/>
              </w:rPr>
              <w:t xml:space="preserve"> sa najmä</w:t>
            </w:r>
            <w:r w:rsidRPr="00896984">
              <w:rPr>
                <w:rFonts w:ascii="Times New Roman" w:eastAsia="Calibri" w:hAnsi="Times New Roman" w:cs="Times New Roman" w:hint="default"/>
              </w:rPr>
              <w:t xml:space="preserve"> na zvýš</w:t>
            </w:r>
            <w:r w:rsidRPr="00896984">
              <w:rPr>
                <w:rFonts w:ascii="Times New Roman" w:eastAsia="Calibri" w:hAnsi="Times New Roman" w:cs="Times New Roman" w:hint="default"/>
              </w:rPr>
              <w:t>enie daní</w:t>
            </w:r>
            <w:r w:rsidRPr="00896984">
              <w:rPr>
                <w:rFonts w:ascii="Times New Roman" w:eastAsia="Calibri" w:hAnsi="Times New Roman" w:cs="Times New Roman" w:hint="default"/>
              </w:rPr>
              <w:t>, ktoré</w:t>
            </w:r>
            <w:r w:rsidRPr="00896984">
              <w:rPr>
                <w:rFonts w:ascii="Times New Roman" w:eastAsia="Calibri" w:hAnsi="Times New Roman" w:cs="Times New Roman" w:hint="default"/>
              </w:rPr>
              <w:t xml:space="preserve"> majú</w:t>
            </w:r>
            <w:r w:rsidRPr="00896984">
              <w:rPr>
                <w:rFonts w:ascii="Times New Roman" w:eastAsia="Calibri" w:hAnsi="Times New Roman" w:cs="Times New Roman" w:hint="default"/>
              </w:rPr>
              <w:t xml:space="preserve"> najmenší</w:t>
            </w:r>
            <w:r w:rsidRPr="00896984">
              <w:rPr>
                <w:rFonts w:ascii="Times New Roman" w:eastAsia="Calibri" w:hAnsi="Times New Roman" w:cs="Times New Roman" w:hint="default"/>
              </w:rPr>
              <w:t xml:space="preserve"> negatí</w:t>
            </w:r>
            <w:r w:rsidRPr="00896984">
              <w:rPr>
                <w:rFonts w:ascii="Times New Roman" w:eastAsia="Calibri" w:hAnsi="Times New Roman" w:cs="Times New Roman" w:hint="default"/>
              </w:rPr>
              <w:t xml:space="preserve">vny vplyv na rast*. </w:t>
            </w:r>
          </w:p>
          <w:p w:rsidR="000A6169" w:rsidRPr="00896984" w:rsidP="00942EF3">
            <w:pPr>
              <w:bidi w:val="0"/>
              <w:jc w:val="both"/>
              <w:rPr>
                <w:rFonts w:ascii="Times New Roman" w:eastAsia="Calibri" w:hAnsi="Times New Roman" w:cs="Times New Roman" w:hint="default"/>
              </w:rPr>
            </w:pPr>
          </w:p>
          <w:p w:rsidR="000A6169" w:rsidRPr="00896984" w:rsidP="00942EF3">
            <w:pPr>
              <w:bidi w:val="0"/>
              <w:jc w:val="both"/>
              <w:rPr>
                <w:rFonts w:ascii="Times New Roman" w:eastAsia="Calibri" w:hAnsi="Times New Roman" w:cs="Times New Roman" w:hint="default"/>
              </w:rPr>
            </w:pPr>
            <w:r w:rsidRPr="00896984">
              <w:rPr>
                <w:rFonts w:ascii="Times New Roman" w:eastAsia="Calibri" w:hAnsi="Times New Roman" w:cs="Times New Roman" w:hint="default"/>
              </w:rPr>
              <w:t>Z </w:t>
            </w:r>
            <w:r w:rsidRPr="00896984">
              <w:rPr>
                <w:rFonts w:ascii="Times New Roman" w:eastAsia="Calibri" w:hAnsi="Times New Roman" w:cs="Times New Roman" w:hint="default"/>
              </w:rPr>
              <w:t>hľ</w:t>
            </w:r>
            <w:r w:rsidRPr="00896984">
              <w:rPr>
                <w:rFonts w:ascii="Times New Roman" w:eastAsia="Calibri" w:hAnsi="Times New Roman" w:cs="Times New Roman" w:hint="default"/>
              </w:rPr>
              <w:t>adiska podielu daň</w:t>
            </w:r>
            <w:r w:rsidRPr="00896984">
              <w:rPr>
                <w:rFonts w:ascii="Times New Roman" w:eastAsia="Calibri" w:hAnsi="Times New Roman" w:cs="Times New Roman" w:hint="default"/>
              </w:rPr>
              <w:t>ový</w:t>
            </w:r>
            <w:r w:rsidRPr="00896984">
              <w:rPr>
                <w:rFonts w:ascii="Times New Roman" w:eastAsia="Calibri" w:hAnsi="Times New Roman" w:cs="Times New Roman" w:hint="default"/>
              </w:rPr>
              <w:t>ch prí</w:t>
            </w:r>
            <w:r w:rsidRPr="00896984">
              <w:rPr>
                <w:rFonts w:ascii="Times New Roman" w:eastAsia="Calibri" w:hAnsi="Times New Roman" w:cs="Times New Roman" w:hint="default"/>
              </w:rPr>
              <w:t>jmov z menej a </w:t>
            </w:r>
            <w:r w:rsidRPr="00896984">
              <w:rPr>
                <w:rFonts w:ascii="Times New Roman" w:eastAsia="Calibri" w:hAnsi="Times New Roman" w:cs="Times New Roman" w:hint="default"/>
              </w:rPr>
              <w:t>viac š</w:t>
            </w:r>
            <w:r w:rsidRPr="00896984">
              <w:rPr>
                <w:rFonts w:ascii="Times New Roman" w:eastAsia="Calibri" w:hAnsi="Times New Roman" w:cs="Times New Roman" w:hint="default"/>
              </w:rPr>
              <w:t>kodlivý</w:t>
            </w:r>
            <w:r w:rsidRPr="00896984">
              <w:rPr>
                <w:rFonts w:ascii="Times New Roman" w:eastAsia="Calibri" w:hAnsi="Times New Roman" w:cs="Times New Roman" w:hint="default"/>
              </w:rPr>
              <w:t>ch  daní</w:t>
            </w:r>
            <w:r w:rsidRPr="00896984">
              <w:rPr>
                <w:rFonts w:ascii="Times New Roman" w:eastAsia="Calibri" w:hAnsi="Times New Roman" w:cs="Times New Roman" w:hint="default"/>
              </w:rPr>
              <w:t xml:space="preserve"> patrí</w:t>
            </w:r>
            <w:r w:rsidRPr="00896984">
              <w:rPr>
                <w:rFonts w:ascii="Times New Roman" w:eastAsia="Calibri" w:hAnsi="Times New Roman" w:cs="Times New Roman" w:hint="default"/>
              </w:rPr>
              <w:t xml:space="preserve"> daň</w:t>
            </w:r>
            <w:r w:rsidRPr="00896984">
              <w:rPr>
                <w:rFonts w:ascii="Times New Roman" w:eastAsia="Calibri" w:hAnsi="Times New Roman" w:cs="Times New Roman" w:hint="default"/>
              </w:rPr>
              <w:t>ový</w:t>
            </w:r>
            <w:r w:rsidRPr="00896984">
              <w:rPr>
                <w:rFonts w:ascii="Times New Roman" w:eastAsia="Calibri" w:hAnsi="Times New Roman" w:cs="Times New Roman" w:hint="default"/>
              </w:rPr>
              <w:t xml:space="preserve"> systé</w:t>
            </w:r>
            <w:r w:rsidRPr="00896984">
              <w:rPr>
                <w:rFonts w:ascii="Times New Roman" w:eastAsia="Calibri" w:hAnsi="Times New Roman" w:cs="Times New Roman" w:hint="default"/>
              </w:rPr>
              <w:t>m v </w:t>
            </w:r>
            <w:r w:rsidRPr="00896984">
              <w:rPr>
                <w:rFonts w:ascii="Times New Roman" w:eastAsia="Calibri" w:hAnsi="Times New Roman" w:cs="Times New Roman" w:hint="default"/>
              </w:rPr>
              <w:t>SR medzi priemer Euró</w:t>
            </w:r>
            <w:r w:rsidRPr="00896984">
              <w:rPr>
                <w:rFonts w:ascii="Times New Roman" w:eastAsia="Calibri" w:hAnsi="Times New Roman" w:cs="Times New Roman" w:hint="default"/>
              </w:rPr>
              <w:t>pskej ú</w:t>
            </w:r>
            <w:r w:rsidRPr="00896984">
              <w:rPr>
                <w:rFonts w:ascii="Times New Roman" w:eastAsia="Calibri" w:hAnsi="Times New Roman" w:cs="Times New Roman" w:hint="default"/>
              </w:rPr>
              <w:t>nie. Z </w:t>
            </w:r>
            <w:r w:rsidRPr="00896984">
              <w:rPr>
                <w:rFonts w:ascii="Times New Roman" w:eastAsia="Calibri" w:hAnsi="Times New Roman" w:cs="Times New Roman" w:hint="default"/>
              </w:rPr>
              <w:t>celkový</w:t>
            </w:r>
            <w:r w:rsidRPr="00896984">
              <w:rPr>
                <w:rFonts w:ascii="Times New Roman" w:eastAsia="Calibri" w:hAnsi="Times New Roman" w:cs="Times New Roman" w:hint="default"/>
              </w:rPr>
              <w:t>ch daň</w:t>
            </w:r>
            <w:r w:rsidRPr="00896984">
              <w:rPr>
                <w:rFonts w:ascii="Times New Roman" w:eastAsia="Calibri" w:hAnsi="Times New Roman" w:cs="Times New Roman" w:hint="default"/>
              </w:rPr>
              <w:t>ový</w:t>
            </w:r>
            <w:r w:rsidRPr="00896984">
              <w:rPr>
                <w:rFonts w:ascii="Times New Roman" w:eastAsia="Calibri" w:hAnsi="Times New Roman" w:cs="Times New Roman" w:hint="default"/>
              </w:rPr>
              <w:t>ch prí</w:t>
            </w:r>
            <w:r w:rsidRPr="00896984">
              <w:rPr>
                <w:rFonts w:ascii="Times New Roman" w:eastAsia="Calibri" w:hAnsi="Times New Roman" w:cs="Times New Roman" w:hint="default"/>
              </w:rPr>
              <w:t>jmov tvoria dobré</w:t>
            </w:r>
            <w:r w:rsidRPr="00896984">
              <w:rPr>
                <w:rFonts w:ascii="Times New Roman" w:eastAsia="Calibri" w:hAnsi="Times New Roman" w:cs="Times New Roman" w:hint="default"/>
              </w:rPr>
              <w:t xml:space="preserve"> dane, teda tie ktoré</w:t>
            </w:r>
            <w:r w:rsidRPr="00896984">
              <w:rPr>
                <w:rFonts w:ascii="Times New Roman" w:eastAsia="Calibri" w:hAnsi="Times New Roman" w:cs="Times New Roman" w:hint="default"/>
              </w:rPr>
              <w:t xml:space="preserve"> majú</w:t>
            </w:r>
            <w:r w:rsidRPr="00896984">
              <w:rPr>
                <w:rFonts w:ascii="Times New Roman" w:eastAsia="Calibri" w:hAnsi="Times New Roman" w:cs="Times New Roman" w:hint="default"/>
              </w:rPr>
              <w:t xml:space="preserve"> najmenší</w:t>
            </w:r>
            <w:r w:rsidRPr="00896984">
              <w:rPr>
                <w:rFonts w:ascii="Times New Roman" w:eastAsia="Calibri" w:hAnsi="Times New Roman" w:cs="Times New Roman" w:hint="default"/>
              </w:rPr>
              <w:t xml:space="preserve"> negatí</w:t>
            </w:r>
            <w:r w:rsidRPr="00896984">
              <w:rPr>
                <w:rFonts w:ascii="Times New Roman" w:eastAsia="Calibri" w:hAnsi="Times New Roman" w:cs="Times New Roman" w:hint="default"/>
              </w:rPr>
              <w:t>vny vplyv na ekonomický</w:t>
            </w:r>
            <w:r w:rsidRPr="00896984">
              <w:rPr>
                <w:rFonts w:ascii="Times New Roman" w:eastAsia="Calibri" w:hAnsi="Times New Roman" w:cs="Times New Roman" w:hint="default"/>
              </w:rPr>
              <w:t xml:space="preserve"> rast, iba 36,2</w:t>
            </w:r>
            <w:r w:rsidRPr="00896984" w:rsidR="00457027">
              <w:rPr>
                <w:rFonts w:ascii="Times New Roman" w:eastAsia="Calibri" w:hAnsi="Times New Roman" w:cs="Times New Roman"/>
              </w:rPr>
              <w:t xml:space="preserve"> </w:t>
            </w:r>
            <w:r w:rsidRPr="00896984">
              <w:rPr>
                <w:rFonts w:ascii="Times New Roman" w:eastAsia="Calibri" w:hAnsi="Times New Roman" w:cs="Times New Roman"/>
              </w:rPr>
              <w:t>%. Z </w:t>
            </w:r>
            <w:r w:rsidRPr="00896984">
              <w:rPr>
                <w:rFonts w:ascii="Times New Roman" w:eastAsia="Calibri" w:hAnsi="Times New Roman" w:cs="Times New Roman" w:hint="default"/>
              </w:rPr>
              <w:t>tohto dô</w:t>
            </w:r>
            <w:r w:rsidRPr="00896984">
              <w:rPr>
                <w:rFonts w:ascii="Times New Roman" w:eastAsia="Calibri" w:hAnsi="Times New Roman" w:cs="Times New Roman" w:hint="default"/>
              </w:rPr>
              <w:t>vodu sa odporúč</w:t>
            </w:r>
            <w:r w:rsidRPr="00896984">
              <w:rPr>
                <w:rFonts w:ascii="Times New Roman" w:eastAsia="Calibri" w:hAnsi="Times New Roman" w:cs="Times New Roman" w:hint="default"/>
              </w:rPr>
              <w:t>a zvý</w:t>
            </w:r>
            <w:r w:rsidRPr="00896984">
              <w:rPr>
                <w:rFonts w:ascii="Times New Roman" w:eastAsia="Calibri" w:hAnsi="Times New Roman" w:cs="Times New Roman" w:hint="default"/>
              </w:rPr>
              <w:t>š</w:t>
            </w:r>
            <w:r w:rsidRPr="00896984">
              <w:rPr>
                <w:rFonts w:ascii="Times New Roman" w:eastAsia="Calibri" w:hAnsi="Times New Roman" w:cs="Times New Roman" w:hint="default"/>
              </w:rPr>
              <w:t>iť</w:t>
            </w:r>
            <w:r w:rsidRPr="00896984">
              <w:rPr>
                <w:rFonts w:ascii="Times New Roman" w:eastAsia="Calibri" w:hAnsi="Times New Roman" w:cs="Times New Roman" w:hint="default"/>
              </w:rPr>
              <w:t xml:space="preserve"> podiel menej š</w:t>
            </w:r>
            <w:r w:rsidRPr="00896984">
              <w:rPr>
                <w:rFonts w:ascii="Times New Roman" w:eastAsia="Calibri" w:hAnsi="Times New Roman" w:cs="Times New Roman" w:hint="default"/>
              </w:rPr>
              <w:t>kodlivý</w:t>
            </w:r>
            <w:r w:rsidRPr="00896984">
              <w:rPr>
                <w:rFonts w:ascii="Times New Roman" w:eastAsia="Calibri" w:hAnsi="Times New Roman" w:cs="Times New Roman" w:hint="default"/>
              </w:rPr>
              <w:t>ch daní</w:t>
            </w:r>
            <w:r w:rsidRPr="00896984">
              <w:rPr>
                <w:rFonts w:ascii="Times New Roman" w:eastAsia="Calibri" w:hAnsi="Times New Roman" w:cs="Times New Roman" w:hint="default"/>
              </w:rPr>
              <w:t xml:space="preserve"> zvýš</w:t>
            </w:r>
            <w:r w:rsidRPr="00896984">
              <w:rPr>
                <w:rFonts w:ascii="Times New Roman" w:eastAsia="Calibri" w:hAnsi="Times New Roman" w:cs="Times New Roman" w:hint="default"/>
              </w:rPr>
              <w:t>ení</w:t>
            </w:r>
            <w:r w:rsidRPr="00896984">
              <w:rPr>
                <w:rFonts w:ascii="Times New Roman" w:eastAsia="Calibri" w:hAnsi="Times New Roman" w:cs="Times New Roman" w:hint="default"/>
              </w:rPr>
              <w:t>m zdaň</w:t>
            </w:r>
            <w:r w:rsidRPr="00896984">
              <w:rPr>
                <w:rFonts w:ascii="Times New Roman" w:eastAsia="Calibri" w:hAnsi="Times New Roman" w:cs="Times New Roman" w:hint="default"/>
              </w:rPr>
              <w:t>ovania energií</w:t>
            </w:r>
            <w:r w:rsidRPr="00896984">
              <w:rPr>
                <w:rFonts w:ascii="Times New Roman" w:eastAsia="Calibri" w:hAnsi="Times New Roman" w:cs="Times New Roman" w:hint="default"/>
              </w:rPr>
              <w:t xml:space="preserve"> (pri vý</w:t>
            </w:r>
            <w:r w:rsidRPr="00896984">
              <w:rPr>
                <w:rFonts w:ascii="Times New Roman" w:eastAsia="Calibri" w:hAnsi="Times New Roman" w:cs="Times New Roman" w:hint="default"/>
              </w:rPr>
              <w:t>robe ale aj spotrebe energií</w:t>
            </w:r>
            <w:r w:rsidRPr="00896984">
              <w:rPr>
                <w:rFonts w:ascii="Times New Roman" w:eastAsia="Calibri" w:hAnsi="Times New Roman" w:cs="Times New Roman" w:hint="default"/>
              </w:rPr>
              <w:t xml:space="preserve"> vznikajú</w:t>
            </w:r>
            <w:r w:rsidRPr="00896984">
              <w:rPr>
                <w:rFonts w:ascii="Times New Roman" w:eastAsia="Calibri" w:hAnsi="Times New Roman" w:cs="Times New Roman" w:hint="default"/>
              </w:rPr>
              <w:t xml:space="preserve"> negatí</w:t>
            </w:r>
            <w:r w:rsidRPr="00896984">
              <w:rPr>
                <w:rFonts w:ascii="Times New Roman" w:eastAsia="Calibri" w:hAnsi="Times New Roman" w:cs="Times New Roman" w:hint="default"/>
              </w:rPr>
              <w:t>vne externality vo forme zneč</w:t>
            </w:r>
            <w:r w:rsidRPr="00896984">
              <w:rPr>
                <w:rFonts w:ascii="Times New Roman" w:eastAsia="Calibri" w:hAnsi="Times New Roman" w:cs="Times New Roman" w:hint="default"/>
              </w:rPr>
              <w:t>isť</w:t>
            </w:r>
            <w:r w:rsidRPr="00896984">
              <w:rPr>
                <w:rFonts w:ascii="Times New Roman" w:eastAsia="Calibri" w:hAnsi="Times New Roman" w:cs="Times New Roman" w:hint="default"/>
              </w:rPr>
              <w:t>ovania ž</w:t>
            </w:r>
            <w:r w:rsidRPr="00896984">
              <w:rPr>
                <w:rFonts w:ascii="Times New Roman" w:eastAsia="Calibri" w:hAnsi="Times New Roman" w:cs="Times New Roman" w:hint="default"/>
              </w:rPr>
              <w:t>ivotné</w:t>
            </w:r>
            <w:r w:rsidRPr="00896984">
              <w:rPr>
                <w:rFonts w:ascii="Times New Roman" w:eastAsia="Calibri" w:hAnsi="Times New Roman" w:cs="Times New Roman" w:hint="default"/>
              </w:rPr>
              <w:t>ho prostredia), zvýš</w:t>
            </w:r>
            <w:r w:rsidRPr="00896984">
              <w:rPr>
                <w:rFonts w:ascii="Times New Roman" w:eastAsia="Calibri" w:hAnsi="Times New Roman" w:cs="Times New Roman" w:hint="default"/>
              </w:rPr>
              <w:t>ení</w:t>
            </w:r>
            <w:r w:rsidRPr="00896984">
              <w:rPr>
                <w:rFonts w:ascii="Times New Roman" w:eastAsia="Calibri" w:hAnsi="Times New Roman" w:cs="Times New Roman" w:hint="default"/>
              </w:rPr>
              <w:t>m daní</w:t>
            </w:r>
            <w:r w:rsidRPr="00896984">
              <w:rPr>
                <w:rFonts w:ascii="Times New Roman" w:eastAsia="Calibri" w:hAnsi="Times New Roman" w:cs="Times New Roman" w:hint="default"/>
              </w:rPr>
              <w:t xml:space="preserve"> z </w:t>
            </w:r>
            <w:r w:rsidRPr="00896984">
              <w:rPr>
                <w:rFonts w:ascii="Times New Roman" w:eastAsia="Calibri" w:hAnsi="Times New Roman" w:cs="Times New Roman" w:hint="default"/>
              </w:rPr>
              <w:t>majetku (naprí</w:t>
            </w:r>
            <w:r w:rsidRPr="00896984">
              <w:rPr>
                <w:rFonts w:ascii="Times New Roman" w:eastAsia="Calibri" w:hAnsi="Times New Roman" w:cs="Times New Roman" w:hint="default"/>
              </w:rPr>
              <w:t>klad nehnuteľ</w:t>
            </w:r>
            <w:r w:rsidRPr="00896984">
              <w:rPr>
                <w:rFonts w:ascii="Times New Roman" w:eastAsia="Calibri" w:hAnsi="Times New Roman" w:cs="Times New Roman" w:hint="default"/>
              </w:rPr>
              <w:t>nosti) a </w:t>
            </w:r>
            <w:r w:rsidRPr="00896984">
              <w:rPr>
                <w:rFonts w:ascii="Times New Roman" w:eastAsia="Calibri" w:hAnsi="Times New Roman" w:cs="Times New Roman" w:hint="default"/>
              </w:rPr>
              <w:t>zjednotení</w:t>
            </w:r>
            <w:r w:rsidRPr="00896984">
              <w:rPr>
                <w:rFonts w:ascii="Times New Roman" w:eastAsia="Calibri" w:hAnsi="Times New Roman" w:cs="Times New Roman" w:hint="default"/>
              </w:rPr>
              <w:t>m sadzieb DPH na ú</w:t>
            </w:r>
            <w:r w:rsidRPr="00896984">
              <w:rPr>
                <w:rFonts w:ascii="Times New Roman" w:eastAsia="Calibri" w:hAnsi="Times New Roman" w:cs="Times New Roman" w:hint="default"/>
              </w:rPr>
              <w:t>r</w:t>
            </w:r>
            <w:r w:rsidRPr="00896984">
              <w:rPr>
                <w:rFonts w:ascii="Times New Roman" w:eastAsia="Calibri" w:hAnsi="Times New Roman" w:cs="Times New Roman" w:hint="default"/>
              </w:rPr>
              <w:t>o</w:t>
            </w:r>
            <w:r w:rsidRPr="00896984">
              <w:rPr>
                <w:rFonts w:ascii="Times New Roman" w:eastAsia="Calibri" w:hAnsi="Times New Roman" w:cs="Times New Roman" w:hint="default"/>
              </w:rPr>
              <w:t>vni 20</w:t>
            </w:r>
            <w:r w:rsidRPr="00896984" w:rsidR="00457027">
              <w:rPr>
                <w:rFonts w:ascii="Times New Roman" w:eastAsia="Calibri" w:hAnsi="Times New Roman" w:cs="Times New Roman"/>
              </w:rPr>
              <w:t xml:space="preserve"> </w:t>
            </w:r>
            <w:r w:rsidRPr="00896984">
              <w:rPr>
                <w:rFonts w:ascii="Times New Roman" w:eastAsia="Calibri" w:hAnsi="Times New Roman" w:cs="Times New Roman" w:hint="default"/>
              </w:rPr>
              <w:t>%.  Zá</w:t>
            </w:r>
            <w:r w:rsidRPr="00896984">
              <w:rPr>
                <w:rFonts w:ascii="Times New Roman" w:eastAsia="Calibri" w:hAnsi="Times New Roman" w:cs="Times New Roman" w:hint="default"/>
              </w:rPr>
              <w:t>roveň</w:t>
            </w:r>
            <w:r w:rsidRPr="00896984">
              <w:rPr>
                <w:rFonts w:ascii="Times New Roman" w:eastAsia="Calibri" w:hAnsi="Times New Roman" w:cs="Times New Roman" w:hint="default"/>
              </w:rPr>
              <w:t xml:space="preserve"> by sa mali zníž</w:t>
            </w:r>
            <w:r w:rsidRPr="00896984">
              <w:rPr>
                <w:rFonts w:ascii="Times New Roman" w:eastAsia="Calibri" w:hAnsi="Times New Roman" w:cs="Times New Roman" w:hint="default"/>
              </w:rPr>
              <w:t>iť</w:t>
            </w:r>
            <w:r w:rsidRPr="00896984">
              <w:rPr>
                <w:rFonts w:ascii="Times New Roman" w:eastAsia="Calibri" w:hAnsi="Times New Roman" w:cs="Times New Roman" w:hint="default"/>
              </w:rPr>
              <w:t xml:space="preserve"> dane zať</w:t>
            </w:r>
            <w:r w:rsidRPr="00896984">
              <w:rPr>
                <w:rFonts w:ascii="Times New Roman" w:eastAsia="Calibri" w:hAnsi="Times New Roman" w:cs="Times New Roman" w:hint="default"/>
              </w:rPr>
              <w:t>až</w:t>
            </w:r>
            <w:r w:rsidRPr="00896984">
              <w:rPr>
                <w:rFonts w:ascii="Times New Roman" w:eastAsia="Calibri" w:hAnsi="Times New Roman" w:cs="Times New Roman" w:hint="default"/>
              </w:rPr>
              <w:t>ujú</w:t>
            </w:r>
            <w:r w:rsidRPr="00896984">
              <w:rPr>
                <w:rFonts w:ascii="Times New Roman" w:eastAsia="Calibri" w:hAnsi="Times New Roman" w:cs="Times New Roman" w:hint="default"/>
              </w:rPr>
              <w:t>ce </w:t>
            </w:r>
            <w:r w:rsidRPr="00896984">
              <w:rPr>
                <w:rFonts w:ascii="Times New Roman" w:eastAsia="Calibri" w:hAnsi="Times New Roman" w:cs="Times New Roman" w:hint="default"/>
              </w:rPr>
              <w:t>prá</w:t>
            </w:r>
            <w:r w:rsidRPr="00896984">
              <w:rPr>
                <w:rFonts w:ascii="Times New Roman" w:eastAsia="Calibri" w:hAnsi="Times New Roman" w:cs="Times New Roman" w:hint="default"/>
              </w:rPr>
              <w:t>cu, najmä</w:t>
            </w:r>
            <w:r w:rsidRPr="00896984">
              <w:rPr>
                <w:rFonts w:ascii="Times New Roman" w:eastAsia="Calibri" w:hAnsi="Times New Roman" w:cs="Times New Roman" w:hint="default"/>
              </w:rPr>
              <w:t xml:space="preserve"> sociá</w:t>
            </w:r>
            <w:r w:rsidRPr="00896984">
              <w:rPr>
                <w:rFonts w:ascii="Times New Roman" w:eastAsia="Calibri" w:hAnsi="Times New Roman" w:cs="Times New Roman" w:hint="default"/>
              </w:rPr>
              <w:t>lne  odvody a </w:t>
            </w:r>
            <w:r w:rsidRPr="00896984">
              <w:rPr>
                <w:rFonts w:ascii="Times New Roman" w:eastAsia="Calibri" w:hAnsi="Times New Roman" w:cs="Times New Roman" w:hint="default"/>
              </w:rPr>
              <w:t>daň</w:t>
            </w:r>
            <w:r w:rsidRPr="00896984">
              <w:rPr>
                <w:rFonts w:ascii="Times New Roman" w:eastAsia="Calibri" w:hAnsi="Times New Roman" w:cs="Times New Roman" w:hint="default"/>
              </w:rPr>
              <w:t xml:space="preserve"> z </w:t>
            </w:r>
            <w:r w:rsidRPr="00896984">
              <w:rPr>
                <w:rFonts w:ascii="Times New Roman" w:eastAsia="Calibri" w:hAnsi="Times New Roman" w:cs="Times New Roman" w:hint="default"/>
              </w:rPr>
              <w:t>prí</w:t>
            </w:r>
            <w:r w:rsidRPr="00896984">
              <w:rPr>
                <w:rFonts w:ascii="Times New Roman" w:eastAsia="Calibri" w:hAnsi="Times New Roman" w:cs="Times New Roman" w:hint="default"/>
              </w:rPr>
              <w:t>jmov fyzický</w:t>
            </w:r>
            <w:r w:rsidRPr="00896984">
              <w:rPr>
                <w:rFonts w:ascii="Times New Roman" w:eastAsia="Calibri" w:hAnsi="Times New Roman" w:cs="Times New Roman" w:hint="default"/>
              </w:rPr>
              <w:t>ch osô</w:t>
            </w:r>
            <w:r w:rsidRPr="00896984">
              <w:rPr>
                <w:rFonts w:ascii="Times New Roman" w:eastAsia="Calibri" w:hAnsi="Times New Roman" w:cs="Times New Roman" w:hint="default"/>
              </w:rPr>
              <w:t xml:space="preserve">b. </w:t>
            </w:r>
          </w:p>
          <w:p w:rsidR="000A6169" w:rsidRPr="00896984" w:rsidP="00942EF3">
            <w:pPr>
              <w:bidi w:val="0"/>
              <w:jc w:val="both"/>
              <w:rPr>
                <w:rFonts w:ascii="Times New Roman" w:eastAsia="Calibri" w:hAnsi="Times New Roman" w:cs="Times New Roman" w:hint="default"/>
              </w:rPr>
            </w:pPr>
          </w:p>
          <w:tbl>
            <w:tblPr>
              <w:tblStyle w:val="TableNormal"/>
              <w:tblpPr w:leftFromText="141" w:rightFromText="141" w:vertAnchor="text" w:horzAnchor="margin" w:tblpXSpec="center" w:tblpY="-126"/>
              <w:tblOverlap w:val="never"/>
              <w:tblW w:w="7981" w:type="dxa"/>
              <w:tblBorders>
                <w:insideV w:val="single" w:sz="4" w:space="0" w:color="auto"/>
              </w:tblBorders>
              <w:tblLook w:val="01E0"/>
            </w:tblPr>
            <w:tblGrid>
              <w:gridCol w:w="3965"/>
              <w:gridCol w:w="4016"/>
            </w:tblGrid>
            <w:tr>
              <w:tblPrEx>
                <w:tblW w:w="7981" w:type="dxa"/>
                <w:tblBorders>
                  <w:insideV w:val="single" w:sz="4" w:space="0" w:color="auto"/>
                </w:tblBorders>
                <w:tblLook w:val="01E0"/>
              </w:tblPrEx>
              <w:trPr>
                <w:trHeight w:val="63"/>
              </w:trPr>
              <w:tc>
                <w:tcPr>
                  <w:tcW w:w="3965" w:type="dxa"/>
                  <w:tcBorders>
                    <w:top w:val="none" w:sz="0" w:space="0" w:color="auto"/>
                    <w:left w:val="none" w:sz="0" w:space="0" w:color="auto"/>
                    <w:bottom w:val="none" w:sz="0" w:space="0" w:color="auto"/>
                    <w:right w:val="single" w:sz="4" w:space="0" w:color="auto"/>
                  </w:tcBorders>
                  <w:shd w:val="clear" w:color="auto" w:fill="000000"/>
                  <w:textDirection w:val="lrTb"/>
                  <w:vAlign w:val="center"/>
                </w:tcPr>
                <w:p w:rsidR="000A6169" w:rsidRPr="00896984" w:rsidP="00942EF3">
                  <w:pPr>
                    <w:bidi w:val="0"/>
                    <w:rPr>
                      <w:rFonts w:ascii="Arial Narrow" w:hAnsi="Arial Narrow"/>
                      <w:b/>
                      <w:sz w:val="20"/>
                      <w:szCs w:val="20"/>
                    </w:rPr>
                  </w:pPr>
                  <w:r w:rsidRPr="00896984">
                    <w:rPr>
                      <w:rFonts w:ascii="Arial Narrow" w:hAnsi="Arial Narrow"/>
                      <w:b/>
                      <w:sz w:val="20"/>
                      <w:szCs w:val="20"/>
                    </w:rPr>
                    <w:t>Podiel dobrých a zlých daní na daňových príjmoch v roku 2010 (%)</w:t>
                  </w:r>
                </w:p>
              </w:tc>
              <w:tc>
                <w:tcPr>
                  <w:tcW w:w="4016" w:type="dxa"/>
                  <w:tcBorders>
                    <w:top w:val="none" w:sz="0" w:space="0" w:color="auto"/>
                    <w:left w:val="single" w:sz="4" w:space="0" w:color="auto"/>
                    <w:bottom w:val="none" w:sz="0" w:space="0" w:color="auto"/>
                    <w:right w:val="none" w:sz="0" w:space="0" w:color="auto"/>
                  </w:tcBorders>
                  <w:shd w:val="clear" w:color="auto" w:fill="000000"/>
                  <w:textDirection w:val="lrTb"/>
                  <w:vAlign w:val="center"/>
                </w:tcPr>
                <w:p w:rsidR="000A6169" w:rsidRPr="00896984" w:rsidP="00942EF3">
                  <w:pPr>
                    <w:bidi w:val="0"/>
                    <w:rPr>
                      <w:rFonts w:ascii="Arial Narrow" w:hAnsi="Arial Narrow"/>
                      <w:b/>
                      <w:sz w:val="20"/>
                      <w:szCs w:val="20"/>
                    </w:rPr>
                  </w:pPr>
                  <w:r w:rsidRPr="00896984">
                    <w:rPr>
                      <w:rFonts w:ascii="Arial Narrow" w:hAnsi="Arial Narrow"/>
                      <w:b/>
                      <w:sz w:val="20"/>
                      <w:szCs w:val="20"/>
                    </w:rPr>
                    <w:t>Zmena podielu dobrých daní v období 2007 – 2010 (p.b.)</w:t>
                  </w:r>
                </w:p>
              </w:tc>
            </w:tr>
            <w:tr>
              <w:tblPrEx>
                <w:tblW w:w="7981" w:type="dxa"/>
                <w:tblCellMar>
                  <w:left w:w="70" w:type="dxa"/>
                  <w:right w:w="70" w:type="dxa"/>
                </w:tblCellMar>
                <w:tblLook w:val="01E0"/>
              </w:tblPrEx>
              <w:trPr>
                <w:trHeight w:val="2707"/>
              </w:trPr>
              <w:tc>
                <w:tcPr>
                  <w:tcW w:w="3965" w:type="dxa"/>
                  <w:tcBorders>
                    <w:top w:val="none" w:sz="0" w:space="0" w:color="auto"/>
                    <w:left w:val="none" w:sz="0" w:space="0" w:color="auto"/>
                    <w:bottom w:val="single" w:sz="4" w:space="0" w:color="auto"/>
                    <w:right w:val="single" w:sz="4" w:space="0" w:color="auto"/>
                  </w:tcBorders>
                  <w:textDirection w:val="lrTb"/>
                  <w:vAlign w:val="center"/>
                </w:tcPr>
                <w:p w:rsidR="000A6169" w:rsidRPr="00896984" w:rsidP="00942EF3">
                  <w:pPr>
                    <w:bidi w:val="0"/>
                    <w:jc w:val="center"/>
                    <w:rPr>
                      <w:szCs w:val="16"/>
                    </w:rPr>
                  </w:pPr>
                  <w:r>
                    <w:rPr>
                      <w:noProof/>
                      <w:rtl w:val="0"/>
                      <w:lang w:eastAsia="sk-SK"/>
                    </w:rPr>
                    <w:pict>
                      <v:shape id="Graf 1" o:spid="_x0000_i1029" type="#_x0000_t75" style="width:191.1pt;height:133.5pt;visibility:visible" stroked="f">
                        <v:imagedata r:id="rId10" o:title="" cropbottom="-25f" cropright="-17f"/>
                        <o:lock v:ext="edit" aspectratio="f"/>
                      </v:shape>
                    </w:pict>
                  </w:r>
                </w:p>
              </w:tc>
              <w:tc>
                <w:tcPr>
                  <w:tcW w:w="4016" w:type="dxa"/>
                  <w:tcBorders>
                    <w:top w:val="none" w:sz="0" w:space="0" w:color="auto"/>
                    <w:left w:val="single" w:sz="4" w:space="0" w:color="auto"/>
                    <w:bottom w:val="single" w:sz="4" w:space="0" w:color="auto"/>
                    <w:right w:val="none" w:sz="0" w:space="0" w:color="auto"/>
                  </w:tcBorders>
                  <w:textDirection w:val="lrTb"/>
                  <w:vAlign w:val="center"/>
                </w:tcPr>
                <w:p w:rsidR="000A6169" w:rsidRPr="00896984" w:rsidP="00942EF3">
                  <w:pPr>
                    <w:bidi w:val="0"/>
                    <w:ind w:hanging="144"/>
                    <w:jc w:val="center"/>
                    <w:rPr>
                      <w:rFonts w:ascii="Verdana" w:hAnsi="Verdana"/>
                      <w:b/>
                      <w:sz w:val="16"/>
                      <w:szCs w:val="16"/>
                    </w:rPr>
                  </w:pPr>
                  <w:r>
                    <w:rPr>
                      <w:noProof/>
                      <w:rtl w:val="0"/>
                      <w:lang w:eastAsia="sk-SK"/>
                    </w:rPr>
                    <w:pict>
                      <v:shape id="Graf 1" o:spid="_x0000_i1030" type="#_x0000_t75" style="width:201.15pt;height:133.6pt;visibility:visible" stroked="f">
                        <v:imagedata r:id="rId11" o:title="" cropbottom="-74f"/>
                        <o:lock v:ext="edit" aspectratio="f"/>
                      </v:shape>
                    </w:pict>
                  </w:r>
                </w:p>
              </w:tc>
            </w:tr>
            <w:tr>
              <w:tblPrEx>
                <w:tblW w:w="7981" w:type="dxa"/>
                <w:tblLook w:val="01E0"/>
              </w:tblPrEx>
              <w:trPr>
                <w:trHeight w:val="68"/>
              </w:trPr>
              <w:tc>
                <w:tcPr>
                  <w:tcW w:w="3965" w:type="dxa"/>
                  <w:tcBorders>
                    <w:top w:val="single" w:sz="4" w:space="0" w:color="auto"/>
                    <w:left w:val="none" w:sz="0" w:space="0" w:color="auto"/>
                    <w:bottom w:val="none" w:sz="0" w:space="0" w:color="auto"/>
                    <w:right w:val="single" w:sz="4" w:space="0" w:color="auto"/>
                  </w:tcBorders>
                  <w:textDirection w:val="lrTb"/>
                  <w:vAlign w:val="center"/>
                </w:tcPr>
                <w:p w:rsidR="000A6169" w:rsidRPr="00896984" w:rsidP="00942EF3">
                  <w:pPr>
                    <w:bidi w:val="0"/>
                    <w:jc w:val="right"/>
                    <w:rPr>
                      <w:rFonts w:ascii="Arial Narrow" w:hAnsi="Arial Narrow"/>
                      <w:sz w:val="16"/>
                      <w:szCs w:val="16"/>
                    </w:rPr>
                  </w:pPr>
                  <w:r w:rsidRPr="00896984">
                    <w:rPr>
                      <w:rFonts w:ascii="Arial Narrow" w:hAnsi="Arial Narrow"/>
                      <w:i/>
                      <w:sz w:val="16"/>
                      <w:szCs w:val="16"/>
                    </w:rPr>
                    <w:t xml:space="preserve">Zdroj: Eurostat, Tab. 200, </w:t>
                  </w:r>
                </w:p>
              </w:tc>
              <w:tc>
                <w:tcPr>
                  <w:tcW w:w="4016" w:type="dxa"/>
                  <w:tcBorders>
                    <w:top w:val="single" w:sz="4" w:space="0" w:color="auto"/>
                    <w:left w:val="single" w:sz="4" w:space="0" w:color="auto"/>
                    <w:bottom w:val="none" w:sz="0" w:space="0" w:color="auto"/>
                    <w:right w:val="none" w:sz="0" w:space="0" w:color="auto"/>
                  </w:tcBorders>
                  <w:textDirection w:val="lrTb"/>
                  <w:vAlign w:val="center"/>
                </w:tcPr>
                <w:p w:rsidR="000A6169" w:rsidRPr="00896984" w:rsidP="00942EF3">
                  <w:pPr>
                    <w:bidi w:val="0"/>
                    <w:jc w:val="right"/>
                    <w:rPr>
                      <w:rFonts w:ascii="Arial Narrow" w:hAnsi="Arial Narrow"/>
                      <w:i/>
                      <w:sz w:val="16"/>
                      <w:szCs w:val="16"/>
                    </w:rPr>
                  </w:pPr>
                  <w:r w:rsidRPr="00896984">
                    <w:rPr>
                      <w:rFonts w:ascii="Arial Narrow" w:hAnsi="Arial Narrow"/>
                      <w:i/>
                      <w:sz w:val="16"/>
                      <w:szCs w:val="16"/>
                    </w:rPr>
                    <w:t>Zdroj: Eurostat, Tab.200</w:t>
                  </w:r>
                </w:p>
              </w:tc>
            </w:tr>
          </w:tbl>
          <w:p w:rsidR="000A6169" w:rsidRPr="00896984" w:rsidP="00942EF3">
            <w:pPr>
              <w:bidi w:val="0"/>
              <w:jc w:val="both"/>
              <w:rPr>
                <w:rFonts w:ascii="Times New Roman" w:eastAsia="Calibri" w:hAnsi="Times New Roman" w:cs="Times New Roman"/>
              </w:rPr>
            </w:pPr>
          </w:p>
          <w:p w:rsidR="000A6169" w:rsidRPr="00896984" w:rsidP="00942EF3">
            <w:pPr>
              <w:pStyle w:val="FootnoteText"/>
              <w:bidi w:val="0"/>
              <w:ind w:left="34"/>
              <w:jc w:val="both"/>
              <w:rPr>
                <w:rFonts w:ascii="Times New Roman" w:eastAsia="Calibri" w:hAnsi="Times New Roman"/>
                <w:sz w:val="24"/>
                <w:szCs w:val="24"/>
              </w:rPr>
            </w:pPr>
            <w:r w:rsidRPr="00896984">
              <w:rPr>
                <w:rFonts w:ascii="Arial Narrow" w:eastAsia="Calibri" w:hAnsi="Arial Narrow" w:hint="default"/>
                <w:i/>
              </w:rPr>
              <w:t>*Ekonomická</w:t>
            </w:r>
            <w:r w:rsidRPr="00896984">
              <w:rPr>
                <w:rFonts w:ascii="Arial Narrow" w:eastAsia="Calibri" w:hAnsi="Arial Narrow" w:hint="default"/>
                <w:i/>
              </w:rPr>
              <w:t xml:space="preserve"> teó</w:t>
            </w:r>
            <w:r w:rsidRPr="00896984">
              <w:rPr>
                <w:rFonts w:ascii="Arial Narrow" w:eastAsia="Calibri" w:hAnsi="Arial Narrow" w:hint="default"/>
                <w:i/>
              </w:rPr>
              <w:t>ria hovorí</w:t>
            </w:r>
            <w:r w:rsidRPr="00896984">
              <w:rPr>
                <w:rFonts w:ascii="Arial Narrow" w:eastAsia="Calibri" w:hAnsi="Arial Narrow" w:hint="default"/>
                <w:i/>
              </w:rPr>
              <w:t>, ž</w:t>
            </w:r>
            <w:r w:rsidRPr="00896984">
              <w:rPr>
                <w:rFonts w:ascii="Arial Narrow" w:eastAsia="Calibri" w:hAnsi="Arial Narrow" w:hint="default"/>
                <w:i/>
              </w:rPr>
              <w:t>e vš</w:t>
            </w:r>
            <w:r w:rsidRPr="00896984">
              <w:rPr>
                <w:rFonts w:ascii="Arial Narrow" w:eastAsia="Calibri" w:hAnsi="Arial Narrow" w:hint="default"/>
                <w:i/>
              </w:rPr>
              <w:t>etky dane okrem daní</w:t>
            </w:r>
            <w:r w:rsidRPr="00896984">
              <w:rPr>
                <w:rFonts w:ascii="Arial Narrow" w:eastAsia="Calibri" w:hAnsi="Arial Narrow" w:hint="default"/>
                <w:i/>
              </w:rPr>
              <w:t xml:space="preserve"> na externality</w:t>
            </w:r>
            <w:r w:rsidRPr="00896984">
              <w:rPr>
                <w:rFonts w:ascii="Arial Narrow" w:eastAsia="Calibri" w:hAnsi="Arial Narrow" w:hint="default"/>
                <w:i/>
              </w:rPr>
              <w:t xml:space="preserve"> sú</w:t>
            </w:r>
            <w:r w:rsidRPr="00896984">
              <w:rPr>
                <w:rFonts w:ascii="Arial Narrow" w:eastAsia="Calibri" w:hAnsi="Arial Narrow" w:hint="default"/>
                <w:i/>
              </w:rPr>
              <w:t xml:space="preserve"> pre ekonomický</w:t>
            </w:r>
            <w:r w:rsidRPr="00896984">
              <w:rPr>
                <w:rFonts w:ascii="Arial Narrow" w:eastAsia="Calibri" w:hAnsi="Arial Narrow" w:hint="default"/>
                <w:i/>
              </w:rPr>
              <w:t xml:space="preserve"> rast š</w:t>
            </w:r>
            <w:r w:rsidRPr="00896984">
              <w:rPr>
                <w:rFonts w:ascii="Arial Narrow" w:eastAsia="Calibri" w:hAnsi="Arial Narrow" w:hint="default"/>
                <w:i/>
              </w:rPr>
              <w:t>kodlivé</w:t>
            </w:r>
            <w:r w:rsidRPr="00896984">
              <w:rPr>
                <w:rFonts w:ascii="Arial Narrow" w:eastAsia="Calibri" w:hAnsi="Arial Narrow" w:hint="default"/>
                <w:i/>
              </w:rPr>
              <w:t>. Teó</w:t>
            </w:r>
            <w:r w:rsidRPr="00896984">
              <w:rPr>
                <w:rFonts w:ascii="Arial Narrow" w:eastAsia="Calibri" w:hAnsi="Arial Narrow" w:hint="default"/>
                <w:i/>
              </w:rPr>
              <w:t>ria ale aj prax (odporúč</w:t>
            </w:r>
            <w:r w:rsidRPr="00896984">
              <w:rPr>
                <w:rFonts w:ascii="Arial Narrow" w:eastAsia="Calibri" w:hAnsi="Arial Narrow" w:hint="default"/>
                <w:i/>
              </w:rPr>
              <w:t>ania OECD a </w:t>
            </w:r>
            <w:r w:rsidRPr="00896984">
              <w:rPr>
                <w:rFonts w:ascii="Arial Narrow" w:eastAsia="Calibri" w:hAnsi="Arial Narrow" w:hint="default"/>
                <w:i/>
              </w:rPr>
              <w:t>EK) vš</w:t>
            </w:r>
            <w:r w:rsidRPr="00896984">
              <w:rPr>
                <w:rFonts w:ascii="Arial Narrow" w:eastAsia="Calibri" w:hAnsi="Arial Narrow" w:hint="default"/>
                <w:i/>
              </w:rPr>
              <w:t>ak delí</w:t>
            </w:r>
            <w:r w:rsidRPr="00896984">
              <w:rPr>
                <w:rFonts w:ascii="Arial Narrow" w:eastAsia="Calibri" w:hAnsi="Arial Narrow" w:hint="default"/>
                <w:i/>
              </w:rPr>
              <w:t xml:space="preserve"> dane na „</w:t>
            </w:r>
            <w:r w:rsidRPr="00896984">
              <w:rPr>
                <w:rFonts w:ascii="Arial Narrow" w:eastAsia="Calibri" w:hAnsi="Arial Narrow" w:hint="default"/>
                <w:i/>
              </w:rPr>
              <w:t>menej š</w:t>
            </w:r>
            <w:r w:rsidRPr="00896984">
              <w:rPr>
                <w:rFonts w:ascii="Arial Narrow" w:eastAsia="Calibri" w:hAnsi="Arial Narrow" w:hint="default"/>
                <w:i/>
              </w:rPr>
              <w:t>kodlivé“</w:t>
            </w:r>
            <w:r w:rsidRPr="00896984">
              <w:rPr>
                <w:rFonts w:ascii="Arial Narrow" w:eastAsia="Calibri" w:hAnsi="Arial Narrow" w:hint="default"/>
                <w:i/>
              </w:rPr>
              <w:t xml:space="preserve"> pre rast ako sú</w:t>
            </w:r>
            <w:r w:rsidRPr="00896984">
              <w:rPr>
                <w:rFonts w:ascii="Arial Narrow" w:eastAsia="Calibri" w:hAnsi="Arial Narrow" w:hint="default"/>
                <w:i/>
              </w:rPr>
              <w:t xml:space="preserve"> dane na spotrebu (nepriame dane ako DPH, spotrebné</w:t>
            </w:r>
            <w:r w:rsidRPr="00896984">
              <w:rPr>
                <w:rFonts w:ascii="Arial Narrow" w:eastAsia="Calibri" w:hAnsi="Arial Narrow" w:hint="default"/>
                <w:i/>
              </w:rPr>
              <w:t xml:space="preserve"> dane, ostatné</w:t>
            </w:r>
            <w:r w:rsidRPr="00896984">
              <w:rPr>
                <w:rFonts w:ascii="Arial Narrow" w:eastAsia="Calibri" w:hAnsi="Arial Narrow" w:hint="default"/>
                <w:i/>
              </w:rPr>
              <w:t xml:space="preserve"> dane z </w:t>
            </w:r>
            <w:r w:rsidRPr="00896984">
              <w:rPr>
                <w:rFonts w:ascii="Arial Narrow" w:eastAsia="Calibri" w:hAnsi="Arial Narrow" w:hint="default"/>
                <w:i/>
              </w:rPr>
              <w:t>produkcie,  dane na majetok a dane na negatí</w:t>
            </w:r>
            <w:r w:rsidRPr="00896984">
              <w:rPr>
                <w:rFonts w:ascii="Arial Narrow" w:eastAsia="Calibri" w:hAnsi="Arial Narrow" w:hint="default"/>
                <w:i/>
              </w:rPr>
              <w:t>vne externa</w:t>
            </w:r>
            <w:r w:rsidRPr="00896984">
              <w:rPr>
                <w:rFonts w:ascii="Arial Narrow" w:eastAsia="Calibri" w:hAnsi="Arial Narrow" w:hint="default"/>
                <w:i/>
              </w:rPr>
              <w:t>l</w:t>
            </w:r>
            <w:r w:rsidRPr="00896984">
              <w:rPr>
                <w:rFonts w:ascii="Arial Narrow" w:eastAsia="Calibri" w:hAnsi="Arial Narrow" w:hint="default"/>
                <w:i/>
              </w:rPr>
              <w:t>ity. Viac š</w:t>
            </w:r>
            <w:r w:rsidRPr="00896984">
              <w:rPr>
                <w:rFonts w:ascii="Arial Narrow" w:eastAsia="Calibri" w:hAnsi="Arial Narrow" w:hint="default"/>
                <w:i/>
              </w:rPr>
              <w:t>kodlivé</w:t>
            </w:r>
            <w:r w:rsidRPr="00896984">
              <w:rPr>
                <w:rFonts w:ascii="Arial Narrow" w:eastAsia="Calibri" w:hAnsi="Arial Narrow" w:hint="default"/>
                <w:i/>
              </w:rPr>
              <w:t xml:space="preserve"> prí</w:t>
            </w:r>
            <w:r w:rsidRPr="00896984">
              <w:rPr>
                <w:rFonts w:ascii="Arial Narrow" w:eastAsia="Calibri" w:hAnsi="Arial Narrow" w:hint="default"/>
                <w:i/>
              </w:rPr>
              <w:t>jmy sú</w:t>
            </w:r>
            <w:r w:rsidRPr="00896984">
              <w:rPr>
                <w:rFonts w:ascii="Arial Narrow" w:eastAsia="Calibri" w:hAnsi="Arial Narrow" w:hint="default"/>
                <w:i/>
              </w:rPr>
              <w:t xml:space="preserve"> dane na aktivitu ako sú</w:t>
            </w:r>
            <w:r w:rsidRPr="00896984">
              <w:rPr>
                <w:rFonts w:ascii="Arial Narrow" w:eastAsia="Calibri" w:hAnsi="Arial Narrow" w:hint="default"/>
                <w:i/>
              </w:rPr>
              <w:t xml:space="preserve"> napr. priame dane</w:t>
            </w:r>
            <w:r w:rsidRPr="00896984" w:rsidR="00457027">
              <w:rPr>
                <w:rFonts w:ascii="Arial Narrow" w:eastAsia="Calibri" w:hAnsi="Arial Narrow"/>
                <w:i/>
              </w:rPr>
              <w:t xml:space="preserve"> </w:t>
            </w:r>
            <w:r w:rsidRPr="00896984">
              <w:rPr>
                <w:rFonts w:ascii="Arial Narrow" w:eastAsia="Calibri" w:hAnsi="Arial Narrow" w:hint="default"/>
                <w:i/>
              </w:rPr>
              <w:t>(DPFO, DPPO, odvody, ostatné</w:t>
            </w:r>
            <w:r w:rsidRPr="00896984">
              <w:rPr>
                <w:rFonts w:ascii="Arial Narrow" w:eastAsia="Calibri" w:hAnsi="Arial Narrow" w:hint="default"/>
                <w:i/>
              </w:rPr>
              <w:t xml:space="preserve"> priame dane). V tomto kontexte sa menej a </w:t>
            </w:r>
            <w:r w:rsidRPr="00896984">
              <w:rPr>
                <w:rFonts w:ascii="Arial Narrow" w:eastAsia="Calibri" w:hAnsi="Arial Narrow" w:hint="default"/>
                <w:i/>
              </w:rPr>
              <w:t>viac š</w:t>
            </w:r>
            <w:r w:rsidRPr="00896984">
              <w:rPr>
                <w:rFonts w:ascii="Arial Narrow" w:eastAsia="Calibri" w:hAnsi="Arial Narrow" w:hint="default"/>
                <w:i/>
              </w:rPr>
              <w:t>kodlivé</w:t>
            </w:r>
            <w:r w:rsidRPr="00896984">
              <w:rPr>
                <w:rFonts w:ascii="Arial Narrow" w:eastAsia="Calibri" w:hAnsi="Arial Narrow" w:hint="default"/>
                <w:i/>
              </w:rPr>
              <w:t xml:space="preserve"> dane myslia voč</w:t>
            </w:r>
            <w:r w:rsidRPr="00896984">
              <w:rPr>
                <w:rFonts w:ascii="Arial Narrow" w:eastAsia="Calibri" w:hAnsi="Arial Narrow" w:hint="default"/>
                <w:i/>
              </w:rPr>
              <w:t>i dlhodobé</w:t>
            </w:r>
            <w:r w:rsidRPr="00896984">
              <w:rPr>
                <w:rFonts w:ascii="Arial Narrow" w:eastAsia="Calibri" w:hAnsi="Arial Narrow" w:hint="default"/>
                <w:i/>
              </w:rPr>
              <w:t>mu ekonomické</w:t>
            </w:r>
            <w:r w:rsidRPr="00896984">
              <w:rPr>
                <w:rFonts w:ascii="Arial Narrow" w:eastAsia="Calibri" w:hAnsi="Arial Narrow" w:hint="default"/>
                <w:i/>
              </w:rPr>
              <w:t>mu rastu.</w:t>
            </w:r>
          </w:p>
          <w:p w:rsidR="000A6169" w:rsidRPr="00896984" w:rsidP="00942EF3">
            <w:pPr>
              <w:bidi w:val="0"/>
              <w:jc w:val="both"/>
              <w:rPr>
                <w:rFonts w:ascii="Times New Roman" w:eastAsia="Calibri" w:hAnsi="Times New Roman" w:cs="Times New Roman"/>
              </w:rPr>
            </w:pPr>
          </w:p>
        </w:tc>
      </w:tr>
    </w:tbl>
    <w:p w:rsidR="000A6169" w:rsidRPr="00896984" w:rsidP="000A6169">
      <w:pPr>
        <w:bidi w:val="0"/>
        <w:jc w:val="both"/>
        <w:rPr>
          <w:rFonts w:ascii="Times New Roman" w:hAnsi="Times New Roman" w:cs="Times New Roman"/>
          <w:b/>
        </w:rPr>
      </w:pPr>
    </w:p>
    <w:p w:rsidR="000A6169" w:rsidRPr="00896984" w:rsidP="000A6169">
      <w:pPr>
        <w:pStyle w:val="Heading2"/>
        <w:bidi w:val="0"/>
        <w:spacing w:before="0" w:after="0"/>
        <w:rPr>
          <w:rFonts w:ascii="Times New Roman" w:hAnsi="Times New Roman"/>
          <w:i w:val="0"/>
          <w:iCs w:val="0"/>
          <w:sz w:val="24"/>
          <w:szCs w:val="24"/>
        </w:rPr>
      </w:pPr>
      <w:bookmarkStart w:id="38" w:name="_Toc306089061"/>
      <w:bookmarkStart w:id="39" w:name="_Toc273950832"/>
      <w:r w:rsidRPr="00896984">
        <w:rPr>
          <w:rFonts w:ascii="Times New Roman" w:hAnsi="Times New Roman"/>
          <w:i w:val="0"/>
          <w:iCs w:val="0"/>
          <w:sz w:val="24"/>
          <w:szCs w:val="24"/>
        </w:rPr>
        <w:t>4.3. Rozpočtovanie daňových a odvodových príjmov</w:t>
      </w:r>
      <w:bookmarkEnd w:id="38"/>
      <w:r w:rsidRPr="00896984">
        <w:rPr>
          <w:rFonts w:ascii="Times New Roman" w:hAnsi="Times New Roman"/>
          <w:i w:val="0"/>
          <w:iCs w:val="0"/>
          <w:sz w:val="24"/>
          <w:szCs w:val="24"/>
        </w:rPr>
        <w:t xml:space="preserve"> </w:t>
      </w:r>
      <w:bookmarkEnd w:id="39"/>
    </w:p>
    <w:p w:rsidR="000A6169" w:rsidRPr="00896984" w:rsidP="000A6169">
      <w:pPr>
        <w:bidi w:val="0"/>
        <w:rPr>
          <w:rFonts w:ascii="Times New Roman" w:hAnsi="Times New Roman" w:cs="Times New Roman"/>
          <w:b/>
          <w:bCs/>
        </w:rPr>
      </w:pPr>
    </w:p>
    <w:p w:rsidR="000A6169" w:rsidRPr="00896984" w:rsidP="000A6169">
      <w:pPr>
        <w:bidi w:val="0"/>
        <w:ind w:firstLine="708"/>
        <w:jc w:val="both"/>
        <w:rPr>
          <w:rFonts w:ascii="Times New Roman" w:hAnsi="Times New Roman" w:cs="Times New Roman"/>
        </w:rPr>
      </w:pPr>
      <w:r w:rsidRPr="00896984">
        <w:rPr>
          <w:rFonts w:ascii="Times New Roman" w:hAnsi="Times New Roman" w:cs="Times New Roman"/>
        </w:rPr>
        <w:t xml:space="preserve">Makroekonomické predpoklady uvedené v predchádzajúcej časti tohto dokumentu boli základom pre vypracovanie aktuálnych prognóz daňových príjmov verejnej správy na roky 2011 až 2014. </w:t>
      </w:r>
    </w:p>
    <w:p w:rsidR="000A6169" w:rsidRPr="00896984" w:rsidP="000A6169">
      <w:pPr>
        <w:bidi w:val="0"/>
        <w:ind w:firstLine="720"/>
        <w:jc w:val="both"/>
        <w:rPr>
          <w:rFonts w:ascii="Times New Roman" w:hAnsi="Times New Roman" w:cs="Times New Roman"/>
        </w:rPr>
      </w:pPr>
    </w:p>
    <w:p w:rsidR="000A6169" w:rsidRPr="00896984" w:rsidP="000A6169">
      <w:pPr>
        <w:bidi w:val="0"/>
        <w:ind w:firstLine="720"/>
        <w:jc w:val="both"/>
        <w:rPr>
          <w:rFonts w:ascii="Times New Roman" w:hAnsi="Times New Roman" w:cs="Times New Roman"/>
        </w:rPr>
      </w:pPr>
      <w:r w:rsidRPr="00896984">
        <w:rPr>
          <w:rFonts w:ascii="Times New Roman" w:hAnsi="Times New Roman" w:cs="Times New Roman"/>
        </w:rPr>
        <w:t>Oproti schválenému rozpočtu verejnej správy na roky 2011 až 2013 dochádza k zmene legislatívnych predpokladov pri dani z príjmov fyzických osôb, pri dani z príjmov právnických osôb, pri spotrebnej dani z tabakových výrobkov, pri sociálnych a zdravotných odvodoch. Tieto zmeny odrážajú najmä predpokladaný vplyv daňovo-odvodovej reformy spojenej s prechodom na superhrubú mzdu. Okrem toho od roku 2012 dochádza k zmene definície základne pre výpočet podielových daní územnej samosprávy (ÚS) čisto z dani z príjmov fyzických osôb (DPFO) na mix najdôležitejších daňových príjmov verejnej správy.</w:t>
      </w:r>
    </w:p>
    <w:p w:rsidR="000A6169" w:rsidRPr="00896984" w:rsidP="000A6169">
      <w:pPr>
        <w:bidi w:val="0"/>
        <w:jc w:val="both"/>
        <w:rPr>
          <w:rFonts w:ascii="Times New Roman" w:hAnsi="Times New Roman" w:cs="Times New Roman"/>
        </w:rPr>
      </w:pPr>
    </w:p>
    <w:tbl>
      <w:tblPr>
        <w:tblStyle w:val="TableNormal"/>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4678"/>
        <w:gridCol w:w="1098"/>
        <w:gridCol w:w="1099"/>
        <w:gridCol w:w="1098"/>
        <w:gridCol w:w="1099"/>
      </w:tblGrid>
      <w:tr>
        <w:tblPrEx>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266"/>
          <w:jc w:val="center"/>
        </w:trPr>
        <w:tc>
          <w:tcPr>
            <w:tcW w:w="9072" w:type="dxa"/>
            <w:gridSpan w:val="5"/>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A6169" w:rsidRPr="00DC4784" w:rsidP="00942EF3">
            <w:pPr>
              <w:bidi w:val="0"/>
              <w:rPr>
                <w:rFonts w:ascii="Times New Roman" w:hAnsi="Times New Roman" w:cs="Times New Roman"/>
                <w:b/>
                <w:bCs/>
                <w:sz w:val="14"/>
                <w:szCs w:val="14"/>
              </w:rPr>
            </w:pPr>
            <w:r w:rsidRPr="00DC4784">
              <w:rPr>
                <w:rFonts w:ascii="Times New Roman" w:hAnsi="Times New Roman" w:cs="Times New Roman"/>
                <w:b/>
                <w:bCs/>
                <w:sz w:val="14"/>
                <w:szCs w:val="14"/>
              </w:rPr>
              <w:t>Kvantifikácia vplyvu legislatívnych zmien na daňové a odvodové príjmy verejnej správy (ESA 95, tis. eur)</w:t>
            </w:r>
          </w:p>
        </w:tc>
      </w:tr>
      <w:tr>
        <w:tblPrEx>
          <w:tblW w:w="9072" w:type="dxa"/>
          <w:jc w:val="center"/>
          <w:tblLayout w:type="fixed"/>
          <w:tblCellMar>
            <w:left w:w="70" w:type="dxa"/>
            <w:right w:w="70" w:type="dxa"/>
          </w:tblCellMar>
        </w:tblPrEx>
        <w:trPr>
          <w:trHeight w:val="266"/>
          <w:jc w:val="center"/>
        </w:trPr>
        <w:tc>
          <w:tcPr>
            <w:tcW w:w="4678"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DC4784" w:rsidP="00942EF3">
            <w:pPr>
              <w:bidi w:val="0"/>
              <w:jc w:val="center"/>
              <w:rPr>
                <w:rFonts w:ascii="Times New Roman" w:hAnsi="Times New Roman" w:cs="Times New Roman"/>
                <w:sz w:val="14"/>
                <w:szCs w:val="14"/>
              </w:rPr>
            </w:pPr>
          </w:p>
        </w:tc>
        <w:tc>
          <w:tcPr>
            <w:tcW w:w="1098"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DC4784" w:rsidP="00942EF3">
            <w:pPr>
              <w:bidi w:val="0"/>
              <w:jc w:val="right"/>
              <w:rPr>
                <w:rFonts w:ascii="Times New Roman" w:hAnsi="Times New Roman" w:cs="Times New Roman"/>
                <w:b/>
                <w:bCs/>
                <w:sz w:val="14"/>
                <w:szCs w:val="14"/>
              </w:rPr>
            </w:pPr>
            <w:r w:rsidRPr="00DC4784">
              <w:rPr>
                <w:rFonts w:ascii="Times New Roman" w:hAnsi="Times New Roman" w:cs="Times New Roman"/>
                <w:b/>
                <w:bCs/>
                <w:sz w:val="14"/>
                <w:szCs w:val="14"/>
              </w:rPr>
              <w:t>2011</w:t>
            </w:r>
          </w:p>
        </w:tc>
        <w:tc>
          <w:tcPr>
            <w:tcW w:w="1099"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DC4784" w:rsidP="00942EF3">
            <w:pPr>
              <w:bidi w:val="0"/>
              <w:jc w:val="right"/>
              <w:rPr>
                <w:rFonts w:ascii="Times New Roman" w:hAnsi="Times New Roman" w:cs="Times New Roman"/>
                <w:b/>
                <w:bCs/>
                <w:sz w:val="14"/>
                <w:szCs w:val="14"/>
              </w:rPr>
            </w:pPr>
            <w:r w:rsidRPr="00DC4784">
              <w:rPr>
                <w:rFonts w:ascii="Times New Roman" w:hAnsi="Times New Roman" w:cs="Times New Roman"/>
                <w:b/>
                <w:bCs/>
                <w:sz w:val="14"/>
                <w:szCs w:val="14"/>
              </w:rPr>
              <w:t>2012</w:t>
            </w:r>
          </w:p>
        </w:tc>
        <w:tc>
          <w:tcPr>
            <w:tcW w:w="1098"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DC4784" w:rsidP="00942EF3">
            <w:pPr>
              <w:bidi w:val="0"/>
              <w:jc w:val="right"/>
              <w:rPr>
                <w:rFonts w:ascii="Times New Roman" w:hAnsi="Times New Roman" w:cs="Times New Roman"/>
                <w:b/>
                <w:bCs/>
                <w:sz w:val="14"/>
                <w:szCs w:val="14"/>
              </w:rPr>
            </w:pPr>
            <w:r w:rsidRPr="00DC4784">
              <w:rPr>
                <w:rFonts w:ascii="Times New Roman" w:hAnsi="Times New Roman" w:cs="Times New Roman"/>
                <w:b/>
                <w:bCs/>
                <w:sz w:val="14"/>
                <w:szCs w:val="14"/>
              </w:rPr>
              <w:t>2013</w:t>
            </w:r>
          </w:p>
        </w:tc>
        <w:tc>
          <w:tcPr>
            <w:tcW w:w="1099" w:type="dxa"/>
            <w:tcBorders>
              <w:top w:val="single" w:sz="4" w:space="0" w:color="auto"/>
              <w:left w:val="single" w:sz="4" w:space="0" w:color="auto"/>
              <w:bottom w:val="single" w:sz="4" w:space="0" w:color="auto"/>
              <w:right w:val="single" w:sz="4" w:space="0" w:color="auto"/>
            </w:tcBorders>
            <w:textDirection w:val="lrTb"/>
            <w:vAlign w:val="center"/>
          </w:tcPr>
          <w:p w:rsidR="000A6169" w:rsidRPr="00DC4784" w:rsidP="00942EF3">
            <w:pPr>
              <w:bidi w:val="0"/>
              <w:jc w:val="right"/>
              <w:rPr>
                <w:rFonts w:ascii="Times New Roman" w:hAnsi="Times New Roman" w:cs="Times New Roman"/>
                <w:b/>
                <w:bCs/>
                <w:sz w:val="14"/>
                <w:szCs w:val="14"/>
              </w:rPr>
            </w:pPr>
            <w:r w:rsidRPr="00DC4784">
              <w:rPr>
                <w:rFonts w:ascii="Times New Roman" w:hAnsi="Times New Roman" w:cs="Times New Roman"/>
                <w:b/>
                <w:bCs/>
                <w:sz w:val="14"/>
                <w:szCs w:val="14"/>
              </w:rPr>
              <w:t>2014</w:t>
            </w:r>
          </w:p>
        </w:tc>
      </w:tr>
      <w:tr>
        <w:tblPrEx>
          <w:tblW w:w="9072" w:type="dxa"/>
          <w:jc w:val="center"/>
          <w:tblLayout w:type="fixed"/>
          <w:tblCellMar>
            <w:left w:w="70" w:type="dxa"/>
            <w:right w:w="70" w:type="dxa"/>
          </w:tblCellMar>
        </w:tblPrEx>
        <w:trPr>
          <w:trHeight w:val="266"/>
          <w:jc w:val="center"/>
        </w:trPr>
        <w:tc>
          <w:tcPr>
            <w:tcW w:w="4678" w:type="dxa"/>
            <w:tcBorders>
              <w:top w:val="single" w:sz="4" w:space="0" w:color="auto"/>
              <w:left w:val="single" w:sz="4" w:space="0" w:color="auto"/>
              <w:bottom w:val="single" w:sz="4" w:space="0" w:color="auto"/>
              <w:right w:val="single" w:sz="4" w:space="0" w:color="auto"/>
            </w:tcBorders>
            <w:textDirection w:val="lrTb"/>
            <w:vAlign w:val="center"/>
          </w:tcPr>
          <w:p w:rsidR="000A6169" w:rsidRPr="00DC4784" w:rsidP="00942EF3">
            <w:pPr>
              <w:bidi w:val="0"/>
              <w:rPr>
                <w:rFonts w:ascii="Times New Roman" w:hAnsi="Times New Roman" w:cs="Times New Roman"/>
                <w:b/>
                <w:bCs/>
                <w:sz w:val="14"/>
                <w:szCs w:val="14"/>
              </w:rPr>
            </w:pPr>
            <w:r w:rsidRPr="00DC4784">
              <w:rPr>
                <w:rFonts w:ascii="Times New Roman" w:hAnsi="Times New Roman" w:cs="Times New Roman"/>
                <w:b/>
                <w:bCs/>
                <w:sz w:val="14"/>
                <w:szCs w:val="14"/>
              </w:rPr>
              <w:t>VPLYV NA DAŇOVÉ PRÍJMY SPOLU*</w:t>
            </w:r>
          </w:p>
        </w:tc>
        <w:tc>
          <w:tcPr>
            <w:tcW w:w="1098"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DC4784" w:rsidP="00942EF3">
            <w:pPr>
              <w:bidi w:val="0"/>
              <w:jc w:val="right"/>
              <w:rPr>
                <w:rFonts w:ascii="Times New Roman" w:hAnsi="Times New Roman" w:cs="Times New Roman"/>
                <w:b/>
                <w:bCs/>
                <w:sz w:val="14"/>
                <w:szCs w:val="14"/>
              </w:rPr>
            </w:pPr>
            <w:r w:rsidRPr="00DC4784">
              <w:rPr>
                <w:rFonts w:ascii="Times New Roman" w:hAnsi="Times New Roman" w:cs="Times New Roman"/>
                <w:b/>
                <w:bCs/>
                <w:sz w:val="14"/>
                <w:szCs w:val="14"/>
              </w:rPr>
              <w:t>3 815</w:t>
            </w:r>
          </w:p>
        </w:tc>
        <w:tc>
          <w:tcPr>
            <w:tcW w:w="1099"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DC4784" w:rsidP="00942EF3">
            <w:pPr>
              <w:bidi w:val="0"/>
              <w:jc w:val="right"/>
              <w:rPr>
                <w:rFonts w:ascii="Times New Roman" w:hAnsi="Times New Roman" w:cs="Times New Roman"/>
                <w:b/>
                <w:bCs/>
                <w:sz w:val="14"/>
                <w:szCs w:val="14"/>
              </w:rPr>
            </w:pPr>
            <w:r w:rsidRPr="00DC4784">
              <w:rPr>
                <w:rFonts w:ascii="Times New Roman" w:hAnsi="Times New Roman" w:cs="Times New Roman"/>
                <w:b/>
                <w:bCs/>
                <w:sz w:val="14"/>
                <w:szCs w:val="14"/>
              </w:rPr>
              <w:t>124 040</w:t>
            </w:r>
          </w:p>
        </w:tc>
        <w:tc>
          <w:tcPr>
            <w:tcW w:w="1098"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DC4784" w:rsidP="00942EF3">
            <w:pPr>
              <w:bidi w:val="0"/>
              <w:jc w:val="right"/>
              <w:rPr>
                <w:rFonts w:ascii="Times New Roman" w:hAnsi="Times New Roman" w:cs="Times New Roman"/>
                <w:b/>
                <w:bCs/>
                <w:sz w:val="14"/>
                <w:szCs w:val="14"/>
              </w:rPr>
            </w:pPr>
            <w:r w:rsidRPr="00DC4784">
              <w:rPr>
                <w:rFonts w:ascii="Times New Roman" w:hAnsi="Times New Roman" w:cs="Times New Roman"/>
                <w:b/>
                <w:bCs/>
                <w:sz w:val="14"/>
                <w:szCs w:val="14"/>
              </w:rPr>
              <w:t>109 567</w:t>
            </w:r>
          </w:p>
        </w:tc>
        <w:tc>
          <w:tcPr>
            <w:tcW w:w="1099" w:type="dxa"/>
            <w:tcBorders>
              <w:top w:val="single" w:sz="4" w:space="0" w:color="auto"/>
              <w:left w:val="single" w:sz="4" w:space="0" w:color="auto"/>
              <w:bottom w:val="single" w:sz="4" w:space="0" w:color="auto"/>
              <w:right w:val="single" w:sz="4" w:space="0" w:color="auto"/>
            </w:tcBorders>
            <w:textDirection w:val="lrTb"/>
            <w:vAlign w:val="center"/>
          </w:tcPr>
          <w:p w:rsidR="000A6169" w:rsidRPr="00DC4784" w:rsidP="00942EF3">
            <w:pPr>
              <w:bidi w:val="0"/>
              <w:jc w:val="right"/>
              <w:rPr>
                <w:rFonts w:ascii="Times New Roman" w:hAnsi="Times New Roman" w:cs="Times New Roman"/>
                <w:b/>
                <w:bCs/>
                <w:sz w:val="14"/>
                <w:szCs w:val="14"/>
              </w:rPr>
            </w:pPr>
            <w:r w:rsidRPr="00DC4784">
              <w:rPr>
                <w:rFonts w:ascii="Times New Roman" w:hAnsi="Times New Roman" w:cs="Times New Roman"/>
                <w:b/>
                <w:bCs/>
                <w:sz w:val="14"/>
                <w:szCs w:val="14"/>
              </w:rPr>
              <w:t>54 238</w:t>
            </w:r>
          </w:p>
        </w:tc>
      </w:tr>
      <w:tr>
        <w:tblPrEx>
          <w:tblW w:w="9072" w:type="dxa"/>
          <w:jc w:val="center"/>
          <w:tblLayout w:type="fixed"/>
          <w:tblCellMar>
            <w:left w:w="70" w:type="dxa"/>
            <w:right w:w="70" w:type="dxa"/>
          </w:tblCellMar>
        </w:tblPrEx>
        <w:trPr>
          <w:trHeight w:val="266"/>
          <w:jc w:val="center"/>
        </w:trPr>
        <w:tc>
          <w:tcPr>
            <w:tcW w:w="4678" w:type="dxa"/>
            <w:tcBorders>
              <w:top w:val="single" w:sz="4" w:space="0" w:color="auto"/>
              <w:left w:val="single" w:sz="4" w:space="0" w:color="auto"/>
              <w:bottom w:val="single" w:sz="4" w:space="0" w:color="auto"/>
              <w:right w:val="single" w:sz="4" w:space="0" w:color="auto"/>
            </w:tcBorders>
            <w:textDirection w:val="lrTb"/>
            <w:vAlign w:val="center"/>
          </w:tcPr>
          <w:p w:rsidR="000A6169" w:rsidRPr="00DC4784" w:rsidP="00942EF3">
            <w:pPr>
              <w:bidi w:val="0"/>
              <w:rPr>
                <w:rFonts w:ascii="Times New Roman" w:hAnsi="Times New Roman" w:cs="Times New Roman"/>
                <w:b/>
                <w:sz w:val="14"/>
                <w:szCs w:val="14"/>
              </w:rPr>
            </w:pPr>
            <w:r w:rsidRPr="00DC4784">
              <w:rPr>
                <w:rFonts w:ascii="Times New Roman" w:hAnsi="Times New Roman" w:cs="Times New Roman"/>
                <w:b/>
                <w:sz w:val="14"/>
                <w:szCs w:val="14"/>
              </w:rPr>
              <w:t>v % HDP</w:t>
            </w:r>
          </w:p>
        </w:tc>
        <w:tc>
          <w:tcPr>
            <w:tcW w:w="1098"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DC4784" w:rsidP="00942EF3">
            <w:pPr>
              <w:bidi w:val="0"/>
              <w:jc w:val="right"/>
              <w:rPr>
                <w:rFonts w:ascii="Times New Roman" w:hAnsi="Times New Roman" w:cs="Times New Roman"/>
                <w:sz w:val="14"/>
                <w:szCs w:val="14"/>
              </w:rPr>
            </w:pPr>
            <w:r w:rsidRPr="00DC4784">
              <w:rPr>
                <w:rFonts w:ascii="Times New Roman" w:hAnsi="Times New Roman" w:cs="Times New Roman"/>
                <w:sz w:val="14"/>
                <w:szCs w:val="14"/>
              </w:rPr>
              <w:t>0,0</w:t>
            </w:r>
          </w:p>
        </w:tc>
        <w:tc>
          <w:tcPr>
            <w:tcW w:w="1099"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DC4784" w:rsidP="00942EF3">
            <w:pPr>
              <w:bidi w:val="0"/>
              <w:jc w:val="right"/>
              <w:rPr>
                <w:rFonts w:ascii="Times New Roman" w:hAnsi="Times New Roman" w:cs="Times New Roman"/>
                <w:sz w:val="14"/>
                <w:szCs w:val="14"/>
              </w:rPr>
            </w:pPr>
            <w:r w:rsidRPr="00DC4784">
              <w:rPr>
                <w:rFonts w:ascii="Times New Roman" w:hAnsi="Times New Roman" w:cs="Times New Roman"/>
                <w:sz w:val="14"/>
                <w:szCs w:val="14"/>
              </w:rPr>
              <w:t>0,2</w:t>
            </w:r>
          </w:p>
        </w:tc>
        <w:tc>
          <w:tcPr>
            <w:tcW w:w="1098"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DC4784" w:rsidP="00942EF3">
            <w:pPr>
              <w:bidi w:val="0"/>
              <w:jc w:val="right"/>
              <w:rPr>
                <w:rFonts w:ascii="Times New Roman" w:hAnsi="Times New Roman" w:cs="Times New Roman"/>
                <w:sz w:val="14"/>
                <w:szCs w:val="14"/>
              </w:rPr>
            </w:pPr>
            <w:r w:rsidRPr="00DC4784">
              <w:rPr>
                <w:rFonts w:ascii="Times New Roman" w:hAnsi="Times New Roman" w:cs="Times New Roman"/>
                <w:sz w:val="14"/>
                <w:szCs w:val="14"/>
              </w:rPr>
              <w:t>0,1</w:t>
            </w:r>
          </w:p>
        </w:tc>
        <w:tc>
          <w:tcPr>
            <w:tcW w:w="1099" w:type="dxa"/>
            <w:tcBorders>
              <w:top w:val="single" w:sz="4" w:space="0" w:color="auto"/>
              <w:left w:val="single" w:sz="4" w:space="0" w:color="auto"/>
              <w:bottom w:val="single" w:sz="4" w:space="0" w:color="auto"/>
              <w:right w:val="single" w:sz="4" w:space="0" w:color="auto"/>
            </w:tcBorders>
            <w:textDirection w:val="lrTb"/>
            <w:vAlign w:val="center"/>
          </w:tcPr>
          <w:p w:rsidR="000A6169" w:rsidRPr="00DC4784" w:rsidP="00942EF3">
            <w:pPr>
              <w:bidi w:val="0"/>
              <w:jc w:val="right"/>
              <w:rPr>
                <w:rFonts w:ascii="Times New Roman" w:hAnsi="Times New Roman" w:cs="Times New Roman"/>
                <w:sz w:val="14"/>
                <w:szCs w:val="14"/>
              </w:rPr>
            </w:pPr>
            <w:r w:rsidRPr="00DC4784">
              <w:rPr>
                <w:rFonts w:ascii="Times New Roman" w:hAnsi="Times New Roman" w:cs="Times New Roman"/>
                <w:sz w:val="14"/>
                <w:szCs w:val="14"/>
              </w:rPr>
              <w:t>0,1</w:t>
            </w:r>
          </w:p>
        </w:tc>
      </w:tr>
      <w:tr>
        <w:tblPrEx>
          <w:tblW w:w="9072" w:type="dxa"/>
          <w:jc w:val="center"/>
          <w:tblLayout w:type="fixed"/>
          <w:tblCellMar>
            <w:left w:w="70" w:type="dxa"/>
            <w:right w:w="70" w:type="dxa"/>
          </w:tblCellMar>
        </w:tblPrEx>
        <w:trPr>
          <w:trHeight w:val="266"/>
          <w:jc w:val="center"/>
        </w:trPr>
        <w:tc>
          <w:tcPr>
            <w:tcW w:w="4678" w:type="dxa"/>
            <w:tcBorders>
              <w:top w:val="single" w:sz="4" w:space="0" w:color="auto"/>
              <w:left w:val="single" w:sz="4" w:space="0" w:color="auto"/>
              <w:bottom w:val="single" w:sz="4" w:space="0" w:color="auto"/>
              <w:right w:val="single" w:sz="4" w:space="0" w:color="auto"/>
            </w:tcBorders>
            <w:textDirection w:val="lrTb"/>
            <w:vAlign w:val="center"/>
          </w:tcPr>
          <w:p w:rsidR="000A6169" w:rsidRPr="00DC4784" w:rsidP="00942EF3">
            <w:pPr>
              <w:bidi w:val="0"/>
              <w:ind w:left="708"/>
              <w:rPr>
                <w:rFonts w:ascii="Times New Roman" w:hAnsi="Times New Roman" w:cs="Times New Roman"/>
                <w:sz w:val="14"/>
                <w:szCs w:val="14"/>
              </w:rPr>
            </w:pPr>
            <w:r w:rsidRPr="00DC4784">
              <w:rPr>
                <w:rFonts w:ascii="Times New Roman" w:hAnsi="Times New Roman" w:cs="Times New Roman"/>
                <w:sz w:val="14"/>
                <w:szCs w:val="14"/>
              </w:rPr>
              <w:t>Daň z príjmov fyzických osôb</w:t>
            </w:r>
          </w:p>
        </w:tc>
        <w:tc>
          <w:tcPr>
            <w:tcW w:w="1098"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DC4784" w:rsidP="00942EF3">
            <w:pPr>
              <w:bidi w:val="0"/>
              <w:jc w:val="right"/>
              <w:rPr>
                <w:rFonts w:ascii="Times New Roman" w:hAnsi="Times New Roman" w:cs="Times New Roman"/>
                <w:sz w:val="14"/>
                <w:szCs w:val="14"/>
              </w:rPr>
            </w:pPr>
            <w:r w:rsidRPr="00DC4784">
              <w:rPr>
                <w:rFonts w:ascii="Times New Roman" w:hAnsi="Times New Roman" w:cs="Times New Roman"/>
                <w:sz w:val="14"/>
                <w:szCs w:val="14"/>
              </w:rPr>
              <w:t>3 815</w:t>
            </w:r>
          </w:p>
        </w:tc>
        <w:tc>
          <w:tcPr>
            <w:tcW w:w="1099"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DC4784" w:rsidP="00942EF3">
            <w:pPr>
              <w:bidi w:val="0"/>
              <w:jc w:val="right"/>
              <w:rPr>
                <w:rFonts w:ascii="Times New Roman" w:hAnsi="Times New Roman" w:cs="Times New Roman"/>
                <w:sz w:val="14"/>
                <w:szCs w:val="14"/>
              </w:rPr>
            </w:pPr>
            <w:r w:rsidRPr="00DC4784">
              <w:rPr>
                <w:rFonts w:ascii="Times New Roman" w:hAnsi="Times New Roman" w:cs="Times New Roman"/>
                <w:sz w:val="14"/>
                <w:szCs w:val="14"/>
              </w:rPr>
              <w:t>1 654 499</w:t>
            </w:r>
          </w:p>
        </w:tc>
        <w:tc>
          <w:tcPr>
            <w:tcW w:w="1098"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DC4784" w:rsidP="00942EF3">
            <w:pPr>
              <w:bidi w:val="0"/>
              <w:jc w:val="right"/>
              <w:rPr>
                <w:rFonts w:ascii="Times New Roman" w:hAnsi="Times New Roman" w:cs="Times New Roman"/>
                <w:sz w:val="14"/>
                <w:szCs w:val="14"/>
              </w:rPr>
            </w:pPr>
            <w:r w:rsidRPr="00DC4784">
              <w:rPr>
                <w:rFonts w:ascii="Times New Roman" w:hAnsi="Times New Roman" w:cs="Times New Roman"/>
                <w:sz w:val="14"/>
                <w:szCs w:val="14"/>
              </w:rPr>
              <w:t>1 761 727</w:t>
            </w:r>
          </w:p>
        </w:tc>
        <w:tc>
          <w:tcPr>
            <w:tcW w:w="1099" w:type="dxa"/>
            <w:tcBorders>
              <w:top w:val="single" w:sz="4" w:space="0" w:color="auto"/>
              <w:left w:val="single" w:sz="4" w:space="0" w:color="auto"/>
              <w:bottom w:val="single" w:sz="4" w:space="0" w:color="auto"/>
              <w:right w:val="single" w:sz="4" w:space="0" w:color="auto"/>
            </w:tcBorders>
            <w:textDirection w:val="lrTb"/>
            <w:vAlign w:val="center"/>
          </w:tcPr>
          <w:p w:rsidR="000A6169" w:rsidRPr="00DC4784" w:rsidP="00942EF3">
            <w:pPr>
              <w:bidi w:val="0"/>
              <w:jc w:val="right"/>
              <w:rPr>
                <w:rFonts w:ascii="Times New Roman" w:hAnsi="Times New Roman" w:cs="Times New Roman"/>
                <w:sz w:val="14"/>
                <w:szCs w:val="14"/>
              </w:rPr>
            </w:pPr>
            <w:r w:rsidRPr="00DC4784">
              <w:rPr>
                <w:rFonts w:ascii="Times New Roman" w:hAnsi="Times New Roman" w:cs="Times New Roman"/>
                <w:sz w:val="14"/>
                <w:szCs w:val="14"/>
              </w:rPr>
              <w:t>1 872 743</w:t>
            </w:r>
          </w:p>
        </w:tc>
      </w:tr>
      <w:tr>
        <w:tblPrEx>
          <w:tblW w:w="9072" w:type="dxa"/>
          <w:jc w:val="center"/>
          <w:tblLayout w:type="fixed"/>
          <w:tblCellMar>
            <w:left w:w="70" w:type="dxa"/>
            <w:right w:w="70" w:type="dxa"/>
          </w:tblCellMar>
        </w:tblPrEx>
        <w:trPr>
          <w:trHeight w:val="266"/>
          <w:jc w:val="center"/>
        </w:trPr>
        <w:tc>
          <w:tcPr>
            <w:tcW w:w="4678"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DC4784" w:rsidP="00942EF3">
            <w:pPr>
              <w:bidi w:val="0"/>
              <w:ind w:left="708"/>
              <w:rPr>
                <w:rFonts w:ascii="Times New Roman" w:hAnsi="Times New Roman" w:cs="Times New Roman"/>
                <w:sz w:val="14"/>
                <w:szCs w:val="14"/>
              </w:rPr>
            </w:pPr>
            <w:r w:rsidRPr="00DC4784">
              <w:rPr>
                <w:rFonts w:ascii="Times New Roman" w:hAnsi="Times New Roman" w:cs="Times New Roman"/>
                <w:sz w:val="14"/>
                <w:szCs w:val="14"/>
              </w:rPr>
              <w:t>Daň z príjmov právnických osôb</w:t>
            </w:r>
          </w:p>
        </w:tc>
        <w:tc>
          <w:tcPr>
            <w:tcW w:w="1098"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DC4784" w:rsidP="00942EF3">
            <w:pPr>
              <w:bidi w:val="0"/>
              <w:jc w:val="right"/>
              <w:rPr>
                <w:rFonts w:ascii="Times New Roman" w:hAnsi="Times New Roman" w:cs="Times New Roman"/>
                <w:sz w:val="14"/>
                <w:szCs w:val="14"/>
              </w:rPr>
            </w:pPr>
            <w:r w:rsidRPr="00DC4784">
              <w:rPr>
                <w:rFonts w:ascii="Times New Roman" w:hAnsi="Times New Roman" w:cs="Times New Roman"/>
                <w:sz w:val="14"/>
                <w:szCs w:val="14"/>
              </w:rPr>
              <w:t>0</w:t>
            </w:r>
          </w:p>
        </w:tc>
        <w:tc>
          <w:tcPr>
            <w:tcW w:w="1099"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DC4784" w:rsidP="00942EF3">
            <w:pPr>
              <w:bidi w:val="0"/>
              <w:jc w:val="right"/>
              <w:rPr>
                <w:rFonts w:ascii="Times New Roman" w:hAnsi="Times New Roman" w:cs="Times New Roman"/>
                <w:sz w:val="14"/>
                <w:szCs w:val="14"/>
              </w:rPr>
            </w:pPr>
            <w:r w:rsidRPr="00DC4784">
              <w:rPr>
                <w:rFonts w:ascii="Times New Roman" w:hAnsi="Times New Roman" w:cs="Times New Roman"/>
                <w:sz w:val="14"/>
                <w:szCs w:val="14"/>
              </w:rPr>
              <w:t>43 953</w:t>
            </w:r>
          </w:p>
        </w:tc>
        <w:tc>
          <w:tcPr>
            <w:tcW w:w="1098"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DC4784" w:rsidP="00942EF3">
            <w:pPr>
              <w:bidi w:val="0"/>
              <w:jc w:val="right"/>
              <w:rPr>
                <w:rFonts w:ascii="Times New Roman" w:hAnsi="Times New Roman" w:cs="Times New Roman"/>
                <w:sz w:val="14"/>
                <w:szCs w:val="14"/>
              </w:rPr>
            </w:pPr>
            <w:r w:rsidRPr="00DC4784">
              <w:rPr>
                <w:rFonts w:ascii="Times New Roman" w:hAnsi="Times New Roman" w:cs="Times New Roman"/>
                <w:sz w:val="14"/>
                <w:szCs w:val="14"/>
              </w:rPr>
              <w:t>39 660</w:t>
            </w:r>
          </w:p>
        </w:tc>
        <w:tc>
          <w:tcPr>
            <w:tcW w:w="1099" w:type="dxa"/>
            <w:tcBorders>
              <w:top w:val="single" w:sz="4" w:space="0" w:color="auto"/>
              <w:left w:val="single" w:sz="4" w:space="0" w:color="auto"/>
              <w:bottom w:val="single" w:sz="4" w:space="0" w:color="auto"/>
              <w:right w:val="single" w:sz="4" w:space="0" w:color="auto"/>
            </w:tcBorders>
            <w:textDirection w:val="lrTb"/>
            <w:vAlign w:val="center"/>
          </w:tcPr>
          <w:p w:rsidR="000A6169" w:rsidRPr="00DC4784" w:rsidP="00942EF3">
            <w:pPr>
              <w:bidi w:val="0"/>
              <w:jc w:val="right"/>
              <w:rPr>
                <w:rFonts w:ascii="Times New Roman" w:hAnsi="Times New Roman" w:cs="Times New Roman"/>
                <w:sz w:val="14"/>
                <w:szCs w:val="14"/>
              </w:rPr>
            </w:pPr>
            <w:r w:rsidRPr="00DC4784">
              <w:rPr>
                <w:rFonts w:ascii="Times New Roman" w:hAnsi="Times New Roman" w:cs="Times New Roman"/>
                <w:sz w:val="14"/>
                <w:szCs w:val="14"/>
              </w:rPr>
              <w:t>39 234</w:t>
            </w:r>
          </w:p>
        </w:tc>
      </w:tr>
      <w:tr>
        <w:tblPrEx>
          <w:tblW w:w="9072" w:type="dxa"/>
          <w:jc w:val="center"/>
          <w:tblLayout w:type="fixed"/>
          <w:tblCellMar>
            <w:left w:w="70" w:type="dxa"/>
            <w:right w:w="70" w:type="dxa"/>
          </w:tblCellMar>
        </w:tblPrEx>
        <w:trPr>
          <w:trHeight w:val="266"/>
          <w:jc w:val="center"/>
        </w:trPr>
        <w:tc>
          <w:tcPr>
            <w:tcW w:w="4678"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DC4784" w:rsidP="00942EF3">
            <w:pPr>
              <w:bidi w:val="0"/>
              <w:ind w:left="708"/>
              <w:rPr>
                <w:rFonts w:ascii="Times New Roman" w:hAnsi="Times New Roman" w:cs="Times New Roman"/>
                <w:sz w:val="14"/>
                <w:szCs w:val="14"/>
              </w:rPr>
            </w:pPr>
            <w:r w:rsidRPr="00DC4784">
              <w:rPr>
                <w:rFonts w:ascii="Times New Roman" w:hAnsi="Times New Roman" w:cs="Times New Roman"/>
                <w:sz w:val="14"/>
                <w:szCs w:val="14"/>
              </w:rPr>
              <w:t>Spotrebná daň z tabakových výrobkov</w:t>
            </w:r>
          </w:p>
        </w:tc>
        <w:tc>
          <w:tcPr>
            <w:tcW w:w="1098"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DC4784" w:rsidP="00942EF3">
            <w:pPr>
              <w:bidi w:val="0"/>
              <w:jc w:val="right"/>
              <w:rPr>
                <w:rFonts w:ascii="Times New Roman" w:hAnsi="Times New Roman" w:cs="Times New Roman"/>
                <w:sz w:val="14"/>
                <w:szCs w:val="14"/>
              </w:rPr>
            </w:pPr>
            <w:r w:rsidRPr="00DC4784">
              <w:rPr>
                <w:rFonts w:ascii="Times New Roman" w:hAnsi="Times New Roman" w:cs="Times New Roman"/>
                <w:sz w:val="14"/>
                <w:szCs w:val="14"/>
              </w:rPr>
              <w:t>0</w:t>
            </w:r>
          </w:p>
        </w:tc>
        <w:tc>
          <w:tcPr>
            <w:tcW w:w="1099"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DC4784" w:rsidP="00942EF3">
            <w:pPr>
              <w:bidi w:val="0"/>
              <w:jc w:val="right"/>
              <w:rPr>
                <w:rFonts w:ascii="Times New Roman" w:hAnsi="Times New Roman" w:cs="Times New Roman"/>
                <w:sz w:val="14"/>
                <w:szCs w:val="14"/>
              </w:rPr>
            </w:pPr>
            <w:r w:rsidRPr="00DC4784">
              <w:rPr>
                <w:rFonts w:ascii="Times New Roman" w:hAnsi="Times New Roman" w:cs="Times New Roman"/>
                <w:sz w:val="14"/>
                <w:szCs w:val="14"/>
              </w:rPr>
              <w:t>29 614</w:t>
            </w:r>
          </w:p>
        </w:tc>
        <w:tc>
          <w:tcPr>
            <w:tcW w:w="1098"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DC4784" w:rsidP="00942EF3">
            <w:pPr>
              <w:bidi w:val="0"/>
              <w:jc w:val="right"/>
              <w:rPr>
                <w:rFonts w:ascii="Times New Roman" w:hAnsi="Times New Roman" w:cs="Times New Roman"/>
                <w:sz w:val="14"/>
                <w:szCs w:val="14"/>
              </w:rPr>
            </w:pPr>
            <w:r w:rsidRPr="00DC4784">
              <w:rPr>
                <w:rFonts w:ascii="Times New Roman" w:hAnsi="Times New Roman" w:cs="Times New Roman"/>
                <w:sz w:val="14"/>
                <w:szCs w:val="14"/>
              </w:rPr>
              <w:t>7 541</w:t>
            </w:r>
          </w:p>
        </w:tc>
        <w:tc>
          <w:tcPr>
            <w:tcW w:w="1099" w:type="dxa"/>
            <w:tcBorders>
              <w:top w:val="single" w:sz="4" w:space="0" w:color="auto"/>
              <w:left w:val="single" w:sz="4" w:space="0" w:color="auto"/>
              <w:bottom w:val="single" w:sz="4" w:space="0" w:color="auto"/>
              <w:right w:val="single" w:sz="4" w:space="0" w:color="auto"/>
            </w:tcBorders>
            <w:textDirection w:val="lrTb"/>
            <w:vAlign w:val="center"/>
          </w:tcPr>
          <w:p w:rsidR="000A6169" w:rsidRPr="00DC4784" w:rsidP="00942EF3">
            <w:pPr>
              <w:bidi w:val="0"/>
              <w:jc w:val="right"/>
              <w:rPr>
                <w:rFonts w:ascii="Times New Roman" w:hAnsi="Times New Roman" w:cs="Times New Roman"/>
                <w:sz w:val="14"/>
                <w:szCs w:val="14"/>
              </w:rPr>
            </w:pPr>
            <w:r w:rsidRPr="00DC4784">
              <w:rPr>
                <w:rFonts w:ascii="Times New Roman" w:hAnsi="Times New Roman" w:cs="Times New Roman"/>
                <w:sz w:val="14"/>
                <w:szCs w:val="14"/>
              </w:rPr>
              <w:t>0</w:t>
            </w:r>
          </w:p>
        </w:tc>
      </w:tr>
      <w:tr>
        <w:tblPrEx>
          <w:tblW w:w="9072" w:type="dxa"/>
          <w:jc w:val="center"/>
          <w:tblLayout w:type="fixed"/>
          <w:tblCellMar>
            <w:left w:w="70" w:type="dxa"/>
            <w:right w:w="70" w:type="dxa"/>
          </w:tblCellMar>
        </w:tblPrEx>
        <w:trPr>
          <w:trHeight w:val="266"/>
          <w:jc w:val="center"/>
        </w:trPr>
        <w:tc>
          <w:tcPr>
            <w:tcW w:w="4678"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DC4784" w:rsidP="00942EF3">
            <w:pPr>
              <w:bidi w:val="0"/>
              <w:ind w:left="708"/>
              <w:rPr>
                <w:rFonts w:ascii="Times New Roman" w:hAnsi="Times New Roman" w:cs="Times New Roman"/>
                <w:sz w:val="14"/>
                <w:szCs w:val="14"/>
              </w:rPr>
            </w:pPr>
            <w:r w:rsidRPr="00DC4784">
              <w:rPr>
                <w:rFonts w:ascii="Times New Roman" w:hAnsi="Times New Roman" w:cs="Times New Roman"/>
                <w:sz w:val="14"/>
                <w:szCs w:val="14"/>
              </w:rPr>
              <w:t>Úhrada za služby verejnosti poskytované STV a SRo</w:t>
            </w:r>
          </w:p>
        </w:tc>
        <w:tc>
          <w:tcPr>
            <w:tcW w:w="1098"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DC4784" w:rsidP="00942EF3">
            <w:pPr>
              <w:bidi w:val="0"/>
              <w:jc w:val="right"/>
              <w:rPr>
                <w:rFonts w:ascii="Times New Roman" w:hAnsi="Times New Roman" w:cs="Times New Roman"/>
                <w:sz w:val="14"/>
                <w:szCs w:val="14"/>
              </w:rPr>
            </w:pPr>
            <w:r w:rsidRPr="00DC4784">
              <w:rPr>
                <w:rFonts w:ascii="Times New Roman" w:hAnsi="Times New Roman" w:cs="Times New Roman"/>
                <w:sz w:val="14"/>
                <w:szCs w:val="14"/>
              </w:rPr>
              <w:t>0</w:t>
            </w:r>
          </w:p>
        </w:tc>
        <w:tc>
          <w:tcPr>
            <w:tcW w:w="1099"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DC4784" w:rsidP="00942EF3">
            <w:pPr>
              <w:bidi w:val="0"/>
              <w:jc w:val="right"/>
              <w:rPr>
                <w:rFonts w:ascii="Times New Roman" w:hAnsi="Times New Roman" w:cs="Times New Roman"/>
                <w:sz w:val="14"/>
                <w:szCs w:val="14"/>
              </w:rPr>
            </w:pPr>
            <w:r w:rsidRPr="00DC4784">
              <w:rPr>
                <w:rFonts w:ascii="Times New Roman" w:hAnsi="Times New Roman" w:cs="Times New Roman"/>
                <w:sz w:val="14"/>
                <w:szCs w:val="14"/>
              </w:rPr>
              <w:t>76 278</w:t>
            </w:r>
          </w:p>
        </w:tc>
        <w:tc>
          <w:tcPr>
            <w:tcW w:w="1098"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DC4784" w:rsidP="00942EF3">
            <w:pPr>
              <w:bidi w:val="0"/>
              <w:jc w:val="right"/>
              <w:rPr>
                <w:rFonts w:ascii="Times New Roman" w:hAnsi="Times New Roman" w:cs="Times New Roman"/>
                <w:sz w:val="14"/>
                <w:szCs w:val="14"/>
              </w:rPr>
            </w:pPr>
            <w:r w:rsidRPr="00DC4784">
              <w:rPr>
                <w:rFonts w:ascii="Times New Roman" w:hAnsi="Times New Roman" w:cs="Times New Roman"/>
                <w:sz w:val="14"/>
                <w:szCs w:val="14"/>
              </w:rPr>
              <w:t>76 469</w:t>
            </w:r>
          </w:p>
        </w:tc>
        <w:tc>
          <w:tcPr>
            <w:tcW w:w="1099" w:type="dxa"/>
            <w:tcBorders>
              <w:top w:val="single" w:sz="4" w:space="0" w:color="auto"/>
              <w:left w:val="single" w:sz="4" w:space="0" w:color="auto"/>
              <w:bottom w:val="single" w:sz="4" w:space="0" w:color="auto"/>
              <w:right w:val="single" w:sz="4" w:space="0" w:color="auto"/>
            </w:tcBorders>
            <w:textDirection w:val="lrTb"/>
            <w:vAlign w:val="center"/>
          </w:tcPr>
          <w:p w:rsidR="000A6169" w:rsidRPr="00DC4784" w:rsidP="00942EF3">
            <w:pPr>
              <w:bidi w:val="0"/>
              <w:jc w:val="right"/>
              <w:rPr>
                <w:rFonts w:ascii="Times New Roman" w:hAnsi="Times New Roman" w:cs="Times New Roman"/>
                <w:sz w:val="14"/>
                <w:szCs w:val="14"/>
              </w:rPr>
            </w:pPr>
            <w:r w:rsidRPr="00DC4784">
              <w:rPr>
                <w:rFonts w:ascii="Times New Roman" w:hAnsi="Times New Roman" w:cs="Times New Roman"/>
                <w:sz w:val="14"/>
                <w:szCs w:val="14"/>
              </w:rPr>
              <w:t>76 684</w:t>
            </w:r>
          </w:p>
        </w:tc>
      </w:tr>
      <w:tr>
        <w:tblPrEx>
          <w:tblW w:w="9072" w:type="dxa"/>
          <w:jc w:val="center"/>
          <w:tblLayout w:type="fixed"/>
          <w:tblCellMar>
            <w:left w:w="70" w:type="dxa"/>
            <w:right w:w="70" w:type="dxa"/>
          </w:tblCellMar>
        </w:tblPrEx>
        <w:trPr>
          <w:trHeight w:val="266"/>
          <w:jc w:val="center"/>
        </w:trPr>
        <w:tc>
          <w:tcPr>
            <w:tcW w:w="4678"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DC4784" w:rsidP="00942EF3">
            <w:pPr>
              <w:bidi w:val="0"/>
              <w:ind w:left="708"/>
              <w:rPr>
                <w:rFonts w:ascii="Times New Roman" w:hAnsi="Times New Roman" w:cs="Times New Roman"/>
                <w:sz w:val="14"/>
                <w:szCs w:val="14"/>
              </w:rPr>
            </w:pPr>
            <w:r w:rsidRPr="00DC4784">
              <w:rPr>
                <w:rFonts w:ascii="Times New Roman" w:hAnsi="Times New Roman" w:cs="Times New Roman"/>
                <w:sz w:val="14"/>
                <w:szCs w:val="14"/>
              </w:rPr>
              <w:t>Sociálne a zdravotné odvody</w:t>
            </w:r>
          </w:p>
        </w:tc>
        <w:tc>
          <w:tcPr>
            <w:tcW w:w="1098"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DC4784" w:rsidP="00942EF3">
            <w:pPr>
              <w:bidi w:val="0"/>
              <w:jc w:val="right"/>
              <w:rPr>
                <w:rFonts w:ascii="Times New Roman" w:hAnsi="Times New Roman" w:cs="Times New Roman"/>
                <w:sz w:val="14"/>
                <w:szCs w:val="14"/>
              </w:rPr>
            </w:pPr>
            <w:r w:rsidRPr="00DC4784">
              <w:rPr>
                <w:rFonts w:ascii="Times New Roman" w:hAnsi="Times New Roman" w:cs="Times New Roman"/>
                <w:sz w:val="14"/>
                <w:szCs w:val="14"/>
              </w:rPr>
              <w:t>0</w:t>
            </w:r>
          </w:p>
        </w:tc>
        <w:tc>
          <w:tcPr>
            <w:tcW w:w="1099"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DC4784" w:rsidP="00942EF3">
            <w:pPr>
              <w:bidi w:val="0"/>
              <w:jc w:val="right"/>
              <w:rPr>
                <w:rFonts w:ascii="Times New Roman" w:hAnsi="Times New Roman" w:cs="Times New Roman"/>
                <w:sz w:val="14"/>
                <w:szCs w:val="14"/>
              </w:rPr>
            </w:pPr>
            <w:r w:rsidRPr="00DC4784">
              <w:rPr>
                <w:rFonts w:ascii="Times New Roman" w:hAnsi="Times New Roman" w:cs="Times New Roman"/>
                <w:sz w:val="14"/>
                <w:szCs w:val="14"/>
              </w:rPr>
              <w:t>-1 680 304</w:t>
            </w:r>
          </w:p>
        </w:tc>
        <w:tc>
          <w:tcPr>
            <w:tcW w:w="1098"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DC4784" w:rsidP="00942EF3">
            <w:pPr>
              <w:bidi w:val="0"/>
              <w:jc w:val="right"/>
              <w:rPr>
                <w:rFonts w:ascii="Times New Roman" w:hAnsi="Times New Roman" w:cs="Times New Roman"/>
                <w:sz w:val="14"/>
                <w:szCs w:val="14"/>
              </w:rPr>
            </w:pPr>
            <w:r w:rsidRPr="00DC4784">
              <w:rPr>
                <w:rFonts w:ascii="Times New Roman" w:hAnsi="Times New Roman" w:cs="Times New Roman"/>
                <w:sz w:val="14"/>
                <w:szCs w:val="14"/>
              </w:rPr>
              <w:t>-1 775 830</w:t>
            </w:r>
          </w:p>
        </w:tc>
        <w:tc>
          <w:tcPr>
            <w:tcW w:w="1099" w:type="dxa"/>
            <w:tcBorders>
              <w:top w:val="single" w:sz="4" w:space="0" w:color="auto"/>
              <w:left w:val="single" w:sz="4" w:space="0" w:color="auto"/>
              <w:bottom w:val="single" w:sz="4" w:space="0" w:color="auto"/>
              <w:right w:val="single" w:sz="4" w:space="0" w:color="auto"/>
            </w:tcBorders>
            <w:textDirection w:val="lrTb"/>
            <w:vAlign w:val="center"/>
          </w:tcPr>
          <w:p w:rsidR="000A6169" w:rsidRPr="00DC4784" w:rsidP="00942EF3">
            <w:pPr>
              <w:bidi w:val="0"/>
              <w:jc w:val="right"/>
              <w:rPr>
                <w:rFonts w:ascii="Times New Roman" w:hAnsi="Times New Roman" w:cs="Times New Roman"/>
                <w:sz w:val="14"/>
                <w:szCs w:val="14"/>
              </w:rPr>
            </w:pPr>
            <w:r w:rsidRPr="00DC4784">
              <w:rPr>
                <w:rFonts w:ascii="Times New Roman" w:hAnsi="Times New Roman" w:cs="Times New Roman"/>
                <w:sz w:val="14"/>
                <w:szCs w:val="14"/>
              </w:rPr>
              <w:t>-1 934 424</w:t>
            </w:r>
          </w:p>
        </w:tc>
      </w:tr>
    </w:tbl>
    <w:p w:rsidR="000A6169" w:rsidRPr="00896984" w:rsidP="000A6169">
      <w:pPr>
        <w:bidi w:val="0"/>
        <w:jc w:val="both"/>
        <w:rPr>
          <w:rFonts w:ascii="Times New Roman" w:hAnsi="Times New Roman" w:cs="Times New Roman"/>
          <w:sz w:val="16"/>
          <w:szCs w:val="20"/>
        </w:rPr>
      </w:pPr>
      <w:r w:rsidRPr="00896984">
        <w:rPr>
          <w:rFonts w:ascii="Times New Roman" w:hAnsi="Times New Roman" w:cs="Times New Roman"/>
          <w:sz w:val="16"/>
          <w:szCs w:val="20"/>
        </w:rPr>
        <w:t>* znamienko (-) znamená zníženie daňových príjmov verejnej správy</w:t>
      </w:r>
    </w:p>
    <w:p w:rsidR="000A6169" w:rsidRPr="00896984" w:rsidP="000A6169">
      <w:pPr>
        <w:bidi w:val="0"/>
        <w:jc w:val="both"/>
        <w:rPr>
          <w:rFonts w:ascii="Times New Roman" w:hAnsi="Times New Roman" w:cs="Times New Roman"/>
        </w:rPr>
      </w:pPr>
    </w:p>
    <w:p w:rsidR="000A6169" w:rsidRPr="00896984" w:rsidP="000A6169">
      <w:pPr>
        <w:bidi w:val="0"/>
        <w:ind w:firstLine="708"/>
        <w:jc w:val="both"/>
        <w:rPr>
          <w:rFonts w:ascii="Times New Roman" w:hAnsi="Times New Roman" w:cs="Times New Roman"/>
        </w:rPr>
      </w:pPr>
      <w:r w:rsidRPr="00896984">
        <w:rPr>
          <w:rFonts w:ascii="Times New Roman" w:hAnsi="Times New Roman" w:cs="Times New Roman"/>
        </w:rPr>
        <w:t>V prognóze daní a odvodov je premietnutý zákon o úprave príjmu zo závislej činnosti, ktorý upravuje prechod na superhrubú mzdu a definuje nové sadzby odvodov. Zároveň prognóza daňových a odvodových príjmov počíta s prijatím novely zákona č. 595/2003 Z. z. o </w:t>
      </w:r>
      <w:r w:rsidRPr="00896984">
        <w:rPr>
          <w:rFonts w:ascii="Times New Roman" w:hAnsi="Times New Roman" w:cs="Times New Roman"/>
          <w:b/>
          <w:bCs/>
        </w:rPr>
        <w:t>dani z príjmov</w:t>
      </w:r>
      <w:r w:rsidRPr="00896984">
        <w:rPr>
          <w:rFonts w:ascii="Times New Roman" w:hAnsi="Times New Roman" w:cs="Times New Roman"/>
        </w:rPr>
        <w:t xml:space="preserve"> a novelami zákona č. 461/2003 Z. z. o </w:t>
      </w:r>
      <w:r w:rsidRPr="00896984">
        <w:rPr>
          <w:rFonts w:ascii="Times New Roman" w:hAnsi="Times New Roman" w:cs="Times New Roman"/>
          <w:b/>
          <w:bCs/>
        </w:rPr>
        <w:t xml:space="preserve">sociálnom poistení </w:t>
      </w:r>
      <w:r w:rsidRPr="00896984">
        <w:rPr>
          <w:rFonts w:ascii="Times New Roman" w:hAnsi="Times New Roman" w:cs="Times New Roman"/>
        </w:rPr>
        <w:t>a zákona č. 580/2004 Z. z.</w:t>
      </w:r>
      <w:r w:rsidRPr="00896984">
        <w:rPr>
          <w:rFonts w:ascii="Times New Roman" w:hAnsi="Times New Roman" w:cs="Times New Roman"/>
          <w:b/>
          <w:bCs/>
        </w:rPr>
        <w:t xml:space="preserve"> o zdravotnom poistení</w:t>
      </w:r>
      <w:r w:rsidRPr="00896984">
        <w:rPr>
          <w:rFonts w:ascii="Times New Roman" w:hAnsi="Times New Roman" w:cs="Times New Roman"/>
        </w:rPr>
        <w:t xml:space="preserve">, ktoré obsahujú viacero legislatívnych zmien navrhovaných za účelom realizácie daňovo-odvodovej reformy s účinnosťou od 1. 1. 2012. </w:t>
      </w:r>
    </w:p>
    <w:p w:rsidR="000A6169" w:rsidRPr="00896984" w:rsidP="000A6169">
      <w:pPr>
        <w:bidi w:val="0"/>
        <w:ind w:firstLine="720"/>
        <w:jc w:val="both"/>
        <w:rPr>
          <w:rFonts w:ascii="Times New Roman" w:hAnsi="Times New Roman" w:cs="Times New Roman"/>
        </w:rPr>
      </w:pPr>
    </w:p>
    <w:p w:rsidR="000A6169" w:rsidRPr="00896984" w:rsidP="000A6169">
      <w:pPr>
        <w:bidi w:val="0"/>
        <w:ind w:firstLine="720"/>
        <w:jc w:val="both"/>
        <w:rPr>
          <w:rFonts w:ascii="Times New Roman" w:hAnsi="Times New Roman" w:cs="Times New Roman"/>
        </w:rPr>
      </w:pPr>
      <w:r w:rsidRPr="00896984">
        <w:rPr>
          <w:rFonts w:ascii="Times New Roman" w:hAnsi="Times New Roman" w:cs="Times New Roman"/>
        </w:rPr>
        <w:t>V nasledujúcej tabuľke je uvedený podrobnejší vplyv daňovo-odvodovej reformy na dane z príjmov a odvodové príjmy:</w:t>
      </w:r>
    </w:p>
    <w:p w:rsidR="000A6169" w:rsidRPr="00896984" w:rsidP="000A6169">
      <w:pPr>
        <w:bidi w:val="0"/>
        <w:ind w:firstLine="720"/>
        <w:jc w:val="both"/>
        <w:rPr>
          <w:rFonts w:ascii="Times New Roman" w:hAnsi="Times New Roman" w:cs="Times New Roman"/>
        </w:rPr>
      </w:pPr>
    </w:p>
    <w:tbl>
      <w:tblPr>
        <w:tblStyle w:val="TableNormal"/>
        <w:tblW w:w="5007" w:type="pct"/>
        <w:tblCellMar>
          <w:left w:w="70" w:type="dxa"/>
          <w:right w:w="70" w:type="dxa"/>
        </w:tblCellMar>
        <w:tblLook w:val="04A0"/>
      </w:tblPr>
      <w:tblGrid>
        <w:gridCol w:w="2628"/>
        <w:gridCol w:w="1650"/>
        <w:gridCol w:w="1649"/>
        <w:gridCol w:w="1649"/>
        <w:gridCol w:w="1649"/>
      </w:tblGrid>
      <w:tr>
        <w:tblPrEx>
          <w:tblW w:w="5007" w:type="pct"/>
          <w:tblCellMar>
            <w:left w:w="70" w:type="dxa"/>
            <w:right w:w="70" w:type="dxa"/>
          </w:tblCellMar>
          <w:tblLook w:val="04A0"/>
        </w:tblPrEx>
        <w:trPr>
          <w:trHeight w:val="266"/>
        </w:trPr>
        <w:tc>
          <w:tcPr>
            <w:tcW w:w="5000" w:type="pct"/>
            <w:gridSpan w:val="5"/>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0A6169" w:rsidRPr="00DC4784" w:rsidP="00942EF3">
            <w:pPr>
              <w:bidi w:val="0"/>
              <w:rPr>
                <w:rFonts w:ascii="Times New Roman" w:hAnsi="Times New Roman" w:cs="Times New Roman"/>
                <w:b/>
                <w:bCs/>
                <w:sz w:val="14"/>
                <w:szCs w:val="14"/>
                <w:lang w:eastAsia="sk-SK"/>
              </w:rPr>
            </w:pPr>
            <w:r w:rsidRPr="00DC4784">
              <w:rPr>
                <w:rFonts w:ascii="Times New Roman" w:hAnsi="Times New Roman" w:cs="Times New Roman"/>
                <w:b/>
                <w:bCs/>
                <w:sz w:val="14"/>
                <w:szCs w:val="14"/>
                <w:lang w:eastAsia="sk-SK"/>
              </w:rPr>
              <w:t>Vplyv zákona o úprave príjmu zo závislej činnosti a o zmene a doplnení niektorých zákonov (daňovo-odvodovej reformy) s účinnosťou od 1. 1. 2012 na daňové príjmy VS (ESA 95, tis. eur)</w:t>
            </w:r>
          </w:p>
        </w:tc>
      </w:tr>
      <w:tr>
        <w:tblPrEx>
          <w:tblW w:w="5007" w:type="pct"/>
          <w:tblCellMar>
            <w:left w:w="70" w:type="dxa"/>
            <w:right w:w="70" w:type="dxa"/>
          </w:tblCellMar>
          <w:tblLook w:val="04A0"/>
        </w:tblPrEx>
        <w:trPr>
          <w:trHeight w:val="266"/>
        </w:trPr>
        <w:tc>
          <w:tcPr>
            <w:tcW w:w="1424" w:type="pct"/>
            <w:tcBorders>
              <w:top w:val="nil"/>
              <w:left w:val="single" w:sz="4" w:space="0" w:color="auto"/>
              <w:bottom w:val="single" w:sz="4" w:space="0" w:color="auto"/>
              <w:right w:val="single" w:sz="4" w:space="0" w:color="auto"/>
            </w:tcBorders>
            <w:textDirection w:val="lrTb"/>
            <w:vAlign w:val="top"/>
            <w:hideMark/>
          </w:tcPr>
          <w:p w:rsidR="000A6169" w:rsidRPr="00DC4784" w:rsidP="00942EF3">
            <w:pPr>
              <w:bidi w:val="0"/>
              <w:rPr>
                <w:rFonts w:ascii="Times New Roman" w:hAnsi="Times New Roman" w:cs="Times New Roman"/>
                <w:b/>
                <w:bCs/>
                <w:sz w:val="14"/>
                <w:szCs w:val="14"/>
                <w:lang w:eastAsia="sk-SK"/>
              </w:rPr>
            </w:pPr>
            <w:r w:rsidRPr="00DC4784">
              <w:rPr>
                <w:rFonts w:ascii="Times New Roman" w:hAnsi="Times New Roman" w:cs="Times New Roman"/>
                <w:b/>
                <w:bCs/>
                <w:sz w:val="14"/>
                <w:szCs w:val="14"/>
                <w:lang w:eastAsia="sk-SK"/>
              </w:rPr>
              <w:t> </w:t>
            </w:r>
          </w:p>
        </w:tc>
        <w:tc>
          <w:tcPr>
            <w:tcW w:w="894" w:type="pct"/>
            <w:tcBorders>
              <w:top w:val="nil"/>
              <w:left w:val="nil"/>
              <w:bottom w:val="single" w:sz="4" w:space="0" w:color="auto"/>
              <w:right w:val="single" w:sz="4" w:space="0" w:color="auto"/>
            </w:tcBorders>
            <w:textDirection w:val="lrTb"/>
            <w:vAlign w:val="center"/>
            <w:hideMark/>
          </w:tcPr>
          <w:p w:rsidR="000A6169" w:rsidRPr="00DC4784" w:rsidP="00942EF3">
            <w:pPr>
              <w:bidi w:val="0"/>
              <w:jc w:val="center"/>
              <w:rPr>
                <w:rFonts w:ascii="Times New Roman" w:hAnsi="Times New Roman" w:cs="Times New Roman"/>
                <w:b/>
                <w:bCs/>
                <w:sz w:val="14"/>
                <w:szCs w:val="14"/>
                <w:lang w:eastAsia="sk-SK"/>
              </w:rPr>
            </w:pPr>
            <w:r w:rsidRPr="00DC4784">
              <w:rPr>
                <w:rFonts w:ascii="Times New Roman" w:hAnsi="Times New Roman" w:cs="Times New Roman"/>
                <w:b/>
                <w:bCs/>
                <w:sz w:val="14"/>
                <w:szCs w:val="14"/>
                <w:lang w:eastAsia="sk-SK"/>
              </w:rPr>
              <w:t>2011</w:t>
            </w:r>
          </w:p>
        </w:tc>
        <w:tc>
          <w:tcPr>
            <w:tcW w:w="894" w:type="pct"/>
            <w:tcBorders>
              <w:top w:val="nil"/>
              <w:left w:val="nil"/>
              <w:bottom w:val="single" w:sz="4" w:space="0" w:color="auto"/>
              <w:right w:val="single" w:sz="4" w:space="0" w:color="auto"/>
            </w:tcBorders>
            <w:textDirection w:val="lrTb"/>
            <w:vAlign w:val="center"/>
            <w:hideMark/>
          </w:tcPr>
          <w:p w:rsidR="000A6169" w:rsidRPr="00DC4784" w:rsidP="00942EF3">
            <w:pPr>
              <w:bidi w:val="0"/>
              <w:jc w:val="center"/>
              <w:rPr>
                <w:rFonts w:ascii="Times New Roman" w:hAnsi="Times New Roman" w:cs="Times New Roman"/>
                <w:b/>
                <w:bCs/>
                <w:sz w:val="14"/>
                <w:szCs w:val="14"/>
                <w:lang w:eastAsia="sk-SK"/>
              </w:rPr>
            </w:pPr>
            <w:r w:rsidRPr="00DC4784">
              <w:rPr>
                <w:rFonts w:ascii="Times New Roman" w:hAnsi="Times New Roman" w:cs="Times New Roman"/>
                <w:b/>
                <w:bCs/>
                <w:sz w:val="14"/>
                <w:szCs w:val="14"/>
                <w:lang w:eastAsia="sk-SK"/>
              </w:rPr>
              <w:t>2012</w:t>
            </w:r>
          </w:p>
        </w:tc>
        <w:tc>
          <w:tcPr>
            <w:tcW w:w="894" w:type="pct"/>
            <w:tcBorders>
              <w:top w:val="nil"/>
              <w:left w:val="nil"/>
              <w:bottom w:val="single" w:sz="4" w:space="0" w:color="auto"/>
              <w:right w:val="single" w:sz="4" w:space="0" w:color="auto"/>
            </w:tcBorders>
            <w:textDirection w:val="lrTb"/>
            <w:vAlign w:val="center"/>
            <w:hideMark/>
          </w:tcPr>
          <w:p w:rsidR="000A6169" w:rsidRPr="00DC4784" w:rsidP="00942EF3">
            <w:pPr>
              <w:bidi w:val="0"/>
              <w:jc w:val="center"/>
              <w:rPr>
                <w:rFonts w:ascii="Times New Roman" w:hAnsi="Times New Roman" w:cs="Times New Roman"/>
                <w:b/>
                <w:bCs/>
                <w:sz w:val="14"/>
                <w:szCs w:val="14"/>
                <w:lang w:eastAsia="sk-SK"/>
              </w:rPr>
            </w:pPr>
            <w:r w:rsidRPr="00DC4784">
              <w:rPr>
                <w:rFonts w:ascii="Times New Roman" w:hAnsi="Times New Roman" w:cs="Times New Roman"/>
                <w:b/>
                <w:bCs/>
                <w:sz w:val="14"/>
                <w:szCs w:val="14"/>
                <w:lang w:eastAsia="sk-SK"/>
              </w:rPr>
              <w:t>2013</w:t>
            </w:r>
          </w:p>
        </w:tc>
        <w:tc>
          <w:tcPr>
            <w:tcW w:w="894" w:type="pct"/>
            <w:tcBorders>
              <w:top w:val="nil"/>
              <w:left w:val="nil"/>
              <w:bottom w:val="single" w:sz="4" w:space="0" w:color="auto"/>
              <w:right w:val="single" w:sz="4" w:space="0" w:color="auto"/>
            </w:tcBorders>
            <w:textDirection w:val="lrTb"/>
            <w:vAlign w:val="center"/>
            <w:hideMark/>
          </w:tcPr>
          <w:p w:rsidR="000A6169" w:rsidRPr="00DC4784" w:rsidP="00942EF3">
            <w:pPr>
              <w:bidi w:val="0"/>
              <w:jc w:val="center"/>
              <w:rPr>
                <w:rFonts w:ascii="Times New Roman" w:hAnsi="Times New Roman" w:cs="Times New Roman"/>
                <w:b/>
                <w:bCs/>
                <w:sz w:val="14"/>
                <w:szCs w:val="14"/>
                <w:lang w:eastAsia="sk-SK"/>
              </w:rPr>
            </w:pPr>
            <w:r w:rsidRPr="00DC4784">
              <w:rPr>
                <w:rFonts w:ascii="Times New Roman" w:hAnsi="Times New Roman" w:cs="Times New Roman"/>
                <w:b/>
                <w:bCs/>
                <w:sz w:val="14"/>
                <w:szCs w:val="14"/>
                <w:lang w:eastAsia="sk-SK"/>
              </w:rPr>
              <w:t>2014</w:t>
            </w:r>
          </w:p>
        </w:tc>
      </w:tr>
      <w:tr>
        <w:tblPrEx>
          <w:tblW w:w="5007" w:type="pct"/>
          <w:tblCellMar>
            <w:left w:w="70" w:type="dxa"/>
            <w:right w:w="70" w:type="dxa"/>
          </w:tblCellMar>
          <w:tblLook w:val="04A0"/>
        </w:tblPrEx>
        <w:trPr>
          <w:trHeight w:val="266"/>
        </w:trPr>
        <w:tc>
          <w:tcPr>
            <w:tcW w:w="1424" w:type="pct"/>
            <w:tcBorders>
              <w:top w:val="nil"/>
              <w:left w:val="single" w:sz="4" w:space="0" w:color="auto"/>
              <w:bottom w:val="single" w:sz="4" w:space="0" w:color="auto"/>
              <w:right w:val="single" w:sz="4" w:space="0" w:color="auto"/>
            </w:tcBorders>
            <w:textDirection w:val="lrTb"/>
            <w:vAlign w:val="center"/>
            <w:hideMark/>
          </w:tcPr>
          <w:p w:rsidR="000A6169" w:rsidRPr="00DC4784" w:rsidP="00942EF3">
            <w:pPr>
              <w:bidi w:val="0"/>
              <w:rPr>
                <w:rFonts w:ascii="Times New Roman" w:hAnsi="Times New Roman" w:cs="Times New Roman"/>
                <w:b/>
                <w:bCs/>
                <w:sz w:val="14"/>
                <w:szCs w:val="14"/>
                <w:lang w:eastAsia="sk-SK"/>
              </w:rPr>
            </w:pPr>
            <w:r w:rsidRPr="00DC4784">
              <w:rPr>
                <w:rFonts w:ascii="Times New Roman" w:hAnsi="Times New Roman" w:cs="Times New Roman"/>
                <w:b/>
                <w:bCs/>
                <w:sz w:val="14"/>
                <w:szCs w:val="14"/>
                <w:lang w:eastAsia="sk-SK"/>
              </w:rPr>
              <w:t>DPFO</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b/>
                <w:bCs/>
                <w:sz w:val="14"/>
                <w:szCs w:val="14"/>
                <w:lang w:eastAsia="sk-SK"/>
              </w:rPr>
            </w:pPr>
            <w:r w:rsidRPr="00DC4784">
              <w:rPr>
                <w:rFonts w:ascii="Times New Roman" w:hAnsi="Times New Roman" w:cs="Times New Roman"/>
                <w:b/>
                <w:bCs/>
                <w:sz w:val="14"/>
                <w:szCs w:val="14"/>
                <w:lang w:eastAsia="sk-SK"/>
              </w:rPr>
              <w:t>3 815</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b/>
                <w:bCs/>
                <w:sz w:val="14"/>
                <w:szCs w:val="14"/>
                <w:lang w:eastAsia="sk-SK"/>
              </w:rPr>
            </w:pPr>
            <w:r w:rsidRPr="00DC4784">
              <w:rPr>
                <w:rFonts w:ascii="Times New Roman" w:hAnsi="Times New Roman" w:cs="Times New Roman"/>
                <w:b/>
                <w:bCs/>
                <w:sz w:val="14"/>
                <w:szCs w:val="14"/>
                <w:lang w:eastAsia="sk-SK"/>
              </w:rPr>
              <w:t>1 654 499</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b/>
                <w:bCs/>
                <w:sz w:val="14"/>
                <w:szCs w:val="14"/>
                <w:lang w:eastAsia="sk-SK"/>
              </w:rPr>
            </w:pPr>
            <w:r w:rsidRPr="00DC4784">
              <w:rPr>
                <w:rFonts w:ascii="Times New Roman" w:hAnsi="Times New Roman" w:cs="Times New Roman"/>
                <w:b/>
                <w:bCs/>
                <w:sz w:val="14"/>
                <w:szCs w:val="14"/>
                <w:lang w:eastAsia="sk-SK"/>
              </w:rPr>
              <w:t>1 761 727</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b/>
                <w:bCs/>
                <w:sz w:val="14"/>
                <w:szCs w:val="14"/>
                <w:lang w:eastAsia="sk-SK"/>
              </w:rPr>
            </w:pPr>
            <w:r w:rsidRPr="00DC4784">
              <w:rPr>
                <w:rFonts w:ascii="Times New Roman" w:hAnsi="Times New Roman" w:cs="Times New Roman"/>
                <w:b/>
                <w:bCs/>
                <w:sz w:val="14"/>
                <w:szCs w:val="14"/>
                <w:lang w:eastAsia="sk-SK"/>
              </w:rPr>
              <w:t>1 872 743</w:t>
            </w:r>
          </w:p>
        </w:tc>
      </w:tr>
      <w:tr>
        <w:tblPrEx>
          <w:tblW w:w="5007" w:type="pct"/>
          <w:tblCellMar>
            <w:left w:w="70" w:type="dxa"/>
            <w:right w:w="70" w:type="dxa"/>
          </w:tblCellMar>
          <w:tblLook w:val="04A0"/>
        </w:tblPrEx>
        <w:trPr>
          <w:trHeight w:val="266"/>
        </w:trPr>
        <w:tc>
          <w:tcPr>
            <w:tcW w:w="1424" w:type="pct"/>
            <w:tcBorders>
              <w:top w:val="nil"/>
              <w:left w:val="single" w:sz="4" w:space="0" w:color="auto"/>
              <w:bottom w:val="single" w:sz="4" w:space="0" w:color="auto"/>
              <w:right w:val="single" w:sz="4" w:space="0" w:color="auto"/>
            </w:tcBorders>
            <w:textDirection w:val="lrTb"/>
            <w:vAlign w:val="center"/>
            <w:hideMark/>
          </w:tcPr>
          <w:p w:rsidR="000A6169" w:rsidRPr="00DC4784" w:rsidP="00942EF3">
            <w:pPr>
              <w:bidi w:val="0"/>
              <w:rPr>
                <w:rFonts w:ascii="Times New Roman" w:hAnsi="Times New Roman" w:cs="Times New Roman"/>
                <w:sz w:val="14"/>
                <w:szCs w:val="14"/>
                <w:lang w:eastAsia="sk-SK"/>
              </w:rPr>
            </w:pPr>
            <w:r w:rsidRPr="00DC4784">
              <w:rPr>
                <w:rFonts w:ascii="Times New Roman" w:hAnsi="Times New Roman" w:cs="Times New Roman"/>
                <w:sz w:val="14"/>
                <w:szCs w:val="14"/>
                <w:lang w:eastAsia="sk-SK"/>
              </w:rPr>
              <w:t xml:space="preserve">  - DPFO závislá činnosť</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0</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1 582 652</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1 686 166</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1 791 630</w:t>
            </w:r>
          </w:p>
        </w:tc>
      </w:tr>
      <w:tr>
        <w:tblPrEx>
          <w:tblW w:w="5007" w:type="pct"/>
          <w:tblCellMar>
            <w:left w:w="70" w:type="dxa"/>
            <w:right w:w="70" w:type="dxa"/>
          </w:tblCellMar>
          <w:tblLook w:val="04A0"/>
        </w:tblPrEx>
        <w:trPr>
          <w:trHeight w:val="266"/>
        </w:trPr>
        <w:tc>
          <w:tcPr>
            <w:tcW w:w="1424" w:type="pct"/>
            <w:tcBorders>
              <w:top w:val="nil"/>
              <w:left w:val="single" w:sz="4" w:space="0" w:color="auto"/>
              <w:bottom w:val="single" w:sz="4" w:space="0" w:color="auto"/>
              <w:right w:val="single" w:sz="4" w:space="0" w:color="auto"/>
            </w:tcBorders>
            <w:textDirection w:val="lrTb"/>
            <w:vAlign w:val="center"/>
            <w:hideMark/>
          </w:tcPr>
          <w:p w:rsidR="000A6169" w:rsidRPr="00DC4784" w:rsidP="00942EF3">
            <w:pPr>
              <w:bidi w:val="0"/>
              <w:rPr>
                <w:rFonts w:ascii="Times New Roman" w:hAnsi="Times New Roman" w:cs="Times New Roman"/>
                <w:sz w:val="14"/>
                <w:szCs w:val="14"/>
                <w:lang w:eastAsia="sk-SK"/>
              </w:rPr>
            </w:pPr>
            <w:r w:rsidRPr="00DC4784">
              <w:rPr>
                <w:rFonts w:ascii="Times New Roman" w:hAnsi="Times New Roman" w:cs="Times New Roman"/>
                <w:i/>
                <w:iCs/>
                <w:sz w:val="14"/>
                <w:szCs w:val="14"/>
                <w:lang w:eastAsia="sk-SK"/>
              </w:rPr>
              <w:t xml:space="preserve">      - zamestnanci</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1 583 131</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1 686 675</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1 792 183</w:t>
            </w:r>
          </w:p>
        </w:tc>
      </w:tr>
      <w:tr>
        <w:tblPrEx>
          <w:tblW w:w="5007" w:type="pct"/>
          <w:tblCellMar>
            <w:left w:w="70" w:type="dxa"/>
            <w:right w:w="70" w:type="dxa"/>
          </w:tblCellMar>
          <w:tblLook w:val="04A0"/>
        </w:tblPrEx>
        <w:trPr>
          <w:trHeight w:val="266"/>
        </w:trPr>
        <w:tc>
          <w:tcPr>
            <w:tcW w:w="1424" w:type="pct"/>
            <w:tcBorders>
              <w:top w:val="nil"/>
              <w:left w:val="single" w:sz="4" w:space="0" w:color="auto"/>
              <w:bottom w:val="single" w:sz="4" w:space="0" w:color="auto"/>
              <w:right w:val="single" w:sz="4" w:space="0" w:color="auto"/>
            </w:tcBorders>
            <w:textDirection w:val="lrTb"/>
            <w:vAlign w:val="center"/>
            <w:hideMark/>
          </w:tcPr>
          <w:p w:rsidR="000A6169" w:rsidRPr="00DC4784" w:rsidP="00942EF3">
            <w:pPr>
              <w:bidi w:val="0"/>
              <w:rPr>
                <w:rFonts w:ascii="Times New Roman" w:hAnsi="Times New Roman" w:cs="Times New Roman"/>
                <w:i/>
                <w:iCs/>
                <w:sz w:val="14"/>
                <w:szCs w:val="14"/>
                <w:lang w:eastAsia="sk-SK"/>
              </w:rPr>
            </w:pPr>
            <w:r w:rsidRPr="00DC4784">
              <w:rPr>
                <w:rFonts w:ascii="Times New Roman" w:hAnsi="Times New Roman" w:cs="Times New Roman"/>
                <w:i/>
                <w:iCs/>
                <w:sz w:val="14"/>
                <w:szCs w:val="14"/>
                <w:lang w:eastAsia="sk-SK"/>
              </w:rPr>
              <w:t xml:space="preserve">      - dohodári</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-480</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-508</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-553</w:t>
            </w:r>
          </w:p>
        </w:tc>
      </w:tr>
      <w:tr>
        <w:tblPrEx>
          <w:tblW w:w="5007" w:type="pct"/>
          <w:tblCellMar>
            <w:left w:w="70" w:type="dxa"/>
            <w:right w:w="70" w:type="dxa"/>
          </w:tblCellMar>
          <w:tblLook w:val="04A0"/>
        </w:tblPrEx>
        <w:trPr>
          <w:trHeight w:val="266"/>
        </w:trPr>
        <w:tc>
          <w:tcPr>
            <w:tcW w:w="1424" w:type="pct"/>
            <w:tcBorders>
              <w:top w:val="nil"/>
              <w:left w:val="single" w:sz="4" w:space="0" w:color="auto"/>
              <w:bottom w:val="single" w:sz="4" w:space="0" w:color="auto"/>
              <w:right w:val="single" w:sz="4" w:space="0" w:color="auto"/>
            </w:tcBorders>
            <w:textDirection w:val="lrTb"/>
            <w:vAlign w:val="center"/>
            <w:hideMark/>
          </w:tcPr>
          <w:p w:rsidR="000A6169" w:rsidRPr="00DC4784" w:rsidP="00942EF3">
            <w:pPr>
              <w:bidi w:val="0"/>
              <w:rPr>
                <w:rFonts w:ascii="Times New Roman" w:hAnsi="Times New Roman" w:cs="Times New Roman"/>
                <w:sz w:val="14"/>
                <w:szCs w:val="14"/>
                <w:lang w:eastAsia="sk-SK"/>
              </w:rPr>
            </w:pPr>
            <w:r w:rsidRPr="00DC4784">
              <w:rPr>
                <w:rFonts w:ascii="Times New Roman" w:hAnsi="Times New Roman" w:cs="Times New Roman"/>
                <w:sz w:val="14"/>
                <w:szCs w:val="14"/>
                <w:lang w:eastAsia="sk-SK"/>
              </w:rPr>
              <w:t xml:space="preserve">  - DPFO podnikanie</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3 815</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71 847</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75 561</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81 113</w:t>
            </w:r>
          </w:p>
        </w:tc>
      </w:tr>
      <w:tr>
        <w:tblPrEx>
          <w:tblW w:w="5007" w:type="pct"/>
          <w:tblCellMar>
            <w:left w:w="70" w:type="dxa"/>
            <w:right w:w="70" w:type="dxa"/>
          </w:tblCellMar>
          <w:tblLook w:val="04A0"/>
        </w:tblPrEx>
        <w:trPr>
          <w:trHeight w:val="266"/>
        </w:trPr>
        <w:tc>
          <w:tcPr>
            <w:tcW w:w="1424" w:type="pct"/>
            <w:tcBorders>
              <w:top w:val="nil"/>
              <w:left w:val="single" w:sz="4" w:space="0" w:color="auto"/>
              <w:bottom w:val="single" w:sz="4" w:space="0" w:color="auto"/>
              <w:right w:val="single" w:sz="4" w:space="0" w:color="auto"/>
            </w:tcBorders>
            <w:textDirection w:val="lrTb"/>
            <w:vAlign w:val="center"/>
            <w:hideMark/>
          </w:tcPr>
          <w:p w:rsidR="000A6169" w:rsidRPr="00DC4784" w:rsidP="00942EF3">
            <w:pPr>
              <w:bidi w:val="0"/>
              <w:rPr>
                <w:rFonts w:ascii="Times New Roman" w:hAnsi="Times New Roman" w:cs="Times New Roman"/>
                <w:i/>
                <w:iCs/>
                <w:sz w:val="14"/>
                <w:szCs w:val="14"/>
                <w:lang w:eastAsia="sk-SK"/>
              </w:rPr>
            </w:pPr>
            <w:r w:rsidRPr="00DC4784">
              <w:rPr>
                <w:rFonts w:ascii="Times New Roman" w:hAnsi="Times New Roman" w:cs="Times New Roman"/>
                <w:i/>
                <w:iCs/>
                <w:sz w:val="14"/>
                <w:szCs w:val="14"/>
                <w:lang w:eastAsia="sk-SK"/>
              </w:rPr>
              <w:t xml:space="preserve">       - SZČO</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0</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67 706</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70 794</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75 627</w:t>
            </w:r>
          </w:p>
        </w:tc>
      </w:tr>
      <w:tr>
        <w:tblPrEx>
          <w:tblW w:w="5007" w:type="pct"/>
          <w:tblCellMar>
            <w:left w:w="70" w:type="dxa"/>
            <w:right w:w="70" w:type="dxa"/>
          </w:tblCellMar>
          <w:tblLook w:val="04A0"/>
        </w:tblPrEx>
        <w:trPr>
          <w:trHeight w:val="266"/>
        </w:trPr>
        <w:tc>
          <w:tcPr>
            <w:tcW w:w="1424" w:type="pct"/>
            <w:tcBorders>
              <w:top w:val="nil"/>
              <w:left w:val="single" w:sz="4" w:space="0" w:color="auto"/>
              <w:bottom w:val="single" w:sz="4" w:space="0" w:color="auto"/>
              <w:right w:val="single" w:sz="4" w:space="0" w:color="auto"/>
            </w:tcBorders>
            <w:textDirection w:val="lrTb"/>
            <w:vAlign w:val="center"/>
            <w:hideMark/>
          </w:tcPr>
          <w:p w:rsidR="000A6169" w:rsidRPr="00DC4784" w:rsidP="00942EF3">
            <w:pPr>
              <w:bidi w:val="0"/>
              <w:rPr>
                <w:rFonts w:ascii="Times New Roman" w:hAnsi="Times New Roman" w:cs="Times New Roman"/>
                <w:i/>
                <w:iCs/>
                <w:sz w:val="14"/>
                <w:szCs w:val="14"/>
                <w:lang w:eastAsia="sk-SK"/>
              </w:rPr>
            </w:pPr>
            <w:r w:rsidRPr="00DC4784">
              <w:rPr>
                <w:rFonts w:ascii="Times New Roman" w:hAnsi="Times New Roman" w:cs="Times New Roman"/>
                <w:i/>
                <w:iCs/>
                <w:sz w:val="14"/>
                <w:szCs w:val="14"/>
                <w:lang w:eastAsia="sk-SK"/>
              </w:rPr>
              <w:t xml:space="preserve">       - zrušené ZO na prenájom</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3 815</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4 141</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4 766</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5 486</w:t>
            </w:r>
          </w:p>
        </w:tc>
      </w:tr>
      <w:tr>
        <w:tblPrEx>
          <w:tblW w:w="5007" w:type="pct"/>
          <w:tblCellMar>
            <w:left w:w="70" w:type="dxa"/>
            <w:right w:w="70" w:type="dxa"/>
          </w:tblCellMar>
          <w:tblLook w:val="04A0"/>
        </w:tblPrEx>
        <w:trPr>
          <w:trHeight w:val="266"/>
        </w:trPr>
        <w:tc>
          <w:tcPr>
            <w:tcW w:w="1424" w:type="pct"/>
            <w:tcBorders>
              <w:top w:val="nil"/>
              <w:left w:val="single" w:sz="4" w:space="0" w:color="auto"/>
              <w:bottom w:val="single" w:sz="4" w:space="0" w:color="auto"/>
              <w:right w:val="single" w:sz="4" w:space="0" w:color="auto"/>
            </w:tcBorders>
            <w:textDirection w:val="lrTb"/>
            <w:vAlign w:val="center"/>
            <w:hideMark/>
          </w:tcPr>
          <w:p w:rsidR="000A6169" w:rsidRPr="00DC4784" w:rsidP="00942EF3">
            <w:pPr>
              <w:bidi w:val="0"/>
              <w:rPr>
                <w:rFonts w:ascii="Times New Roman" w:hAnsi="Times New Roman" w:cs="Times New Roman"/>
                <w:b/>
                <w:bCs/>
                <w:sz w:val="14"/>
                <w:szCs w:val="14"/>
                <w:lang w:eastAsia="sk-SK"/>
              </w:rPr>
            </w:pPr>
            <w:r w:rsidRPr="00DC4784">
              <w:rPr>
                <w:rFonts w:ascii="Times New Roman" w:hAnsi="Times New Roman" w:cs="Times New Roman"/>
                <w:b/>
                <w:bCs/>
                <w:sz w:val="14"/>
                <w:szCs w:val="14"/>
                <w:lang w:eastAsia="sk-SK"/>
              </w:rPr>
              <w:t>Sociálne odvody (SO)</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b/>
                <w:bCs/>
                <w:sz w:val="14"/>
                <w:szCs w:val="14"/>
                <w:lang w:eastAsia="sk-SK"/>
              </w:rPr>
            </w:pPr>
            <w:r w:rsidRPr="00DC4784">
              <w:rPr>
                <w:rFonts w:ascii="Times New Roman" w:hAnsi="Times New Roman" w:cs="Times New Roman"/>
                <w:b/>
                <w:bCs/>
                <w:sz w:val="14"/>
                <w:szCs w:val="14"/>
                <w:lang w:eastAsia="sk-SK"/>
              </w:rPr>
              <w:t>0</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b/>
                <w:bCs/>
                <w:sz w:val="14"/>
                <w:szCs w:val="14"/>
                <w:lang w:eastAsia="sk-SK"/>
              </w:rPr>
            </w:pPr>
            <w:r w:rsidRPr="00DC4784">
              <w:rPr>
                <w:rFonts w:ascii="Times New Roman" w:hAnsi="Times New Roman" w:cs="Times New Roman"/>
                <w:b/>
                <w:bCs/>
                <w:sz w:val="14"/>
                <w:szCs w:val="14"/>
                <w:lang w:eastAsia="sk-SK"/>
              </w:rPr>
              <w:t>-1 398 300</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b/>
                <w:bCs/>
                <w:sz w:val="14"/>
                <w:szCs w:val="14"/>
                <w:lang w:eastAsia="sk-SK"/>
              </w:rPr>
            </w:pPr>
            <w:r w:rsidRPr="00DC4784">
              <w:rPr>
                <w:rFonts w:ascii="Times New Roman" w:hAnsi="Times New Roman" w:cs="Times New Roman"/>
                <w:b/>
                <w:bCs/>
                <w:sz w:val="14"/>
                <w:szCs w:val="14"/>
                <w:lang w:eastAsia="sk-SK"/>
              </w:rPr>
              <w:t>-1 445 400</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b/>
                <w:bCs/>
                <w:sz w:val="14"/>
                <w:szCs w:val="14"/>
                <w:lang w:eastAsia="sk-SK"/>
              </w:rPr>
            </w:pPr>
            <w:r w:rsidRPr="00DC4784">
              <w:rPr>
                <w:rFonts w:ascii="Times New Roman" w:hAnsi="Times New Roman" w:cs="Times New Roman"/>
                <w:b/>
                <w:bCs/>
                <w:sz w:val="14"/>
                <w:szCs w:val="14"/>
                <w:lang w:eastAsia="sk-SK"/>
              </w:rPr>
              <w:t>-1 536 294</w:t>
            </w:r>
          </w:p>
        </w:tc>
      </w:tr>
      <w:tr>
        <w:tblPrEx>
          <w:tblW w:w="5007" w:type="pct"/>
          <w:tblCellMar>
            <w:left w:w="70" w:type="dxa"/>
            <w:right w:w="70" w:type="dxa"/>
          </w:tblCellMar>
          <w:tblLook w:val="04A0"/>
        </w:tblPrEx>
        <w:trPr>
          <w:trHeight w:val="266"/>
        </w:trPr>
        <w:tc>
          <w:tcPr>
            <w:tcW w:w="1424" w:type="pct"/>
            <w:tcBorders>
              <w:top w:val="nil"/>
              <w:left w:val="single" w:sz="4" w:space="0" w:color="auto"/>
              <w:bottom w:val="single" w:sz="4" w:space="0" w:color="auto"/>
              <w:right w:val="single" w:sz="4" w:space="0" w:color="auto"/>
            </w:tcBorders>
            <w:textDirection w:val="lrTb"/>
            <w:vAlign w:val="center"/>
            <w:hideMark/>
          </w:tcPr>
          <w:p w:rsidR="000A6169" w:rsidRPr="00DC4784" w:rsidP="00942EF3">
            <w:pPr>
              <w:bidi w:val="0"/>
              <w:rPr>
                <w:rFonts w:ascii="Times New Roman" w:hAnsi="Times New Roman" w:cs="Times New Roman"/>
                <w:i/>
                <w:iCs/>
                <w:sz w:val="14"/>
                <w:szCs w:val="14"/>
                <w:lang w:eastAsia="sk-SK"/>
              </w:rPr>
            </w:pPr>
            <w:r w:rsidRPr="00DC4784">
              <w:rPr>
                <w:rFonts w:ascii="Times New Roman" w:hAnsi="Times New Roman" w:cs="Times New Roman"/>
                <w:i/>
                <w:iCs/>
                <w:sz w:val="14"/>
                <w:szCs w:val="14"/>
                <w:lang w:eastAsia="sk-SK"/>
              </w:rPr>
              <w:t xml:space="preserve">  - zamestnanci</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0</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-1 290 823</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-1 344 486</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-1 438 581</w:t>
            </w:r>
          </w:p>
        </w:tc>
      </w:tr>
      <w:tr>
        <w:tblPrEx>
          <w:tblW w:w="5007" w:type="pct"/>
          <w:tblCellMar>
            <w:left w:w="70" w:type="dxa"/>
            <w:right w:w="70" w:type="dxa"/>
          </w:tblCellMar>
          <w:tblLook w:val="04A0"/>
        </w:tblPrEx>
        <w:trPr>
          <w:trHeight w:val="266"/>
        </w:trPr>
        <w:tc>
          <w:tcPr>
            <w:tcW w:w="1424" w:type="pct"/>
            <w:tcBorders>
              <w:top w:val="nil"/>
              <w:left w:val="single" w:sz="4" w:space="0" w:color="auto"/>
              <w:bottom w:val="single" w:sz="4" w:space="0" w:color="auto"/>
              <w:right w:val="single" w:sz="4" w:space="0" w:color="auto"/>
            </w:tcBorders>
            <w:textDirection w:val="lrTb"/>
            <w:vAlign w:val="center"/>
            <w:hideMark/>
          </w:tcPr>
          <w:p w:rsidR="000A6169" w:rsidRPr="00DC4784" w:rsidP="00942EF3">
            <w:pPr>
              <w:bidi w:val="0"/>
              <w:rPr>
                <w:rFonts w:ascii="Times New Roman" w:hAnsi="Times New Roman" w:cs="Times New Roman"/>
                <w:i/>
                <w:iCs/>
                <w:sz w:val="14"/>
                <w:szCs w:val="14"/>
                <w:lang w:eastAsia="sk-SK"/>
              </w:rPr>
            </w:pPr>
            <w:r w:rsidRPr="00DC4784">
              <w:rPr>
                <w:rFonts w:ascii="Times New Roman" w:hAnsi="Times New Roman" w:cs="Times New Roman"/>
                <w:i/>
                <w:iCs/>
                <w:sz w:val="14"/>
                <w:szCs w:val="14"/>
                <w:lang w:eastAsia="sk-SK"/>
              </w:rPr>
              <w:t xml:space="preserve">  - dohodári</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0</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13 264</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18 297</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19 937</w:t>
            </w:r>
          </w:p>
        </w:tc>
      </w:tr>
      <w:tr>
        <w:tblPrEx>
          <w:tblW w:w="5007" w:type="pct"/>
          <w:tblCellMar>
            <w:left w:w="70" w:type="dxa"/>
            <w:right w:w="70" w:type="dxa"/>
          </w:tblCellMar>
          <w:tblLook w:val="04A0"/>
        </w:tblPrEx>
        <w:trPr>
          <w:trHeight w:val="266"/>
        </w:trPr>
        <w:tc>
          <w:tcPr>
            <w:tcW w:w="1424" w:type="pct"/>
            <w:tcBorders>
              <w:top w:val="nil"/>
              <w:left w:val="single" w:sz="4" w:space="0" w:color="auto"/>
              <w:bottom w:val="single" w:sz="4" w:space="0" w:color="auto"/>
              <w:right w:val="single" w:sz="4" w:space="0" w:color="auto"/>
            </w:tcBorders>
            <w:textDirection w:val="lrTb"/>
            <w:vAlign w:val="center"/>
            <w:hideMark/>
          </w:tcPr>
          <w:p w:rsidR="000A6169" w:rsidRPr="00DC4784" w:rsidP="00942EF3">
            <w:pPr>
              <w:bidi w:val="0"/>
              <w:rPr>
                <w:rFonts w:ascii="Times New Roman" w:hAnsi="Times New Roman" w:cs="Times New Roman"/>
                <w:i/>
                <w:iCs/>
                <w:sz w:val="14"/>
                <w:szCs w:val="14"/>
                <w:lang w:eastAsia="sk-SK"/>
              </w:rPr>
            </w:pPr>
            <w:r w:rsidRPr="00DC4784">
              <w:rPr>
                <w:rFonts w:ascii="Times New Roman" w:hAnsi="Times New Roman" w:cs="Times New Roman"/>
                <w:i/>
                <w:iCs/>
                <w:sz w:val="14"/>
                <w:szCs w:val="14"/>
                <w:lang w:eastAsia="sk-SK"/>
              </w:rPr>
              <w:t xml:space="preserve">  - SZČO</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0</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-120 741</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-119 211</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-132 937</w:t>
            </w:r>
          </w:p>
        </w:tc>
      </w:tr>
      <w:tr>
        <w:tblPrEx>
          <w:tblW w:w="5007" w:type="pct"/>
          <w:tblCellMar>
            <w:left w:w="70" w:type="dxa"/>
            <w:right w:w="70" w:type="dxa"/>
          </w:tblCellMar>
          <w:tblLook w:val="04A0"/>
        </w:tblPrEx>
        <w:trPr>
          <w:trHeight w:val="266"/>
        </w:trPr>
        <w:tc>
          <w:tcPr>
            <w:tcW w:w="1424" w:type="pct"/>
            <w:tcBorders>
              <w:top w:val="nil"/>
              <w:left w:val="single" w:sz="4" w:space="0" w:color="auto"/>
              <w:bottom w:val="single" w:sz="4" w:space="0" w:color="auto"/>
              <w:right w:val="single" w:sz="4" w:space="0" w:color="auto"/>
            </w:tcBorders>
            <w:textDirection w:val="lrTb"/>
            <w:vAlign w:val="center"/>
            <w:hideMark/>
          </w:tcPr>
          <w:p w:rsidR="000A6169" w:rsidRPr="00DC4784" w:rsidP="00942EF3">
            <w:pPr>
              <w:bidi w:val="0"/>
              <w:rPr>
                <w:rFonts w:ascii="Times New Roman" w:hAnsi="Times New Roman" w:cs="Times New Roman"/>
                <w:i/>
                <w:iCs/>
                <w:sz w:val="14"/>
                <w:szCs w:val="14"/>
                <w:lang w:eastAsia="sk-SK"/>
              </w:rPr>
            </w:pPr>
            <w:r w:rsidRPr="00DC4784">
              <w:rPr>
                <w:rFonts w:ascii="Times New Roman" w:hAnsi="Times New Roman" w:cs="Times New Roman"/>
                <w:i/>
                <w:iCs/>
                <w:sz w:val="14"/>
                <w:szCs w:val="14"/>
                <w:lang w:eastAsia="sk-SK"/>
              </w:rPr>
              <w:t xml:space="preserve">  - SO na podiel na zisku</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0</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0</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0</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15 287</w:t>
            </w:r>
          </w:p>
        </w:tc>
      </w:tr>
      <w:tr>
        <w:tblPrEx>
          <w:tblW w:w="5007" w:type="pct"/>
          <w:tblCellMar>
            <w:left w:w="70" w:type="dxa"/>
            <w:right w:w="70" w:type="dxa"/>
          </w:tblCellMar>
          <w:tblLook w:val="04A0"/>
        </w:tblPrEx>
        <w:trPr>
          <w:trHeight w:val="266"/>
        </w:trPr>
        <w:tc>
          <w:tcPr>
            <w:tcW w:w="1424" w:type="pct"/>
            <w:tcBorders>
              <w:top w:val="nil"/>
              <w:left w:val="single" w:sz="4" w:space="0" w:color="auto"/>
              <w:bottom w:val="single" w:sz="4" w:space="0" w:color="auto"/>
              <w:right w:val="single" w:sz="4" w:space="0" w:color="auto"/>
            </w:tcBorders>
            <w:textDirection w:val="lrTb"/>
            <w:vAlign w:val="center"/>
            <w:hideMark/>
          </w:tcPr>
          <w:p w:rsidR="000A6169" w:rsidRPr="00DC4784" w:rsidP="00942EF3">
            <w:pPr>
              <w:bidi w:val="0"/>
              <w:rPr>
                <w:rFonts w:ascii="Times New Roman" w:hAnsi="Times New Roman" w:cs="Times New Roman"/>
                <w:b/>
                <w:bCs/>
                <w:sz w:val="14"/>
                <w:szCs w:val="14"/>
                <w:lang w:eastAsia="sk-SK"/>
              </w:rPr>
            </w:pPr>
            <w:r w:rsidRPr="00DC4784">
              <w:rPr>
                <w:rFonts w:ascii="Times New Roman" w:hAnsi="Times New Roman" w:cs="Times New Roman"/>
                <w:b/>
                <w:bCs/>
                <w:sz w:val="14"/>
                <w:szCs w:val="14"/>
                <w:lang w:eastAsia="sk-SK"/>
              </w:rPr>
              <w:t>Zdravotné odvody (ZO)</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b/>
                <w:bCs/>
                <w:sz w:val="14"/>
                <w:szCs w:val="14"/>
                <w:lang w:eastAsia="sk-SK"/>
              </w:rPr>
            </w:pPr>
            <w:r w:rsidRPr="00DC4784">
              <w:rPr>
                <w:rFonts w:ascii="Times New Roman" w:hAnsi="Times New Roman" w:cs="Times New Roman"/>
                <w:b/>
                <w:bCs/>
                <w:sz w:val="14"/>
                <w:szCs w:val="14"/>
                <w:lang w:eastAsia="sk-SK"/>
              </w:rPr>
              <w:t>0</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b/>
                <w:bCs/>
                <w:sz w:val="14"/>
                <w:szCs w:val="14"/>
                <w:lang w:eastAsia="sk-SK"/>
              </w:rPr>
            </w:pPr>
            <w:r w:rsidRPr="00DC4784">
              <w:rPr>
                <w:rFonts w:ascii="Times New Roman" w:hAnsi="Times New Roman" w:cs="Times New Roman"/>
                <w:b/>
                <w:bCs/>
                <w:sz w:val="14"/>
                <w:szCs w:val="14"/>
                <w:lang w:eastAsia="sk-SK"/>
              </w:rPr>
              <w:t>-267  041</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b/>
                <w:bCs/>
                <w:sz w:val="14"/>
                <w:szCs w:val="14"/>
                <w:lang w:eastAsia="sk-SK"/>
              </w:rPr>
            </w:pPr>
            <w:r w:rsidRPr="00DC4784">
              <w:rPr>
                <w:rFonts w:ascii="Times New Roman" w:hAnsi="Times New Roman" w:cs="Times New Roman"/>
                <w:b/>
                <w:bCs/>
                <w:sz w:val="14"/>
                <w:szCs w:val="14"/>
                <w:lang w:eastAsia="sk-SK"/>
              </w:rPr>
              <w:t>-278 420</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b/>
                <w:bCs/>
                <w:sz w:val="14"/>
                <w:szCs w:val="14"/>
                <w:lang w:eastAsia="sk-SK"/>
              </w:rPr>
            </w:pPr>
            <w:r w:rsidRPr="00DC4784">
              <w:rPr>
                <w:rFonts w:ascii="Times New Roman" w:hAnsi="Times New Roman" w:cs="Times New Roman"/>
                <w:b/>
                <w:bCs/>
                <w:sz w:val="14"/>
                <w:szCs w:val="14"/>
                <w:lang w:eastAsia="sk-SK"/>
              </w:rPr>
              <w:t>-301 784</w:t>
            </w:r>
          </w:p>
        </w:tc>
      </w:tr>
      <w:tr>
        <w:tblPrEx>
          <w:tblW w:w="5007" w:type="pct"/>
          <w:tblCellMar>
            <w:left w:w="70" w:type="dxa"/>
            <w:right w:w="70" w:type="dxa"/>
          </w:tblCellMar>
          <w:tblLook w:val="04A0"/>
        </w:tblPrEx>
        <w:trPr>
          <w:trHeight w:val="266"/>
        </w:trPr>
        <w:tc>
          <w:tcPr>
            <w:tcW w:w="1424" w:type="pct"/>
            <w:tcBorders>
              <w:top w:val="nil"/>
              <w:left w:val="single" w:sz="4" w:space="0" w:color="auto"/>
              <w:bottom w:val="single" w:sz="4" w:space="0" w:color="auto"/>
              <w:right w:val="single" w:sz="4" w:space="0" w:color="auto"/>
            </w:tcBorders>
            <w:textDirection w:val="lrTb"/>
            <w:vAlign w:val="center"/>
            <w:hideMark/>
          </w:tcPr>
          <w:p w:rsidR="000A6169" w:rsidRPr="00DC4784" w:rsidP="00942EF3">
            <w:pPr>
              <w:bidi w:val="0"/>
              <w:rPr>
                <w:rFonts w:ascii="Times New Roman" w:hAnsi="Times New Roman" w:cs="Times New Roman"/>
                <w:i/>
                <w:iCs/>
                <w:sz w:val="14"/>
                <w:szCs w:val="14"/>
                <w:lang w:eastAsia="sk-SK"/>
              </w:rPr>
            </w:pPr>
            <w:r w:rsidRPr="00DC4784">
              <w:rPr>
                <w:rFonts w:ascii="Times New Roman" w:hAnsi="Times New Roman" w:cs="Times New Roman"/>
                <w:i/>
                <w:iCs/>
                <w:sz w:val="14"/>
                <w:szCs w:val="14"/>
                <w:lang w:eastAsia="sk-SK"/>
              </w:rPr>
              <w:t xml:space="preserve">  - zamestnanci</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0</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-297 233</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-309 603</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-331 696</w:t>
            </w:r>
          </w:p>
        </w:tc>
      </w:tr>
      <w:tr>
        <w:tblPrEx>
          <w:tblW w:w="5007" w:type="pct"/>
          <w:tblCellMar>
            <w:left w:w="70" w:type="dxa"/>
            <w:right w:w="70" w:type="dxa"/>
          </w:tblCellMar>
          <w:tblLook w:val="04A0"/>
        </w:tblPrEx>
        <w:trPr>
          <w:trHeight w:val="266"/>
        </w:trPr>
        <w:tc>
          <w:tcPr>
            <w:tcW w:w="1424" w:type="pct"/>
            <w:tcBorders>
              <w:top w:val="nil"/>
              <w:left w:val="single" w:sz="4" w:space="0" w:color="auto"/>
              <w:bottom w:val="single" w:sz="4" w:space="0" w:color="auto"/>
              <w:right w:val="single" w:sz="4" w:space="0" w:color="auto"/>
            </w:tcBorders>
            <w:textDirection w:val="lrTb"/>
            <w:vAlign w:val="center"/>
            <w:hideMark/>
          </w:tcPr>
          <w:p w:rsidR="000A6169" w:rsidRPr="00DC4784" w:rsidP="00942EF3">
            <w:pPr>
              <w:bidi w:val="0"/>
              <w:rPr>
                <w:rFonts w:ascii="Times New Roman" w:hAnsi="Times New Roman" w:cs="Times New Roman"/>
                <w:i/>
                <w:iCs/>
                <w:sz w:val="14"/>
                <w:szCs w:val="14"/>
                <w:lang w:eastAsia="sk-SK"/>
              </w:rPr>
            </w:pPr>
            <w:r w:rsidRPr="00DC4784">
              <w:rPr>
                <w:rFonts w:ascii="Times New Roman" w:hAnsi="Times New Roman" w:cs="Times New Roman"/>
                <w:i/>
                <w:iCs/>
                <w:sz w:val="14"/>
                <w:szCs w:val="14"/>
                <w:lang w:eastAsia="sk-SK"/>
              </w:rPr>
              <w:t xml:space="preserve">  - dohodári</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0</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-2 930</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-2 295</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-1 816</w:t>
            </w:r>
          </w:p>
        </w:tc>
      </w:tr>
      <w:tr>
        <w:tblPrEx>
          <w:tblW w:w="5007" w:type="pct"/>
          <w:tblCellMar>
            <w:left w:w="70" w:type="dxa"/>
            <w:right w:w="70" w:type="dxa"/>
          </w:tblCellMar>
          <w:tblLook w:val="04A0"/>
        </w:tblPrEx>
        <w:trPr>
          <w:trHeight w:val="266"/>
        </w:trPr>
        <w:tc>
          <w:tcPr>
            <w:tcW w:w="1424" w:type="pct"/>
            <w:tcBorders>
              <w:top w:val="nil"/>
              <w:left w:val="single" w:sz="4" w:space="0" w:color="auto"/>
              <w:bottom w:val="single" w:sz="4" w:space="0" w:color="auto"/>
              <w:right w:val="single" w:sz="4" w:space="0" w:color="auto"/>
            </w:tcBorders>
            <w:textDirection w:val="lrTb"/>
            <w:vAlign w:val="center"/>
            <w:hideMark/>
          </w:tcPr>
          <w:p w:rsidR="000A6169" w:rsidRPr="00DC4784" w:rsidP="00942EF3">
            <w:pPr>
              <w:bidi w:val="0"/>
              <w:rPr>
                <w:rFonts w:ascii="Times New Roman" w:hAnsi="Times New Roman" w:cs="Times New Roman"/>
                <w:i/>
                <w:iCs/>
                <w:sz w:val="14"/>
                <w:szCs w:val="14"/>
                <w:lang w:eastAsia="sk-SK"/>
              </w:rPr>
            </w:pPr>
            <w:r w:rsidRPr="00DC4784">
              <w:rPr>
                <w:rFonts w:ascii="Times New Roman" w:hAnsi="Times New Roman" w:cs="Times New Roman"/>
                <w:i/>
                <w:iCs/>
                <w:sz w:val="14"/>
                <w:szCs w:val="14"/>
                <w:lang w:eastAsia="sk-SK"/>
              </w:rPr>
              <w:t xml:space="preserve">  - SZČO</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0</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44 943</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47 085</w:t>
            </w:r>
          </w:p>
        </w:tc>
        <w:tc>
          <w:tcPr>
            <w:tcW w:w="894" w:type="pct"/>
            <w:tcBorders>
              <w:top w:val="nil"/>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47 390</w:t>
            </w:r>
          </w:p>
        </w:tc>
      </w:tr>
      <w:tr>
        <w:tblPrEx>
          <w:tblW w:w="5007" w:type="pct"/>
          <w:tblCellMar>
            <w:left w:w="70" w:type="dxa"/>
            <w:right w:w="70" w:type="dxa"/>
          </w:tblCellMar>
          <w:tblLook w:val="04A0"/>
        </w:tblPrEx>
        <w:trPr>
          <w:trHeight w:val="266"/>
        </w:trPr>
        <w:tc>
          <w:tcPr>
            <w:tcW w:w="1424"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DC4784" w:rsidP="00942EF3">
            <w:pPr>
              <w:bidi w:val="0"/>
              <w:rPr>
                <w:rFonts w:ascii="Times New Roman" w:hAnsi="Times New Roman" w:cs="Times New Roman"/>
                <w:i/>
                <w:iCs/>
                <w:sz w:val="14"/>
                <w:szCs w:val="14"/>
                <w:lang w:eastAsia="sk-SK"/>
              </w:rPr>
            </w:pPr>
            <w:r w:rsidRPr="00DC4784">
              <w:rPr>
                <w:rFonts w:ascii="Times New Roman" w:hAnsi="Times New Roman" w:cs="Times New Roman"/>
                <w:i/>
                <w:iCs/>
                <w:sz w:val="14"/>
                <w:szCs w:val="14"/>
                <w:lang w:eastAsia="sk-SK"/>
              </w:rPr>
              <w:t xml:space="preserve">  - zrušené ZO na prenájom</w:t>
            </w:r>
          </w:p>
        </w:tc>
        <w:tc>
          <w:tcPr>
            <w:tcW w:w="894" w:type="pct"/>
            <w:tcBorders>
              <w:top w:val="single" w:sz="4" w:space="0" w:color="auto"/>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0</w:t>
            </w:r>
          </w:p>
        </w:tc>
        <w:tc>
          <w:tcPr>
            <w:tcW w:w="894" w:type="pct"/>
            <w:tcBorders>
              <w:top w:val="single" w:sz="4" w:space="0" w:color="auto"/>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-11 821</w:t>
            </w:r>
          </w:p>
        </w:tc>
        <w:tc>
          <w:tcPr>
            <w:tcW w:w="894" w:type="pct"/>
            <w:tcBorders>
              <w:top w:val="single" w:sz="4" w:space="0" w:color="auto"/>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-13 606</w:t>
            </w:r>
          </w:p>
        </w:tc>
        <w:tc>
          <w:tcPr>
            <w:tcW w:w="894" w:type="pct"/>
            <w:tcBorders>
              <w:top w:val="single" w:sz="4" w:space="0" w:color="auto"/>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sz w:val="14"/>
                <w:szCs w:val="14"/>
                <w:lang w:eastAsia="sk-SK"/>
              </w:rPr>
            </w:pPr>
            <w:r w:rsidRPr="00DC4784">
              <w:rPr>
                <w:rFonts w:ascii="Times New Roman" w:hAnsi="Times New Roman" w:cs="Times New Roman"/>
                <w:sz w:val="14"/>
                <w:szCs w:val="14"/>
                <w:lang w:eastAsia="sk-SK"/>
              </w:rPr>
              <w:t>-15 661</w:t>
            </w:r>
          </w:p>
        </w:tc>
      </w:tr>
      <w:tr>
        <w:tblPrEx>
          <w:tblW w:w="5007" w:type="pct"/>
          <w:tblCellMar>
            <w:left w:w="70" w:type="dxa"/>
            <w:right w:w="70" w:type="dxa"/>
          </w:tblCellMar>
          <w:tblLook w:val="04A0"/>
        </w:tblPrEx>
        <w:trPr>
          <w:trHeight w:val="266"/>
        </w:trPr>
        <w:tc>
          <w:tcPr>
            <w:tcW w:w="1424"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DC4784" w:rsidP="00942EF3">
            <w:pPr>
              <w:bidi w:val="0"/>
              <w:rPr>
                <w:rFonts w:ascii="Times New Roman" w:hAnsi="Times New Roman" w:cs="Times New Roman"/>
                <w:b/>
                <w:bCs/>
                <w:sz w:val="14"/>
                <w:szCs w:val="14"/>
                <w:lang w:eastAsia="sk-SK"/>
              </w:rPr>
            </w:pPr>
            <w:r w:rsidRPr="00DC4784">
              <w:rPr>
                <w:rFonts w:ascii="Times New Roman" w:hAnsi="Times New Roman" w:cs="Times New Roman"/>
                <w:b/>
                <w:bCs/>
                <w:sz w:val="14"/>
                <w:szCs w:val="14"/>
                <w:lang w:eastAsia="sk-SK"/>
              </w:rPr>
              <w:t>Spolu</w:t>
            </w:r>
          </w:p>
        </w:tc>
        <w:tc>
          <w:tcPr>
            <w:tcW w:w="894" w:type="pct"/>
            <w:tcBorders>
              <w:top w:val="single" w:sz="4" w:space="0" w:color="auto"/>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b/>
                <w:bCs/>
                <w:sz w:val="14"/>
                <w:szCs w:val="14"/>
                <w:lang w:eastAsia="sk-SK"/>
              </w:rPr>
            </w:pPr>
            <w:r w:rsidRPr="00DC4784">
              <w:rPr>
                <w:rFonts w:ascii="Times New Roman" w:hAnsi="Times New Roman" w:cs="Times New Roman"/>
                <w:b/>
                <w:bCs/>
                <w:sz w:val="14"/>
                <w:szCs w:val="14"/>
                <w:lang w:eastAsia="sk-SK"/>
              </w:rPr>
              <w:t>3 815</w:t>
            </w:r>
          </w:p>
        </w:tc>
        <w:tc>
          <w:tcPr>
            <w:tcW w:w="894" w:type="pct"/>
            <w:tcBorders>
              <w:top w:val="single" w:sz="4" w:space="0" w:color="auto"/>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b/>
                <w:bCs/>
                <w:sz w:val="14"/>
                <w:szCs w:val="14"/>
                <w:lang w:eastAsia="sk-SK"/>
              </w:rPr>
            </w:pPr>
            <w:r w:rsidRPr="00DC4784">
              <w:rPr>
                <w:rFonts w:ascii="Times New Roman" w:hAnsi="Times New Roman" w:cs="Times New Roman"/>
                <w:b/>
                <w:bCs/>
                <w:sz w:val="14"/>
                <w:szCs w:val="14"/>
                <w:lang w:eastAsia="sk-SK"/>
              </w:rPr>
              <w:t>-10 843</w:t>
            </w:r>
          </w:p>
        </w:tc>
        <w:tc>
          <w:tcPr>
            <w:tcW w:w="894" w:type="pct"/>
            <w:tcBorders>
              <w:top w:val="single" w:sz="4" w:space="0" w:color="auto"/>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b/>
                <w:bCs/>
                <w:sz w:val="14"/>
                <w:szCs w:val="14"/>
                <w:lang w:eastAsia="sk-SK"/>
              </w:rPr>
            </w:pPr>
            <w:r w:rsidRPr="00DC4784">
              <w:rPr>
                <w:rFonts w:ascii="Times New Roman" w:hAnsi="Times New Roman" w:cs="Times New Roman"/>
                <w:b/>
                <w:bCs/>
                <w:sz w:val="14"/>
                <w:szCs w:val="14"/>
                <w:lang w:eastAsia="sk-SK"/>
              </w:rPr>
              <w:t>37 907</w:t>
            </w:r>
          </w:p>
        </w:tc>
        <w:tc>
          <w:tcPr>
            <w:tcW w:w="894" w:type="pct"/>
            <w:tcBorders>
              <w:top w:val="single" w:sz="4" w:space="0" w:color="auto"/>
              <w:left w:val="nil"/>
              <w:bottom w:val="single" w:sz="4" w:space="0" w:color="auto"/>
              <w:right w:val="single" w:sz="4" w:space="0" w:color="auto"/>
            </w:tcBorders>
            <w:noWrap/>
            <w:textDirection w:val="lrTb"/>
            <w:vAlign w:val="center"/>
            <w:hideMark/>
          </w:tcPr>
          <w:p w:rsidR="000A6169" w:rsidRPr="00DC4784" w:rsidP="00942EF3">
            <w:pPr>
              <w:bidi w:val="0"/>
              <w:jc w:val="right"/>
              <w:rPr>
                <w:rFonts w:ascii="Times New Roman" w:hAnsi="Times New Roman" w:cs="Times New Roman"/>
                <w:b/>
                <w:bCs/>
                <w:sz w:val="14"/>
                <w:szCs w:val="14"/>
                <w:lang w:eastAsia="sk-SK"/>
              </w:rPr>
            </w:pPr>
            <w:r w:rsidRPr="00DC4784">
              <w:rPr>
                <w:rFonts w:ascii="Times New Roman" w:hAnsi="Times New Roman" w:cs="Times New Roman"/>
                <w:b/>
                <w:bCs/>
                <w:sz w:val="14"/>
                <w:szCs w:val="14"/>
                <w:lang w:eastAsia="sk-SK"/>
              </w:rPr>
              <w:t>34 665</w:t>
            </w:r>
          </w:p>
        </w:tc>
      </w:tr>
    </w:tbl>
    <w:p w:rsidR="000A6169" w:rsidRPr="00896984" w:rsidP="000A6169">
      <w:pPr>
        <w:bidi w:val="0"/>
        <w:ind w:firstLine="720"/>
        <w:jc w:val="both"/>
        <w:rPr>
          <w:rFonts w:ascii="Times New Roman" w:hAnsi="Times New Roman" w:cs="Times New Roman"/>
          <w:highlight w:val="yellow"/>
        </w:rPr>
      </w:pPr>
    </w:p>
    <w:p w:rsidR="000A6169" w:rsidRPr="00896984" w:rsidP="000A6169">
      <w:pPr>
        <w:bidi w:val="0"/>
        <w:ind w:firstLine="708"/>
        <w:jc w:val="both"/>
        <w:rPr>
          <w:rFonts w:ascii="Times New Roman" w:hAnsi="Times New Roman" w:cs="Times New Roman"/>
        </w:rPr>
      </w:pPr>
      <w:r w:rsidRPr="00896984">
        <w:rPr>
          <w:rFonts w:ascii="Times New Roman" w:hAnsi="Times New Roman" w:cs="Times New Roman"/>
        </w:rPr>
        <w:t xml:space="preserve">Z hľadiska výnosu jednotlivých daní a odvodov je podstatné, že pri daňovo-odvodovej reforme dochádza k výraznému preskupeniu príjmov verejnej správy. Výrazné zníženie odvodových príjmov je kompenzované zvýšením dani z príjmu fyzických osôb. </w:t>
      </w:r>
      <w:r w:rsidRPr="00896984">
        <w:rPr>
          <w:rFonts w:ascii="Times New Roman" w:hAnsi="Times New Roman" w:cs="Times New Roman"/>
          <w:b/>
        </w:rPr>
        <w:t>Vláda však neplánuje zdaniť pracovnú silu viac, nakoľko vyberie</w:t>
      </w:r>
      <w:r w:rsidRPr="00896984">
        <w:rPr>
          <w:rFonts w:ascii="Times New Roman" w:hAnsi="Times New Roman" w:cs="Times New Roman"/>
        </w:rPr>
        <w:t xml:space="preserve"> v roku 2013 o 27 mil. </w:t>
      </w:r>
      <w:r w:rsidRPr="00896984" w:rsidR="00457027">
        <w:rPr>
          <w:rFonts w:ascii="Times New Roman" w:hAnsi="Times New Roman" w:cs="Times New Roman"/>
        </w:rPr>
        <w:t>e</w:t>
      </w:r>
      <w:r w:rsidRPr="00896984">
        <w:rPr>
          <w:rFonts w:ascii="Times New Roman" w:hAnsi="Times New Roman" w:cs="Times New Roman"/>
        </w:rPr>
        <w:t xml:space="preserve">ur menej a pri plných účinkoch reformy </w:t>
      </w:r>
      <w:r w:rsidRPr="00896984">
        <w:rPr>
          <w:rFonts w:ascii="Times New Roman" w:hAnsi="Times New Roman" w:cs="Times New Roman"/>
          <w:b/>
        </w:rPr>
        <w:t xml:space="preserve">o 25-31 mil. </w:t>
      </w:r>
      <w:r w:rsidRPr="00896984" w:rsidR="00457027">
        <w:rPr>
          <w:rFonts w:ascii="Times New Roman" w:hAnsi="Times New Roman" w:cs="Times New Roman"/>
          <w:b/>
        </w:rPr>
        <w:t>e</w:t>
      </w:r>
      <w:r w:rsidRPr="00896984">
        <w:rPr>
          <w:rFonts w:ascii="Times New Roman" w:hAnsi="Times New Roman" w:cs="Times New Roman"/>
          <w:b/>
        </w:rPr>
        <w:t>ur menej</w:t>
      </w:r>
      <w:r>
        <w:rPr>
          <w:rStyle w:val="FootnoteReference"/>
          <w:rFonts w:ascii="Times New Roman" w:hAnsi="Times New Roman" w:cs="Times New Roman"/>
          <w:rtl w:val="0"/>
        </w:rPr>
        <w:footnoteReference w:id="4"/>
      </w:r>
      <w:r w:rsidRPr="00896984">
        <w:rPr>
          <w:rFonts w:ascii="Times New Roman" w:hAnsi="Times New Roman" w:cs="Times New Roman"/>
        </w:rPr>
        <w:t>.</w:t>
      </w:r>
    </w:p>
    <w:p w:rsidR="000A6169" w:rsidRPr="00896984" w:rsidP="000A6169">
      <w:pPr>
        <w:bidi w:val="0"/>
        <w:ind w:firstLine="708"/>
        <w:jc w:val="both"/>
        <w:rPr>
          <w:rFonts w:ascii="Times New Roman" w:hAnsi="Times New Roman" w:cs="Times New Roman"/>
        </w:rPr>
      </w:pPr>
    </w:p>
    <w:p w:rsidR="000A6169" w:rsidRPr="00896984" w:rsidP="000A6169">
      <w:pPr>
        <w:bidi w:val="0"/>
        <w:jc w:val="both"/>
        <w:rPr>
          <w:rFonts w:ascii="Times New Roman" w:hAnsi="Times New Roman" w:cs="Times New Roman"/>
        </w:rPr>
      </w:pPr>
    </w:p>
    <w:tbl>
      <w:tblPr>
        <w:tblStyle w:val="TableNormal"/>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72"/>
      </w:tblGrid>
      <w:tr>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72" w:type="dxa"/>
            <w:tcBorders>
              <w:top w:val="single" w:sz="4" w:space="0" w:color="auto"/>
              <w:left w:val="single" w:sz="4" w:space="0" w:color="auto"/>
              <w:bottom w:val="single" w:sz="4" w:space="0" w:color="auto"/>
              <w:right w:val="single" w:sz="4" w:space="0" w:color="auto"/>
            </w:tcBorders>
            <w:shd w:val="clear" w:color="auto" w:fill="F2F2F2"/>
            <w:textDirection w:val="lrTb"/>
            <w:vAlign w:val="center"/>
          </w:tcPr>
          <w:p w:rsidR="000A6169" w:rsidRPr="00896984" w:rsidP="00942EF3">
            <w:pPr>
              <w:bidi w:val="0"/>
              <w:spacing w:before="80" w:after="160"/>
              <w:jc w:val="both"/>
              <w:rPr>
                <w:rFonts w:ascii="Times New Roman" w:hAnsi="Times New Roman" w:cs="Times New Roman"/>
                <w:b/>
              </w:rPr>
            </w:pPr>
            <w:r w:rsidRPr="00896984">
              <w:rPr>
                <w:rFonts w:ascii="Times New Roman" w:hAnsi="Times New Roman" w:cs="Times New Roman"/>
                <w:b/>
              </w:rPr>
              <w:t>BOX: Daňovo – odvodová reforma</w:t>
            </w:r>
          </w:p>
          <w:p w:rsidR="000A6169" w:rsidRPr="00896984" w:rsidP="00942EF3">
            <w:pPr>
              <w:bidi w:val="0"/>
              <w:jc w:val="both"/>
              <w:rPr>
                <w:rFonts w:ascii="Times New Roman" w:hAnsi="Times New Roman" w:cs="Times New Roman"/>
              </w:rPr>
            </w:pPr>
            <w:r w:rsidRPr="00896984">
              <w:rPr>
                <w:rFonts w:ascii="Times New Roman" w:hAnsi="Times New Roman" w:cs="Times New Roman"/>
              </w:rPr>
              <w:t>Cieľom daňovo</w:t>
            </w:r>
            <w:r w:rsidRPr="00896984" w:rsidR="00485AC0">
              <w:rPr>
                <w:rFonts w:ascii="Times New Roman" w:hAnsi="Times New Roman" w:cs="Times New Roman"/>
              </w:rPr>
              <w:t>-</w:t>
            </w:r>
            <w:r w:rsidRPr="00896984">
              <w:rPr>
                <w:rFonts w:ascii="Times New Roman" w:hAnsi="Times New Roman" w:cs="Times New Roman"/>
              </w:rPr>
              <w:t xml:space="preserve">odvodovej reformy je odstránenie pokrivenej solidarity a rôznych deformácií systému, zjednodušenie, zefektívnenie a sprehľadnenie systému. Zároveň je dôležité zabezpečenie udržateľnosti systému z hľadiska tvorby zdrojov a vytvorenie podmienok pre zjednotenie výberu daní, cla a poistných odvodov. Opatrenie prinesie výrazné zníženie administratívnej záťaže občanov a zamestnávateľov, pričom koncepcia  predpokladá postupné znižovanie odvodových sadzieb zamestnancov v závislosti od rozpočtových možností. </w:t>
            </w:r>
          </w:p>
          <w:p w:rsidR="000A6169" w:rsidRPr="00896984" w:rsidP="00942EF3">
            <w:pPr>
              <w:bidi w:val="0"/>
              <w:jc w:val="both"/>
              <w:rPr>
                <w:rFonts w:ascii="Times New Roman" w:hAnsi="Times New Roman" w:cs="Times New Roman"/>
                <w:highlight w:val="yellow"/>
              </w:rPr>
            </w:pPr>
          </w:p>
          <w:p w:rsidR="000A6169" w:rsidRPr="00896984" w:rsidP="00942EF3">
            <w:pPr>
              <w:bidi w:val="0"/>
              <w:jc w:val="both"/>
              <w:rPr>
                <w:rFonts w:ascii="Times New Roman" w:hAnsi="Times New Roman" w:cs="Times New Roman"/>
                <w:u w:val="single"/>
              </w:rPr>
            </w:pPr>
            <w:r w:rsidRPr="00896984">
              <w:rPr>
                <w:rFonts w:ascii="Times New Roman" w:hAnsi="Times New Roman" w:cs="Times New Roman"/>
                <w:u w:val="single"/>
              </w:rPr>
              <w:t>Základné predpoklady a myšlienky návrhu zmien daňovo-odvodového systému:</w:t>
            </w:r>
          </w:p>
          <w:p w:rsidR="000A6169" w:rsidRPr="00896984" w:rsidP="00942EF3">
            <w:pPr>
              <w:bidi w:val="0"/>
              <w:ind w:firstLine="708"/>
              <w:jc w:val="both"/>
              <w:rPr>
                <w:rFonts w:ascii="Times New Roman" w:hAnsi="Times New Roman" w:cs="Times New Roman"/>
              </w:rPr>
            </w:pPr>
          </w:p>
          <w:p w:rsidR="000A6169" w:rsidRPr="00896984" w:rsidP="00942EF3">
            <w:pPr>
              <w:numPr>
                <w:numId w:val="4"/>
              </w:numPr>
              <w:bidi w:val="0"/>
              <w:jc w:val="both"/>
              <w:rPr>
                <w:rFonts w:ascii="Times New Roman" w:hAnsi="Times New Roman" w:cs="Times New Roman"/>
              </w:rPr>
            </w:pPr>
            <w:r w:rsidRPr="00896984">
              <w:rPr>
                <w:rFonts w:ascii="Times New Roman" w:hAnsi="Times New Roman" w:cs="Times New Roman"/>
              </w:rPr>
              <w:t>Základom pre výpočet daní a odvodov sa stáva superhrubá mzda (hrubá mzda zamestnanca + odvody zamestnávateľa okrem súčasného poistenia na úrazové poistenie)</w:t>
            </w:r>
          </w:p>
          <w:p w:rsidR="000A6169" w:rsidRPr="00896984" w:rsidP="00942EF3">
            <w:pPr>
              <w:numPr>
                <w:numId w:val="4"/>
              </w:numPr>
              <w:bidi w:val="0"/>
              <w:jc w:val="both"/>
              <w:rPr>
                <w:rFonts w:ascii="Times New Roman" w:hAnsi="Times New Roman" w:cs="Times New Roman"/>
              </w:rPr>
            </w:pPr>
            <w:r w:rsidRPr="00896984">
              <w:rPr>
                <w:rFonts w:ascii="Times New Roman" w:hAnsi="Times New Roman" w:cs="Times New Roman"/>
              </w:rPr>
              <w:t>Zachovanie princípu rovnej dane vo výške 19 %</w:t>
            </w:r>
          </w:p>
          <w:p w:rsidR="000A6169" w:rsidRPr="00896984" w:rsidP="00942EF3">
            <w:pPr>
              <w:numPr>
                <w:numId w:val="4"/>
              </w:numPr>
              <w:bidi w:val="0"/>
              <w:jc w:val="both"/>
              <w:rPr>
                <w:rFonts w:ascii="Times New Roman" w:hAnsi="Times New Roman" w:cs="Times New Roman"/>
              </w:rPr>
            </w:pPr>
            <w:r w:rsidRPr="00896984">
              <w:rPr>
                <w:rFonts w:ascii="Times New Roman" w:hAnsi="Times New Roman" w:cs="Times New Roman"/>
              </w:rPr>
              <w:t>Jednotný vymeriavací základ pre všetky typy osôb</w:t>
            </w:r>
          </w:p>
          <w:p w:rsidR="000A6169" w:rsidRPr="00896984" w:rsidP="00942EF3">
            <w:pPr>
              <w:numPr>
                <w:numId w:val="4"/>
              </w:numPr>
              <w:bidi w:val="0"/>
              <w:jc w:val="both"/>
              <w:rPr>
                <w:rFonts w:ascii="Times New Roman" w:hAnsi="Times New Roman" w:cs="Times New Roman"/>
              </w:rPr>
            </w:pPr>
            <w:r w:rsidRPr="00896984">
              <w:rPr>
                <w:rFonts w:ascii="Times New Roman" w:hAnsi="Times New Roman" w:cs="Times New Roman"/>
              </w:rPr>
              <w:t>Odvody neznižujú základ dane</w:t>
            </w:r>
          </w:p>
          <w:p w:rsidR="000A6169" w:rsidRPr="00896984" w:rsidP="00942EF3">
            <w:pPr>
              <w:numPr>
                <w:numId w:val="4"/>
              </w:numPr>
              <w:bidi w:val="0"/>
              <w:jc w:val="both"/>
              <w:rPr>
                <w:rFonts w:ascii="Times New Roman" w:hAnsi="Times New Roman" w:cs="Times New Roman"/>
              </w:rPr>
            </w:pPr>
            <w:r w:rsidRPr="00896984">
              <w:rPr>
                <w:rFonts w:ascii="Times New Roman" w:hAnsi="Times New Roman" w:cs="Times New Roman"/>
              </w:rPr>
              <w:t>Zavedenie maximálneho poistného, ktoré nahrádza maximálny vymeriavací základ</w:t>
            </w:r>
          </w:p>
          <w:p w:rsidR="000A6169" w:rsidRPr="00896984" w:rsidP="00942EF3">
            <w:pPr>
              <w:numPr>
                <w:numId w:val="4"/>
              </w:numPr>
              <w:bidi w:val="0"/>
              <w:jc w:val="both"/>
              <w:rPr>
                <w:rFonts w:ascii="Times New Roman" w:hAnsi="Times New Roman" w:cs="Times New Roman"/>
              </w:rPr>
            </w:pPr>
            <w:r w:rsidRPr="00896984">
              <w:rPr>
                <w:rFonts w:ascii="Times New Roman" w:hAnsi="Times New Roman" w:cs="Times New Roman"/>
              </w:rPr>
              <w:t>Ruší sa klesanie nezdaniteľnej časti na daňovníka a manžela/manželku</w:t>
            </w:r>
          </w:p>
          <w:p w:rsidR="000A6169" w:rsidRPr="00896984" w:rsidP="00942EF3">
            <w:pPr>
              <w:bidi w:val="0"/>
              <w:ind w:left="720"/>
              <w:jc w:val="both"/>
              <w:rPr>
                <w:rFonts w:ascii="Times New Roman" w:hAnsi="Times New Roman" w:cs="Times New Roman"/>
              </w:rPr>
            </w:pPr>
          </w:p>
          <w:p w:rsidR="000A6169" w:rsidRPr="00896984" w:rsidP="00942EF3">
            <w:pPr>
              <w:numPr>
                <w:numId w:val="5"/>
              </w:numPr>
              <w:bidi w:val="0"/>
              <w:spacing w:before="80" w:after="80" w:line="360" w:lineRule="auto"/>
              <w:ind w:left="714" w:hanging="357"/>
              <w:jc w:val="both"/>
              <w:rPr>
                <w:rFonts w:ascii="Times New Roman" w:hAnsi="Times New Roman" w:cs="Times New Roman"/>
              </w:rPr>
            </w:pPr>
            <w:r w:rsidRPr="00896984">
              <w:rPr>
                <w:rFonts w:ascii="Times New Roman" w:hAnsi="Times New Roman" w:cs="Times New Roman"/>
                <w:b/>
                <w:bCs/>
              </w:rPr>
              <w:t>Zamestnanci</w:t>
            </w:r>
          </w:p>
          <w:p w:rsidR="000A6169" w:rsidRPr="00896984" w:rsidP="00942EF3">
            <w:pPr>
              <w:numPr>
                <w:numId w:val="4"/>
              </w:numPr>
              <w:bidi w:val="0"/>
              <w:jc w:val="both"/>
              <w:rPr>
                <w:rFonts w:ascii="Times New Roman" w:hAnsi="Times New Roman" w:cs="Times New Roman"/>
              </w:rPr>
            </w:pPr>
            <w:r w:rsidRPr="00896984">
              <w:rPr>
                <w:rFonts w:ascii="Times New Roman" w:hAnsi="Times New Roman" w:cs="Times New Roman"/>
              </w:rPr>
              <w:t>Zavedenie zdravotného odvodu vo výške 9</w:t>
            </w:r>
            <w:r w:rsidRPr="00896984" w:rsidR="00485AC0">
              <w:rPr>
                <w:rFonts w:ascii="Times New Roman" w:hAnsi="Times New Roman" w:cs="Times New Roman"/>
              </w:rPr>
              <w:t xml:space="preserve"> </w:t>
            </w:r>
            <w:r w:rsidRPr="00896984">
              <w:rPr>
                <w:rFonts w:ascii="Times New Roman" w:hAnsi="Times New Roman" w:cs="Times New Roman"/>
              </w:rPr>
              <w:t>% (pre ZŤP vo výške 4,5</w:t>
            </w:r>
            <w:r w:rsidRPr="00896984" w:rsidR="00485AC0">
              <w:rPr>
                <w:rFonts w:ascii="Times New Roman" w:hAnsi="Times New Roman" w:cs="Times New Roman"/>
              </w:rPr>
              <w:t xml:space="preserve"> </w:t>
            </w:r>
            <w:r w:rsidRPr="00896984">
              <w:rPr>
                <w:rFonts w:ascii="Times New Roman" w:hAnsi="Times New Roman" w:cs="Times New Roman"/>
              </w:rPr>
              <w:t>%)</w:t>
            </w:r>
          </w:p>
          <w:p w:rsidR="000A6169" w:rsidRPr="00896984" w:rsidP="00942EF3">
            <w:pPr>
              <w:numPr>
                <w:numId w:val="4"/>
              </w:numPr>
              <w:bidi w:val="0"/>
              <w:jc w:val="both"/>
              <w:rPr>
                <w:rFonts w:ascii="Times New Roman" w:hAnsi="Times New Roman" w:cs="Times New Roman"/>
              </w:rPr>
            </w:pPr>
            <w:r w:rsidRPr="00896984">
              <w:rPr>
                <w:rFonts w:ascii="Times New Roman" w:hAnsi="Times New Roman" w:cs="Times New Roman"/>
              </w:rPr>
              <w:t>Zavedenie jedného sociálneho odvodu vo výške 19</w:t>
            </w:r>
            <w:r w:rsidRPr="00896984" w:rsidR="00485AC0">
              <w:rPr>
                <w:rFonts w:ascii="Times New Roman" w:hAnsi="Times New Roman" w:cs="Times New Roman"/>
              </w:rPr>
              <w:t xml:space="preserve"> </w:t>
            </w:r>
            <w:r w:rsidRPr="00896984">
              <w:rPr>
                <w:rFonts w:ascii="Times New Roman" w:hAnsi="Times New Roman" w:cs="Times New Roman"/>
              </w:rPr>
              <w:t>%</w:t>
            </w:r>
          </w:p>
          <w:p w:rsidR="000A6169" w:rsidRPr="00896984" w:rsidP="00942EF3">
            <w:pPr>
              <w:bidi w:val="0"/>
              <w:ind w:left="720"/>
              <w:jc w:val="both"/>
              <w:rPr>
                <w:rFonts w:ascii="Times New Roman" w:hAnsi="Times New Roman" w:cs="Times New Roman"/>
              </w:rPr>
            </w:pPr>
          </w:p>
          <w:p w:rsidR="000A6169" w:rsidRPr="00896984" w:rsidP="00942EF3">
            <w:pPr>
              <w:numPr>
                <w:numId w:val="5"/>
              </w:numPr>
              <w:bidi w:val="0"/>
              <w:spacing w:before="80" w:after="80" w:line="360" w:lineRule="auto"/>
              <w:ind w:left="714" w:hanging="357"/>
              <w:jc w:val="both"/>
              <w:rPr>
                <w:rFonts w:ascii="Times New Roman" w:hAnsi="Times New Roman" w:cs="Times New Roman"/>
              </w:rPr>
            </w:pPr>
            <w:r w:rsidRPr="00896984">
              <w:rPr>
                <w:rFonts w:ascii="Times New Roman" w:hAnsi="Times New Roman" w:cs="Times New Roman"/>
                <w:b/>
                <w:bCs/>
              </w:rPr>
              <w:t>SZČO</w:t>
            </w:r>
          </w:p>
          <w:p w:rsidR="000A6169" w:rsidRPr="00896984" w:rsidP="00942EF3">
            <w:pPr>
              <w:numPr>
                <w:numId w:val="4"/>
              </w:numPr>
              <w:bidi w:val="0"/>
              <w:jc w:val="both"/>
              <w:rPr>
                <w:rFonts w:ascii="Times New Roman" w:hAnsi="Times New Roman" w:cs="Times New Roman"/>
              </w:rPr>
            </w:pPr>
            <w:r w:rsidRPr="00896984">
              <w:rPr>
                <w:rFonts w:ascii="Times New Roman" w:hAnsi="Times New Roman" w:cs="Times New Roman"/>
              </w:rPr>
              <w:t>Zavedenie zdravotného odvodu vo výške 9</w:t>
            </w:r>
            <w:r w:rsidRPr="00896984" w:rsidR="00485AC0">
              <w:rPr>
                <w:rFonts w:ascii="Times New Roman" w:hAnsi="Times New Roman" w:cs="Times New Roman"/>
              </w:rPr>
              <w:t xml:space="preserve"> </w:t>
            </w:r>
            <w:r w:rsidRPr="00896984">
              <w:rPr>
                <w:rFonts w:ascii="Times New Roman" w:hAnsi="Times New Roman" w:cs="Times New Roman"/>
              </w:rPr>
              <w:t>% (pre ZŤP vo výške 4,5</w:t>
            </w:r>
            <w:r w:rsidRPr="00896984" w:rsidR="00485AC0">
              <w:rPr>
                <w:rFonts w:ascii="Times New Roman" w:hAnsi="Times New Roman" w:cs="Times New Roman"/>
              </w:rPr>
              <w:t xml:space="preserve"> </w:t>
            </w:r>
            <w:r w:rsidRPr="00896984">
              <w:rPr>
                <w:rFonts w:ascii="Times New Roman" w:hAnsi="Times New Roman" w:cs="Times New Roman"/>
              </w:rPr>
              <w:t>%)</w:t>
            </w:r>
          </w:p>
          <w:p w:rsidR="000A6169" w:rsidRPr="00896984" w:rsidP="00942EF3">
            <w:pPr>
              <w:numPr>
                <w:numId w:val="4"/>
              </w:numPr>
              <w:bidi w:val="0"/>
              <w:jc w:val="both"/>
              <w:rPr>
                <w:rFonts w:ascii="Times New Roman" w:hAnsi="Times New Roman" w:cs="Times New Roman"/>
              </w:rPr>
            </w:pPr>
            <w:r w:rsidRPr="00896984">
              <w:rPr>
                <w:rFonts w:ascii="Times New Roman" w:hAnsi="Times New Roman" w:cs="Times New Roman"/>
              </w:rPr>
              <w:t>Zavedenie jedného sociálneho odvodu vo výške 13</w:t>
            </w:r>
            <w:r w:rsidRPr="00896984" w:rsidR="00485AC0">
              <w:rPr>
                <w:rFonts w:ascii="Times New Roman" w:hAnsi="Times New Roman" w:cs="Times New Roman"/>
              </w:rPr>
              <w:t xml:space="preserve"> </w:t>
            </w:r>
            <w:r w:rsidRPr="00896984">
              <w:rPr>
                <w:rFonts w:ascii="Times New Roman" w:hAnsi="Times New Roman" w:cs="Times New Roman"/>
              </w:rPr>
              <w:t>%</w:t>
            </w:r>
          </w:p>
          <w:p w:rsidR="000A6169" w:rsidRPr="00896984" w:rsidP="00942EF3">
            <w:pPr>
              <w:numPr>
                <w:numId w:val="4"/>
              </w:numPr>
              <w:bidi w:val="0"/>
              <w:jc w:val="both"/>
              <w:rPr>
                <w:rFonts w:ascii="Times New Roman" w:hAnsi="Times New Roman" w:cs="Times New Roman"/>
              </w:rPr>
            </w:pPr>
            <w:r w:rsidRPr="00896984">
              <w:rPr>
                <w:rFonts w:ascii="Times New Roman" w:hAnsi="Times New Roman" w:cs="Times New Roman"/>
              </w:rPr>
              <w:t xml:space="preserve">Obmedzí sa maximálna výška paušálnych výdavkov na úrovni 2 400 </w:t>
            </w:r>
            <w:r w:rsidRPr="00896984" w:rsidR="00485AC0">
              <w:rPr>
                <w:rFonts w:ascii="Times New Roman" w:hAnsi="Times New Roman" w:cs="Times New Roman"/>
              </w:rPr>
              <w:t>e</w:t>
            </w:r>
            <w:r w:rsidRPr="00896984">
              <w:rPr>
                <w:rFonts w:ascii="Times New Roman" w:hAnsi="Times New Roman" w:cs="Times New Roman"/>
              </w:rPr>
              <w:t>ur ročne (pri uplatňovaní 40</w:t>
            </w:r>
            <w:r w:rsidRPr="00896984" w:rsidR="00485AC0">
              <w:rPr>
                <w:rFonts w:ascii="Times New Roman" w:hAnsi="Times New Roman" w:cs="Times New Roman"/>
              </w:rPr>
              <w:t xml:space="preserve"> </w:t>
            </w:r>
            <w:r w:rsidRPr="00896984">
              <w:rPr>
                <w:rFonts w:ascii="Times New Roman" w:hAnsi="Times New Roman" w:cs="Times New Roman"/>
              </w:rPr>
              <w:t>% výdavkov)</w:t>
            </w:r>
          </w:p>
          <w:p w:rsidR="000A6169" w:rsidRPr="00896984" w:rsidP="00942EF3">
            <w:pPr>
              <w:bidi w:val="0"/>
              <w:ind w:left="720"/>
              <w:jc w:val="both"/>
              <w:rPr>
                <w:rFonts w:ascii="Times New Roman" w:hAnsi="Times New Roman" w:cs="Times New Roman"/>
              </w:rPr>
            </w:pPr>
          </w:p>
          <w:p w:rsidR="000A6169" w:rsidRPr="00896984" w:rsidP="00942EF3">
            <w:pPr>
              <w:numPr>
                <w:numId w:val="5"/>
              </w:numPr>
              <w:bidi w:val="0"/>
              <w:spacing w:before="80" w:after="240" w:line="276" w:lineRule="auto"/>
              <w:ind w:left="714" w:hanging="357"/>
              <w:jc w:val="both"/>
              <w:rPr>
                <w:rFonts w:ascii="Times New Roman" w:hAnsi="Times New Roman" w:cs="Times New Roman"/>
              </w:rPr>
            </w:pPr>
            <w:r w:rsidRPr="00896984">
              <w:rPr>
                <w:rFonts w:ascii="Times New Roman" w:hAnsi="Times New Roman" w:cs="Times New Roman"/>
                <w:b/>
                <w:bCs/>
              </w:rPr>
              <w:t>Dohody</w:t>
            </w:r>
          </w:p>
          <w:p w:rsidR="000A6169" w:rsidRPr="00896984" w:rsidP="00942EF3">
            <w:pPr>
              <w:numPr>
                <w:numId w:val="4"/>
              </w:numPr>
              <w:bidi w:val="0"/>
              <w:jc w:val="both"/>
              <w:rPr>
                <w:rFonts w:ascii="Times New Roman" w:hAnsi="Times New Roman" w:cs="Times New Roman"/>
              </w:rPr>
            </w:pPr>
            <w:r w:rsidRPr="00896984">
              <w:rPr>
                <w:rFonts w:ascii="Times New Roman" w:hAnsi="Times New Roman" w:cs="Times New Roman"/>
              </w:rPr>
              <w:t>Zavedenie zdravotného odvodu vo výške 9</w:t>
            </w:r>
            <w:r w:rsidRPr="00896984" w:rsidR="00485AC0">
              <w:rPr>
                <w:rFonts w:ascii="Times New Roman" w:hAnsi="Times New Roman" w:cs="Times New Roman"/>
              </w:rPr>
              <w:t xml:space="preserve"> </w:t>
            </w:r>
            <w:r w:rsidRPr="00896984">
              <w:rPr>
                <w:rFonts w:ascii="Times New Roman" w:hAnsi="Times New Roman" w:cs="Times New Roman"/>
              </w:rPr>
              <w:t>%</w:t>
            </w:r>
          </w:p>
          <w:p w:rsidR="000A6169" w:rsidRPr="00896984" w:rsidP="00942EF3">
            <w:pPr>
              <w:numPr>
                <w:numId w:val="4"/>
              </w:numPr>
              <w:bidi w:val="0"/>
              <w:jc w:val="both"/>
              <w:rPr>
                <w:rFonts w:ascii="Times New Roman" w:hAnsi="Times New Roman" w:cs="Times New Roman"/>
              </w:rPr>
            </w:pPr>
            <w:r w:rsidRPr="00896984">
              <w:rPr>
                <w:rFonts w:ascii="Times New Roman" w:hAnsi="Times New Roman" w:cs="Times New Roman"/>
              </w:rPr>
              <w:t>Zavedenie jedného sociálneho odvodu vo výške 10</w:t>
            </w:r>
            <w:r w:rsidRPr="00896984" w:rsidR="00485AC0">
              <w:rPr>
                <w:rFonts w:ascii="Times New Roman" w:hAnsi="Times New Roman" w:cs="Times New Roman"/>
              </w:rPr>
              <w:t xml:space="preserve"> </w:t>
            </w:r>
            <w:r w:rsidRPr="00896984">
              <w:rPr>
                <w:rFonts w:ascii="Times New Roman" w:hAnsi="Times New Roman" w:cs="Times New Roman"/>
              </w:rPr>
              <w:t xml:space="preserve">% </w:t>
            </w:r>
          </w:p>
          <w:p w:rsidR="000A6169" w:rsidRPr="00896984" w:rsidP="00942EF3">
            <w:pPr>
              <w:numPr>
                <w:numId w:val="4"/>
              </w:numPr>
              <w:bidi w:val="0"/>
              <w:jc w:val="both"/>
              <w:rPr>
                <w:rFonts w:ascii="Times New Roman" w:hAnsi="Times New Roman" w:cs="Times New Roman"/>
              </w:rPr>
            </w:pPr>
            <w:r w:rsidRPr="00896984">
              <w:rPr>
                <w:rFonts w:ascii="Times New Roman" w:hAnsi="Times New Roman" w:cs="Times New Roman"/>
              </w:rPr>
              <w:t xml:space="preserve">Zavedenie odvodovej odpočítateľnej položky vo výške 190 </w:t>
            </w:r>
            <w:r w:rsidRPr="00896984" w:rsidR="00485AC0">
              <w:rPr>
                <w:rFonts w:ascii="Times New Roman" w:hAnsi="Times New Roman" w:cs="Times New Roman"/>
              </w:rPr>
              <w:t>e</w:t>
            </w:r>
            <w:r w:rsidRPr="00896984">
              <w:rPr>
                <w:rFonts w:ascii="Times New Roman" w:hAnsi="Times New Roman" w:cs="Times New Roman"/>
              </w:rPr>
              <w:t>ur mesačne</w:t>
            </w:r>
          </w:p>
          <w:p w:rsidR="000A6169" w:rsidRPr="00896984" w:rsidP="00942EF3">
            <w:pPr>
              <w:bidi w:val="0"/>
              <w:ind w:right="22"/>
              <w:jc w:val="both"/>
              <w:rPr>
                <w:rFonts w:ascii="Times New Roman" w:hAnsi="Times New Roman" w:cs="Times New Roman"/>
                <w:i/>
              </w:rPr>
            </w:pPr>
            <w:r w:rsidRPr="00896984">
              <w:rPr>
                <w:rFonts w:ascii="Times New Roman" w:hAnsi="Times New Roman" w:cs="Times New Roman"/>
              </w:rPr>
              <w:t xml:space="preserve">    </w:t>
            </w:r>
          </w:p>
        </w:tc>
      </w:tr>
    </w:tbl>
    <w:p w:rsidR="000A6169" w:rsidRPr="00896984" w:rsidP="000A6169">
      <w:pPr>
        <w:bidi w:val="0"/>
        <w:jc w:val="both"/>
        <w:rPr>
          <w:rFonts w:ascii="Times New Roman" w:hAnsi="Times New Roman" w:cs="Times New Roman"/>
        </w:rPr>
      </w:pPr>
      <w:r w:rsidRPr="00896984">
        <w:rPr>
          <w:rFonts w:ascii="Times New Roman" w:hAnsi="Times New Roman" w:cs="Times New Roman"/>
        </w:rPr>
        <w:t xml:space="preserve"> </w:t>
      </w:r>
    </w:p>
    <w:p w:rsidR="000A6169" w:rsidRPr="00896984" w:rsidP="000A6169">
      <w:pPr>
        <w:bidi w:val="0"/>
        <w:jc w:val="both"/>
        <w:rPr>
          <w:rFonts w:ascii="Arial Narrow" w:hAnsi="Arial Narrow"/>
          <w:sz w:val="22"/>
          <w:szCs w:val="22"/>
        </w:rPr>
      </w:pPr>
    </w:p>
    <w:p w:rsidR="000A6169" w:rsidRPr="00896984" w:rsidP="000A6169">
      <w:pPr>
        <w:bidi w:val="0"/>
        <w:ind w:firstLine="708"/>
        <w:jc w:val="both"/>
        <w:rPr>
          <w:rFonts w:ascii="Times New Roman" w:hAnsi="Times New Roman" w:cs="Times New Roman"/>
        </w:rPr>
      </w:pPr>
      <w:r w:rsidRPr="00896984">
        <w:rPr>
          <w:rFonts w:ascii="Times New Roman" w:hAnsi="Times New Roman" w:cs="Times New Roman"/>
        </w:rPr>
        <w:t xml:space="preserve">Pri </w:t>
      </w:r>
      <w:r w:rsidRPr="00896984">
        <w:rPr>
          <w:rFonts w:ascii="Times New Roman" w:hAnsi="Times New Roman" w:cs="Times New Roman"/>
          <w:b/>
        </w:rPr>
        <w:t>dani z príjmu právnických osôb</w:t>
      </w:r>
      <w:r w:rsidRPr="00896984">
        <w:rPr>
          <w:rFonts w:ascii="Times New Roman" w:hAnsi="Times New Roman" w:cs="Times New Roman"/>
        </w:rPr>
        <w:t xml:space="preserve"> sa pripravujú s účinnosťou od 1.</w:t>
      </w:r>
      <w:r w:rsidRPr="00896984" w:rsidR="00485AC0">
        <w:rPr>
          <w:rFonts w:ascii="Times New Roman" w:hAnsi="Times New Roman" w:cs="Times New Roman"/>
        </w:rPr>
        <w:t xml:space="preserve"> </w:t>
      </w:r>
      <w:r w:rsidRPr="00896984">
        <w:rPr>
          <w:rFonts w:ascii="Times New Roman" w:hAnsi="Times New Roman" w:cs="Times New Roman"/>
        </w:rPr>
        <w:t>1.</w:t>
      </w:r>
      <w:r w:rsidRPr="00896984" w:rsidR="00485AC0">
        <w:rPr>
          <w:rFonts w:ascii="Times New Roman" w:hAnsi="Times New Roman" w:cs="Times New Roman"/>
        </w:rPr>
        <w:t xml:space="preserve"> </w:t>
      </w:r>
      <w:r w:rsidRPr="00896984">
        <w:rPr>
          <w:rFonts w:ascii="Times New Roman" w:hAnsi="Times New Roman" w:cs="Times New Roman"/>
        </w:rPr>
        <w:t xml:space="preserve">2012 zmeny pri odpisovaní majetku. Navrhuje sa zjednotenie pravidiel odpisovania pre všetky formy obstarania majetku zmenou ročného uplatňovania daňových odpisov hmotného majetku  na mesačné odpisovanie. Úprava možnosti uplatnenia daňových odpisov sa bude týkať iba novoobstaraného majetku. Mesačný odpis bude vypočítaný ako 1/12 ročného odpisu. Ročný odpis predstavuje násobok 1/12 ročného odpisu a počtu mesiacov, počas ktorých je majetok využívaný na podnikanie. Pozitívny vplyv legislatívneho opatrenia sa odhaduje v roku 2012 vo výške 53,6 mil. eur a v rokoch 2013 a 2014 vo výške 49,4 a 48,9 mil. eur. Zároveň sa od </w:t>
      </w:r>
      <w:r w:rsidRPr="00896984" w:rsidR="00485AC0">
        <w:rPr>
          <w:rFonts w:ascii="Times New Roman" w:hAnsi="Times New Roman" w:cs="Times New Roman"/>
        </w:rPr>
        <w:br/>
      </w:r>
      <w:r w:rsidRPr="00896984">
        <w:rPr>
          <w:rFonts w:ascii="Times New Roman" w:hAnsi="Times New Roman" w:cs="Times New Roman"/>
        </w:rPr>
        <w:t>1.</w:t>
      </w:r>
      <w:r w:rsidRPr="00896984" w:rsidR="00485AC0">
        <w:rPr>
          <w:rFonts w:ascii="Times New Roman" w:hAnsi="Times New Roman" w:cs="Times New Roman"/>
        </w:rPr>
        <w:t xml:space="preserve"> </w:t>
      </w:r>
      <w:r w:rsidRPr="00896984">
        <w:rPr>
          <w:rFonts w:ascii="Times New Roman" w:hAnsi="Times New Roman" w:cs="Times New Roman"/>
        </w:rPr>
        <w:t>1.</w:t>
      </w:r>
      <w:r w:rsidRPr="00896984" w:rsidR="00485AC0">
        <w:rPr>
          <w:rFonts w:ascii="Times New Roman" w:hAnsi="Times New Roman" w:cs="Times New Roman"/>
        </w:rPr>
        <w:t xml:space="preserve"> </w:t>
      </w:r>
      <w:r w:rsidRPr="00896984">
        <w:rPr>
          <w:rFonts w:ascii="Times New Roman" w:hAnsi="Times New Roman" w:cs="Times New Roman"/>
        </w:rPr>
        <w:t>2012 zavádza osobitný odvod finančných inštitúcií, ktorý bude mať na výnos DPPO negatívny vplyv 9,7 mil. eur v každom roku prognózy.</w:t>
      </w:r>
    </w:p>
    <w:p w:rsidR="000A6169" w:rsidRPr="00896984" w:rsidP="000A6169">
      <w:pPr>
        <w:bidi w:val="0"/>
        <w:jc w:val="both"/>
        <w:rPr>
          <w:rFonts w:ascii="Times New Roman" w:hAnsi="Times New Roman" w:cs="Times New Roman"/>
        </w:rPr>
      </w:pPr>
    </w:p>
    <w:p w:rsidR="000A6169" w:rsidRPr="00896984" w:rsidP="000A6169">
      <w:pPr>
        <w:bidi w:val="0"/>
        <w:ind w:firstLine="708"/>
        <w:jc w:val="both"/>
        <w:rPr>
          <w:rFonts w:ascii="Times New Roman" w:hAnsi="Times New Roman"/>
        </w:rPr>
      </w:pPr>
      <w:r w:rsidRPr="00896984">
        <w:rPr>
          <w:rFonts w:ascii="Times New Roman" w:hAnsi="Times New Roman"/>
          <w:lang w:val="en-US"/>
        </w:rPr>
        <w:t>P</w:t>
      </w:r>
      <w:r w:rsidRPr="00896984">
        <w:rPr>
          <w:rFonts w:ascii="Times New Roman" w:hAnsi="Times New Roman"/>
        </w:rPr>
        <w:t xml:space="preserve">ôvodný zámer zvyšovať </w:t>
      </w:r>
      <w:r w:rsidRPr="00896984">
        <w:rPr>
          <w:rFonts w:ascii="Times New Roman" w:hAnsi="Times New Roman"/>
          <w:b/>
          <w:bCs/>
        </w:rPr>
        <w:t>spotrebnú daň z tabakových výrobkov</w:t>
      </w:r>
      <w:r w:rsidRPr="00896984">
        <w:rPr>
          <w:rFonts w:ascii="Times New Roman" w:hAnsi="Times New Roman"/>
        </w:rPr>
        <w:t xml:space="preserve"> k 1.</w:t>
      </w:r>
      <w:r w:rsidRPr="00896984" w:rsidR="00485AC0">
        <w:rPr>
          <w:rFonts w:ascii="Times New Roman" w:hAnsi="Times New Roman"/>
        </w:rPr>
        <w:t xml:space="preserve"> </w:t>
      </w:r>
      <w:r w:rsidRPr="00896984">
        <w:rPr>
          <w:rFonts w:ascii="Times New Roman" w:hAnsi="Times New Roman"/>
        </w:rPr>
        <w:t>3.</w:t>
      </w:r>
      <w:r w:rsidRPr="00896984" w:rsidR="00485AC0">
        <w:rPr>
          <w:rFonts w:ascii="Times New Roman" w:hAnsi="Times New Roman"/>
        </w:rPr>
        <w:t xml:space="preserve"> </w:t>
      </w:r>
      <w:r w:rsidRPr="00896984">
        <w:rPr>
          <w:rFonts w:ascii="Times New Roman" w:hAnsi="Times New Roman"/>
        </w:rPr>
        <w:t>2013 bol v dôsledku potreby dodatočných príjmov už pre rok 2012 upravený. K zvýšeniu spotrebnej dane o 3,7</w:t>
      </w:r>
      <w:r w:rsidRPr="00896984" w:rsidR="00485AC0">
        <w:rPr>
          <w:rFonts w:ascii="Times New Roman" w:hAnsi="Times New Roman"/>
        </w:rPr>
        <w:t xml:space="preserve"> </w:t>
      </w:r>
      <w:r w:rsidRPr="00896984">
        <w:rPr>
          <w:rFonts w:ascii="Times New Roman" w:hAnsi="Times New Roman"/>
        </w:rPr>
        <w:t>% tak dôjde už od 1.</w:t>
      </w:r>
      <w:r w:rsidRPr="00896984" w:rsidR="00485AC0">
        <w:rPr>
          <w:rFonts w:ascii="Times New Roman" w:hAnsi="Times New Roman"/>
        </w:rPr>
        <w:t xml:space="preserve"> </w:t>
      </w:r>
      <w:r w:rsidRPr="00896984">
        <w:rPr>
          <w:rFonts w:ascii="Times New Roman" w:hAnsi="Times New Roman"/>
        </w:rPr>
        <w:t>2.</w:t>
      </w:r>
      <w:r w:rsidRPr="00896984" w:rsidR="00485AC0">
        <w:rPr>
          <w:rFonts w:ascii="Times New Roman" w:hAnsi="Times New Roman"/>
        </w:rPr>
        <w:t xml:space="preserve"> </w:t>
      </w:r>
      <w:r w:rsidRPr="00896984">
        <w:rPr>
          <w:rFonts w:ascii="Times New Roman" w:hAnsi="Times New Roman"/>
        </w:rPr>
        <w:t xml:space="preserve">2012 zo súčasných 55,70 </w:t>
      </w:r>
      <w:r w:rsidRPr="00896984" w:rsidR="00485AC0">
        <w:rPr>
          <w:rFonts w:ascii="Times New Roman" w:hAnsi="Times New Roman"/>
        </w:rPr>
        <w:t>eur</w:t>
      </w:r>
      <w:r w:rsidRPr="00896984">
        <w:rPr>
          <w:rFonts w:ascii="Times New Roman" w:hAnsi="Times New Roman"/>
        </w:rPr>
        <w:t xml:space="preserve">/1000 ks cigariet v prípade špecifickej časti dane a 85 </w:t>
      </w:r>
      <w:r w:rsidRPr="00896984" w:rsidR="00485AC0">
        <w:rPr>
          <w:rFonts w:ascii="Times New Roman" w:hAnsi="Times New Roman"/>
        </w:rPr>
        <w:t>eur</w:t>
      </w:r>
      <w:r w:rsidRPr="00896984">
        <w:rPr>
          <w:rFonts w:ascii="Times New Roman" w:hAnsi="Times New Roman"/>
        </w:rPr>
        <w:t xml:space="preserve">/1000 ks v prípade minimálnej sadzby na 58 </w:t>
      </w:r>
      <w:r w:rsidRPr="00896984" w:rsidR="00485AC0">
        <w:rPr>
          <w:rFonts w:ascii="Times New Roman" w:hAnsi="Times New Roman"/>
        </w:rPr>
        <w:t>eur</w:t>
      </w:r>
      <w:r w:rsidRPr="00896984">
        <w:rPr>
          <w:rFonts w:ascii="Times New Roman" w:hAnsi="Times New Roman"/>
        </w:rPr>
        <w:t xml:space="preserve">/1000 ks a 88,50 </w:t>
      </w:r>
      <w:r w:rsidRPr="00896984" w:rsidR="00485AC0">
        <w:rPr>
          <w:rFonts w:ascii="Times New Roman" w:hAnsi="Times New Roman"/>
        </w:rPr>
        <w:t>eur</w:t>
      </w:r>
      <w:r w:rsidRPr="00896984">
        <w:rPr>
          <w:rFonts w:ascii="Times New Roman" w:hAnsi="Times New Roman"/>
        </w:rPr>
        <w:t>/1000 ks. Opatrenie bude predstavovať zvýšenie váženej priemernej maloobchodnej (WAP) ceny cigariet o približne 2,9</w:t>
      </w:r>
      <w:r w:rsidRPr="00896984" w:rsidR="00485AC0">
        <w:rPr>
          <w:rFonts w:ascii="Times New Roman" w:hAnsi="Times New Roman"/>
        </w:rPr>
        <w:t xml:space="preserve"> </w:t>
      </w:r>
      <w:r w:rsidRPr="00896984">
        <w:rPr>
          <w:rFonts w:ascii="Times New Roman" w:hAnsi="Times New Roman"/>
        </w:rPr>
        <w:t xml:space="preserve">% (7 centov) zo súčasných 2,58 </w:t>
      </w:r>
      <w:r w:rsidRPr="00896984" w:rsidR="00485AC0">
        <w:rPr>
          <w:rFonts w:ascii="Times New Roman" w:hAnsi="Times New Roman"/>
        </w:rPr>
        <w:t>eur</w:t>
      </w:r>
      <w:r w:rsidRPr="00896984">
        <w:rPr>
          <w:rFonts w:ascii="Times New Roman" w:hAnsi="Times New Roman"/>
        </w:rPr>
        <w:t xml:space="preserve"> na krabičku 19 ks cigariet na približne 2,66 </w:t>
      </w:r>
      <w:r w:rsidRPr="00896984" w:rsidR="00485AC0">
        <w:rPr>
          <w:rFonts w:ascii="Times New Roman" w:hAnsi="Times New Roman"/>
        </w:rPr>
        <w:t>eur</w:t>
      </w:r>
      <w:r w:rsidRPr="00896984">
        <w:rPr>
          <w:rFonts w:ascii="Times New Roman" w:hAnsi="Times New Roman"/>
        </w:rPr>
        <w:t xml:space="preserve">. Opatrenie by malo zabezpečiť dodatočný výnos spotrebnej dane na úrovni 26 653 tis. </w:t>
      </w:r>
      <w:r w:rsidRPr="00896984" w:rsidR="00485AC0">
        <w:rPr>
          <w:rFonts w:ascii="Times New Roman" w:hAnsi="Times New Roman"/>
        </w:rPr>
        <w:t>eur</w:t>
      </w:r>
      <w:r w:rsidRPr="00896984">
        <w:rPr>
          <w:rFonts w:ascii="Times New Roman" w:hAnsi="Times New Roman"/>
        </w:rPr>
        <w:t xml:space="preserve"> v roku 2012 a 7 541 tis. </w:t>
      </w:r>
      <w:r w:rsidRPr="00896984" w:rsidR="00485AC0">
        <w:rPr>
          <w:rFonts w:ascii="Times New Roman" w:hAnsi="Times New Roman"/>
        </w:rPr>
        <w:t>eur</w:t>
      </w:r>
      <w:r w:rsidRPr="00896984">
        <w:rPr>
          <w:rFonts w:ascii="Times New Roman" w:hAnsi="Times New Roman"/>
        </w:rPr>
        <w:t xml:space="preserve"> v roku 2013. Ďalšie zvýšenie sadzieb sa predpokladá od 1.</w:t>
      </w:r>
      <w:r w:rsidRPr="00896984" w:rsidR="00485AC0">
        <w:rPr>
          <w:rFonts w:ascii="Times New Roman" w:hAnsi="Times New Roman"/>
        </w:rPr>
        <w:t xml:space="preserve"> </w:t>
      </w:r>
      <w:r w:rsidRPr="00896984">
        <w:rPr>
          <w:rFonts w:ascii="Times New Roman" w:hAnsi="Times New Roman"/>
        </w:rPr>
        <w:t>3.</w:t>
      </w:r>
      <w:r w:rsidRPr="00896984" w:rsidR="00485AC0">
        <w:rPr>
          <w:rFonts w:ascii="Times New Roman" w:hAnsi="Times New Roman"/>
        </w:rPr>
        <w:t xml:space="preserve"> </w:t>
      </w:r>
      <w:r w:rsidRPr="00896984">
        <w:rPr>
          <w:rFonts w:ascii="Times New Roman" w:hAnsi="Times New Roman"/>
        </w:rPr>
        <w:t>2013 o približne 1,5</w:t>
      </w:r>
      <w:r w:rsidRPr="00896984" w:rsidR="00485AC0">
        <w:rPr>
          <w:rFonts w:ascii="Times New Roman" w:hAnsi="Times New Roman"/>
        </w:rPr>
        <w:t xml:space="preserve"> </w:t>
      </w:r>
      <w:r w:rsidRPr="00896984">
        <w:rPr>
          <w:rFonts w:ascii="Times New Roman" w:hAnsi="Times New Roman"/>
        </w:rPr>
        <w:t xml:space="preserve">%, čo predstavuje nárast špecifickej sadzby na úroveň 59 </w:t>
      </w:r>
      <w:r w:rsidRPr="00896984" w:rsidR="00485AC0">
        <w:rPr>
          <w:rFonts w:ascii="Times New Roman" w:hAnsi="Times New Roman"/>
        </w:rPr>
        <w:t>eur</w:t>
      </w:r>
      <w:r w:rsidRPr="00896984">
        <w:rPr>
          <w:rFonts w:ascii="Times New Roman" w:hAnsi="Times New Roman"/>
        </w:rPr>
        <w:t xml:space="preserve">/1000 ks cigariet a minimálnej sadzby na 90 </w:t>
      </w:r>
      <w:r w:rsidRPr="00896984" w:rsidR="00485AC0">
        <w:rPr>
          <w:rFonts w:ascii="Times New Roman" w:hAnsi="Times New Roman"/>
        </w:rPr>
        <w:t>eur</w:t>
      </w:r>
      <w:r w:rsidRPr="00896984">
        <w:rPr>
          <w:rFonts w:ascii="Times New Roman" w:hAnsi="Times New Roman"/>
        </w:rPr>
        <w:t>/1000 ks, pričom sa očakáva zvýšenie ceny priemernej 19 ks krabičky cigariet o približne 1,2</w:t>
      </w:r>
      <w:r w:rsidRPr="00896984" w:rsidR="00485AC0">
        <w:rPr>
          <w:rFonts w:ascii="Times New Roman" w:hAnsi="Times New Roman"/>
        </w:rPr>
        <w:t xml:space="preserve"> </w:t>
      </w:r>
      <w:r w:rsidRPr="00896984">
        <w:rPr>
          <w:rFonts w:ascii="Times New Roman" w:hAnsi="Times New Roman"/>
        </w:rPr>
        <w:t xml:space="preserve">% </w:t>
      </w:r>
      <w:r w:rsidRPr="00896984" w:rsidR="00485AC0">
        <w:rPr>
          <w:rFonts w:ascii="Times New Roman" w:hAnsi="Times New Roman"/>
        </w:rPr>
        <w:br/>
      </w:r>
      <w:r w:rsidRPr="00896984">
        <w:rPr>
          <w:rFonts w:ascii="Times New Roman" w:hAnsi="Times New Roman"/>
        </w:rPr>
        <w:t xml:space="preserve">(3 centy). Dĺžka dopredaja cigariet zdaňovaných pôvodnou sadzbou dane je upravená na </w:t>
      </w:r>
      <w:r w:rsidRPr="00896984" w:rsidR="00485AC0">
        <w:rPr>
          <w:rFonts w:ascii="Times New Roman" w:hAnsi="Times New Roman"/>
        </w:rPr>
        <w:br/>
      </w:r>
      <w:r w:rsidRPr="00896984">
        <w:rPr>
          <w:rFonts w:ascii="Times New Roman" w:hAnsi="Times New Roman"/>
        </w:rPr>
        <w:t xml:space="preserve">1 mesiac v prvom kroku a 2 mesiace v druhom kroku zvýšenia spotrebnej dane. Spotrebná daň z ostatných tabakových výrobkov bude rásť v súlade s tempom rastu minimálnej sadzby dane na cigarety. </w:t>
      </w:r>
    </w:p>
    <w:p w:rsidR="000A6169" w:rsidRPr="00896984" w:rsidP="000A6169">
      <w:pPr>
        <w:bidi w:val="0"/>
        <w:jc w:val="both"/>
        <w:rPr>
          <w:rFonts w:ascii="Times New Roman" w:hAnsi="Times New Roman" w:cs="Times New Roman"/>
        </w:rPr>
      </w:pPr>
    </w:p>
    <w:p w:rsidR="000A6169" w:rsidRPr="00896984" w:rsidP="000A6169">
      <w:pPr>
        <w:bidi w:val="0"/>
        <w:ind w:firstLine="708"/>
        <w:jc w:val="both"/>
        <w:rPr>
          <w:rFonts w:ascii="Times New Roman" w:hAnsi="Times New Roman" w:cs="Times New Roman"/>
        </w:rPr>
      </w:pPr>
      <w:r w:rsidRPr="00896984">
        <w:rPr>
          <w:rFonts w:ascii="Times New Roman" w:hAnsi="Times New Roman" w:cs="Times New Roman"/>
        </w:rPr>
        <w:t xml:space="preserve">Prevod finančných prostriedkov územným samosprávam (ÚS) </w:t>
      </w:r>
      <w:r w:rsidRPr="00896984" w:rsidR="00F80D80">
        <w:rPr>
          <w:rFonts w:ascii="Times New Roman" w:hAnsi="Times New Roman" w:cs="Times New Roman"/>
        </w:rPr>
        <w:t xml:space="preserve">je v návrhu rozpočtu </w:t>
      </w:r>
      <w:r w:rsidRPr="00896984">
        <w:rPr>
          <w:rFonts w:ascii="Times New Roman" w:hAnsi="Times New Roman" w:cs="Times New Roman"/>
        </w:rPr>
        <w:t xml:space="preserve"> od roku 2012 počítaný z mixu daní vo výške 1</w:t>
      </w:r>
      <w:r w:rsidRPr="00896984" w:rsidR="00F80D80">
        <w:rPr>
          <w:rFonts w:ascii="Times New Roman" w:hAnsi="Times New Roman" w:cs="Times New Roman"/>
        </w:rPr>
        <w:t>3</w:t>
      </w:r>
      <w:r w:rsidRPr="00896984">
        <w:rPr>
          <w:rFonts w:ascii="Times New Roman" w:hAnsi="Times New Roman" w:cs="Times New Roman"/>
        </w:rPr>
        <w:t>,</w:t>
      </w:r>
      <w:r w:rsidRPr="00896984" w:rsidR="00F80D80">
        <w:rPr>
          <w:rFonts w:ascii="Times New Roman" w:hAnsi="Times New Roman" w:cs="Times New Roman"/>
        </w:rPr>
        <w:t>0</w:t>
      </w:r>
      <w:r w:rsidRPr="00896984">
        <w:rPr>
          <w:rFonts w:ascii="Times New Roman" w:hAnsi="Times New Roman" w:cs="Times New Roman"/>
        </w:rPr>
        <w:t>7</w:t>
      </w:r>
      <w:r w:rsidRPr="00896984" w:rsidR="00485AC0">
        <w:rPr>
          <w:rFonts w:ascii="Times New Roman" w:hAnsi="Times New Roman" w:cs="Times New Roman"/>
        </w:rPr>
        <w:t xml:space="preserve"> </w:t>
      </w:r>
      <w:r w:rsidRPr="00896984">
        <w:rPr>
          <w:rFonts w:ascii="Times New Roman" w:hAnsi="Times New Roman" w:cs="Times New Roman"/>
        </w:rPr>
        <w:t>%</w:t>
      </w:r>
      <w:r w:rsidRPr="00896984" w:rsidR="00F80D80">
        <w:rPr>
          <w:rFonts w:ascii="Times New Roman" w:hAnsi="Times New Roman" w:cs="Times New Roman"/>
        </w:rPr>
        <w:t>.</w:t>
      </w:r>
      <w:r w:rsidRPr="00896984">
        <w:rPr>
          <w:rFonts w:ascii="Times New Roman" w:hAnsi="Times New Roman" w:cs="Times New Roman"/>
        </w:rPr>
        <w:t xml:space="preserve"> Mix daní obsahuje daň z príjmov fyzických osôb, daň z príjmov právnických osôb, daň z príjmov vyberanej zrážkou, daň z pridanej hodnoty a spotrebné dane.  </w:t>
      </w:r>
    </w:p>
    <w:p w:rsidR="00485AC0" w:rsidRPr="00896984" w:rsidP="000A6169">
      <w:pPr>
        <w:bidi w:val="0"/>
        <w:ind w:firstLine="708"/>
        <w:jc w:val="both"/>
        <w:rPr>
          <w:rFonts w:ascii="Times New Roman" w:hAnsi="Times New Roman" w:cs="Times New Roman"/>
        </w:rPr>
      </w:pPr>
    </w:p>
    <w:p w:rsidR="000A6169" w:rsidRPr="00896984" w:rsidP="000A6169">
      <w:pPr>
        <w:bidi w:val="0"/>
        <w:ind w:firstLine="708"/>
        <w:jc w:val="both"/>
        <w:rPr>
          <w:rFonts w:ascii="Times New Roman" w:hAnsi="Times New Roman" w:cs="Times New Roman"/>
        </w:rPr>
      </w:pPr>
      <w:r w:rsidRPr="00896984">
        <w:rPr>
          <w:rFonts w:ascii="Times New Roman" w:hAnsi="Times New Roman" w:cs="Times New Roman"/>
        </w:rPr>
        <w:t xml:space="preserve">Zmenou definície základne pre výpočet podielových daní ÚS čisto z dani z príjmov fyzických osôb (DPFO) na základné daňové príjmy verejnej správy sa zabezpečí rovnaký rast príjmov ÚS z podielových daní ako je rast daňových príjmov štátneho rozpočtu. Zároveň väzba príjmov ÚS na vývoj väčšiny daňových príjmov verejnej správy (nielen jednej konkrétnej dane) prináša so sebou vyššiu stabilitu príjmov ÚS, nakoľko v súčasnosti zmena vo vývoji DPFO (z dôvodu ekonomického vývoja alebo legislatívy) priamoúmerne ovplyvňuje príjmy ÚS. </w:t>
      </w:r>
    </w:p>
    <w:p w:rsidR="000A6169" w:rsidRPr="00896984" w:rsidP="000A6169">
      <w:pPr>
        <w:bidi w:val="0"/>
        <w:jc w:val="both"/>
        <w:rPr>
          <w:rFonts w:ascii="Times New Roman" w:hAnsi="Times New Roman" w:cs="Times New Roman"/>
        </w:rPr>
      </w:pPr>
    </w:p>
    <w:p w:rsidR="000A6169" w:rsidRPr="00896984" w:rsidP="000A6169">
      <w:pPr>
        <w:bidi w:val="0"/>
        <w:jc w:val="both"/>
        <w:rPr>
          <w:rFonts w:ascii="Times New Roman" w:hAnsi="Times New Roman" w:cs="Times New Roman"/>
        </w:rPr>
      </w:pPr>
      <w:r w:rsidRPr="00896984">
        <w:rPr>
          <w:rFonts w:ascii="Times New Roman" w:hAnsi="Times New Roman" w:cs="Times New Roman"/>
        </w:rPr>
        <w:tab/>
        <w:t>Aktuálna prognóza na roky 201</w:t>
      </w:r>
      <w:r w:rsidRPr="00896984" w:rsidR="00485AC0">
        <w:rPr>
          <w:rFonts w:ascii="Times New Roman" w:hAnsi="Times New Roman" w:cs="Times New Roman"/>
        </w:rPr>
        <w:t>2</w:t>
      </w:r>
      <w:r w:rsidRPr="00896984">
        <w:rPr>
          <w:rFonts w:ascii="Times New Roman" w:hAnsi="Times New Roman" w:cs="Times New Roman"/>
        </w:rPr>
        <w:t xml:space="preserve"> až 201</w:t>
      </w:r>
      <w:r w:rsidRPr="00896984" w:rsidR="00485AC0">
        <w:rPr>
          <w:rFonts w:ascii="Times New Roman" w:hAnsi="Times New Roman" w:cs="Times New Roman"/>
        </w:rPr>
        <w:t>4</w:t>
      </w:r>
      <w:r w:rsidRPr="00896984">
        <w:rPr>
          <w:rFonts w:ascii="Times New Roman" w:hAnsi="Times New Roman" w:cs="Times New Roman"/>
        </w:rPr>
        <w:t xml:space="preserve"> zohľadňuje okrem makroekonomického rámca a platnej legislatívy aj skutočné výnosy daní za rok 2010 podľa metodiky ESA 95 (okrem DPFO z podnikania a DPPO, ktoré sú odhadmi) a aktuálne hotovostné plnenie daní za január až august 2011.</w:t>
      </w:r>
    </w:p>
    <w:p w:rsidR="000A6169" w:rsidRPr="00896984" w:rsidP="000A6169">
      <w:pPr>
        <w:bidi w:val="0"/>
        <w:jc w:val="both"/>
        <w:rPr>
          <w:rFonts w:ascii="Times New Roman" w:hAnsi="Times New Roman" w:cs="Times New Roman"/>
          <w:highlight w:val="yellow"/>
        </w:rPr>
      </w:pPr>
    </w:p>
    <w:p w:rsidR="000A6169" w:rsidRPr="00896984" w:rsidP="000A6169">
      <w:pPr>
        <w:bidi w:val="0"/>
        <w:rPr>
          <w:rFonts w:ascii="Times New Roman" w:hAnsi="Times New Roman" w:cs="Times New Roman"/>
          <w:b/>
          <w:bCs/>
        </w:rPr>
      </w:pPr>
      <w:r w:rsidRPr="00896984">
        <w:rPr>
          <w:rFonts w:ascii="Times New Roman" w:hAnsi="Times New Roman" w:cs="Times New Roman"/>
          <w:b/>
          <w:bCs/>
        </w:rPr>
        <w:t>Odhad jednotlivých daní</w:t>
      </w:r>
    </w:p>
    <w:p w:rsidR="000A6169" w:rsidRPr="00896984" w:rsidP="000A6169">
      <w:pPr>
        <w:bidi w:val="0"/>
        <w:rPr>
          <w:rFonts w:ascii="Times New Roman" w:hAnsi="Times New Roman" w:cs="Times New Roman"/>
          <w:b/>
          <w:bCs/>
        </w:rPr>
      </w:pPr>
    </w:p>
    <w:p w:rsidR="000A6169" w:rsidRPr="00896984" w:rsidP="000A6169">
      <w:pPr>
        <w:bidi w:val="0"/>
        <w:ind w:firstLine="720"/>
        <w:jc w:val="both"/>
        <w:rPr>
          <w:rFonts w:ascii="Times New Roman" w:hAnsi="Times New Roman" w:cs="Times New Roman"/>
        </w:rPr>
      </w:pPr>
      <w:r w:rsidRPr="00896984">
        <w:rPr>
          <w:rFonts w:ascii="Times New Roman" w:hAnsi="Times New Roman" w:cs="Times New Roman"/>
        </w:rPr>
        <w:t xml:space="preserve">Výnos </w:t>
      </w:r>
      <w:r w:rsidRPr="00896984">
        <w:rPr>
          <w:rFonts w:ascii="Times New Roman" w:hAnsi="Times New Roman" w:cs="Times New Roman"/>
          <w:b/>
          <w:bCs/>
        </w:rPr>
        <w:t>dane z príjmu fyzických osôb zo závislej činnosti</w:t>
      </w:r>
      <w:r w:rsidRPr="00896984">
        <w:rPr>
          <w:rFonts w:ascii="Times New Roman" w:hAnsi="Times New Roman" w:cs="Times New Roman"/>
        </w:rPr>
        <w:t xml:space="preserve"> je v porovnaní s </w:t>
      </w:r>
      <w:r w:rsidRPr="00896984" w:rsidR="00485AC0">
        <w:rPr>
          <w:rFonts w:ascii="Times New Roman" w:hAnsi="Times New Roman" w:cs="Times New Roman"/>
        </w:rPr>
        <w:t>r</w:t>
      </w:r>
      <w:r w:rsidRPr="00896984">
        <w:rPr>
          <w:rFonts w:ascii="Times New Roman" w:hAnsi="Times New Roman" w:cs="Times New Roman"/>
        </w:rPr>
        <w:t>ozpočtom verejnej správy na roky 2011 až 2013 ovplyvnený mierne negatívnejším vývojom zamestnanosti a miezd od roku 2012. Nezdaniteľná časť základu dane na daňovníka (NČZD) bude definovaná ako 18-násobok životného minima platného k 1. januáru príslušného roka. Vzhľadom na životné minimum platné k 1.</w:t>
      </w:r>
      <w:r w:rsidRPr="00896984" w:rsidR="00485AC0">
        <w:rPr>
          <w:rFonts w:ascii="Times New Roman" w:hAnsi="Times New Roman" w:cs="Times New Roman"/>
        </w:rPr>
        <w:t xml:space="preserve"> </w:t>
      </w:r>
      <w:r w:rsidRPr="00896984">
        <w:rPr>
          <w:rFonts w:ascii="Times New Roman" w:hAnsi="Times New Roman" w:cs="Times New Roman"/>
        </w:rPr>
        <w:t>1.</w:t>
      </w:r>
      <w:r w:rsidRPr="00896984" w:rsidR="00485AC0">
        <w:rPr>
          <w:rFonts w:ascii="Times New Roman" w:hAnsi="Times New Roman" w:cs="Times New Roman"/>
        </w:rPr>
        <w:t xml:space="preserve"> </w:t>
      </w:r>
      <w:r w:rsidRPr="00896984">
        <w:rPr>
          <w:rFonts w:ascii="Times New Roman" w:hAnsi="Times New Roman" w:cs="Times New Roman"/>
        </w:rPr>
        <w:t xml:space="preserve">2012 vo výške 189,83 eur sa NČZD na rok 2012 predpokladá vo výške 3 416,94 eur. Od roku 2012 už výška NČZD nebude závisieť od výšky príjmu daňovníka, čo znamená, že sa už nebude uplatňovať klesajúca NČZD (tzv. „milionárska daň“). Na rozdiel od NČZD na daňovníka, ktorá sa mení vždy k 1. januáru príslušného roka, výška daňového bonusu na dieťa sa mení vždy od 1. júla príslušného roka. V roku 2012 sa predpokladá priemerná mesačná výška daňového bonusu na dieťa vo výške 20,87 eur. Z titulu navrhovaných zmien dochádza aj k zrušeniu zamestnaneckej prémie od zdaňovacieho obdobia roku 2012. Zároveň zaplatené odvody už nebudú znižovať základ dane, čím sa podstatne zvýši výnos dane. </w:t>
      </w:r>
    </w:p>
    <w:p w:rsidR="000A6169" w:rsidRPr="00896984" w:rsidP="000A6169">
      <w:pPr>
        <w:bidi w:val="0"/>
        <w:ind w:firstLine="708"/>
        <w:jc w:val="both"/>
        <w:rPr>
          <w:rFonts w:ascii="Times New Roman" w:hAnsi="Times New Roman" w:cs="Times New Roman"/>
        </w:rPr>
      </w:pPr>
    </w:p>
    <w:p w:rsidR="000A6169" w:rsidRPr="00896984" w:rsidP="000A6169">
      <w:pPr>
        <w:bidi w:val="0"/>
        <w:ind w:firstLine="708"/>
        <w:jc w:val="both"/>
        <w:rPr>
          <w:rFonts w:ascii="Times New Roman" w:hAnsi="Times New Roman" w:cs="Times New Roman"/>
        </w:rPr>
      </w:pPr>
      <w:r w:rsidRPr="00896984">
        <w:rPr>
          <w:rFonts w:ascii="Times New Roman" w:hAnsi="Times New Roman" w:cs="Times New Roman"/>
        </w:rPr>
        <w:t xml:space="preserve">Výnos </w:t>
      </w:r>
      <w:r w:rsidRPr="00896984">
        <w:rPr>
          <w:rFonts w:ascii="Times New Roman" w:hAnsi="Times New Roman" w:cs="Times New Roman"/>
          <w:b/>
          <w:bCs/>
        </w:rPr>
        <w:t>dane z príjmov fyzických osôb z podnikania</w:t>
      </w:r>
      <w:r w:rsidRPr="00896984">
        <w:rPr>
          <w:rFonts w:ascii="Times New Roman" w:hAnsi="Times New Roman" w:cs="Times New Roman"/>
        </w:rPr>
        <w:t xml:space="preserve"> bol aktualizáciou makroekonomických prognóz len miene negatívne ovplyvnený, výraznejšie negatívne sa na výnose prejavilo najmä horšie plnenie v rokoch 2009</w:t>
      </w:r>
      <w:r w:rsidRPr="00896984" w:rsidR="00485AC0">
        <w:rPr>
          <w:rFonts w:ascii="Times New Roman" w:hAnsi="Times New Roman" w:cs="Times New Roman"/>
        </w:rPr>
        <w:t xml:space="preserve"> a </w:t>
      </w:r>
      <w:r w:rsidRPr="00896984">
        <w:rPr>
          <w:rFonts w:ascii="Times New Roman" w:hAnsi="Times New Roman" w:cs="Times New Roman"/>
        </w:rPr>
        <w:t xml:space="preserve">2010 než sa pôvodne očakávalo. Rovnako ako v prípade závislej činnosti sa očakáva vyšší výnos dane z titulu zmien </w:t>
      </w:r>
      <w:r w:rsidRPr="00896984" w:rsidR="00485AC0">
        <w:rPr>
          <w:rFonts w:ascii="Times New Roman" w:hAnsi="Times New Roman" w:cs="Times New Roman"/>
        </w:rPr>
        <w:br/>
      </w:r>
      <w:r w:rsidRPr="00896984">
        <w:rPr>
          <w:rFonts w:ascii="Times New Roman" w:hAnsi="Times New Roman" w:cs="Times New Roman"/>
        </w:rPr>
        <w:t>daňovo</w:t>
      </w:r>
      <w:r w:rsidRPr="00896984" w:rsidR="00485AC0">
        <w:rPr>
          <w:rFonts w:ascii="Times New Roman" w:hAnsi="Times New Roman" w:cs="Times New Roman"/>
        </w:rPr>
        <w:t>-</w:t>
      </w:r>
      <w:r w:rsidRPr="00896984">
        <w:rPr>
          <w:rFonts w:ascii="Times New Roman" w:hAnsi="Times New Roman" w:cs="Times New Roman"/>
        </w:rPr>
        <w:t xml:space="preserve">odvodového systému. </w:t>
      </w:r>
    </w:p>
    <w:p w:rsidR="000A6169" w:rsidRPr="00896984" w:rsidP="000A6169">
      <w:pPr>
        <w:bidi w:val="0"/>
        <w:ind w:firstLine="720"/>
        <w:jc w:val="both"/>
        <w:rPr>
          <w:rFonts w:ascii="Times New Roman" w:hAnsi="Times New Roman" w:cs="Times New Roman"/>
        </w:rPr>
      </w:pPr>
    </w:p>
    <w:p w:rsidR="000A6169" w:rsidRPr="00896984" w:rsidP="000A6169">
      <w:pPr>
        <w:autoSpaceDE w:val="0"/>
        <w:autoSpaceDN w:val="0"/>
        <w:bidi w:val="0"/>
        <w:ind w:firstLine="708"/>
        <w:jc w:val="both"/>
        <w:rPr>
          <w:rFonts w:ascii="Times New Roman" w:hAnsi="Times New Roman" w:cs="Times New Roman"/>
        </w:rPr>
      </w:pPr>
      <w:r w:rsidRPr="00896984">
        <w:rPr>
          <w:rFonts w:ascii="Times New Roman" w:hAnsi="Times New Roman" w:cs="Times New Roman"/>
        </w:rPr>
        <w:t xml:space="preserve">V porovnaní so schváleným rozpočtom verejnej správy na roky 2011 až 2013 dochádza k miernemu zvýšeniu prognózy </w:t>
      </w:r>
      <w:r w:rsidRPr="00896984">
        <w:rPr>
          <w:rFonts w:ascii="Times New Roman" w:hAnsi="Times New Roman" w:cs="Times New Roman"/>
          <w:b/>
          <w:bCs/>
        </w:rPr>
        <w:t>dane z príjmov právnických osôb</w:t>
      </w:r>
      <w:r w:rsidRPr="00896984">
        <w:rPr>
          <w:rFonts w:ascii="Times New Roman" w:hAnsi="Times New Roman" w:cs="Times New Roman"/>
        </w:rPr>
        <w:t xml:space="preserve"> (DPPO). Dôvodom je priaznivejší vývoj ziskovosti, čo sa prejavilo v zúčtovaní dane v roku 2011 (za zdaňovacie obdobie roka 2010). V nasledujúcich rokoch bude závisieť zotavenie korporátneho sektora od makroekonomického vývoja. Stále pretrváva riziko zvýšenej úrovne umorovania strát za predchádzajúce roky. Riziko predstavuje aj možné čerpanie investičných stimulov formou daňových úľav u tých subjektov, ktoré v minulosti daň platili. Čerpaná úľava by tak predstavovala výpadok na DPPO. V rokoch 2012 až 2014 budú mať pozitívny vplyv na výnos dane zmeny v odpisovej politike účinné od 1.</w:t>
      </w:r>
      <w:r w:rsidRPr="00896984" w:rsidR="00477ED3">
        <w:rPr>
          <w:rFonts w:ascii="Times New Roman" w:hAnsi="Times New Roman" w:cs="Times New Roman"/>
        </w:rPr>
        <w:t xml:space="preserve"> </w:t>
      </w:r>
      <w:r w:rsidRPr="00896984">
        <w:rPr>
          <w:rFonts w:ascii="Times New Roman" w:hAnsi="Times New Roman" w:cs="Times New Roman"/>
        </w:rPr>
        <w:t>1. 2012</w:t>
      </w:r>
    </w:p>
    <w:p w:rsidR="000A6169" w:rsidRPr="00896984" w:rsidP="000A6169">
      <w:pPr>
        <w:bidi w:val="0"/>
        <w:ind w:firstLine="708"/>
        <w:jc w:val="both"/>
        <w:rPr>
          <w:rFonts w:ascii="Times New Roman" w:hAnsi="Times New Roman" w:cs="Times New Roman"/>
          <w:highlight w:val="yellow"/>
        </w:rPr>
      </w:pPr>
    </w:p>
    <w:p w:rsidR="000A6169" w:rsidRPr="00896984" w:rsidP="000A6169">
      <w:pPr>
        <w:bidi w:val="0"/>
        <w:ind w:firstLine="708"/>
        <w:jc w:val="both"/>
        <w:rPr>
          <w:rFonts w:ascii="Times New Roman" w:hAnsi="Times New Roman" w:cs="Times New Roman"/>
        </w:rPr>
      </w:pPr>
      <w:r w:rsidRPr="00896984">
        <w:rPr>
          <w:rFonts w:ascii="Times New Roman" w:hAnsi="Times New Roman" w:cs="Times New Roman"/>
        </w:rPr>
        <w:t>Neistotou pri prognóze daní z príjmov fyzických a právnických osôb je možnosť daňovníko</w:t>
      </w:r>
      <w:r w:rsidRPr="00896984" w:rsidR="00477ED3">
        <w:rPr>
          <w:rFonts w:ascii="Times New Roman" w:hAnsi="Times New Roman" w:cs="Times New Roman"/>
        </w:rPr>
        <w:t>m</w:t>
      </w:r>
      <w:r w:rsidRPr="00896984">
        <w:rPr>
          <w:rFonts w:ascii="Times New Roman" w:hAnsi="Times New Roman" w:cs="Times New Roman"/>
        </w:rPr>
        <w:t xml:space="preserve"> poukázať 2 % zo zaplatenej dane na osobitné účely (verejnoprospešné aktivity mimovládnych neziskových organizácií). V roku 2010 dosiahla suma prostriedkov prevedených na verejnoprospešný účel 44 145 tis. eur (z toho FO previedli 15 553 tis. eur a PO previedli 28 592 tis. eur). Predpokladá sa, že suma prostriedkov určených na osobitné účely dosiahne v roku 2012 úroveň 40 801 tis. eur.</w:t>
      </w:r>
    </w:p>
    <w:p w:rsidR="000A6169" w:rsidRPr="00896984" w:rsidP="000A6169">
      <w:pPr>
        <w:bidi w:val="0"/>
        <w:jc w:val="both"/>
        <w:rPr>
          <w:rFonts w:ascii="Times New Roman" w:hAnsi="Times New Roman" w:cs="Times New Roman"/>
        </w:rPr>
      </w:pPr>
    </w:p>
    <w:p w:rsidR="000A6169" w:rsidRPr="00896984" w:rsidP="000A6169">
      <w:pPr>
        <w:bidi w:val="0"/>
        <w:ind w:firstLine="708"/>
        <w:jc w:val="both"/>
        <w:rPr>
          <w:rFonts w:ascii="Times New Roman" w:hAnsi="Times New Roman" w:cs="Times New Roman"/>
        </w:rPr>
      </w:pPr>
      <w:r w:rsidRPr="00896984">
        <w:rPr>
          <w:rFonts w:ascii="Times New Roman" w:hAnsi="Times New Roman" w:cs="Times New Roman"/>
        </w:rPr>
        <w:t xml:space="preserve">Prognóza </w:t>
      </w:r>
      <w:r w:rsidRPr="00896984">
        <w:rPr>
          <w:rFonts w:ascii="Times New Roman" w:hAnsi="Times New Roman" w:cs="Times New Roman"/>
          <w:b/>
          <w:bCs/>
        </w:rPr>
        <w:t>dane z príjmov vyberanej zrážkou</w:t>
      </w:r>
      <w:r w:rsidRPr="00896984">
        <w:rPr>
          <w:rFonts w:ascii="Times New Roman" w:hAnsi="Times New Roman" w:cs="Times New Roman"/>
        </w:rPr>
        <w:t xml:space="preserve"> na roky 2012 až 2014 vychádza z odhadovaného pomalšieho rastu makroekonomickej základne a očakávaného pozitívnejšieho vývoja priemernej úrokovej miery a objemu z vkladov. Výnos dane z príjmov vyberanej zrážkou je v značnej miere ovplyvnený aj licenčnými poplatkami, ktorých výška priamo nesúvisí s makroekonomickým vývojom. Je pomerne časté, že dochádza k jednorazovým výkyvom v ich platbe, a to najmä z dôvodu, že časť licenčných poplatkov sa platí jednorazovo v stanovenej výške pri spustení výroby nového produktu. Na výnos dane z príjmov vyberanej zrážkou bude mať mierne negatívny vplyv aj pokles licenčných poplatkov u subjektov, ktoré ich platia v závislosti od veľkosti tržieb.</w:t>
      </w:r>
    </w:p>
    <w:p w:rsidR="000A6169" w:rsidRPr="00896984" w:rsidP="000A6169">
      <w:pPr>
        <w:bidi w:val="0"/>
        <w:ind w:firstLine="708"/>
        <w:jc w:val="both"/>
        <w:rPr>
          <w:rFonts w:ascii="Times New Roman" w:hAnsi="Times New Roman" w:cs="Times New Roman"/>
        </w:rPr>
      </w:pPr>
    </w:p>
    <w:p w:rsidR="000A6169" w:rsidRPr="00896984" w:rsidP="000A6169">
      <w:pPr>
        <w:bidi w:val="0"/>
        <w:jc w:val="both"/>
        <w:rPr>
          <w:rFonts w:ascii="Times New Roman" w:hAnsi="Times New Roman" w:cs="Times New Roman"/>
        </w:rPr>
      </w:pPr>
      <w:r w:rsidRPr="00896984">
        <w:rPr>
          <w:rFonts w:ascii="Times New Roman" w:hAnsi="Times New Roman" w:cs="Times New Roman"/>
        </w:rPr>
        <w:tab/>
        <w:t xml:space="preserve">Výnos </w:t>
      </w:r>
      <w:r w:rsidRPr="00896984">
        <w:rPr>
          <w:rFonts w:ascii="Times New Roman" w:hAnsi="Times New Roman" w:cs="Times New Roman"/>
          <w:b/>
          <w:bCs/>
        </w:rPr>
        <w:t>dane z pridanej hodnoty</w:t>
      </w:r>
      <w:r w:rsidRPr="00896984">
        <w:rPr>
          <w:rFonts w:ascii="Times New Roman" w:hAnsi="Times New Roman" w:cs="Times New Roman"/>
        </w:rPr>
        <w:t xml:space="preserve"> bude v rokoch 2012 až 2014 rásť pomalšie ako spotrebné výdavky domácností. Pozitívne sa v rokoch 2012 až 2014 prejaví lepšie plnenie dane v roku 2011 súvisiace s rastom zamestnanosti a spotreby domácností. V rokoch 2011 a 2012 bude výnos dane pozitívne ovplyvnený dodatočným výnosom z titulu PPP projektov (169 mil. eur v roku 2011 a 38 mil. eur v roku 2012).</w:t>
      </w:r>
    </w:p>
    <w:p w:rsidR="000A6169" w:rsidRPr="00896984" w:rsidP="000A6169">
      <w:pPr>
        <w:bidi w:val="0"/>
        <w:jc w:val="both"/>
        <w:rPr>
          <w:rFonts w:ascii="Times New Roman" w:hAnsi="Times New Roman" w:cs="Times New Roman"/>
        </w:rPr>
      </w:pPr>
    </w:p>
    <w:p w:rsidR="000A6169" w:rsidRPr="00896984" w:rsidP="000A6169">
      <w:pPr>
        <w:bidi w:val="0"/>
        <w:ind w:firstLine="708"/>
        <w:jc w:val="both"/>
        <w:rPr>
          <w:rFonts w:ascii="Times New Roman" w:hAnsi="Times New Roman" w:cs="Times New Roman"/>
        </w:rPr>
      </w:pPr>
      <w:r w:rsidRPr="00896984">
        <w:rPr>
          <w:rFonts w:ascii="Times New Roman" w:hAnsi="Times New Roman" w:cs="Times New Roman"/>
        </w:rPr>
        <w:t xml:space="preserve">Výnosy </w:t>
      </w:r>
      <w:r w:rsidRPr="00896984">
        <w:rPr>
          <w:rFonts w:ascii="Times New Roman" w:hAnsi="Times New Roman" w:cs="Times New Roman"/>
          <w:b/>
          <w:bCs/>
        </w:rPr>
        <w:t>spotrebných daní</w:t>
      </w:r>
      <w:r w:rsidRPr="00896984">
        <w:rPr>
          <w:rFonts w:ascii="Times New Roman" w:hAnsi="Times New Roman" w:cs="Times New Roman"/>
        </w:rPr>
        <w:t xml:space="preserve"> v metodike ESA 95 budú rásť v rokoch 2012 </w:t>
      </w:r>
      <w:r w:rsidRPr="00896984" w:rsidR="00477ED3">
        <w:rPr>
          <w:rFonts w:ascii="Times New Roman" w:hAnsi="Times New Roman" w:cs="Times New Roman"/>
        </w:rPr>
        <w:t>až</w:t>
      </w:r>
      <w:r w:rsidRPr="00896984">
        <w:rPr>
          <w:rFonts w:ascii="Times New Roman" w:hAnsi="Times New Roman" w:cs="Times New Roman"/>
        </w:rPr>
        <w:t xml:space="preserve"> 2014 mierne pomalšie ako spotreba domácností v stálych cenách. V prípade spotrebnej dane </w:t>
      </w:r>
      <w:r w:rsidRPr="00896984">
        <w:rPr>
          <w:rFonts w:ascii="Times New Roman" w:hAnsi="Times New Roman" w:cs="Times New Roman"/>
          <w:b/>
          <w:bCs/>
        </w:rPr>
        <w:t>z tabaku</w:t>
      </w:r>
      <w:r w:rsidRPr="00896984">
        <w:rPr>
          <w:rFonts w:ascii="Times New Roman" w:hAnsi="Times New Roman" w:cs="Times New Roman"/>
        </w:rPr>
        <w:t xml:space="preserve"> bude mať pozitívny vplyv na výnos dane v rokoch 2012 </w:t>
      </w:r>
      <w:r w:rsidRPr="00896984" w:rsidR="00477ED3">
        <w:rPr>
          <w:rFonts w:ascii="Times New Roman" w:hAnsi="Times New Roman" w:cs="Times New Roman"/>
        </w:rPr>
        <w:t>až</w:t>
      </w:r>
      <w:r w:rsidRPr="00896984">
        <w:rPr>
          <w:rFonts w:ascii="Times New Roman" w:hAnsi="Times New Roman" w:cs="Times New Roman"/>
        </w:rPr>
        <w:t xml:space="preserve"> 2014 zvýšenie sadzby od 1.</w:t>
      </w:r>
      <w:r w:rsidRPr="00896984" w:rsidR="00477ED3">
        <w:rPr>
          <w:rFonts w:ascii="Times New Roman" w:hAnsi="Times New Roman" w:cs="Times New Roman"/>
        </w:rPr>
        <w:t xml:space="preserve"> </w:t>
      </w:r>
      <w:r w:rsidRPr="00896984">
        <w:rPr>
          <w:rFonts w:ascii="Times New Roman" w:hAnsi="Times New Roman" w:cs="Times New Roman"/>
        </w:rPr>
        <w:t>2.</w:t>
      </w:r>
      <w:r w:rsidRPr="00896984" w:rsidR="00477ED3">
        <w:rPr>
          <w:rFonts w:ascii="Times New Roman" w:hAnsi="Times New Roman" w:cs="Times New Roman"/>
        </w:rPr>
        <w:t xml:space="preserve"> </w:t>
      </w:r>
      <w:r w:rsidRPr="00896984">
        <w:rPr>
          <w:rFonts w:ascii="Times New Roman" w:hAnsi="Times New Roman" w:cs="Times New Roman"/>
        </w:rPr>
        <w:t>2012 a 1.</w:t>
      </w:r>
      <w:r w:rsidRPr="00896984" w:rsidR="00477ED3">
        <w:rPr>
          <w:rFonts w:ascii="Times New Roman" w:hAnsi="Times New Roman" w:cs="Times New Roman"/>
        </w:rPr>
        <w:t xml:space="preserve"> </w:t>
      </w:r>
      <w:r w:rsidRPr="00896984">
        <w:rPr>
          <w:rFonts w:ascii="Times New Roman" w:hAnsi="Times New Roman" w:cs="Times New Roman"/>
        </w:rPr>
        <w:t>3.</w:t>
      </w:r>
      <w:r w:rsidRPr="00896984" w:rsidR="00477ED3">
        <w:rPr>
          <w:rFonts w:ascii="Times New Roman" w:hAnsi="Times New Roman" w:cs="Times New Roman"/>
        </w:rPr>
        <w:t xml:space="preserve"> </w:t>
      </w:r>
      <w:r w:rsidRPr="00896984">
        <w:rPr>
          <w:rFonts w:ascii="Times New Roman" w:hAnsi="Times New Roman" w:cs="Times New Roman"/>
        </w:rPr>
        <w:t xml:space="preserve">2013, celkovo však bude výnos dane rásť pomalšie v porovnaní s makroekonomickou základňou z dôvodu poklesu spotreby tabakových výrobkov. Plnenie spotrebnej dane </w:t>
      </w:r>
      <w:r w:rsidRPr="00896984">
        <w:rPr>
          <w:rFonts w:ascii="Times New Roman" w:hAnsi="Times New Roman" w:cs="Times New Roman"/>
          <w:b/>
          <w:bCs/>
        </w:rPr>
        <w:t>z liehu</w:t>
      </w:r>
      <w:r w:rsidRPr="00896984">
        <w:rPr>
          <w:rFonts w:ascii="Times New Roman" w:hAnsi="Times New Roman" w:cs="Times New Roman"/>
        </w:rPr>
        <w:t xml:space="preserve"> sa pre obdobie rokov 2012 </w:t>
      </w:r>
      <w:r w:rsidRPr="00896984" w:rsidR="00477ED3">
        <w:rPr>
          <w:rFonts w:ascii="Times New Roman" w:hAnsi="Times New Roman" w:cs="Times New Roman"/>
        </w:rPr>
        <w:t>až</w:t>
      </w:r>
      <w:r w:rsidRPr="00896984">
        <w:rPr>
          <w:rFonts w:ascii="Times New Roman" w:hAnsi="Times New Roman" w:cs="Times New Roman"/>
        </w:rPr>
        <w:t xml:space="preserve"> 2014 očakáva v súlade s rastom spotreby domácností. Spotrebná daň </w:t>
      </w:r>
      <w:r w:rsidRPr="00896984">
        <w:rPr>
          <w:rFonts w:ascii="Times New Roman" w:hAnsi="Times New Roman" w:cs="Times New Roman"/>
          <w:b/>
          <w:bCs/>
        </w:rPr>
        <w:t>z piva</w:t>
      </w:r>
      <w:r w:rsidRPr="00896984">
        <w:rPr>
          <w:rFonts w:ascii="Times New Roman" w:hAnsi="Times New Roman" w:cs="Times New Roman"/>
        </w:rPr>
        <w:t xml:space="preserve"> bude rásť pomalším tempom, čo zodpovedá trendu klesajúcej spotreby piva a zmene preferencií spotrebiteľov v prospech iných druhov nápojov. Pri spotrebnej dani </w:t>
      </w:r>
      <w:r w:rsidRPr="00896984">
        <w:rPr>
          <w:rFonts w:ascii="Times New Roman" w:hAnsi="Times New Roman" w:cs="Times New Roman"/>
          <w:b/>
          <w:bCs/>
        </w:rPr>
        <w:t>z minerálnych olejov</w:t>
      </w:r>
      <w:r w:rsidRPr="00896984">
        <w:rPr>
          <w:rFonts w:ascii="Times New Roman" w:hAnsi="Times New Roman" w:cs="Times New Roman"/>
        </w:rPr>
        <w:t xml:space="preserve"> sa očakáva rast výnosu v rokoch </w:t>
      </w:r>
      <w:r w:rsidRPr="00896984" w:rsidR="00477ED3">
        <w:rPr>
          <w:rFonts w:ascii="Times New Roman" w:hAnsi="Times New Roman" w:cs="Times New Roman"/>
        </w:rPr>
        <w:br/>
      </w:r>
      <w:r w:rsidRPr="00896984">
        <w:rPr>
          <w:rFonts w:ascii="Times New Roman" w:hAnsi="Times New Roman" w:cs="Times New Roman"/>
        </w:rPr>
        <w:t xml:space="preserve">2012 </w:t>
      </w:r>
      <w:r w:rsidRPr="00896984" w:rsidR="00477ED3">
        <w:rPr>
          <w:rFonts w:ascii="Times New Roman" w:hAnsi="Times New Roman" w:cs="Times New Roman"/>
        </w:rPr>
        <w:t>až</w:t>
      </w:r>
      <w:r w:rsidRPr="00896984">
        <w:rPr>
          <w:rFonts w:ascii="Times New Roman" w:hAnsi="Times New Roman" w:cs="Times New Roman"/>
        </w:rPr>
        <w:t xml:space="preserve"> 2014 prevyšujúci tempo rastu spotreby domácnost</w:t>
      </w:r>
      <w:r w:rsidRPr="00896984" w:rsidR="00477ED3">
        <w:rPr>
          <w:rFonts w:ascii="Times New Roman" w:hAnsi="Times New Roman" w:cs="Times New Roman"/>
        </w:rPr>
        <w:t>í</w:t>
      </w:r>
      <w:r w:rsidRPr="00896984">
        <w:rPr>
          <w:rFonts w:ascii="Times New Roman" w:hAnsi="Times New Roman" w:cs="Times New Roman"/>
        </w:rPr>
        <w:t>.</w:t>
      </w:r>
    </w:p>
    <w:p w:rsidR="000A6169" w:rsidRPr="00896984" w:rsidP="000A6169">
      <w:pPr>
        <w:bidi w:val="0"/>
        <w:jc w:val="both"/>
        <w:rPr>
          <w:rFonts w:ascii="Times New Roman" w:hAnsi="Times New Roman" w:cs="Times New Roman"/>
        </w:rPr>
      </w:pPr>
    </w:p>
    <w:p w:rsidR="000A6169" w:rsidRPr="00896984" w:rsidP="000A6169">
      <w:pPr>
        <w:bidi w:val="0"/>
        <w:ind w:firstLine="708"/>
        <w:jc w:val="both"/>
        <w:rPr>
          <w:rFonts w:ascii="Times New Roman" w:hAnsi="Times New Roman" w:cs="Times New Roman"/>
        </w:rPr>
      </w:pPr>
      <w:r w:rsidRPr="00896984">
        <w:rPr>
          <w:rFonts w:ascii="Times New Roman" w:hAnsi="Times New Roman" w:cs="Times New Roman"/>
        </w:rPr>
        <w:t xml:space="preserve">Podľa </w:t>
      </w:r>
      <w:r w:rsidRPr="00896984">
        <w:rPr>
          <w:rFonts w:ascii="Times New Roman" w:hAnsi="Times New Roman" w:cs="Times New Roman"/>
          <w:b/>
          <w:bCs/>
        </w:rPr>
        <w:t>zákona o miestnych daniach</w:t>
      </w:r>
      <w:r w:rsidRPr="00896984">
        <w:rPr>
          <w:rFonts w:ascii="Times New Roman" w:hAnsi="Times New Roman" w:cs="Times New Roman"/>
        </w:rPr>
        <w:t xml:space="preserve"> a miestnom poplatku za komunálne odpady a drobné stavebné odpady, ktorý upravuje daň z nehnuteľností, dane za špecifické služby a daň z motorových vozidiel, majú stanovenie výšky sadzieb daní v kompetencii jednotlivé obce (daň z nehnuteľností a dane za špecifické služby) a VÚC (daň z motorových vozidiel). Odhad MF SR pri týchto daniach je preto len indikatívny, nakoľko subjekty samosprávy si zostavujú vlastné rozpočty.</w:t>
      </w:r>
    </w:p>
    <w:p w:rsidR="000A6169" w:rsidRPr="00896984" w:rsidP="000A6169">
      <w:pPr>
        <w:bidi w:val="0"/>
        <w:jc w:val="both"/>
        <w:rPr>
          <w:rFonts w:ascii="Times New Roman" w:hAnsi="Times New Roman" w:cs="Times New Roman"/>
          <w:highlight w:val="yellow"/>
        </w:rPr>
      </w:pPr>
    </w:p>
    <w:p w:rsidR="000A6169" w:rsidRPr="00896984" w:rsidP="000A6169">
      <w:pPr>
        <w:bidi w:val="0"/>
        <w:ind w:firstLine="708"/>
        <w:jc w:val="both"/>
        <w:rPr>
          <w:rFonts w:ascii="Times New Roman" w:hAnsi="Times New Roman" w:cs="Times New Roman"/>
        </w:rPr>
      </w:pPr>
      <w:r w:rsidRPr="00896984">
        <w:rPr>
          <w:rFonts w:ascii="Times New Roman" w:hAnsi="Times New Roman" w:cs="Times New Roman"/>
        </w:rPr>
        <w:t xml:space="preserve">Odhad výnosu </w:t>
      </w:r>
      <w:r w:rsidRPr="00896984">
        <w:rPr>
          <w:rFonts w:ascii="Times New Roman" w:hAnsi="Times New Roman" w:cs="Times New Roman"/>
          <w:b/>
          <w:bCs/>
        </w:rPr>
        <w:t>ostatných daní</w:t>
      </w:r>
      <w:r w:rsidRPr="00896984">
        <w:rPr>
          <w:rFonts w:ascii="Times New Roman" w:hAnsi="Times New Roman" w:cs="Times New Roman"/>
        </w:rPr>
        <w:t xml:space="preserve"> je tvorený odhadom výnosov z podielu na vybratých finančných prostriedkoch EÚ, z úhrad za dobývací priestor, z úhrad za uskladňovanie plynov alebo kvapalín, z úhrady za služby verejnosti poskytované STV a SRo a z dane z emisných kvót. Výnos z podielu na vybratých finančných prostriedkoch EÚ je tvorený 25 % zo sumy vlastných tradičných zdrojov EÚ pripadajúcich na dovozné clo a poľnohospodárske poplatky, ostávajúcich 75 % plynie priamo do rozpočtu EÚ. Výnos dane z úhrad za uskladňovanie plynov alebo kvapalín, ktorý je príjmom Environmentálneho fondu, sa očakáva v rokoch </w:t>
      </w:r>
      <w:r w:rsidRPr="00896984" w:rsidR="00477ED3">
        <w:rPr>
          <w:rFonts w:ascii="Times New Roman" w:hAnsi="Times New Roman" w:cs="Times New Roman"/>
        </w:rPr>
        <w:br/>
      </w:r>
      <w:r w:rsidRPr="00896984">
        <w:rPr>
          <w:rFonts w:ascii="Times New Roman" w:hAnsi="Times New Roman" w:cs="Times New Roman"/>
        </w:rPr>
        <w:t>2012 až 2014 na úrovni 1,0 mil. eur. Prognóza úhrady za služby verejnosti poskytované STV a SRo predpokladá, že v roku 2012 dosiahne výšku 76 278 tis. eur. V ďalších rokoch výnos tejto dane bude rásť miernym tempom, na úrovni 0,3</w:t>
      </w:r>
      <w:r w:rsidRPr="00896984" w:rsidR="00477ED3">
        <w:rPr>
          <w:rFonts w:ascii="Times New Roman" w:hAnsi="Times New Roman" w:cs="Times New Roman"/>
        </w:rPr>
        <w:t xml:space="preserve"> </w:t>
      </w:r>
      <w:r w:rsidRPr="00896984">
        <w:rPr>
          <w:rFonts w:ascii="Times New Roman" w:hAnsi="Times New Roman" w:cs="Times New Roman"/>
        </w:rPr>
        <w:t>%. Daň z emisných kvót sa rozpočtuje iba na roky 2011 a 2012, výnos sa v roku 2012 predpokladá vo výške 45 mil. eur.</w:t>
      </w:r>
    </w:p>
    <w:p w:rsidR="000A6169" w:rsidRPr="00896984" w:rsidP="000A6169">
      <w:pPr>
        <w:bidi w:val="0"/>
        <w:jc w:val="both"/>
        <w:rPr>
          <w:rFonts w:ascii="Times New Roman" w:hAnsi="Times New Roman" w:cs="Times New Roman"/>
        </w:rPr>
      </w:pPr>
    </w:p>
    <w:p w:rsidR="000A6169" w:rsidRPr="00896984" w:rsidP="000A6169">
      <w:pPr>
        <w:bidi w:val="0"/>
        <w:ind w:firstLine="708"/>
        <w:jc w:val="both"/>
        <w:rPr>
          <w:rFonts w:ascii="Times New Roman" w:hAnsi="Times New Roman" w:cs="Times New Roman"/>
        </w:rPr>
      </w:pPr>
      <w:r w:rsidRPr="00896984">
        <w:rPr>
          <w:rFonts w:ascii="Times New Roman" w:hAnsi="Times New Roman" w:cs="Times New Roman"/>
        </w:rPr>
        <w:t xml:space="preserve">Súčasťou ostatných daní sú aj zrušené majetkové dane, z ktorých naďalej plynú dobiehajúce platby do štátneho rozpočtu. V roku 2010 dosiahol výnos z týchto daní </w:t>
      </w:r>
      <w:r w:rsidRPr="00896984" w:rsidR="00477ED3">
        <w:rPr>
          <w:rFonts w:ascii="Times New Roman" w:hAnsi="Times New Roman" w:cs="Times New Roman"/>
        </w:rPr>
        <w:br/>
      </w:r>
      <w:r w:rsidRPr="00896984">
        <w:rPr>
          <w:rFonts w:ascii="Times New Roman" w:hAnsi="Times New Roman" w:cs="Times New Roman"/>
        </w:rPr>
        <w:t>361 tis. eur a ku koncu júna 2011 dosiahol 208 tis. eur. Pre nasledujúce roky sa už tieto dane nerozpočtujú.</w:t>
      </w:r>
    </w:p>
    <w:p w:rsidR="000A6169" w:rsidRPr="00896984" w:rsidP="000A6169">
      <w:pPr>
        <w:bidi w:val="0"/>
        <w:ind w:firstLine="708"/>
        <w:jc w:val="both"/>
        <w:rPr>
          <w:rFonts w:ascii="Times New Roman" w:hAnsi="Times New Roman" w:cs="Times New Roman"/>
        </w:rPr>
      </w:pPr>
    </w:p>
    <w:p w:rsidR="000A6169" w:rsidRPr="00896984" w:rsidP="000A6169">
      <w:pPr>
        <w:bidi w:val="0"/>
        <w:ind w:firstLine="708"/>
        <w:jc w:val="both"/>
        <w:rPr>
          <w:rFonts w:ascii="Times New Roman" w:hAnsi="Times New Roman" w:cs="Times New Roman"/>
        </w:rPr>
      </w:pPr>
      <w:r w:rsidRPr="00896984">
        <w:rPr>
          <w:rFonts w:ascii="Times New Roman" w:hAnsi="Times New Roman" w:cs="Times New Roman"/>
        </w:rPr>
        <w:t xml:space="preserve">Prognóza príjmov </w:t>
      </w:r>
      <w:r w:rsidRPr="00896984">
        <w:rPr>
          <w:rFonts w:ascii="Times New Roman" w:hAnsi="Times New Roman" w:cs="Times New Roman"/>
          <w:b/>
        </w:rPr>
        <w:t>sociálneho a zdravotného poistenia</w:t>
      </w:r>
      <w:r w:rsidRPr="00896984">
        <w:rPr>
          <w:rFonts w:ascii="Times New Roman" w:hAnsi="Times New Roman" w:cs="Times New Roman"/>
        </w:rPr>
        <w:t xml:space="preserve"> od ekonomicky aktívneho obyvateľstva (EAO) na roky 2011</w:t>
      </w:r>
      <w:r w:rsidRPr="00896984" w:rsidR="00477ED3">
        <w:rPr>
          <w:rFonts w:ascii="Times New Roman" w:hAnsi="Times New Roman" w:cs="Times New Roman"/>
        </w:rPr>
        <w:t xml:space="preserve"> až </w:t>
      </w:r>
      <w:r w:rsidRPr="00896984">
        <w:rPr>
          <w:rFonts w:ascii="Times New Roman" w:hAnsi="Times New Roman" w:cs="Times New Roman"/>
        </w:rPr>
        <w:t xml:space="preserve">2014 je ovplyvnená najmä  priebežným plnením príjmov v roku 2011, prognózou vývoja </w:t>
      </w:r>
      <w:r w:rsidRPr="00896984" w:rsidR="00477ED3">
        <w:rPr>
          <w:rFonts w:ascii="Times New Roman" w:hAnsi="Times New Roman" w:cs="Times New Roman"/>
        </w:rPr>
        <w:t>makro základne</w:t>
      </w:r>
      <w:r w:rsidRPr="00896984">
        <w:rPr>
          <w:rFonts w:ascii="Times New Roman" w:hAnsi="Times New Roman" w:cs="Times New Roman"/>
        </w:rPr>
        <w:t xml:space="preserve"> a legislatívnymi zmenami. </w:t>
      </w:r>
    </w:p>
    <w:p w:rsidR="00477ED3" w:rsidRPr="00896984" w:rsidP="000A6169">
      <w:pPr>
        <w:bidi w:val="0"/>
        <w:ind w:firstLine="708"/>
        <w:jc w:val="both"/>
        <w:rPr>
          <w:rFonts w:ascii="Times New Roman" w:hAnsi="Times New Roman" w:cs="Times New Roman"/>
        </w:rPr>
      </w:pPr>
    </w:p>
    <w:p w:rsidR="000A6169" w:rsidRPr="00896984" w:rsidP="000A6169">
      <w:pPr>
        <w:bidi w:val="0"/>
        <w:ind w:firstLine="708"/>
        <w:jc w:val="both"/>
        <w:rPr>
          <w:rFonts w:ascii="Times New Roman" w:hAnsi="Times New Roman" w:cs="Times New Roman"/>
        </w:rPr>
      </w:pPr>
      <w:r w:rsidRPr="00896984">
        <w:rPr>
          <w:rFonts w:ascii="Times New Roman" w:hAnsi="Times New Roman" w:cs="Times New Roman"/>
        </w:rPr>
        <w:t xml:space="preserve">Vyššie akruálne príjmy od EAO za rok 2010 spolu so zlepšením makroekonomického výhľadu </w:t>
      </w:r>
      <w:r w:rsidRPr="00896984" w:rsidR="00477ED3">
        <w:rPr>
          <w:rFonts w:ascii="Times New Roman" w:hAnsi="Times New Roman" w:cs="Times New Roman"/>
        </w:rPr>
        <w:t>na</w:t>
      </w:r>
      <w:r w:rsidRPr="00896984">
        <w:rPr>
          <w:rFonts w:ascii="Times New Roman" w:hAnsi="Times New Roman" w:cs="Times New Roman"/>
        </w:rPr>
        <w:t xml:space="preserve"> rok 2011 indikujú zvýšenie odhadu príjmov </w:t>
      </w:r>
      <w:r w:rsidRPr="00896984" w:rsidR="00477ED3">
        <w:rPr>
          <w:rFonts w:ascii="Times New Roman" w:hAnsi="Times New Roman" w:cs="Times New Roman"/>
        </w:rPr>
        <w:t>na</w:t>
      </w:r>
      <w:r w:rsidRPr="00896984">
        <w:rPr>
          <w:rFonts w:ascii="Times New Roman" w:hAnsi="Times New Roman" w:cs="Times New Roman"/>
        </w:rPr>
        <w:t xml:space="preserve"> rok 2011 v porovnaní so schváleným rozpočtom.  Priebežné plnenie za prvých osem mesiacov roka 2011 však tieto očakávania nepotvrdilo a vývoj príjmov, ktorý navyše zohľadňuje aj pozitívny vplyv zmeny legislatívy (rozširovanie vymeriavacích základov), zaostal za makroekonomickým vývojom.  </w:t>
      </w:r>
    </w:p>
    <w:p w:rsidR="00477ED3" w:rsidRPr="00896984" w:rsidP="000A6169">
      <w:pPr>
        <w:bidi w:val="0"/>
        <w:ind w:firstLine="708"/>
        <w:jc w:val="both"/>
        <w:rPr>
          <w:rFonts w:ascii="Times New Roman" w:hAnsi="Times New Roman" w:cs="Times New Roman"/>
        </w:rPr>
      </w:pPr>
    </w:p>
    <w:p w:rsidR="000A6169" w:rsidRPr="00896984" w:rsidP="000A6169">
      <w:pPr>
        <w:bidi w:val="0"/>
        <w:ind w:firstLine="708"/>
        <w:jc w:val="both"/>
        <w:rPr>
          <w:rFonts w:ascii="Times New Roman" w:hAnsi="Times New Roman" w:cs="Times New Roman"/>
        </w:rPr>
      </w:pPr>
      <w:r w:rsidRPr="00896984">
        <w:rPr>
          <w:rFonts w:ascii="Times New Roman" w:hAnsi="Times New Roman" w:cs="Times New Roman"/>
        </w:rPr>
        <w:t>V rokoch 2012</w:t>
      </w:r>
      <w:r w:rsidRPr="00896984" w:rsidR="00477ED3">
        <w:rPr>
          <w:rFonts w:ascii="Times New Roman" w:hAnsi="Times New Roman" w:cs="Times New Roman"/>
        </w:rPr>
        <w:t xml:space="preserve"> až </w:t>
      </w:r>
      <w:r w:rsidRPr="00896984">
        <w:rPr>
          <w:rFonts w:ascii="Times New Roman" w:hAnsi="Times New Roman" w:cs="Times New Roman"/>
        </w:rPr>
        <w:t xml:space="preserve">2014 je vývoj príjmov prognózovaný v súlade s makroekonomickým vývojom, pričom </w:t>
      </w:r>
      <w:r w:rsidRPr="00896984" w:rsidR="00477ED3">
        <w:rPr>
          <w:rFonts w:ascii="Times New Roman" w:hAnsi="Times New Roman" w:cs="Times New Roman"/>
        </w:rPr>
        <w:t>v</w:t>
      </w:r>
      <w:r w:rsidRPr="00896984">
        <w:rPr>
          <w:rFonts w:ascii="Times New Roman" w:hAnsi="Times New Roman" w:cs="Times New Roman"/>
        </w:rPr>
        <w:t> sociálno</w:t>
      </w:r>
      <w:r w:rsidRPr="00896984" w:rsidR="00477ED3">
        <w:rPr>
          <w:rFonts w:ascii="Times New Roman" w:hAnsi="Times New Roman" w:cs="Times New Roman"/>
        </w:rPr>
        <w:t>m</w:t>
      </w:r>
      <w:r w:rsidRPr="00896984">
        <w:rPr>
          <w:rFonts w:ascii="Times New Roman" w:hAnsi="Times New Roman" w:cs="Times New Roman"/>
        </w:rPr>
        <w:t xml:space="preserve"> poisten</w:t>
      </w:r>
      <w:r w:rsidRPr="00896984" w:rsidR="00477ED3">
        <w:rPr>
          <w:rFonts w:ascii="Times New Roman" w:hAnsi="Times New Roman" w:cs="Times New Roman"/>
        </w:rPr>
        <w:t>í</w:t>
      </w:r>
      <w:r w:rsidRPr="00896984">
        <w:rPr>
          <w:rFonts w:ascii="Times New Roman" w:hAnsi="Times New Roman" w:cs="Times New Roman"/>
        </w:rPr>
        <w:t xml:space="preserve"> sa predpokladá návrat úspešnosti výberu poistného na predkrízovú úroveň. Od roku 2012 sa uvažuje aj s vplyvom daňovo-odvodovej reformy, ktorá výrazným spôsobom realokuje príjmy z poistného od EAO v prospech DPFO. </w:t>
      </w:r>
    </w:p>
    <w:p w:rsidR="000A6169" w:rsidRPr="00896984" w:rsidP="000A6169">
      <w:pPr>
        <w:bidi w:val="0"/>
        <w:rPr>
          <w:rFonts w:ascii="Times New Roman" w:hAnsi="Times New Roman" w:cs="Times New Roman"/>
          <w:b/>
          <w:bCs/>
        </w:rPr>
      </w:pPr>
      <w:r w:rsidRPr="00896984">
        <w:rPr>
          <w:rFonts w:ascii="Times New Roman" w:hAnsi="Times New Roman" w:cs="Times New Roman"/>
          <w:b/>
          <w:bCs/>
        </w:rPr>
        <w:t>Kvantifikácia daňových a odvodových príjmov</w:t>
      </w:r>
    </w:p>
    <w:p w:rsidR="000A6169" w:rsidRPr="00896984" w:rsidP="000A6169">
      <w:pPr>
        <w:bidi w:val="0"/>
        <w:jc w:val="both"/>
        <w:outlineLvl w:val="0"/>
        <w:rPr>
          <w:rFonts w:ascii="Times New Roman" w:hAnsi="Times New Roman" w:cs="Times New Roman"/>
        </w:rPr>
      </w:pPr>
    </w:p>
    <w:p w:rsidR="000A6169" w:rsidRPr="00896984" w:rsidP="000A6169">
      <w:pPr>
        <w:bidi w:val="0"/>
        <w:ind w:firstLine="708"/>
        <w:jc w:val="both"/>
        <w:rPr>
          <w:rFonts w:ascii="Times New Roman" w:hAnsi="Times New Roman" w:cs="Times New Roman"/>
        </w:rPr>
      </w:pPr>
      <w:r w:rsidRPr="00896984">
        <w:rPr>
          <w:rFonts w:ascii="Times New Roman" w:hAnsi="Times New Roman" w:cs="Times New Roman"/>
        </w:rPr>
        <w:t xml:space="preserve">Medzi </w:t>
      </w:r>
      <w:r w:rsidRPr="00896984">
        <w:rPr>
          <w:rFonts w:ascii="Times New Roman" w:hAnsi="Times New Roman" w:cs="Times New Roman"/>
          <w:b/>
          <w:bCs/>
        </w:rPr>
        <w:t>hlavné riziká prognózy</w:t>
      </w:r>
      <w:r w:rsidRPr="00896984">
        <w:rPr>
          <w:rFonts w:ascii="Times New Roman" w:hAnsi="Times New Roman" w:cs="Times New Roman"/>
        </w:rPr>
        <w:t xml:space="preserve"> patrí samotný makroekonomický vývoj a vplyv legislatívnych zmien. Aktuálna prognóza daňových príjmov je postavená na predpoklade rastu ekonomiky v roku 2011 na úrovni 3,3 % a v roku 2012 na úrovni 3,4 %, pričom možné nenaplnenie tohto odhadu by sa prirodzene premietlo aj do nižšieho výnosu daňových príjmov. Celkový vplyv legislatívnych zmien na výnos daňových príjmov v roku 2012 sa síce odhaduje na úrovni do 0,1 % HDP, vzhľadom na rozsah zmien v štruktúre daňového systému, vrátane predpokladaného presunu výnosu z odvodov do DPFO, to však výrazne zvyšuje riziko odchýlky.</w:t>
      </w:r>
    </w:p>
    <w:p w:rsidR="000A6169" w:rsidRPr="00896984" w:rsidP="000A6169">
      <w:pPr>
        <w:bidi w:val="0"/>
        <w:ind w:firstLine="708"/>
        <w:jc w:val="both"/>
        <w:rPr>
          <w:rFonts w:ascii="Times New Roman" w:hAnsi="Times New Roman" w:cs="Times New Roman"/>
          <w:highlight w:val="yellow"/>
        </w:rPr>
      </w:pPr>
      <w:r w:rsidRPr="00896984">
        <w:rPr>
          <w:rFonts w:ascii="Times New Roman" w:hAnsi="Times New Roman" w:cs="Times New Roman"/>
          <w:highlight w:val="yellow"/>
        </w:rPr>
        <w:t xml:space="preserve"> </w:t>
      </w:r>
    </w:p>
    <w:p w:rsidR="000A6169" w:rsidRPr="00896984" w:rsidP="000A6169">
      <w:pPr>
        <w:bidi w:val="0"/>
        <w:ind w:firstLine="708"/>
        <w:jc w:val="both"/>
        <w:rPr>
          <w:rFonts w:ascii="Times New Roman" w:hAnsi="Times New Roman" w:cs="Times New Roman"/>
        </w:rPr>
      </w:pPr>
      <w:r w:rsidRPr="00896984">
        <w:rPr>
          <w:rFonts w:ascii="Times New Roman" w:hAnsi="Times New Roman" w:cs="Times New Roman"/>
          <w:b/>
          <w:bCs/>
        </w:rPr>
        <w:t>Daňové príjmy na hotovostnej báze</w:t>
      </w:r>
      <w:r w:rsidRPr="00896984">
        <w:rPr>
          <w:rFonts w:ascii="Times New Roman" w:hAnsi="Times New Roman" w:cs="Times New Roman"/>
        </w:rPr>
        <w:t xml:space="preserve"> sú prezentované v nasledovnej tabuľke. Podľa rozpočtovej klasifikácie sa sankčné úroky (ďalej len sankcie) uložené v daňovom konaní k jednotlivým daniam rozpočtujú v rámci samostatnej kategórie. Tabuľka prezentuje výnosy jednotlivých daní </w:t>
      </w:r>
      <w:r w:rsidRPr="00896984">
        <w:rPr>
          <w:rFonts w:ascii="Times New Roman" w:hAnsi="Times New Roman" w:cs="Times New Roman"/>
          <w:b/>
          <w:bCs/>
        </w:rPr>
        <w:t>bez sankcií</w:t>
      </w:r>
      <w:r w:rsidRPr="00896984">
        <w:rPr>
          <w:rFonts w:ascii="Times New Roman" w:hAnsi="Times New Roman" w:cs="Times New Roman"/>
        </w:rPr>
        <w:t>, pričom v súlade s rozpočtovou klasifikáciou je predpokladaná výška sankcií k jednotlivým daniam uvedená v osobitnej tabuľke.</w:t>
      </w:r>
    </w:p>
    <w:p w:rsidR="000A6169" w:rsidRPr="00896984" w:rsidP="000A6169">
      <w:pPr>
        <w:bidi w:val="0"/>
        <w:ind w:firstLine="708"/>
        <w:jc w:val="both"/>
        <w:rPr>
          <w:rFonts w:ascii="Times New Roman" w:hAnsi="Times New Roman" w:cs="Times New Roman"/>
        </w:rPr>
      </w:pPr>
    </w:p>
    <w:p w:rsidR="000A6169" w:rsidRPr="00896984" w:rsidP="000A6169">
      <w:pPr>
        <w:bidi w:val="0"/>
        <w:ind w:firstLine="708"/>
        <w:jc w:val="both"/>
        <w:rPr>
          <w:rFonts w:ascii="Times New Roman" w:hAnsi="Times New Roman" w:cs="Times New Roman"/>
        </w:rPr>
      </w:pPr>
    </w:p>
    <w:p w:rsidR="000A6169" w:rsidRPr="00896984" w:rsidP="000A6169">
      <w:pPr>
        <w:bidi w:val="0"/>
        <w:ind w:firstLine="708"/>
        <w:jc w:val="both"/>
        <w:rPr>
          <w:rFonts w:ascii="Times New Roman" w:hAnsi="Times New Roman" w:cs="Times New Roman"/>
        </w:rPr>
      </w:pPr>
    </w:p>
    <w:p w:rsidR="000A6169" w:rsidRPr="00896984" w:rsidP="000A6169">
      <w:pPr>
        <w:bidi w:val="0"/>
        <w:ind w:firstLine="708"/>
        <w:jc w:val="both"/>
        <w:rPr>
          <w:rFonts w:ascii="Times New Roman" w:hAnsi="Times New Roman" w:cs="Times New Roman"/>
        </w:rPr>
      </w:pPr>
    </w:p>
    <w:p w:rsidR="00942EF3" w:rsidRPr="00896984" w:rsidP="000A6169">
      <w:pPr>
        <w:bidi w:val="0"/>
        <w:ind w:firstLine="708"/>
        <w:jc w:val="both"/>
        <w:rPr>
          <w:rFonts w:ascii="Times New Roman" w:hAnsi="Times New Roman" w:cs="Times New Roman"/>
        </w:rPr>
      </w:pPr>
    </w:p>
    <w:p w:rsidR="00942EF3" w:rsidRPr="00896984" w:rsidP="000A6169">
      <w:pPr>
        <w:bidi w:val="0"/>
        <w:ind w:firstLine="708"/>
        <w:jc w:val="both"/>
        <w:rPr>
          <w:rFonts w:ascii="Times New Roman" w:hAnsi="Times New Roman" w:cs="Times New Roman"/>
        </w:rPr>
      </w:pPr>
    </w:p>
    <w:p w:rsidR="00942EF3" w:rsidRPr="00896984" w:rsidP="000A6169">
      <w:pPr>
        <w:bidi w:val="0"/>
        <w:ind w:firstLine="708"/>
        <w:jc w:val="both"/>
        <w:rPr>
          <w:rFonts w:ascii="Times New Roman" w:hAnsi="Times New Roman" w:cs="Times New Roman"/>
        </w:rPr>
      </w:pPr>
    </w:p>
    <w:p w:rsidR="00942EF3" w:rsidRPr="00896984" w:rsidP="000A6169">
      <w:pPr>
        <w:bidi w:val="0"/>
        <w:ind w:firstLine="708"/>
        <w:jc w:val="both"/>
        <w:rPr>
          <w:rFonts w:ascii="Times New Roman" w:hAnsi="Times New Roman" w:cs="Times New Roman"/>
        </w:rPr>
      </w:pPr>
    </w:p>
    <w:p w:rsidR="00942EF3" w:rsidRPr="00896984" w:rsidP="000A6169">
      <w:pPr>
        <w:bidi w:val="0"/>
        <w:ind w:firstLine="708"/>
        <w:jc w:val="both"/>
        <w:rPr>
          <w:rFonts w:ascii="Times New Roman" w:hAnsi="Times New Roman" w:cs="Times New Roman"/>
        </w:rPr>
      </w:pPr>
    </w:p>
    <w:p w:rsidR="00942EF3" w:rsidRPr="00896984" w:rsidP="000A6169">
      <w:pPr>
        <w:bidi w:val="0"/>
        <w:ind w:firstLine="708"/>
        <w:jc w:val="both"/>
        <w:rPr>
          <w:rFonts w:ascii="Times New Roman" w:hAnsi="Times New Roman" w:cs="Times New Roman"/>
        </w:rPr>
      </w:pPr>
    </w:p>
    <w:p w:rsidR="00942EF3" w:rsidRPr="00896984" w:rsidP="000A6169">
      <w:pPr>
        <w:bidi w:val="0"/>
        <w:ind w:firstLine="708"/>
        <w:jc w:val="both"/>
        <w:rPr>
          <w:rFonts w:ascii="Times New Roman" w:hAnsi="Times New Roman" w:cs="Times New Roman"/>
        </w:rPr>
      </w:pPr>
    </w:p>
    <w:p w:rsidR="00942EF3" w:rsidRPr="00896984" w:rsidP="000A6169">
      <w:pPr>
        <w:bidi w:val="0"/>
        <w:ind w:firstLine="708"/>
        <w:jc w:val="both"/>
        <w:rPr>
          <w:rFonts w:ascii="Times New Roman" w:hAnsi="Times New Roman" w:cs="Times New Roman"/>
        </w:rPr>
      </w:pPr>
    </w:p>
    <w:p w:rsidR="00942EF3" w:rsidRPr="00896984" w:rsidP="000A6169">
      <w:pPr>
        <w:bidi w:val="0"/>
        <w:ind w:firstLine="708"/>
        <w:jc w:val="both"/>
        <w:rPr>
          <w:rFonts w:ascii="Times New Roman" w:hAnsi="Times New Roman" w:cs="Times New Roman"/>
        </w:rPr>
      </w:pPr>
    </w:p>
    <w:p w:rsidR="00942EF3" w:rsidRPr="00896984" w:rsidP="000A6169">
      <w:pPr>
        <w:bidi w:val="0"/>
        <w:ind w:firstLine="708"/>
        <w:jc w:val="both"/>
        <w:rPr>
          <w:rFonts w:ascii="Times New Roman" w:hAnsi="Times New Roman" w:cs="Times New Roman"/>
        </w:rPr>
      </w:pPr>
    </w:p>
    <w:p w:rsidR="00942EF3" w:rsidRPr="00896984" w:rsidP="000A6169">
      <w:pPr>
        <w:bidi w:val="0"/>
        <w:ind w:firstLine="708"/>
        <w:jc w:val="both"/>
        <w:rPr>
          <w:rFonts w:ascii="Times New Roman" w:hAnsi="Times New Roman" w:cs="Times New Roman"/>
        </w:rPr>
      </w:pPr>
    </w:p>
    <w:p w:rsidR="00942EF3" w:rsidRPr="00896984" w:rsidP="000A6169">
      <w:pPr>
        <w:bidi w:val="0"/>
        <w:ind w:firstLine="708"/>
        <w:jc w:val="both"/>
        <w:rPr>
          <w:rFonts w:ascii="Times New Roman" w:hAnsi="Times New Roman" w:cs="Times New Roman"/>
        </w:rPr>
      </w:pPr>
    </w:p>
    <w:p w:rsidR="00942EF3" w:rsidRPr="00896984" w:rsidP="000A6169">
      <w:pPr>
        <w:bidi w:val="0"/>
        <w:ind w:firstLine="708"/>
        <w:jc w:val="both"/>
        <w:rPr>
          <w:rFonts w:ascii="Times New Roman" w:hAnsi="Times New Roman" w:cs="Times New Roman"/>
        </w:rPr>
      </w:pPr>
    </w:p>
    <w:p w:rsidR="00942EF3" w:rsidRPr="00896984" w:rsidP="000A6169">
      <w:pPr>
        <w:bidi w:val="0"/>
        <w:ind w:firstLine="708"/>
        <w:jc w:val="both"/>
        <w:rPr>
          <w:rFonts w:ascii="Times New Roman" w:hAnsi="Times New Roman" w:cs="Times New Roman"/>
        </w:rPr>
      </w:pPr>
    </w:p>
    <w:p w:rsidR="00942EF3" w:rsidRPr="00896984" w:rsidP="000A6169">
      <w:pPr>
        <w:bidi w:val="0"/>
        <w:ind w:firstLine="708"/>
        <w:jc w:val="both"/>
        <w:rPr>
          <w:rFonts w:ascii="Times New Roman" w:hAnsi="Times New Roman" w:cs="Times New Roman"/>
        </w:rPr>
      </w:pPr>
    </w:p>
    <w:p w:rsidR="00942EF3" w:rsidRPr="00896984" w:rsidP="000A6169">
      <w:pPr>
        <w:bidi w:val="0"/>
        <w:ind w:firstLine="708"/>
        <w:jc w:val="both"/>
        <w:rPr>
          <w:rFonts w:ascii="Times New Roman" w:hAnsi="Times New Roman" w:cs="Times New Roman"/>
        </w:rPr>
      </w:pPr>
    </w:p>
    <w:p w:rsidR="00942EF3" w:rsidRPr="00896984" w:rsidP="000A6169">
      <w:pPr>
        <w:bidi w:val="0"/>
        <w:ind w:firstLine="708"/>
        <w:jc w:val="both"/>
        <w:rPr>
          <w:rFonts w:ascii="Times New Roman" w:hAnsi="Times New Roman" w:cs="Times New Roman"/>
        </w:rPr>
      </w:pPr>
    </w:p>
    <w:p w:rsidR="00942EF3" w:rsidRPr="00896984" w:rsidP="000A6169">
      <w:pPr>
        <w:bidi w:val="0"/>
        <w:ind w:firstLine="708"/>
        <w:jc w:val="both"/>
        <w:rPr>
          <w:rFonts w:ascii="Times New Roman" w:hAnsi="Times New Roman" w:cs="Times New Roman"/>
        </w:rPr>
      </w:pPr>
    </w:p>
    <w:p w:rsidR="00942EF3" w:rsidRPr="00896984" w:rsidP="000A6169">
      <w:pPr>
        <w:bidi w:val="0"/>
        <w:ind w:firstLine="708"/>
        <w:jc w:val="both"/>
        <w:rPr>
          <w:rFonts w:ascii="Times New Roman" w:hAnsi="Times New Roman" w:cs="Times New Roman"/>
        </w:rPr>
      </w:pPr>
    </w:p>
    <w:p w:rsidR="00942EF3" w:rsidRPr="00896984" w:rsidP="000A6169">
      <w:pPr>
        <w:bidi w:val="0"/>
        <w:ind w:firstLine="708"/>
        <w:jc w:val="both"/>
        <w:rPr>
          <w:rFonts w:ascii="Times New Roman" w:hAnsi="Times New Roman" w:cs="Times New Roman"/>
        </w:rPr>
      </w:pPr>
    </w:p>
    <w:p w:rsidR="00942EF3" w:rsidRPr="00896984" w:rsidP="000A6169">
      <w:pPr>
        <w:bidi w:val="0"/>
        <w:ind w:firstLine="708"/>
        <w:jc w:val="both"/>
        <w:rPr>
          <w:rFonts w:ascii="Times New Roman" w:hAnsi="Times New Roman" w:cs="Times New Roman"/>
        </w:rPr>
      </w:pPr>
    </w:p>
    <w:p w:rsidR="00942EF3" w:rsidRPr="00896984" w:rsidP="000A6169">
      <w:pPr>
        <w:bidi w:val="0"/>
        <w:ind w:firstLine="708"/>
        <w:jc w:val="both"/>
        <w:rPr>
          <w:rFonts w:ascii="Times New Roman" w:hAnsi="Times New Roman" w:cs="Times New Roman"/>
        </w:rPr>
      </w:pPr>
    </w:p>
    <w:p w:rsidR="00942EF3" w:rsidRPr="00896984" w:rsidP="000A6169">
      <w:pPr>
        <w:bidi w:val="0"/>
        <w:ind w:firstLine="708"/>
        <w:jc w:val="both"/>
        <w:rPr>
          <w:rFonts w:ascii="Times New Roman" w:hAnsi="Times New Roman" w:cs="Times New Roman"/>
        </w:rPr>
      </w:pPr>
    </w:p>
    <w:p w:rsidR="00942EF3" w:rsidRPr="00896984" w:rsidP="000A6169">
      <w:pPr>
        <w:bidi w:val="0"/>
        <w:ind w:firstLine="708"/>
        <w:jc w:val="both"/>
        <w:rPr>
          <w:rFonts w:ascii="Times New Roman" w:hAnsi="Times New Roman" w:cs="Times New Roman"/>
        </w:rPr>
      </w:pPr>
    </w:p>
    <w:p w:rsidR="00942EF3" w:rsidRPr="00896984" w:rsidP="000A6169">
      <w:pPr>
        <w:bidi w:val="0"/>
        <w:ind w:firstLine="708"/>
        <w:jc w:val="both"/>
        <w:rPr>
          <w:rFonts w:ascii="Times New Roman" w:hAnsi="Times New Roman" w:cs="Times New Roman"/>
        </w:rPr>
      </w:pPr>
    </w:p>
    <w:p w:rsidR="00942EF3" w:rsidRPr="00896984" w:rsidP="000A6169">
      <w:pPr>
        <w:bidi w:val="0"/>
        <w:ind w:firstLine="708"/>
        <w:jc w:val="both"/>
        <w:rPr>
          <w:rFonts w:ascii="Times New Roman" w:hAnsi="Times New Roman" w:cs="Times New Roman"/>
        </w:rPr>
      </w:pPr>
    </w:p>
    <w:p w:rsidR="000B4441" w:rsidP="000A6169">
      <w:pPr>
        <w:bidi w:val="0"/>
        <w:ind w:firstLine="708"/>
        <w:jc w:val="both"/>
        <w:rPr>
          <w:rFonts w:ascii="Times New Roman" w:hAnsi="Times New Roman" w:cs="Times New Roman"/>
        </w:rPr>
      </w:pPr>
    </w:p>
    <w:p w:rsidR="00F90A86" w:rsidRPr="00896984" w:rsidP="000A6169">
      <w:pPr>
        <w:bidi w:val="0"/>
        <w:ind w:firstLine="708"/>
        <w:jc w:val="both"/>
        <w:rPr>
          <w:rFonts w:ascii="Times New Roman" w:hAnsi="Times New Roman" w:cs="Times New Roman"/>
        </w:rPr>
      </w:pPr>
    </w:p>
    <w:p w:rsidR="000B4441" w:rsidRPr="00896984" w:rsidP="000A6169">
      <w:pPr>
        <w:bidi w:val="0"/>
        <w:ind w:firstLine="708"/>
        <w:jc w:val="both"/>
        <w:rPr>
          <w:rFonts w:ascii="Times New Roman" w:hAnsi="Times New Roman" w:cs="Times New Roman"/>
        </w:rPr>
      </w:pPr>
    </w:p>
    <w:p w:rsidR="00942EF3" w:rsidRPr="00896984" w:rsidP="000A6169">
      <w:pPr>
        <w:bidi w:val="0"/>
        <w:ind w:firstLine="708"/>
        <w:jc w:val="both"/>
        <w:rPr>
          <w:rFonts w:ascii="Times New Roman" w:hAnsi="Times New Roman" w:cs="Times New Roman"/>
        </w:rPr>
      </w:pPr>
    </w:p>
    <w:tbl>
      <w:tblPr>
        <w:tblStyle w:val="TableNormal"/>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614"/>
        <w:gridCol w:w="851"/>
        <w:gridCol w:w="808"/>
        <w:gridCol w:w="953"/>
        <w:gridCol w:w="953"/>
        <w:gridCol w:w="953"/>
        <w:gridCol w:w="942"/>
      </w:tblGrid>
      <w:tr>
        <w:tblPrEx>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hRule="exact" w:val="227"/>
        </w:trPr>
        <w:tc>
          <w:tcPr>
            <w:tcW w:w="1991" w:type="pct"/>
            <w:vMerge w:val="restar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0A6169" w:rsidRPr="00896984" w:rsidP="00942EF3">
            <w:pPr>
              <w:bidi w:val="0"/>
              <w:rPr>
                <w:rFonts w:ascii="Times New Roman" w:hAnsi="Times New Roman" w:cs="Times New Roman"/>
                <w:b/>
                <w:sz w:val="14"/>
                <w:szCs w:val="14"/>
                <w:lang w:eastAsia="sk-SK"/>
              </w:rPr>
            </w:pPr>
            <w:r w:rsidRPr="00896984">
              <w:rPr>
                <w:rFonts w:ascii="Times New Roman" w:hAnsi="Times New Roman" w:cs="Times New Roman"/>
                <w:b/>
                <w:sz w:val="14"/>
                <w:szCs w:val="14"/>
                <w:lang w:eastAsia="sk-SK"/>
              </w:rPr>
              <w:t>Hotovostný princíp, v tis. eur</w:t>
            </w:r>
          </w:p>
        </w:tc>
        <w:tc>
          <w:tcPr>
            <w:tcW w:w="914" w:type="pct"/>
            <w:gridSpan w:val="2"/>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0A6169" w:rsidRPr="00896984" w:rsidP="00942EF3">
            <w:pPr>
              <w:bidi w:val="0"/>
              <w:jc w:val="center"/>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Skutočnosť</w:t>
            </w:r>
          </w:p>
        </w:tc>
        <w:tc>
          <w:tcPr>
            <w:tcW w:w="2094" w:type="pct"/>
            <w:gridSpan w:val="4"/>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0A6169" w:rsidRPr="00896984" w:rsidP="00942EF3">
            <w:pPr>
              <w:bidi w:val="0"/>
              <w:jc w:val="center"/>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Prognóza</w:t>
            </w:r>
          </w:p>
        </w:tc>
      </w:tr>
      <w:tr>
        <w:tblPrEx>
          <w:tblW w:w="4925" w:type="pct"/>
          <w:tblLayout w:type="fixed"/>
          <w:tblCellMar>
            <w:left w:w="70" w:type="dxa"/>
            <w:right w:w="70" w:type="dxa"/>
          </w:tblCellMar>
          <w:tblLook w:val="04A0"/>
        </w:tblPrEx>
        <w:trPr>
          <w:trHeight w:hRule="exact" w:val="227"/>
        </w:trPr>
        <w:tc>
          <w:tcPr>
            <w:tcW w:w="1991"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0A6169" w:rsidRPr="00896984" w:rsidP="00942EF3">
            <w:pPr>
              <w:bidi w:val="0"/>
              <w:rPr>
                <w:rFonts w:ascii="Times New Roman" w:hAnsi="Times New Roman" w:cs="Times New Roman"/>
                <w:sz w:val="14"/>
                <w:szCs w:val="14"/>
                <w:lang w:eastAsia="sk-SK"/>
              </w:rPr>
            </w:pPr>
          </w:p>
        </w:tc>
        <w:tc>
          <w:tcPr>
            <w:tcW w:w="469"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0A6169" w:rsidRPr="00896984" w:rsidP="00942EF3">
            <w:pPr>
              <w:bidi w:val="0"/>
              <w:jc w:val="center"/>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2009</w:t>
            </w:r>
          </w:p>
        </w:tc>
        <w:tc>
          <w:tcPr>
            <w:tcW w:w="445"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0A6169" w:rsidRPr="00896984" w:rsidP="00942EF3">
            <w:pPr>
              <w:bidi w:val="0"/>
              <w:jc w:val="center"/>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2010</w:t>
            </w:r>
          </w:p>
        </w:tc>
        <w:tc>
          <w:tcPr>
            <w:tcW w:w="52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0A6169" w:rsidRPr="00896984" w:rsidP="00942EF3">
            <w:pPr>
              <w:bidi w:val="0"/>
              <w:jc w:val="center"/>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2011</w:t>
            </w:r>
          </w:p>
        </w:tc>
        <w:tc>
          <w:tcPr>
            <w:tcW w:w="52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0A6169" w:rsidRPr="00896984" w:rsidP="00942EF3">
            <w:pPr>
              <w:bidi w:val="0"/>
              <w:jc w:val="center"/>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2012</w:t>
            </w:r>
          </w:p>
        </w:tc>
        <w:tc>
          <w:tcPr>
            <w:tcW w:w="52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0A6169" w:rsidRPr="00896984" w:rsidP="00942EF3">
            <w:pPr>
              <w:bidi w:val="0"/>
              <w:jc w:val="center"/>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2013</w:t>
            </w:r>
          </w:p>
        </w:tc>
        <w:tc>
          <w:tcPr>
            <w:tcW w:w="51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0A6169" w:rsidRPr="00896984" w:rsidP="00942EF3">
            <w:pPr>
              <w:bidi w:val="0"/>
              <w:jc w:val="center"/>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2014</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Dane z príjmov, ziskov a kapitálového majetku</w:t>
            </w:r>
          </w:p>
        </w:tc>
        <w:tc>
          <w:tcPr>
            <w:tcW w:w="469"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3 914 418</w:t>
            </w:r>
          </w:p>
        </w:tc>
        <w:tc>
          <w:tcPr>
            <w:tcW w:w="44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2 870 169</w:t>
            </w:r>
          </w:p>
        </w:tc>
        <w:tc>
          <w:tcPr>
            <w:tcW w:w="52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3 554 338</w:t>
            </w:r>
          </w:p>
        </w:tc>
        <w:tc>
          <w:tcPr>
            <w:tcW w:w="52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5 552 870</w:t>
            </w:r>
          </w:p>
        </w:tc>
        <w:tc>
          <w:tcPr>
            <w:tcW w:w="52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6 436 804</w:t>
            </w:r>
          </w:p>
        </w:tc>
        <w:tc>
          <w:tcPr>
            <w:tcW w:w="51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6 779 073</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Daň z príjmov fyzických osôb</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1 633 220</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1 463 041</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1 704 442</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3 422 846</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3 910 316</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4 123 625</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560" w:firstLineChars="4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DPFO zo závislej činnosti</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1 446 653</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1 415 635</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1 645 725</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3 302 424</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3 667 433</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3 891 529</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560" w:firstLineChars="4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 xml:space="preserve">DPFO z  podnikania </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186 567</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47 406</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58 717</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120 422</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242 883</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232 096</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Daň z príjmov právnických osôb</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2 125 443</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1 254 796</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1 698 233</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1 928 272</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2 272 930</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2 380 244</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Daň z príjmov vyberaná zrážkou</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155 755</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152 332</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151 663</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201 752</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253 558</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275 204</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Dane na tovary a služby</w:t>
            </w:r>
          </w:p>
        </w:tc>
        <w:tc>
          <w:tcPr>
            <w:tcW w:w="469"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5 669 470</w:t>
            </w:r>
          </w:p>
        </w:tc>
        <w:tc>
          <w:tcPr>
            <w:tcW w:w="44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6 365 718</w:t>
            </w:r>
          </w:p>
        </w:tc>
        <w:tc>
          <w:tcPr>
            <w:tcW w:w="52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6 716 862</w:t>
            </w:r>
          </w:p>
        </w:tc>
        <w:tc>
          <w:tcPr>
            <w:tcW w:w="52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7 026 744</w:t>
            </w:r>
          </w:p>
        </w:tc>
        <w:tc>
          <w:tcPr>
            <w:tcW w:w="52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7 372 188</w:t>
            </w:r>
          </w:p>
        </w:tc>
        <w:tc>
          <w:tcPr>
            <w:tcW w:w="51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7 763 640</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Daň z pridanej hodnoty</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3 836 251</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4 422 006</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4 704 766</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4 922 453</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5 196 509</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5 490 340</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Spotrebné dane</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1 833 219</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1 943 712</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2 012 096</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2 104 291</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2 175 679</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2 273 300</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560" w:firstLineChars="4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Z minerálnych olejov</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1 052 684</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1 032 394</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1 088 395</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1 127 317</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1 174 187</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1 253 122</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560" w:firstLineChars="4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Z liehu</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191 374</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204 924</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195 919</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202 702</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209 649</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217 774</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560" w:firstLineChars="4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Z piva</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58 776</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55 908</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55 641</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56 279</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57 316</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59 549</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560" w:firstLineChars="4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Z vína</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3 518</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4 176</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3 902</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3 898</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3 936</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4 096</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560" w:firstLineChars="4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Z tabaku a tabakových výrobkov</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507 113</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609 805</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626 049</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664 218</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679 303</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685 529</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560" w:firstLineChars="4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Z elektrickej energie</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7 690</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14 556</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15 731</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16 200</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16 857</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17 548</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560" w:firstLineChars="4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Zo zemného plynu</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11 155</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21 268</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24 256</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29 951</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30 738</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32 022</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560" w:firstLineChars="4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Z uhlia</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909</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683</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2 203</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3 726</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3 693</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3 660</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Dane z medzinárodného obchodu a transakcií</w:t>
            </w:r>
          </w:p>
        </w:tc>
        <w:tc>
          <w:tcPr>
            <w:tcW w:w="469"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27 158</w:t>
            </w:r>
          </w:p>
        </w:tc>
        <w:tc>
          <w:tcPr>
            <w:tcW w:w="44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35 368</w:t>
            </w:r>
          </w:p>
        </w:tc>
        <w:tc>
          <w:tcPr>
            <w:tcW w:w="52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39 921</w:t>
            </w:r>
          </w:p>
        </w:tc>
        <w:tc>
          <w:tcPr>
            <w:tcW w:w="52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40 667</w:t>
            </w:r>
          </w:p>
        </w:tc>
        <w:tc>
          <w:tcPr>
            <w:tcW w:w="52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41 489</w:t>
            </w:r>
          </w:p>
        </w:tc>
        <w:tc>
          <w:tcPr>
            <w:tcW w:w="51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42 328</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Dovozné clo</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-6</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Dovozná prirážka</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Podiel na vybratých finančných prostriedkoch EÚ</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27 160</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35 366</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39 921</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40 667</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41 489</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42 328</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Ostatné colné príjmy</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Miestne dane</w:t>
            </w:r>
          </w:p>
        </w:tc>
        <w:tc>
          <w:tcPr>
            <w:tcW w:w="469"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538 017</w:t>
            </w:r>
          </w:p>
        </w:tc>
        <w:tc>
          <w:tcPr>
            <w:tcW w:w="44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543 818</w:t>
            </w:r>
          </w:p>
        </w:tc>
        <w:tc>
          <w:tcPr>
            <w:tcW w:w="52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580 473</w:t>
            </w:r>
          </w:p>
        </w:tc>
        <w:tc>
          <w:tcPr>
            <w:tcW w:w="52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606 992</w:t>
            </w:r>
          </w:p>
        </w:tc>
        <w:tc>
          <w:tcPr>
            <w:tcW w:w="52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634 762</w:t>
            </w:r>
          </w:p>
        </w:tc>
        <w:tc>
          <w:tcPr>
            <w:tcW w:w="51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663 843</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Daň z nehnuteľností</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254 814</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266 284</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280 933</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294 979</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309 728</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325 214</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Dane za špecifické služby</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158 102</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159 875</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174 307</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183 023</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192 174</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201 783</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Daň z motorových vozidiel</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125 101</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117 659</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125 233</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128 990</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132 860</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136 846</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Ostatné dane</w:t>
            </w:r>
          </w:p>
        </w:tc>
        <w:tc>
          <w:tcPr>
            <w:tcW w:w="469"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79 215</w:t>
            </w:r>
          </w:p>
        </w:tc>
        <w:tc>
          <w:tcPr>
            <w:tcW w:w="44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78 115</w:t>
            </w:r>
          </w:p>
        </w:tc>
        <w:tc>
          <w:tcPr>
            <w:tcW w:w="52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111 334</w:t>
            </w:r>
          </w:p>
        </w:tc>
        <w:tc>
          <w:tcPr>
            <w:tcW w:w="52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122 810</w:t>
            </w:r>
          </w:p>
        </w:tc>
        <w:tc>
          <w:tcPr>
            <w:tcW w:w="52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89 260</w:t>
            </w:r>
          </w:p>
        </w:tc>
        <w:tc>
          <w:tcPr>
            <w:tcW w:w="51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78 225</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Daň z emisných kvót</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33 750</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45 000</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11 250</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Úhrada za služby verejnosti poskyt. STV a SRo</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77 348</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76 098</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75 821</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76 278</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76 469</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76 684</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Daň z úhrad za dobývací priestor</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560</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597</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531</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531</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531</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531</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840" w:firstLineChars="6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 xml:space="preserve">do štátneho rozpočtu </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107</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109</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106</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106</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106</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106</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840" w:firstLineChars="6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 xml:space="preserve">do obcí </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453</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489</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425</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425</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425</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425</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Daň z úhrad za uskladňovanie plynov a kvapalín</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780</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1 183</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1 001</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1 001</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1 010</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1 010</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Majetkové dane (do ŠR)</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454</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361</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208</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Iné dane</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72</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-125</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23</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rPr>
                <w:rFonts w:ascii="Times New Roman" w:hAnsi="Times New Roman" w:cs="Times New Roman"/>
                <w:sz w:val="14"/>
                <w:szCs w:val="14"/>
              </w:rPr>
            </w:pPr>
            <w:r w:rsidRPr="00896984">
              <w:rPr>
                <w:rFonts w:ascii="Times New Roman" w:hAnsi="Times New Roman" w:cs="Times New Roman"/>
                <w:sz w:val="14"/>
                <w:szCs w:val="14"/>
              </w:rPr>
              <w:t>Prevod samosprávam</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 </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 </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 </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1 621 906</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1 784 735</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1 890 053</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rPr>
            </w:pPr>
            <w:r w:rsidRPr="00896984">
              <w:rPr>
                <w:rFonts w:ascii="Times New Roman" w:hAnsi="Times New Roman" w:cs="Times New Roman"/>
                <w:sz w:val="14"/>
                <w:szCs w:val="14"/>
              </w:rPr>
              <w:t>obciam</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 </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 </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 </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1 215 565</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1 337 600</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1 416 532</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rPr>
            </w:pPr>
            <w:r w:rsidRPr="00896984">
              <w:rPr>
                <w:rFonts w:ascii="Times New Roman" w:hAnsi="Times New Roman" w:cs="Times New Roman"/>
                <w:sz w:val="14"/>
                <w:szCs w:val="14"/>
              </w:rPr>
              <w:t>VÚC</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 </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 </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 </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406 341</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447 135</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473 521</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Fondy sociálneho a zdravotného poistenia (FSZP)</w:t>
            </w:r>
          </w:p>
        </w:tc>
        <w:tc>
          <w:tcPr>
            <w:tcW w:w="469"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6 488 828</w:t>
            </w:r>
          </w:p>
        </w:tc>
        <w:tc>
          <w:tcPr>
            <w:tcW w:w="44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6 464 564</w:t>
            </w:r>
          </w:p>
        </w:tc>
        <w:tc>
          <w:tcPr>
            <w:tcW w:w="52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6 912 859</w:t>
            </w:r>
          </w:p>
        </w:tc>
        <w:tc>
          <w:tcPr>
            <w:tcW w:w="52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5 687 972</w:t>
            </w:r>
          </w:p>
        </w:tc>
        <w:tc>
          <w:tcPr>
            <w:tcW w:w="52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5 911 058</w:t>
            </w:r>
          </w:p>
        </w:tc>
        <w:tc>
          <w:tcPr>
            <w:tcW w:w="51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6 248 939</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Sociálna poisťovňa</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4 313 335</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4 233 941</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4 533 222</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3 406 672</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3 509 402</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3 686 642</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Ekonomicky aktívne obyvateľstvo + dlžné</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4 204 557</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4 233 918</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4 533 222</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3 406 672</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3 509 402</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3 686 642</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 xml:space="preserve"> - EAO</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3 992 028</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4 007 322</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4 261 602</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3 257 299</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3 360 029</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3 537 269</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 xml:space="preserve"> - dlžné</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212 529</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226 596</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271 620</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149 373</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149 373</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149 373</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transfer úspor z DSS do SP- od vystúpených</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108 778</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23</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Zdravotné poisťovne</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2 175 493</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2 230 623</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2 379 637</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2 281 300</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2 401 656</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2 562 297</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Ekonomicky aktívne obyvateľstvo + dlžné</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2 175 493</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2 230 623</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2 379 637</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2 281 300</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2 401 656</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2 562 297</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z toho: ročné zúčtovanie</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18 597</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13 127</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17 102</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18 053</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19 161</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20 451</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0A6169" w:rsidRPr="00896984" w:rsidP="00942EF3">
            <w:pPr>
              <w:bidi w:val="0"/>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Daňové príjmy VS spolu</w:t>
            </w:r>
          </w:p>
        </w:tc>
        <w:tc>
          <w:tcPr>
            <w:tcW w:w="469"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10 228 278</w:t>
            </w:r>
          </w:p>
        </w:tc>
        <w:tc>
          <w:tcPr>
            <w:tcW w:w="44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9 893 188</w:t>
            </w:r>
          </w:p>
        </w:tc>
        <w:tc>
          <w:tcPr>
            <w:tcW w:w="52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11 002 928</w:t>
            </w:r>
          </w:p>
        </w:tc>
        <w:tc>
          <w:tcPr>
            <w:tcW w:w="52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13 350 083</w:t>
            </w:r>
          </w:p>
        </w:tc>
        <w:tc>
          <w:tcPr>
            <w:tcW w:w="52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14 574 503</w:t>
            </w:r>
          </w:p>
        </w:tc>
        <w:tc>
          <w:tcPr>
            <w:tcW w:w="51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15 327 109</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Daňové príjmy ŠR</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8 006 578</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7 943 086</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8 772 326</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11 043 481</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12 077 102</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12 695 094</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 xml:space="preserve">Daňové príjmy obcí </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1 616 365</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1 423 374</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1 634 488</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1 693 992</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1 839 927</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1 943 954</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Daňové príjmy VÚC</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527 207</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449 447</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519 292</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535 331</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579 995</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610 367</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Daňové príjmy STV</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53 961</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53 316</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Daňové príjmy SRo</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23 387</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22 782</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Daňové príjmy Rozhlasu a TV Slovenska (RTS)</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 -</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 </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75 821</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76 278</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76 469</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76 684</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Environmentálny fond</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780</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1 183</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1 001</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1 001</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1 010</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1 010</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FSZP spolu</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6 488 828</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6 464 564</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6 912 859</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5 687 972</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5 911 058</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6 248 939</w:t>
            </w:r>
          </w:p>
        </w:tc>
      </w:tr>
      <w:tr>
        <w:tblPrEx>
          <w:tblW w:w="4925" w:type="pct"/>
          <w:tblLayout w:type="fixed"/>
          <w:tblCellMar>
            <w:left w:w="70" w:type="dxa"/>
            <w:right w:w="70" w:type="dxa"/>
          </w:tblCellMar>
          <w:tblLook w:val="04A0"/>
        </w:tblPrEx>
        <w:trPr>
          <w:trHeight w:hRule="exact" w:val="227"/>
        </w:trPr>
        <w:tc>
          <w:tcPr>
            <w:tcW w:w="199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Daňové príjmy a príjmy FSZP spolu</w:t>
            </w:r>
          </w:p>
        </w:tc>
        <w:tc>
          <w:tcPr>
            <w:tcW w:w="469" w:type="pct"/>
            <w:tcBorders>
              <w:top w:val="single" w:sz="4" w:space="0" w:color="auto"/>
              <w:left w:val="single" w:sz="4" w:space="0" w:color="auto"/>
              <w:bottom w:val="single" w:sz="4" w:space="0" w:color="auto"/>
              <w:right w:val="single" w:sz="4" w:space="0" w:color="auto"/>
            </w:tcBorders>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16 717 106</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16 357 752</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17 915 787</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19 038 055</w:t>
            </w:r>
          </w:p>
        </w:tc>
        <w:tc>
          <w:tcPr>
            <w:tcW w:w="5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20 485 561</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21 576 048</w:t>
            </w:r>
          </w:p>
        </w:tc>
      </w:tr>
    </w:tbl>
    <w:p w:rsidR="000A6169" w:rsidRPr="00896984" w:rsidP="000A6169">
      <w:pPr>
        <w:bidi w:val="0"/>
        <w:rPr>
          <w:rFonts w:ascii="Times New Roman" w:hAnsi="Times New Roman" w:cs="Times New Roman"/>
        </w:rPr>
      </w:pPr>
    </w:p>
    <w:p w:rsidR="000A6169" w:rsidRPr="00896984" w:rsidP="000A6169">
      <w:pPr>
        <w:bidi w:val="0"/>
        <w:ind w:firstLine="708"/>
        <w:jc w:val="both"/>
        <w:rPr>
          <w:rFonts w:ascii="Times New Roman" w:hAnsi="Times New Roman" w:cs="Times New Roman"/>
        </w:rPr>
      </w:pPr>
    </w:p>
    <w:p w:rsidR="000A6169" w:rsidRPr="00896984" w:rsidP="000A6169">
      <w:pPr>
        <w:bidi w:val="0"/>
        <w:ind w:firstLine="708"/>
        <w:jc w:val="both"/>
        <w:rPr>
          <w:rFonts w:ascii="Times New Roman" w:hAnsi="Times New Roman" w:cs="Times New Roman"/>
        </w:rPr>
      </w:pPr>
      <w:r w:rsidRPr="00896984">
        <w:rPr>
          <w:rFonts w:ascii="Times New Roman" w:hAnsi="Times New Roman" w:cs="Times New Roman"/>
        </w:rPr>
        <w:t>Predpokladaná výška sankcií na roky 2011 až 2014 je uvedená v nasledujúcej tabuľke:</w:t>
      </w:r>
    </w:p>
    <w:p w:rsidR="000A6169" w:rsidRPr="00896984" w:rsidP="000A6169">
      <w:pPr>
        <w:bidi w:val="0"/>
        <w:jc w:val="both"/>
        <w:outlineLvl w:val="0"/>
        <w:rPr>
          <w:rFonts w:ascii="Times New Roman" w:hAnsi="Times New Roman" w:cs="Times New Roman"/>
          <w:highlight w:val="yellow"/>
        </w:rPr>
      </w:pPr>
    </w:p>
    <w:tbl>
      <w:tblPr>
        <w:tblStyle w:val="TableNormal"/>
        <w:tblW w:w="9227" w:type="dxa"/>
        <w:jc w:val="center"/>
        <w:tblCellMar>
          <w:left w:w="70" w:type="dxa"/>
          <w:right w:w="70" w:type="dxa"/>
        </w:tblCellMar>
      </w:tblPr>
      <w:tblGrid>
        <w:gridCol w:w="155"/>
        <w:gridCol w:w="3078"/>
        <w:gridCol w:w="999"/>
        <w:gridCol w:w="999"/>
        <w:gridCol w:w="999"/>
        <w:gridCol w:w="999"/>
        <w:gridCol w:w="999"/>
        <w:gridCol w:w="999"/>
      </w:tblGrid>
      <w:tr>
        <w:tblPrEx>
          <w:tblW w:w="9227" w:type="dxa"/>
          <w:jc w:val="center"/>
          <w:tblCellMar>
            <w:left w:w="70" w:type="dxa"/>
            <w:right w:w="70" w:type="dxa"/>
          </w:tblCellMar>
        </w:tblPrEx>
        <w:trPr>
          <w:trHeight w:val="266"/>
          <w:jc w:val="center"/>
        </w:trPr>
        <w:tc>
          <w:tcPr>
            <w:tcW w:w="3233" w:type="dxa"/>
            <w:gridSpan w:val="2"/>
            <w:tcBorders>
              <w:top w:val="single" w:sz="6" w:space="0" w:color="auto"/>
              <w:left w:val="single" w:sz="6" w:space="0" w:color="auto"/>
              <w:bottom w:val="none" w:sz="0" w:space="0" w:color="auto"/>
              <w:right w:val="single" w:sz="6" w:space="0" w:color="auto"/>
            </w:tcBorders>
            <w:shd w:val="clear" w:color="auto" w:fill="A6A6A6"/>
            <w:textDirection w:val="lrTb"/>
            <w:vAlign w:val="center"/>
          </w:tcPr>
          <w:p w:rsidR="000A6169" w:rsidRPr="00896984" w:rsidP="00942EF3">
            <w:pPr>
              <w:bidi w:val="0"/>
              <w:jc w:val="center"/>
              <w:rPr>
                <w:rFonts w:ascii="Times New Roman" w:hAnsi="Times New Roman" w:cs="Times New Roman"/>
                <w:sz w:val="14"/>
                <w:szCs w:val="14"/>
              </w:rPr>
            </w:pPr>
            <w:r w:rsidRPr="00896984">
              <w:rPr>
                <w:rFonts w:ascii="Times New Roman" w:hAnsi="Times New Roman" w:cs="Times New Roman"/>
                <w:b/>
                <w:bCs/>
                <w:sz w:val="14"/>
                <w:szCs w:val="14"/>
              </w:rPr>
              <w:t>Predpokladaný vývoj sankcií * (v tis. eur)</w:t>
            </w:r>
          </w:p>
        </w:tc>
        <w:tc>
          <w:tcPr>
            <w:tcW w:w="1998" w:type="dxa"/>
            <w:gridSpan w:val="2"/>
            <w:tcBorders>
              <w:top w:val="single" w:sz="6" w:space="0" w:color="auto"/>
              <w:left w:val="single" w:sz="6" w:space="0" w:color="auto"/>
              <w:bottom w:val="single" w:sz="6" w:space="0" w:color="auto"/>
              <w:right w:val="single" w:sz="6" w:space="0" w:color="auto"/>
            </w:tcBorders>
            <w:shd w:val="clear" w:color="auto" w:fill="A6A6A6"/>
            <w:textDirection w:val="lrTb"/>
            <w:vAlign w:val="center"/>
          </w:tcPr>
          <w:p w:rsidR="000A6169" w:rsidRPr="00896984" w:rsidP="00942EF3">
            <w:pPr>
              <w:bidi w:val="0"/>
              <w:jc w:val="center"/>
              <w:rPr>
                <w:rFonts w:ascii="Times New Roman" w:hAnsi="Times New Roman" w:cs="Times New Roman"/>
                <w:b/>
                <w:bCs/>
                <w:sz w:val="14"/>
                <w:szCs w:val="14"/>
              </w:rPr>
            </w:pPr>
            <w:r w:rsidRPr="00896984">
              <w:rPr>
                <w:rFonts w:ascii="Times New Roman" w:hAnsi="Times New Roman" w:cs="Times New Roman"/>
                <w:b/>
                <w:bCs/>
                <w:sz w:val="14"/>
                <w:szCs w:val="14"/>
              </w:rPr>
              <w:t>Skutočnosť</w:t>
            </w:r>
          </w:p>
        </w:tc>
        <w:tc>
          <w:tcPr>
            <w:tcW w:w="3996" w:type="dxa"/>
            <w:gridSpan w:val="4"/>
            <w:tcBorders>
              <w:top w:val="single" w:sz="6" w:space="0" w:color="auto"/>
              <w:left w:val="single" w:sz="6" w:space="0" w:color="auto"/>
              <w:bottom w:val="single" w:sz="6" w:space="0" w:color="auto"/>
              <w:right w:val="single" w:sz="6" w:space="0" w:color="auto"/>
            </w:tcBorders>
            <w:shd w:val="clear" w:color="auto" w:fill="A6A6A6"/>
            <w:textDirection w:val="lrTb"/>
            <w:vAlign w:val="center"/>
          </w:tcPr>
          <w:p w:rsidR="000A6169" w:rsidRPr="00896984" w:rsidP="00942EF3">
            <w:pPr>
              <w:bidi w:val="0"/>
              <w:jc w:val="center"/>
              <w:rPr>
                <w:rFonts w:ascii="Times New Roman" w:hAnsi="Times New Roman" w:cs="Times New Roman"/>
                <w:b/>
                <w:bCs/>
                <w:sz w:val="14"/>
                <w:szCs w:val="14"/>
              </w:rPr>
            </w:pPr>
            <w:r w:rsidRPr="00896984">
              <w:rPr>
                <w:rFonts w:ascii="Times New Roman" w:hAnsi="Times New Roman" w:cs="Times New Roman"/>
                <w:b/>
                <w:bCs/>
                <w:sz w:val="14"/>
                <w:szCs w:val="14"/>
              </w:rPr>
              <w:t>Prognóza</w:t>
            </w:r>
          </w:p>
        </w:tc>
      </w:tr>
      <w:tr>
        <w:tblPrEx>
          <w:tblW w:w="9227" w:type="dxa"/>
          <w:jc w:val="center"/>
          <w:tblCellMar>
            <w:left w:w="70" w:type="dxa"/>
            <w:right w:w="70" w:type="dxa"/>
          </w:tblCellMar>
        </w:tblPrEx>
        <w:trPr>
          <w:trHeight w:val="266"/>
          <w:jc w:val="center"/>
        </w:trPr>
        <w:tc>
          <w:tcPr>
            <w:tcW w:w="3233" w:type="dxa"/>
            <w:gridSpan w:val="2"/>
            <w:tcBorders>
              <w:top w:val="none" w:sz="0" w:space="0" w:color="auto"/>
              <w:left w:val="single" w:sz="6" w:space="0" w:color="auto"/>
              <w:bottom w:val="single" w:sz="6" w:space="0" w:color="auto"/>
              <w:right w:val="single" w:sz="6" w:space="0" w:color="auto"/>
            </w:tcBorders>
            <w:shd w:val="clear" w:color="auto" w:fill="A6A6A6"/>
            <w:textDirection w:val="lrTb"/>
            <w:vAlign w:val="center"/>
          </w:tcPr>
          <w:p w:rsidR="000A6169" w:rsidRPr="00896984" w:rsidP="00942EF3">
            <w:pPr>
              <w:bidi w:val="0"/>
              <w:rPr>
                <w:rFonts w:ascii="Times New Roman" w:hAnsi="Times New Roman" w:cs="Times New Roman"/>
                <w:sz w:val="14"/>
                <w:szCs w:val="14"/>
              </w:rPr>
            </w:pPr>
            <w:r w:rsidRPr="00896984">
              <w:rPr>
                <w:rFonts w:ascii="Times New Roman" w:hAnsi="Times New Roman" w:cs="Times New Roman"/>
                <w:sz w:val="14"/>
                <w:szCs w:val="14"/>
              </w:rPr>
              <w:t> </w:t>
            </w:r>
          </w:p>
        </w:tc>
        <w:tc>
          <w:tcPr>
            <w:tcW w:w="999" w:type="dxa"/>
            <w:tcBorders>
              <w:top w:val="single" w:sz="6" w:space="0" w:color="auto"/>
              <w:left w:val="single" w:sz="6" w:space="0" w:color="auto"/>
              <w:bottom w:val="single" w:sz="6" w:space="0" w:color="auto"/>
              <w:right w:val="single" w:sz="6" w:space="0" w:color="auto"/>
            </w:tcBorders>
            <w:shd w:val="clear" w:color="auto" w:fill="A6A6A6"/>
            <w:textDirection w:val="lrTb"/>
            <w:vAlign w:val="center"/>
          </w:tcPr>
          <w:p w:rsidR="000A6169" w:rsidRPr="00896984" w:rsidP="00942EF3">
            <w:pPr>
              <w:bidi w:val="0"/>
              <w:jc w:val="center"/>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2009</w:t>
            </w:r>
          </w:p>
        </w:tc>
        <w:tc>
          <w:tcPr>
            <w:tcW w:w="999" w:type="dxa"/>
            <w:tcBorders>
              <w:top w:val="single" w:sz="6" w:space="0" w:color="auto"/>
              <w:left w:val="single" w:sz="6" w:space="0" w:color="auto"/>
              <w:bottom w:val="single" w:sz="6" w:space="0" w:color="auto"/>
              <w:right w:val="single" w:sz="6" w:space="0" w:color="auto"/>
            </w:tcBorders>
            <w:shd w:val="clear" w:color="auto" w:fill="A6A6A6"/>
            <w:textDirection w:val="lrTb"/>
            <w:vAlign w:val="center"/>
          </w:tcPr>
          <w:p w:rsidR="000A6169" w:rsidRPr="00896984" w:rsidP="00942EF3">
            <w:pPr>
              <w:bidi w:val="0"/>
              <w:jc w:val="center"/>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2010</w:t>
            </w:r>
          </w:p>
        </w:tc>
        <w:tc>
          <w:tcPr>
            <w:tcW w:w="999" w:type="dxa"/>
            <w:tcBorders>
              <w:top w:val="single" w:sz="6" w:space="0" w:color="auto"/>
              <w:left w:val="single" w:sz="6" w:space="0" w:color="auto"/>
              <w:bottom w:val="single" w:sz="6" w:space="0" w:color="auto"/>
              <w:right w:val="single" w:sz="6" w:space="0" w:color="auto"/>
            </w:tcBorders>
            <w:shd w:val="clear" w:color="auto" w:fill="A6A6A6"/>
            <w:textDirection w:val="lrTb"/>
            <w:vAlign w:val="center"/>
          </w:tcPr>
          <w:p w:rsidR="000A6169" w:rsidRPr="00896984" w:rsidP="00942EF3">
            <w:pPr>
              <w:bidi w:val="0"/>
              <w:jc w:val="center"/>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2011</w:t>
            </w:r>
          </w:p>
        </w:tc>
        <w:tc>
          <w:tcPr>
            <w:tcW w:w="999" w:type="dxa"/>
            <w:tcBorders>
              <w:top w:val="single" w:sz="6" w:space="0" w:color="auto"/>
              <w:left w:val="single" w:sz="6" w:space="0" w:color="auto"/>
              <w:bottom w:val="single" w:sz="6" w:space="0" w:color="auto"/>
              <w:right w:val="single" w:sz="6" w:space="0" w:color="auto"/>
            </w:tcBorders>
            <w:shd w:val="clear" w:color="auto" w:fill="A6A6A6"/>
            <w:textDirection w:val="lrTb"/>
            <w:vAlign w:val="center"/>
          </w:tcPr>
          <w:p w:rsidR="000A6169" w:rsidRPr="00896984" w:rsidP="00942EF3">
            <w:pPr>
              <w:bidi w:val="0"/>
              <w:jc w:val="center"/>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2012</w:t>
            </w:r>
          </w:p>
        </w:tc>
        <w:tc>
          <w:tcPr>
            <w:tcW w:w="999" w:type="dxa"/>
            <w:tcBorders>
              <w:top w:val="single" w:sz="6" w:space="0" w:color="auto"/>
              <w:left w:val="single" w:sz="6" w:space="0" w:color="auto"/>
              <w:bottom w:val="single" w:sz="6" w:space="0" w:color="auto"/>
              <w:right w:val="single" w:sz="6" w:space="0" w:color="auto"/>
            </w:tcBorders>
            <w:shd w:val="clear" w:color="auto" w:fill="A6A6A6"/>
            <w:textDirection w:val="lrTb"/>
            <w:vAlign w:val="center"/>
          </w:tcPr>
          <w:p w:rsidR="000A6169" w:rsidRPr="00896984" w:rsidP="00942EF3">
            <w:pPr>
              <w:bidi w:val="0"/>
              <w:jc w:val="center"/>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2013</w:t>
            </w:r>
          </w:p>
        </w:tc>
        <w:tc>
          <w:tcPr>
            <w:tcW w:w="999" w:type="dxa"/>
            <w:tcBorders>
              <w:top w:val="single" w:sz="6" w:space="0" w:color="auto"/>
              <w:left w:val="single" w:sz="6" w:space="0" w:color="auto"/>
              <w:bottom w:val="single" w:sz="6" w:space="0" w:color="auto"/>
              <w:right w:val="single" w:sz="6" w:space="0" w:color="auto"/>
            </w:tcBorders>
            <w:shd w:val="clear" w:color="auto" w:fill="A6A6A6"/>
            <w:textDirection w:val="lrTb"/>
            <w:vAlign w:val="center"/>
          </w:tcPr>
          <w:p w:rsidR="000A6169" w:rsidRPr="00896984" w:rsidP="00942EF3">
            <w:pPr>
              <w:bidi w:val="0"/>
              <w:jc w:val="center"/>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2014</w:t>
            </w:r>
          </w:p>
        </w:tc>
      </w:tr>
      <w:tr>
        <w:tblPrEx>
          <w:tblW w:w="9227" w:type="dxa"/>
          <w:jc w:val="center"/>
          <w:tblCellMar>
            <w:left w:w="70" w:type="dxa"/>
            <w:right w:w="70" w:type="dxa"/>
          </w:tblCellMar>
        </w:tblPrEx>
        <w:trPr>
          <w:trHeight w:val="266"/>
          <w:jc w:val="center"/>
        </w:trPr>
        <w:tc>
          <w:tcPr>
            <w:tcW w:w="3233" w:type="dxa"/>
            <w:gridSpan w:val="2"/>
            <w:tcBorders>
              <w:top w:val="single" w:sz="6" w:space="0" w:color="auto"/>
              <w:left w:val="single" w:sz="4" w:space="0" w:color="auto"/>
              <w:bottom w:val="single" w:sz="4" w:space="0" w:color="auto"/>
              <w:right w:val="single" w:sz="6" w:space="0" w:color="auto"/>
            </w:tcBorders>
            <w:shd w:val="clear" w:color="auto" w:fill="BFBFBF"/>
            <w:textDirection w:val="lrTb"/>
            <w:vAlign w:val="center"/>
          </w:tcPr>
          <w:p w:rsidR="000A6169" w:rsidRPr="00896984" w:rsidP="00942EF3">
            <w:pPr>
              <w:bidi w:val="0"/>
              <w:rPr>
                <w:rFonts w:ascii="Times New Roman" w:hAnsi="Times New Roman" w:cs="Times New Roman"/>
                <w:b/>
                <w:bCs/>
                <w:sz w:val="14"/>
                <w:szCs w:val="14"/>
              </w:rPr>
            </w:pPr>
            <w:r w:rsidRPr="00896984">
              <w:rPr>
                <w:rFonts w:ascii="Times New Roman" w:hAnsi="Times New Roman" w:cs="Times New Roman"/>
                <w:b/>
                <w:bCs/>
                <w:sz w:val="14"/>
                <w:szCs w:val="14"/>
              </w:rPr>
              <w:t>SANKCIE spolu</w:t>
            </w:r>
          </w:p>
        </w:tc>
        <w:tc>
          <w:tcPr>
            <w:tcW w:w="999" w:type="dxa"/>
            <w:tcBorders>
              <w:top w:val="single" w:sz="6" w:space="0" w:color="auto"/>
              <w:left w:val="single" w:sz="6" w:space="0" w:color="auto"/>
              <w:bottom w:val="single" w:sz="4" w:space="0" w:color="auto"/>
              <w:right w:val="single" w:sz="4" w:space="0" w:color="auto"/>
            </w:tcBorders>
            <w:shd w:val="clear" w:color="auto" w:fill="BFBFBF"/>
            <w:textDirection w:val="lrTb"/>
            <w:vAlign w:val="center"/>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24 002</w:t>
            </w:r>
          </w:p>
        </w:tc>
        <w:tc>
          <w:tcPr>
            <w:tcW w:w="999" w:type="dxa"/>
            <w:tcBorders>
              <w:top w:val="single" w:sz="6" w:space="0" w:color="auto"/>
              <w:left w:val="single" w:sz="4" w:space="0" w:color="auto"/>
              <w:bottom w:val="single" w:sz="4" w:space="0" w:color="auto"/>
              <w:right w:val="single" w:sz="6" w:space="0" w:color="auto"/>
            </w:tcBorders>
            <w:shd w:val="clear" w:color="auto" w:fill="BFBFBF"/>
            <w:textDirection w:val="lrTb"/>
            <w:vAlign w:val="center"/>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20 172</w:t>
            </w:r>
          </w:p>
        </w:tc>
        <w:tc>
          <w:tcPr>
            <w:tcW w:w="999" w:type="dxa"/>
            <w:tcBorders>
              <w:top w:val="single" w:sz="6" w:space="0" w:color="auto"/>
              <w:left w:val="single" w:sz="6" w:space="0" w:color="auto"/>
              <w:bottom w:val="single" w:sz="4" w:space="0" w:color="auto"/>
              <w:right w:val="single" w:sz="4" w:space="0" w:color="auto"/>
            </w:tcBorders>
            <w:shd w:val="clear" w:color="auto" w:fill="BFBFBF"/>
            <w:textDirection w:val="lrTb"/>
            <w:vAlign w:val="center"/>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24 375</w:t>
            </w:r>
          </w:p>
        </w:tc>
        <w:tc>
          <w:tcPr>
            <w:tcW w:w="999" w:type="dxa"/>
            <w:tcBorders>
              <w:top w:val="single" w:sz="6" w:space="0" w:color="auto"/>
              <w:left w:val="single" w:sz="4" w:space="0" w:color="auto"/>
              <w:bottom w:val="single" w:sz="4" w:space="0" w:color="auto"/>
              <w:right w:val="single" w:sz="4" w:space="0" w:color="auto"/>
            </w:tcBorders>
            <w:shd w:val="clear" w:color="auto" w:fill="BFBFBF"/>
            <w:textDirection w:val="lrTb"/>
            <w:vAlign w:val="center"/>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24 017</w:t>
            </w:r>
          </w:p>
        </w:tc>
        <w:tc>
          <w:tcPr>
            <w:tcW w:w="999" w:type="dxa"/>
            <w:tcBorders>
              <w:top w:val="single" w:sz="6" w:space="0" w:color="auto"/>
              <w:left w:val="single" w:sz="4" w:space="0" w:color="auto"/>
              <w:bottom w:val="single" w:sz="4" w:space="0" w:color="auto"/>
              <w:right w:val="single" w:sz="4" w:space="0" w:color="auto"/>
            </w:tcBorders>
            <w:shd w:val="clear" w:color="auto" w:fill="BFBFBF"/>
            <w:textDirection w:val="lrTb"/>
            <w:vAlign w:val="center"/>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24 194</w:t>
            </w:r>
          </w:p>
        </w:tc>
        <w:tc>
          <w:tcPr>
            <w:tcW w:w="999" w:type="dxa"/>
            <w:tcBorders>
              <w:top w:val="single" w:sz="6" w:space="0" w:color="auto"/>
              <w:left w:val="single" w:sz="4" w:space="0" w:color="auto"/>
              <w:bottom w:val="single" w:sz="4" w:space="0" w:color="auto"/>
              <w:right w:val="single" w:sz="4" w:space="0" w:color="auto"/>
            </w:tcBorders>
            <w:shd w:val="clear" w:color="auto" w:fill="BFBFBF"/>
            <w:textDirection w:val="lrTb"/>
            <w:vAlign w:val="center"/>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24 105</w:t>
            </w:r>
          </w:p>
        </w:tc>
      </w:tr>
      <w:tr>
        <w:tblPrEx>
          <w:tblW w:w="9227" w:type="dxa"/>
          <w:jc w:val="center"/>
          <w:tblCellMar>
            <w:left w:w="70" w:type="dxa"/>
            <w:right w:w="70" w:type="dxa"/>
          </w:tblCellMar>
        </w:tblPrEx>
        <w:trPr>
          <w:trHeight w:val="266"/>
          <w:jc w:val="center"/>
        </w:trPr>
        <w:tc>
          <w:tcPr>
            <w:tcW w:w="3233" w:type="dxa"/>
            <w:gridSpan w:val="2"/>
            <w:tcBorders>
              <w:top w:val="single" w:sz="4" w:space="0" w:color="auto"/>
              <w:left w:val="single" w:sz="4" w:space="0" w:color="auto"/>
              <w:bottom w:val="single" w:sz="4" w:space="0" w:color="auto"/>
              <w:right w:val="single" w:sz="6" w:space="0" w:color="auto"/>
            </w:tcBorders>
            <w:textDirection w:val="lrTb"/>
            <w:vAlign w:val="center"/>
          </w:tcPr>
          <w:p w:rsidR="000A6169" w:rsidRPr="00896984" w:rsidP="00A14AA2">
            <w:pPr>
              <w:bidi w:val="0"/>
              <w:ind w:firstLine="140" w:firstLineChars="100"/>
              <w:rPr>
                <w:rFonts w:ascii="Times New Roman" w:hAnsi="Times New Roman" w:cs="Times New Roman"/>
                <w:sz w:val="14"/>
                <w:szCs w:val="14"/>
              </w:rPr>
            </w:pPr>
            <w:r w:rsidRPr="00896984">
              <w:rPr>
                <w:rFonts w:ascii="Times New Roman" w:hAnsi="Times New Roman" w:cs="Times New Roman"/>
                <w:sz w:val="14"/>
                <w:szCs w:val="14"/>
              </w:rPr>
              <w:t>Daň z príjmov fyzických osôb</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5 857</w:t>
            </w:r>
          </w:p>
        </w:tc>
        <w:tc>
          <w:tcPr>
            <w:tcW w:w="999" w:type="dxa"/>
            <w:tcBorders>
              <w:top w:val="single" w:sz="4" w:space="0" w:color="auto"/>
              <w:left w:val="single" w:sz="4" w:space="0" w:color="auto"/>
              <w:bottom w:val="single" w:sz="4" w:space="0" w:color="auto"/>
              <w:right w:val="single" w:sz="6"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4 413</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5 134</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4 774</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4 954</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4 864</w:t>
            </w:r>
          </w:p>
        </w:tc>
      </w:tr>
      <w:tr>
        <w:tblPrEx>
          <w:tblW w:w="9227" w:type="dxa"/>
          <w:jc w:val="center"/>
          <w:tblCellMar>
            <w:left w:w="70" w:type="dxa"/>
            <w:right w:w="70" w:type="dxa"/>
          </w:tblCellMar>
        </w:tblPrEx>
        <w:trPr>
          <w:trHeight w:val="266"/>
          <w:jc w:val="center"/>
        </w:trPr>
        <w:tc>
          <w:tcPr>
            <w:tcW w:w="3233" w:type="dxa"/>
            <w:gridSpan w:val="2"/>
            <w:tcBorders>
              <w:top w:val="single" w:sz="4" w:space="0" w:color="auto"/>
              <w:left w:val="single" w:sz="4" w:space="0" w:color="auto"/>
              <w:bottom w:val="single" w:sz="4" w:space="0" w:color="auto"/>
              <w:right w:val="single" w:sz="6" w:space="0" w:color="auto"/>
            </w:tcBorders>
            <w:textDirection w:val="lrTb"/>
            <w:vAlign w:val="center"/>
          </w:tcPr>
          <w:p w:rsidR="000A6169" w:rsidRPr="00896984" w:rsidP="00A14AA2">
            <w:pPr>
              <w:bidi w:val="0"/>
              <w:ind w:firstLine="140" w:firstLineChars="100"/>
              <w:rPr>
                <w:rFonts w:ascii="Times New Roman" w:hAnsi="Times New Roman" w:cs="Times New Roman"/>
                <w:sz w:val="14"/>
                <w:szCs w:val="14"/>
              </w:rPr>
            </w:pPr>
            <w:r w:rsidRPr="00896984">
              <w:rPr>
                <w:rFonts w:ascii="Times New Roman" w:hAnsi="Times New Roman" w:cs="Times New Roman"/>
                <w:sz w:val="14"/>
                <w:szCs w:val="14"/>
              </w:rPr>
              <w:t>Daň z príjmov právnických osôb</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4 327</w:t>
            </w:r>
          </w:p>
        </w:tc>
        <w:tc>
          <w:tcPr>
            <w:tcW w:w="999" w:type="dxa"/>
            <w:tcBorders>
              <w:top w:val="single" w:sz="4" w:space="0" w:color="auto"/>
              <w:left w:val="single" w:sz="4" w:space="0" w:color="auto"/>
              <w:bottom w:val="single" w:sz="4" w:space="0" w:color="auto"/>
              <w:right w:val="single" w:sz="6"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2 714</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3 520</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3 520</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3 520</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3 520</w:t>
            </w:r>
          </w:p>
        </w:tc>
      </w:tr>
      <w:tr>
        <w:tblPrEx>
          <w:tblW w:w="9227" w:type="dxa"/>
          <w:jc w:val="center"/>
          <w:tblCellMar>
            <w:left w:w="70" w:type="dxa"/>
            <w:right w:w="70" w:type="dxa"/>
          </w:tblCellMar>
        </w:tblPrEx>
        <w:trPr>
          <w:trHeight w:val="266"/>
          <w:jc w:val="center"/>
        </w:trPr>
        <w:tc>
          <w:tcPr>
            <w:tcW w:w="3233" w:type="dxa"/>
            <w:gridSpan w:val="2"/>
            <w:tcBorders>
              <w:top w:val="single" w:sz="4" w:space="0" w:color="auto"/>
              <w:left w:val="single" w:sz="4" w:space="0" w:color="auto"/>
              <w:bottom w:val="single" w:sz="4" w:space="0" w:color="auto"/>
              <w:right w:val="single" w:sz="6" w:space="0" w:color="auto"/>
            </w:tcBorders>
            <w:textDirection w:val="lrTb"/>
            <w:vAlign w:val="center"/>
          </w:tcPr>
          <w:p w:rsidR="000A6169" w:rsidRPr="00896984" w:rsidP="00A14AA2">
            <w:pPr>
              <w:bidi w:val="0"/>
              <w:ind w:firstLine="140" w:firstLineChars="100"/>
              <w:rPr>
                <w:rFonts w:ascii="Times New Roman" w:hAnsi="Times New Roman" w:cs="Times New Roman"/>
                <w:sz w:val="14"/>
                <w:szCs w:val="14"/>
              </w:rPr>
            </w:pPr>
            <w:r w:rsidRPr="00896984">
              <w:rPr>
                <w:rFonts w:ascii="Times New Roman" w:hAnsi="Times New Roman" w:cs="Times New Roman"/>
                <w:sz w:val="14"/>
                <w:szCs w:val="14"/>
              </w:rPr>
              <w:t>Daň z príjmov vyberaná zrážkou</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24</w:t>
            </w:r>
          </w:p>
        </w:tc>
        <w:tc>
          <w:tcPr>
            <w:tcW w:w="999" w:type="dxa"/>
            <w:tcBorders>
              <w:top w:val="single" w:sz="4" w:space="0" w:color="auto"/>
              <w:left w:val="single" w:sz="4" w:space="0" w:color="auto"/>
              <w:bottom w:val="single" w:sz="4" w:space="0" w:color="auto"/>
              <w:right w:val="single" w:sz="6"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7</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12</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14</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11</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12</w:t>
            </w:r>
          </w:p>
        </w:tc>
      </w:tr>
      <w:tr>
        <w:tblPrEx>
          <w:tblW w:w="9227" w:type="dxa"/>
          <w:jc w:val="center"/>
          <w:tblCellMar>
            <w:left w:w="70" w:type="dxa"/>
            <w:right w:w="70" w:type="dxa"/>
          </w:tblCellMar>
        </w:tblPrEx>
        <w:trPr>
          <w:trHeight w:val="266"/>
          <w:jc w:val="center"/>
        </w:trPr>
        <w:tc>
          <w:tcPr>
            <w:tcW w:w="3233" w:type="dxa"/>
            <w:gridSpan w:val="2"/>
            <w:tcBorders>
              <w:top w:val="single" w:sz="4" w:space="0" w:color="auto"/>
              <w:left w:val="single" w:sz="4" w:space="0" w:color="auto"/>
              <w:bottom w:val="single" w:sz="4" w:space="0" w:color="auto"/>
              <w:right w:val="single" w:sz="6" w:space="0" w:color="auto"/>
            </w:tcBorders>
            <w:textDirection w:val="lrTb"/>
            <w:vAlign w:val="center"/>
          </w:tcPr>
          <w:p w:rsidR="000A6169" w:rsidRPr="00896984" w:rsidP="00A14AA2">
            <w:pPr>
              <w:bidi w:val="0"/>
              <w:ind w:firstLine="140" w:firstLineChars="100"/>
              <w:rPr>
                <w:rFonts w:ascii="Times New Roman" w:hAnsi="Times New Roman" w:cs="Times New Roman"/>
                <w:sz w:val="14"/>
                <w:szCs w:val="14"/>
              </w:rPr>
            </w:pPr>
            <w:r w:rsidRPr="00896984">
              <w:rPr>
                <w:rFonts w:ascii="Times New Roman" w:hAnsi="Times New Roman" w:cs="Times New Roman"/>
                <w:sz w:val="14"/>
                <w:szCs w:val="14"/>
              </w:rPr>
              <w:t>Daň z pridanej hodnoty</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10 145</w:t>
            </w:r>
          </w:p>
        </w:tc>
        <w:tc>
          <w:tcPr>
            <w:tcW w:w="999" w:type="dxa"/>
            <w:tcBorders>
              <w:top w:val="single" w:sz="4" w:space="0" w:color="auto"/>
              <w:left w:val="single" w:sz="4" w:space="0" w:color="auto"/>
              <w:bottom w:val="single" w:sz="4" w:space="0" w:color="auto"/>
              <w:right w:val="single" w:sz="6"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9 600</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12 652</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12 652</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12 652</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12 652</w:t>
            </w:r>
          </w:p>
        </w:tc>
      </w:tr>
      <w:tr>
        <w:tblPrEx>
          <w:tblW w:w="9227" w:type="dxa"/>
          <w:jc w:val="center"/>
          <w:tblCellMar>
            <w:left w:w="70" w:type="dxa"/>
            <w:right w:w="70" w:type="dxa"/>
          </w:tblCellMar>
        </w:tblPrEx>
        <w:trPr>
          <w:trHeight w:val="266"/>
          <w:jc w:val="center"/>
        </w:trPr>
        <w:tc>
          <w:tcPr>
            <w:tcW w:w="3233" w:type="dxa"/>
            <w:gridSpan w:val="2"/>
            <w:tcBorders>
              <w:top w:val="single" w:sz="4" w:space="0" w:color="auto"/>
              <w:left w:val="single" w:sz="4" w:space="0" w:color="auto"/>
              <w:bottom w:val="single" w:sz="4" w:space="0" w:color="auto"/>
              <w:right w:val="single" w:sz="6" w:space="0" w:color="auto"/>
            </w:tcBorders>
            <w:textDirection w:val="lrTb"/>
            <w:vAlign w:val="center"/>
          </w:tcPr>
          <w:p w:rsidR="000A6169" w:rsidRPr="00896984" w:rsidP="00A14AA2">
            <w:pPr>
              <w:bidi w:val="0"/>
              <w:ind w:firstLine="140" w:firstLineChars="100"/>
              <w:rPr>
                <w:rFonts w:ascii="Times New Roman" w:hAnsi="Times New Roman" w:cs="Times New Roman"/>
                <w:sz w:val="14"/>
                <w:szCs w:val="14"/>
              </w:rPr>
            </w:pPr>
            <w:r w:rsidRPr="00896984">
              <w:rPr>
                <w:rFonts w:ascii="Times New Roman" w:hAnsi="Times New Roman" w:cs="Times New Roman"/>
                <w:sz w:val="14"/>
                <w:szCs w:val="14"/>
              </w:rPr>
              <w:t>Spotrebné dane</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1 360</w:t>
            </w:r>
          </w:p>
        </w:tc>
        <w:tc>
          <w:tcPr>
            <w:tcW w:w="999" w:type="dxa"/>
            <w:tcBorders>
              <w:top w:val="single" w:sz="4" w:space="0" w:color="auto"/>
              <w:left w:val="single" w:sz="4" w:space="0" w:color="auto"/>
              <w:bottom w:val="single" w:sz="4" w:space="0" w:color="auto"/>
              <w:right w:val="single" w:sz="6"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911</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1 359</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1 359</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1 359</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1 359</w:t>
            </w:r>
          </w:p>
        </w:tc>
      </w:tr>
      <w:tr>
        <w:tblPrEx>
          <w:tblW w:w="9227" w:type="dxa"/>
          <w:jc w:val="center"/>
          <w:tblCellMar>
            <w:left w:w="70" w:type="dxa"/>
            <w:right w:w="70" w:type="dxa"/>
          </w:tblCellMar>
        </w:tblPrEx>
        <w:trPr>
          <w:trHeight w:val="266"/>
          <w:jc w:val="center"/>
        </w:trPr>
        <w:tc>
          <w:tcPr>
            <w:tcW w:w="3233" w:type="dxa"/>
            <w:gridSpan w:val="2"/>
            <w:tcBorders>
              <w:top w:val="single" w:sz="4" w:space="0" w:color="auto"/>
              <w:left w:val="single" w:sz="4" w:space="0" w:color="auto"/>
              <w:bottom w:val="single" w:sz="4" w:space="0" w:color="auto"/>
              <w:right w:val="single" w:sz="6" w:space="0" w:color="auto"/>
            </w:tcBorders>
            <w:textDirection w:val="lrTb"/>
            <w:vAlign w:val="center"/>
          </w:tcPr>
          <w:p w:rsidR="000A6169" w:rsidRPr="00896984" w:rsidP="00A14AA2">
            <w:pPr>
              <w:bidi w:val="0"/>
              <w:ind w:firstLine="140" w:firstLineChars="100"/>
              <w:rPr>
                <w:rFonts w:ascii="Times New Roman" w:hAnsi="Times New Roman" w:cs="Times New Roman"/>
                <w:sz w:val="14"/>
                <w:szCs w:val="14"/>
              </w:rPr>
            </w:pPr>
            <w:r w:rsidRPr="00896984">
              <w:rPr>
                <w:rFonts w:ascii="Times New Roman" w:hAnsi="Times New Roman" w:cs="Times New Roman"/>
                <w:sz w:val="14"/>
                <w:szCs w:val="14"/>
              </w:rPr>
              <w:t>Miestne dane</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714</w:t>
            </w:r>
          </w:p>
        </w:tc>
        <w:tc>
          <w:tcPr>
            <w:tcW w:w="999" w:type="dxa"/>
            <w:tcBorders>
              <w:top w:val="single" w:sz="4" w:space="0" w:color="auto"/>
              <w:left w:val="single" w:sz="4" w:space="0" w:color="auto"/>
              <w:bottom w:val="single" w:sz="4" w:space="0" w:color="auto"/>
              <w:right w:val="single" w:sz="6"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948</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839</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839</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839</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839</w:t>
            </w:r>
          </w:p>
        </w:tc>
      </w:tr>
      <w:tr>
        <w:tblPrEx>
          <w:tblW w:w="9227" w:type="dxa"/>
          <w:jc w:val="center"/>
          <w:tblCellMar>
            <w:left w:w="70" w:type="dxa"/>
            <w:right w:w="70" w:type="dxa"/>
          </w:tblCellMar>
        </w:tblPrEx>
        <w:trPr>
          <w:trHeight w:val="266"/>
          <w:jc w:val="center"/>
        </w:trPr>
        <w:tc>
          <w:tcPr>
            <w:tcW w:w="3233" w:type="dxa"/>
            <w:gridSpan w:val="2"/>
            <w:tcBorders>
              <w:top w:val="single" w:sz="4" w:space="0" w:color="auto"/>
              <w:left w:val="single" w:sz="4" w:space="0" w:color="auto"/>
              <w:bottom w:val="single" w:sz="4" w:space="0" w:color="auto"/>
              <w:right w:val="single" w:sz="6" w:space="0" w:color="auto"/>
            </w:tcBorders>
            <w:textDirection w:val="lrTb"/>
            <w:vAlign w:val="center"/>
          </w:tcPr>
          <w:p w:rsidR="000A6169" w:rsidRPr="00896984" w:rsidP="00A14AA2">
            <w:pPr>
              <w:bidi w:val="0"/>
              <w:ind w:firstLine="140" w:firstLineChars="100"/>
              <w:rPr>
                <w:rFonts w:ascii="Times New Roman" w:hAnsi="Times New Roman" w:cs="Times New Roman"/>
                <w:sz w:val="14"/>
                <w:szCs w:val="14"/>
              </w:rPr>
            </w:pPr>
            <w:r w:rsidRPr="00896984">
              <w:rPr>
                <w:rFonts w:ascii="Times New Roman" w:hAnsi="Times New Roman" w:cs="Times New Roman"/>
                <w:sz w:val="14"/>
                <w:szCs w:val="14"/>
              </w:rPr>
              <w:t>Ostatné dane</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270</w:t>
            </w:r>
          </w:p>
        </w:tc>
        <w:tc>
          <w:tcPr>
            <w:tcW w:w="999" w:type="dxa"/>
            <w:tcBorders>
              <w:top w:val="single" w:sz="4" w:space="0" w:color="auto"/>
              <w:left w:val="single" w:sz="4" w:space="0" w:color="auto"/>
              <w:bottom w:val="single" w:sz="4" w:space="0" w:color="auto"/>
              <w:right w:val="single" w:sz="6"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244</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0</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0</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0</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0</w:t>
            </w:r>
          </w:p>
        </w:tc>
      </w:tr>
      <w:tr>
        <w:tblPrEx>
          <w:tblW w:w="9227" w:type="dxa"/>
          <w:jc w:val="center"/>
          <w:tblCellMar>
            <w:left w:w="70" w:type="dxa"/>
            <w:right w:w="70" w:type="dxa"/>
          </w:tblCellMar>
        </w:tblPrEx>
        <w:trPr>
          <w:trHeight w:val="266"/>
          <w:jc w:val="center"/>
        </w:trPr>
        <w:tc>
          <w:tcPr>
            <w:tcW w:w="3233" w:type="dxa"/>
            <w:gridSpan w:val="2"/>
            <w:tcBorders>
              <w:top w:val="single" w:sz="4" w:space="0" w:color="auto"/>
              <w:left w:val="single" w:sz="4" w:space="0" w:color="auto"/>
              <w:bottom w:val="single" w:sz="4" w:space="0" w:color="auto"/>
              <w:right w:val="single" w:sz="6" w:space="0" w:color="auto"/>
            </w:tcBorders>
            <w:textDirection w:val="lrTb"/>
            <w:vAlign w:val="center"/>
          </w:tcPr>
          <w:p w:rsidR="000A6169" w:rsidRPr="00896984" w:rsidP="00A14AA2">
            <w:pPr>
              <w:bidi w:val="0"/>
              <w:ind w:firstLine="140" w:firstLineChars="100"/>
              <w:rPr>
                <w:rFonts w:ascii="Times New Roman" w:hAnsi="Times New Roman" w:cs="Times New Roman"/>
                <w:sz w:val="14"/>
                <w:szCs w:val="14"/>
              </w:rPr>
            </w:pPr>
            <w:r w:rsidRPr="00896984">
              <w:rPr>
                <w:rFonts w:ascii="Times New Roman" w:hAnsi="Times New Roman" w:cs="Times New Roman"/>
                <w:sz w:val="14"/>
                <w:szCs w:val="14"/>
              </w:rPr>
              <w:t>Sankcie uložené v daňovom konaní</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1 276</w:t>
            </w:r>
          </w:p>
        </w:tc>
        <w:tc>
          <w:tcPr>
            <w:tcW w:w="999" w:type="dxa"/>
            <w:tcBorders>
              <w:top w:val="single" w:sz="4" w:space="0" w:color="auto"/>
              <w:left w:val="single" w:sz="4" w:space="0" w:color="auto"/>
              <w:bottom w:val="single" w:sz="4" w:space="0" w:color="auto"/>
              <w:right w:val="single" w:sz="6"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1 308</w:t>
            </w:r>
          </w:p>
        </w:tc>
        <w:tc>
          <w:tcPr>
            <w:tcW w:w="999" w:type="dxa"/>
            <w:tcBorders>
              <w:top w:val="single" w:sz="4" w:space="0" w:color="auto"/>
              <w:left w:val="single" w:sz="6"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859</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859</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859</w:t>
            </w:r>
          </w:p>
        </w:tc>
        <w:tc>
          <w:tcPr>
            <w:tcW w:w="99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859</w:t>
            </w:r>
          </w:p>
        </w:tc>
      </w:tr>
      <w:tr>
        <w:tblPrEx>
          <w:tblW w:w="9227" w:type="dxa"/>
          <w:jc w:val="center"/>
          <w:tblCellMar>
            <w:left w:w="70" w:type="dxa"/>
            <w:right w:w="70" w:type="dxa"/>
          </w:tblCellMar>
        </w:tblPrEx>
        <w:trPr>
          <w:trHeight w:val="266"/>
          <w:jc w:val="center"/>
        </w:trPr>
        <w:tc>
          <w:tcPr>
            <w:tcW w:w="155" w:type="dxa"/>
            <w:tcBorders>
              <w:top w:val="nil"/>
              <w:left w:val="nil"/>
              <w:bottom w:val="nil"/>
              <w:right w:val="nil"/>
            </w:tcBorders>
            <w:textDirection w:val="lrTb"/>
            <w:vAlign w:val="center"/>
          </w:tcPr>
          <w:p w:rsidR="000A6169" w:rsidRPr="00896984" w:rsidP="00942EF3">
            <w:pPr>
              <w:bidi w:val="0"/>
              <w:rPr>
                <w:rFonts w:ascii="Times New Roman" w:hAnsi="Times New Roman" w:cs="Times New Roman"/>
                <w:sz w:val="14"/>
                <w:szCs w:val="14"/>
              </w:rPr>
            </w:pPr>
          </w:p>
        </w:tc>
        <w:tc>
          <w:tcPr>
            <w:tcW w:w="5076" w:type="dxa"/>
            <w:gridSpan w:val="3"/>
            <w:tcBorders>
              <w:top w:val="nil"/>
              <w:left w:val="nil"/>
              <w:bottom w:val="nil"/>
              <w:right w:val="nil"/>
            </w:tcBorders>
            <w:noWrap/>
            <w:textDirection w:val="lrTb"/>
            <w:vAlign w:val="center"/>
          </w:tcPr>
          <w:p w:rsidR="000A6169" w:rsidRPr="00896984" w:rsidP="00942EF3">
            <w:pPr>
              <w:bidi w:val="0"/>
              <w:rPr>
                <w:rFonts w:ascii="Times New Roman" w:hAnsi="Times New Roman" w:cs="Times New Roman"/>
                <w:sz w:val="14"/>
                <w:szCs w:val="14"/>
              </w:rPr>
            </w:pPr>
            <w:r w:rsidRPr="00896984">
              <w:rPr>
                <w:rFonts w:ascii="Times New Roman" w:hAnsi="Times New Roman" w:cs="Times New Roman"/>
                <w:sz w:val="14"/>
                <w:szCs w:val="14"/>
              </w:rPr>
              <w:t>* sankcie sú identické podľa hotovostnej a akruálnej metodiky</w:t>
            </w:r>
          </w:p>
        </w:tc>
        <w:tc>
          <w:tcPr>
            <w:tcW w:w="999" w:type="dxa"/>
            <w:tcBorders>
              <w:top w:val="nil"/>
              <w:left w:val="nil"/>
              <w:bottom w:val="nil"/>
              <w:right w:val="nil"/>
            </w:tcBorders>
            <w:noWrap/>
            <w:textDirection w:val="lrTb"/>
            <w:vAlign w:val="center"/>
          </w:tcPr>
          <w:p w:rsidR="000A6169" w:rsidRPr="00896984" w:rsidP="00942EF3">
            <w:pPr>
              <w:bidi w:val="0"/>
              <w:rPr>
                <w:rFonts w:ascii="Times New Roman" w:hAnsi="Times New Roman" w:cs="Times New Roman"/>
                <w:sz w:val="14"/>
                <w:szCs w:val="14"/>
              </w:rPr>
            </w:pPr>
          </w:p>
        </w:tc>
        <w:tc>
          <w:tcPr>
            <w:tcW w:w="999" w:type="dxa"/>
            <w:tcBorders>
              <w:top w:val="nil"/>
              <w:left w:val="nil"/>
              <w:bottom w:val="nil"/>
              <w:right w:val="nil"/>
            </w:tcBorders>
            <w:noWrap/>
            <w:textDirection w:val="lrTb"/>
            <w:vAlign w:val="center"/>
          </w:tcPr>
          <w:p w:rsidR="000A6169" w:rsidRPr="00896984" w:rsidP="00942EF3">
            <w:pPr>
              <w:bidi w:val="0"/>
              <w:rPr>
                <w:rFonts w:ascii="Times New Roman" w:hAnsi="Times New Roman" w:cs="Times New Roman"/>
                <w:sz w:val="14"/>
                <w:szCs w:val="14"/>
              </w:rPr>
            </w:pPr>
          </w:p>
        </w:tc>
        <w:tc>
          <w:tcPr>
            <w:tcW w:w="999" w:type="dxa"/>
            <w:tcBorders>
              <w:top w:val="nil"/>
              <w:left w:val="nil"/>
              <w:bottom w:val="nil"/>
              <w:right w:val="nil"/>
            </w:tcBorders>
            <w:noWrap/>
            <w:textDirection w:val="lrTb"/>
            <w:vAlign w:val="center"/>
          </w:tcPr>
          <w:p w:rsidR="000A6169" w:rsidRPr="00896984" w:rsidP="00942EF3">
            <w:pPr>
              <w:bidi w:val="0"/>
              <w:rPr>
                <w:rFonts w:ascii="Times New Roman" w:hAnsi="Times New Roman" w:cs="Times New Roman"/>
                <w:sz w:val="14"/>
                <w:szCs w:val="14"/>
              </w:rPr>
            </w:pPr>
          </w:p>
        </w:tc>
        <w:tc>
          <w:tcPr>
            <w:tcW w:w="999" w:type="dxa"/>
            <w:tcBorders>
              <w:top w:val="nil"/>
              <w:left w:val="nil"/>
              <w:bottom w:val="nil"/>
              <w:right w:val="nil"/>
            </w:tcBorders>
            <w:noWrap/>
            <w:textDirection w:val="lrTb"/>
            <w:vAlign w:val="center"/>
          </w:tcPr>
          <w:p w:rsidR="000A6169" w:rsidRPr="00896984" w:rsidP="00942EF3">
            <w:pPr>
              <w:bidi w:val="0"/>
              <w:rPr>
                <w:rFonts w:ascii="Times New Roman" w:hAnsi="Times New Roman" w:cs="Times New Roman"/>
                <w:sz w:val="14"/>
                <w:szCs w:val="14"/>
              </w:rPr>
            </w:pPr>
          </w:p>
        </w:tc>
      </w:tr>
    </w:tbl>
    <w:p w:rsidR="000A6169" w:rsidRPr="00896984" w:rsidP="000A6169">
      <w:pPr>
        <w:pStyle w:val="Heading2"/>
        <w:bidi w:val="0"/>
        <w:rPr>
          <w:rFonts w:ascii="Times New Roman" w:hAnsi="Times New Roman"/>
          <w:i w:val="0"/>
          <w:iCs w:val="0"/>
          <w:sz w:val="24"/>
          <w:szCs w:val="24"/>
        </w:rPr>
      </w:pPr>
      <w:bookmarkStart w:id="40" w:name="_Toc273148232"/>
      <w:bookmarkStart w:id="41" w:name="_Toc273950833"/>
      <w:bookmarkStart w:id="42" w:name="_Toc306089062"/>
      <w:r w:rsidRPr="00896984">
        <w:rPr>
          <w:rFonts w:ascii="Times New Roman" w:hAnsi="Times New Roman"/>
          <w:i w:val="0"/>
          <w:iCs w:val="0"/>
          <w:sz w:val="24"/>
          <w:szCs w:val="24"/>
        </w:rPr>
        <w:t>4.4. Akruálne dane pre návrh rozpočtu verejnej správy na roky 2012 až 201</w:t>
      </w:r>
      <w:bookmarkEnd w:id="40"/>
      <w:bookmarkEnd w:id="41"/>
      <w:r w:rsidRPr="00896984">
        <w:rPr>
          <w:rFonts w:ascii="Times New Roman" w:hAnsi="Times New Roman"/>
          <w:i w:val="0"/>
          <w:iCs w:val="0"/>
          <w:sz w:val="24"/>
          <w:szCs w:val="24"/>
        </w:rPr>
        <w:t>4</w:t>
      </w:r>
      <w:bookmarkEnd w:id="42"/>
    </w:p>
    <w:p w:rsidR="000A6169" w:rsidRPr="00896984" w:rsidP="000A6169">
      <w:pPr>
        <w:bidi w:val="0"/>
        <w:ind w:firstLine="708"/>
        <w:jc w:val="both"/>
        <w:rPr>
          <w:rFonts w:ascii="Times New Roman" w:hAnsi="Times New Roman" w:cs="Times New Roman"/>
          <w:highlight w:val="yellow"/>
        </w:rPr>
      </w:pPr>
    </w:p>
    <w:p w:rsidR="000A6169" w:rsidRPr="00896984" w:rsidP="000A6169">
      <w:pPr>
        <w:bidi w:val="0"/>
        <w:ind w:firstLine="708"/>
        <w:jc w:val="both"/>
        <w:rPr>
          <w:rFonts w:ascii="Times New Roman" w:hAnsi="Times New Roman" w:cs="Times New Roman"/>
        </w:rPr>
      </w:pPr>
      <w:r w:rsidRPr="00896984">
        <w:rPr>
          <w:rFonts w:ascii="Times New Roman" w:hAnsi="Times New Roman" w:cs="Times New Roman"/>
        </w:rPr>
        <w:t xml:space="preserve">Celkové daňové príjmy verejnej správy v metodike ESA 95 rastú v súlade s ekonomikou. V rámci štruktúry je vidno len prerozdelenie medzi priamymi daňami a odvodmi, čo súvisí s daňovo-odvodovou reformou, keď časť sociálnych a zdravotných odvodov bude v rozpočte verejnej správy nahradených daňou z príjmu fyzických osôb. </w:t>
      </w:r>
    </w:p>
    <w:p w:rsidR="000A6169" w:rsidRPr="00896984" w:rsidP="000A6169">
      <w:pPr>
        <w:bidi w:val="0"/>
        <w:jc w:val="both"/>
        <w:rPr>
          <w:rFonts w:ascii="Times New Roman" w:hAnsi="Times New Roman" w:cs="Times New Roman"/>
        </w:rPr>
      </w:pPr>
    </w:p>
    <w:tbl>
      <w:tblPr>
        <w:tblStyle w:val="TableNormal"/>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3154"/>
        <w:gridCol w:w="987"/>
        <w:gridCol w:w="986"/>
        <w:gridCol w:w="986"/>
        <w:gridCol w:w="986"/>
        <w:gridCol w:w="986"/>
        <w:gridCol w:w="987"/>
      </w:tblGrid>
      <w:tr>
        <w:tblPrEx>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266"/>
          <w:jc w:val="center"/>
        </w:trPr>
        <w:tc>
          <w:tcPr>
            <w:tcW w:w="315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A6169" w:rsidRPr="00896984" w:rsidP="00942EF3">
            <w:pPr>
              <w:bidi w:val="0"/>
              <w:rPr>
                <w:rFonts w:ascii="Times New Roman" w:hAnsi="Times New Roman" w:cs="Times New Roman"/>
                <w:b/>
                <w:bCs/>
                <w:sz w:val="14"/>
                <w:szCs w:val="14"/>
              </w:rPr>
            </w:pPr>
            <w:r w:rsidRPr="00896984">
              <w:rPr>
                <w:rFonts w:ascii="Times New Roman" w:hAnsi="Times New Roman" w:cs="Times New Roman"/>
                <w:b/>
                <w:bCs/>
                <w:sz w:val="14"/>
                <w:szCs w:val="14"/>
              </w:rPr>
              <w:t>Daňové a odvodové príjmy VS (ESA 95, % HDP)</w:t>
            </w:r>
            <w:r>
              <w:rPr>
                <w:rStyle w:val="FootnoteReference"/>
                <w:rFonts w:ascii="Times New Roman" w:hAnsi="Times New Roman" w:cs="Times New Roman"/>
                <w:b/>
                <w:bCs/>
                <w:sz w:val="14"/>
                <w:szCs w:val="14"/>
                <w:rtl w:val="0"/>
              </w:rPr>
              <w:footnoteReference w:id="5"/>
            </w:r>
          </w:p>
        </w:tc>
        <w:tc>
          <w:tcPr>
            <w:tcW w:w="98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A6169" w:rsidRPr="00896984" w:rsidP="00942EF3">
            <w:pPr>
              <w:bidi w:val="0"/>
              <w:jc w:val="center"/>
              <w:rPr>
                <w:rFonts w:ascii="Times New Roman" w:hAnsi="Times New Roman" w:cs="Times New Roman"/>
                <w:b/>
                <w:bCs/>
                <w:sz w:val="14"/>
                <w:szCs w:val="14"/>
              </w:rPr>
            </w:pPr>
            <w:r w:rsidRPr="00896984">
              <w:rPr>
                <w:rFonts w:ascii="Times New Roman" w:hAnsi="Times New Roman" w:cs="Times New Roman"/>
                <w:b/>
                <w:bCs/>
                <w:sz w:val="14"/>
                <w:szCs w:val="14"/>
              </w:rPr>
              <w:t>2009 S</w:t>
            </w:r>
          </w:p>
        </w:tc>
        <w:tc>
          <w:tcPr>
            <w:tcW w:w="98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A6169" w:rsidRPr="00896984" w:rsidP="00942EF3">
            <w:pPr>
              <w:bidi w:val="0"/>
              <w:jc w:val="center"/>
              <w:rPr>
                <w:rFonts w:ascii="Times New Roman" w:hAnsi="Times New Roman" w:cs="Times New Roman"/>
                <w:b/>
                <w:bCs/>
                <w:sz w:val="14"/>
                <w:szCs w:val="14"/>
              </w:rPr>
            </w:pPr>
            <w:r w:rsidRPr="00896984">
              <w:rPr>
                <w:rFonts w:ascii="Times New Roman" w:hAnsi="Times New Roman" w:cs="Times New Roman"/>
                <w:b/>
                <w:bCs/>
                <w:sz w:val="14"/>
                <w:szCs w:val="14"/>
              </w:rPr>
              <w:t>2010 OS</w:t>
            </w:r>
          </w:p>
        </w:tc>
        <w:tc>
          <w:tcPr>
            <w:tcW w:w="98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A6169" w:rsidRPr="00896984" w:rsidP="00942EF3">
            <w:pPr>
              <w:bidi w:val="0"/>
              <w:jc w:val="center"/>
              <w:rPr>
                <w:rFonts w:ascii="Times New Roman" w:hAnsi="Times New Roman" w:cs="Times New Roman"/>
                <w:b/>
                <w:bCs/>
                <w:sz w:val="14"/>
                <w:szCs w:val="14"/>
              </w:rPr>
            </w:pPr>
            <w:r w:rsidRPr="00896984">
              <w:rPr>
                <w:rFonts w:ascii="Times New Roman" w:hAnsi="Times New Roman" w:cs="Times New Roman"/>
                <w:b/>
                <w:bCs/>
                <w:sz w:val="14"/>
                <w:szCs w:val="14"/>
              </w:rPr>
              <w:t>2011 N</w:t>
            </w:r>
          </w:p>
        </w:tc>
        <w:tc>
          <w:tcPr>
            <w:tcW w:w="98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A6169" w:rsidRPr="00896984" w:rsidP="00942EF3">
            <w:pPr>
              <w:bidi w:val="0"/>
              <w:jc w:val="center"/>
              <w:rPr>
                <w:rFonts w:ascii="Times New Roman" w:hAnsi="Times New Roman" w:cs="Times New Roman"/>
                <w:b/>
                <w:bCs/>
                <w:sz w:val="14"/>
                <w:szCs w:val="14"/>
              </w:rPr>
            </w:pPr>
            <w:r w:rsidRPr="00896984">
              <w:rPr>
                <w:rFonts w:ascii="Times New Roman" w:hAnsi="Times New Roman" w:cs="Times New Roman"/>
                <w:b/>
                <w:bCs/>
                <w:sz w:val="14"/>
                <w:szCs w:val="14"/>
              </w:rPr>
              <w:t>2012 N</w:t>
            </w:r>
          </w:p>
        </w:tc>
        <w:tc>
          <w:tcPr>
            <w:tcW w:w="98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A6169" w:rsidRPr="00896984" w:rsidP="00942EF3">
            <w:pPr>
              <w:bidi w:val="0"/>
              <w:jc w:val="center"/>
              <w:rPr>
                <w:rFonts w:ascii="Times New Roman" w:hAnsi="Times New Roman" w:cs="Times New Roman"/>
                <w:b/>
                <w:bCs/>
                <w:sz w:val="14"/>
                <w:szCs w:val="14"/>
              </w:rPr>
            </w:pPr>
            <w:r w:rsidRPr="00896984">
              <w:rPr>
                <w:rFonts w:ascii="Times New Roman" w:hAnsi="Times New Roman" w:cs="Times New Roman"/>
                <w:b/>
                <w:bCs/>
                <w:sz w:val="14"/>
                <w:szCs w:val="14"/>
              </w:rPr>
              <w:t>2013 N</w:t>
            </w:r>
          </w:p>
        </w:tc>
        <w:tc>
          <w:tcPr>
            <w:tcW w:w="98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A6169" w:rsidRPr="00896984" w:rsidP="00942EF3">
            <w:pPr>
              <w:bidi w:val="0"/>
              <w:jc w:val="center"/>
              <w:rPr>
                <w:rFonts w:ascii="Times New Roman" w:hAnsi="Times New Roman" w:cs="Times New Roman"/>
                <w:b/>
                <w:bCs/>
                <w:sz w:val="14"/>
                <w:szCs w:val="14"/>
              </w:rPr>
            </w:pPr>
            <w:r w:rsidRPr="00896984">
              <w:rPr>
                <w:rFonts w:ascii="Times New Roman" w:hAnsi="Times New Roman" w:cs="Times New Roman"/>
                <w:b/>
                <w:bCs/>
                <w:sz w:val="14"/>
                <w:szCs w:val="14"/>
              </w:rPr>
              <w:t>2014 N</w:t>
            </w:r>
          </w:p>
        </w:tc>
      </w:tr>
      <w:tr>
        <w:tblPrEx>
          <w:tblW w:w="9072" w:type="dxa"/>
          <w:jc w:val="center"/>
          <w:tblLayout w:type="fixed"/>
          <w:tblCellMar>
            <w:left w:w="70" w:type="dxa"/>
            <w:right w:w="70" w:type="dxa"/>
          </w:tblCellMar>
        </w:tblPrEx>
        <w:trPr>
          <w:trHeight w:val="266"/>
          <w:jc w:val="center"/>
        </w:trPr>
        <w:tc>
          <w:tcPr>
            <w:tcW w:w="3154"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896984" w:rsidP="00942EF3">
            <w:pPr>
              <w:bidi w:val="0"/>
              <w:rPr>
                <w:rFonts w:ascii="Times New Roman" w:hAnsi="Times New Roman" w:cs="Times New Roman"/>
                <w:sz w:val="14"/>
                <w:szCs w:val="14"/>
              </w:rPr>
            </w:pPr>
            <w:r w:rsidRPr="00896984">
              <w:rPr>
                <w:rFonts w:ascii="Times New Roman" w:hAnsi="Times New Roman" w:cs="Times New Roman"/>
                <w:sz w:val="14"/>
                <w:szCs w:val="14"/>
              </w:rPr>
              <w:t>Priame dane</w:t>
            </w:r>
          </w:p>
        </w:tc>
        <w:tc>
          <w:tcPr>
            <w:tcW w:w="987"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center"/>
              <w:rPr>
                <w:rFonts w:ascii="Times New Roman" w:hAnsi="Times New Roman" w:cs="Times New Roman"/>
                <w:sz w:val="14"/>
                <w:szCs w:val="14"/>
              </w:rPr>
            </w:pPr>
            <w:r w:rsidRPr="00896984">
              <w:rPr>
                <w:rFonts w:ascii="Times New Roman" w:hAnsi="Times New Roman" w:cs="Times New Roman"/>
                <w:sz w:val="14"/>
                <w:szCs w:val="14"/>
              </w:rPr>
              <w:t>5,2</w:t>
            </w:r>
          </w:p>
        </w:tc>
        <w:tc>
          <w:tcPr>
            <w:tcW w:w="986"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center"/>
              <w:rPr>
                <w:rFonts w:ascii="Times New Roman" w:hAnsi="Times New Roman" w:cs="Times New Roman"/>
                <w:sz w:val="14"/>
                <w:szCs w:val="14"/>
              </w:rPr>
            </w:pPr>
            <w:r w:rsidRPr="00896984">
              <w:rPr>
                <w:rFonts w:ascii="Times New Roman" w:hAnsi="Times New Roman" w:cs="Times New Roman"/>
                <w:sz w:val="14"/>
                <w:szCs w:val="14"/>
              </w:rPr>
              <w:t>5,0</w:t>
            </w:r>
          </w:p>
        </w:tc>
        <w:tc>
          <w:tcPr>
            <w:tcW w:w="986"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center"/>
              <w:rPr>
                <w:rFonts w:ascii="Times New Roman" w:hAnsi="Times New Roman" w:cs="Times New Roman"/>
                <w:sz w:val="14"/>
                <w:szCs w:val="14"/>
              </w:rPr>
            </w:pPr>
            <w:r w:rsidRPr="00896984">
              <w:rPr>
                <w:rFonts w:ascii="Times New Roman" w:hAnsi="Times New Roman" w:cs="Times New Roman"/>
                <w:sz w:val="14"/>
                <w:szCs w:val="14"/>
              </w:rPr>
              <w:t>5,4</w:t>
            </w:r>
          </w:p>
        </w:tc>
        <w:tc>
          <w:tcPr>
            <w:tcW w:w="986"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896984" w:rsidP="00942EF3">
            <w:pPr>
              <w:bidi w:val="0"/>
              <w:jc w:val="center"/>
              <w:rPr>
                <w:rFonts w:ascii="Times New Roman" w:hAnsi="Times New Roman" w:cs="Times New Roman"/>
                <w:sz w:val="14"/>
                <w:szCs w:val="14"/>
              </w:rPr>
            </w:pPr>
            <w:r w:rsidRPr="00896984">
              <w:rPr>
                <w:rFonts w:ascii="Times New Roman" w:hAnsi="Times New Roman" w:cs="Times New Roman"/>
                <w:sz w:val="14"/>
                <w:szCs w:val="14"/>
              </w:rPr>
              <w:t>8,0</w:t>
            </w:r>
          </w:p>
        </w:tc>
        <w:tc>
          <w:tcPr>
            <w:tcW w:w="986"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896984" w:rsidP="00942EF3">
            <w:pPr>
              <w:bidi w:val="0"/>
              <w:jc w:val="center"/>
              <w:rPr>
                <w:rFonts w:ascii="Times New Roman" w:hAnsi="Times New Roman" w:cs="Times New Roman"/>
                <w:sz w:val="14"/>
                <w:szCs w:val="14"/>
              </w:rPr>
            </w:pPr>
            <w:r w:rsidRPr="00896984">
              <w:rPr>
                <w:rFonts w:ascii="Times New Roman" w:hAnsi="Times New Roman" w:cs="Times New Roman"/>
                <w:sz w:val="14"/>
                <w:szCs w:val="14"/>
              </w:rPr>
              <w:t>8,1</w:t>
            </w:r>
          </w:p>
        </w:tc>
        <w:tc>
          <w:tcPr>
            <w:tcW w:w="987"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896984" w:rsidP="00942EF3">
            <w:pPr>
              <w:bidi w:val="0"/>
              <w:jc w:val="center"/>
              <w:rPr>
                <w:rFonts w:ascii="Times New Roman" w:hAnsi="Times New Roman" w:cs="Times New Roman"/>
                <w:sz w:val="14"/>
                <w:szCs w:val="14"/>
              </w:rPr>
            </w:pPr>
            <w:r w:rsidRPr="00896984">
              <w:rPr>
                <w:rFonts w:ascii="Times New Roman" w:hAnsi="Times New Roman" w:cs="Times New Roman"/>
                <w:sz w:val="14"/>
                <w:szCs w:val="14"/>
              </w:rPr>
              <w:t>8,2</w:t>
            </w:r>
          </w:p>
        </w:tc>
      </w:tr>
      <w:tr>
        <w:tblPrEx>
          <w:tblW w:w="9072" w:type="dxa"/>
          <w:jc w:val="center"/>
          <w:tblLayout w:type="fixed"/>
          <w:tblCellMar>
            <w:left w:w="70" w:type="dxa"/>
            <w:right w:w="70" w:type="dxa"/>
          </w:tblCellMar>
        </w:tblPrEx>
        <w:trPr>
          <w:trHeight w:val="266"/>
          <w:jc w:val="center"/>
        </w:trPr>
        <w:tc>
          <w:tcPr>
            <w:tcW w:w="3154"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896984" w:rsidP="00942EF3">
            <w:pPr>
              <w:bidi w:val="0"/>
              <w:rPr>
                <w:rFonts w:ascii="Times New Roman" w:hAnsi="Times New Roman" w:cs="Times New Roman"/>
                <w:sz w:val="14"/>
                <w:szCs w:val="14"/>
              </w:rPr>
            </w:pPr>
            <w:r w:rsidRPr="00896984">
              <w:rPr>
                <w:rFonts w:ascii="Times New Roman" w:hAnsi="Times New Roman" w:cs="Times New Roman"/>
                <w:sz w:val="14"/>
                <w:szCs w:val="14"/>
              </w:rPr>
              <w:t>Nepriame dane</w:t>
            </w:r>
          </w:p>
        </w:tc>
        <w:tc>
          <w:tcPr>
            <w:tcW w:w="987"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center"/>
              <w:rPr>
                <w:rFonts w:ascii="Times New Roman" w:hAnsi="Times New Roman" w:cs="Times New Roman"/>
                <w:sz w:val="14"/>
                <w:szCs w:val="14"/>
              </w:rPr>
            </w:pPr>
            <w:r w:rsidRPr="00896984">
              <w:rPr>
                <w:rFonts w:ascii="Times New Roman" w:hAnsi="Times New Roman" w:cs="Times New Roman"/>
                <w:sz w:val="14"/>
                <w:szCs w:val="14"/>
              </w:rPr>
              <w:t>10,5</w:t>
            </w:r>
          </w:p>
        </w:tc>
        <w:tc>
          <w:tcPr>
            <w:tcW w:w="986"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center"/>
              <w:rPr>
                <w:rFonts w:ascii="Times New Roman" w:hAnsi="Times New Roman" w:cs="Times New Roman"/>
                <w:sz w:val="14"/>
                <w:szCs w:val="14"/>
              </w:rPr>
            </w:pPr>
            <w:r w:rsidRPr="00896984">
              <w:rPr>
                <w:rFonts w:ascii="Times New Roman" w:hAnsi="Times New Roman" w:cs="Times New Roman"/>
                <w:sz w:val="14"/>
                <w:szCs w:val="14"/>
              </w:rPr>
              <w:t>10,3</w:t>
            </w:r>
          </w:p>
        </w:tc>
        <w:tc>
          <w:tcPr>
            <w:tcW w:w="986"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center"/>
              <w:rPr>
                <w:rFonts w:ascii="Times New Roman" w:hAnsi="Times New Roman" w:cs="Times New Roman"/>
                <w:sz w:val="14"/>
                <w:szCs w:val="14"/>
              </w:rPr>
            </w:pPr>
            <w:r w:rsidRPr="00896984">
              <w:rPr>
                <w:rFonts w:ascii="Times New Roman" w:hAnsi="Times New Roman" w:cs="Times New Roman"/>
                <w:sz w:val="14"/>
                <w:szCs w:val="14"/>
              </w:rPr>
              <w:t>10,7</w:t>
            </w:r>
          </w:p>
        </w:tc>
        <w:tc>
          <w:tcPr>
            <w:tcW w:w="986"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896984" w:rsidP="00942EF3">
            <w:pPr>
              <w:bidi w:val="0"/>
              <w:jc w:val="center"/>
              <w:rPr>
                <w:rFonts w:ascii="Times New Roman" w:hAnsi="Times New Roman" w:cs="Times New Roman"/>
                <w:sz w:val="14"/>
                <w:szCs w:val="14"/>
              </w:rPr>
            </w:pPr>
            <w:r w:rsidRPr="00896984">
              <w:rPr>
                <w:rFonts w:ascii="Times New Roman" w:hAnsi="Times New Roman" w:cs="Times New Roman"/>
                <w:sz w:val="14"/>
                <w:szCs w:val="14"/>
              </w:rPr>
              <w:t>10,5</w:t>
            </w:r>
          </w:p>
        </w:tc>
        <w:tc>
          <w:tcPr>
            <w:tcW w:w="986"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896984" w:rsidP="00942EF3">
            <w:pPr>
              <w:bidi w:val="0"/>
              <w:jc w:val="center"/>
              <w:rPr>
                <w:rFonts w:ascii="Times New Roman" w:hAnsi="Times New Roman" w:cs="Times New Roman"/>
                <w:sz w:val="14"/>
                <w:szCs w:val="14"/>
              </w:rPr>
            </w:pPr>
            <w:r w:rsidRPr="00896984">
              <w:rPr>
                <w:rFonts w:ascii="Times New Roman" w:hAnsi="Times New Roman" w:cs="Times New Roman"/>
                <w:sz w:val="14"/>
                <w:szCs w:val="14"/>
              </w:rPr>
              <w:t>10,3</w:t>
            </w:r>
          </w:p>
        </w:tc>
        <w:tc>
          <w:tcPr>
            <w:tcW w:w="987"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896984" w:rsidP="00942EF3">
            <w:pPr>
              <w:bidi w:val="0"/>
              <w:jc w:val="center"/>
              <w:rPr>
                <w:rFonts w:ascii="Times New Roman" w:hAnsi="Times New Roman" w:cs="Times New Roman"/>
                <w:sz w:val="14"/>
                <w:szCs w:val="14"/>
              </w:rPr>
            </w:pPr>
            <w:r w:rsidRPr="00896984">
              <w:rPr>
                <w:rFonts w:ascii="Times New Roman" w:hAnsi="Times New Roman" w:cs="Times New Roman"/>
                <w:sz w:val="14"/>
                <w:szCs w:val="14"/>
              </w:rPr>
              <w:t>10,1</w:t>
            </w:r>
          </w:p>
        </w:tc>
      </w:tr>
      <w:tr>
        <w:tblPrEx>
          <w:tblW w:w="9072" w:type="dxa"/>
          <w:jc w:val="center"/>
          <w:tblLayout w:type="fixed"/>
          <w:tblCellMar>
            <w:left w:w="70" w:type="dxa"/>
            <w:right w:w="70" w:type="dxa"/>
          </w:tblCellMar>
        </w:tblPrEx>
        <w:trPr>
          <w:trHeight w:val="266"/>
          <w:jc w:val="center"/>
        </w:trPr>
        <w:tc>
          <w:tcPr>
            <w:tcW w:w="3154"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896984" w:rsidP="00942EF3">
            <w:pPr>
              <w:bidi w:val="0"/>
              <w:rPr>
                <w:rFonts w:ascii="Times New Roman" w:hAnsi="Times New Roman" w:cs="Times New Roman"/>
                <w:sz w:val="14"/>
                <w:szCs w:val="14"/>
              </w:rPr>
            </w:pPr>
            <w:r w:rsidRPr="00896984">
              <w:rPr>
                <w:rFonts w:ascii="Times New Roman" w:hAnsi="Times New Roman" w:cs="Times New Roman"/>
                <w:sz w:val="14"/>
                <w:szCs w:val="14"/>
              </w:rPr>
              <w:t>Odvody EAO</w:t>
            </w:r>
          </w:p>
        </w:tc>
        <w:tc>
          <w:tcPr>
            <w:tcW w:w="987"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center"/>
              <w:rPr>
                <w:rFonts w:ascii="Times New Roman" w:hAnsi="Times New Roman" w:cs="Times New Roman"/>
                <w:sz w:val="14"/>
                <w:szCs w:val="14"/>
              </w:rPr>
            </w:pPr>
            <w:r w:rsidRPr="00896984">
              <w:rPr>
                <w:rFonts w:ascii="Times New Roman" w:hAnsi="Times New Roman" w:cs="Times New Roman"/>
                <w:sz w:val="14"/>
                <w:szCs w:val="14"/>
              </w:rPr>
              <w:t>10,3</w:t>
            </w:r>
          </w:p>
        </w:tc>
        <w:tc>
          <w:tcPr>
            <w:tcW w:w="986"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center"/>
              <w:rPr>
                <w:rFonts w:ascii="Times New Roman" w:hAnsi="Times New Roman" w:cs="Times New Roman"/>
                <w:sz w:val="14"/>
                <w:szCs w:val="14"/>
              </w:rPr>
            </w:pPr>
            <w:r w:rsidRPr="00896984">
              <w:rPr>
                <w:rFonts w:ascii="Times New Roman" w:hAnsi="Times New Roman" w:cs="Times New Roman"/>
                <w:sz w:val="14"/>
                <w:szCs w:val="14"/>
              </w:rPr>
              <w:t>9,8</w:t>
            </w:r>
          </w:p>
        </w:tc>
        <w:tc>
          <w:tcPr>
            <w:tcW w:w="986"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center"/>
              <w:rPr>
                <w:rFonts w:ascii="Times New Roman" w:hAnsi="Times New Roman" w:cs="Times New Roman"/>
                <w:sz w:val="14"/>
                <w:szCs w:val="14"/>
              </w:rPr>
            </w:pPr>
            <w:r w:rsidRPr="00896984">
              <w:rPr>
                <w:rFonts w:ascii="Times New Roman" w:hAnsi="Times New Roman" w:cs="Times New Roman"/>
                <w:sz w:val="14"/>
                <w:szCs w:val="14"/>
              </w:rPr>
              <w:t>10,0</w:t>
            </w:r>
          </w:p>
        </w:tc>
        <w:tc>
          <w:tcPr>
            <w:tcW w:w="986"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896984" w:rsidP="00942EF3">
            <w:pPr>
              <w:bidi w:val="0"/>
              <w:jc w:val="center"/>
              <w:rPr>
                <w:rFonts w:ascii="Times New Roman" w:hAnsi="Times New Roman" w:cs="Times New Roman"/>
                <w:sz w:val="14"/>
                <w:szCs w:val="14"/>
              </w:rPr>
            </w:pPr>
            <w:r w:rsidRPr="00896984">
              <w:rPr>
                <w:rFonts w:ascii="Times New Roman" w:hAnsi="Times New Roman" w:cs="Times New Roman"/>
                <w:sz w:val="14"/>
                <w:szCs w:val="14"/>
              </w:rPr>
              <w:t>7,5</w:t>
            </w:r>
          </w:p>
        </w:tc>
        <w:tc>
          <w:tcPr>
            <w:tcW w:w="986"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896984" w:rsidP="00942EF3">
            <w:pPr>
              <w:bidi w:val="0"/>
              <w:jc w:val="center"/>
              <w:rPr>
                <w:rFonts w:ascii="Times New Roman" w:hAnsi="Times New Roman" w:cs="Times New Roman"/>
                <w:sz w:val="14"/>
                <w:szCs w:val="14"/>
              </w:rPr>
            </w:pPr>
            <w:r w:rsidRPr="00896984">
              <w:rPr>
                <w:rFonts w:ascii="Times New Roman" w:hAnsi="Times New Roman" w:cs="Times New Roman"/>
                <w:sz w:val="14"/>
                <w:szCs w:val="14"/>
              </w:rPr>
              <w:t>7,6</w:t>
            </w:r>
          </w:p>
        </w:tc>
        <w:tc>
          <w:tcPr>
            <w:tcW w:w="987"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896984" w:rsidP="00942EF3">
            <w:pPr>
              <w:bidi w:val="0"/>
              <w:jc w:val="center"/>
              <w:rPr>
                <w:rFonts w:ascii="Times New Roman" w:hAnsi="Times New Roman" w:cs="Times New Roman"/>
                <w:sz w:val="14"/>
                <w:szCs w:val="14"/>
              </w:rPr>
            </w:pPr>
            <w:r w:rsidRPr="00896984">
              <w:rPr>
                <w:rFonts w:ascii="Times New Roman" w:hAnsi="Times New Roman" w:cs="Times New Roman"/>
                <w:sz w:val="14"/>
                <w:szCs w:val="14"/>
              </w:rPr>
              <w:t>7,5</w:t>
            </w:r>
          </w:p>
        </w:tc>
      </w:tr>
      <w:tr>
        <w:tblPrEx>
          <w:tblW w:w="9072" w:type="dxa"/>
          <w:jc w:val="center"/>
          <w:tblLayout w:type="fixed"/>
          <w:tblCellMar>
            <w:left w:w="70" w:type="dxa"/>
            <w:right w:w="70" w:type="dxa"/>
          </w:tblCellMar>
        </w:tblPrEx>
        <w:trPr>
          <w:trHeight w:val="266"/>
          <w:jc w:val="center"/>
        </w:trPr>
        <w:tc>
          <w:tcPr>
            <w:tcW w:w="3154"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896984" w:rsidP="00942EF3">
            <w:pPr>
              <w:bidi w:val="0"/>
              <w:rPr>
                <w:rFonts w:ascii="Times New Roman" w:hAnsi="Times New Roman" w:cs="Times New Roman"/>
                <w:b/>
                <w:bCs/>
                <w:sz w:val="14"/>
                <w:szCs w:val="14"/>
              </w:rPr>
            </w:pPr>
            <w:r w:rsidRPr="00896984">
              <w:rPr>
                <w:rFonts w:ascii="Times New Roman" w:hAnsi="Times New Roman" w:cs="Times New Roman"/>
                <w:b/>
                <w:bCs/>
                <w:sz w:val="14"/>
                <w:szCs w:val="14"/>
              </w:rPr>
              <w:t>Daňové a odvodové príjmy VS spolu</w:t>
            </w:r>
          </w:p>
        </w:tc>
        <w:tc>
          <w:tcPr>
            <w:tcW w:w="987"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center"/>
              <w:rPr>
                <w:rFonts w:ascii="Times New Roman" w:hAnsi="Times New Roman" w:cs="Times New Roman"/>
                <w:b/>
                <w:sz w:val="14"/>
                <w:szCs w:val="14"/>
              </w:rPr>
            </w:pPr>
            <w:r w:rsidRPr="00896984">
              <w:rPr>
                <w:rFonts w:ascii="Times New Roman" w:hAnsi="Times New Roman" w:cs="Times New Roman"/>
                <w:b/>
                <w:sz w:val="14"/>
                <w:szCs w:val="14"/>
              </w:rPr>
              <w:t>26,0</w:t>
            </w:r>
          </w:p>
        </w:tc>
        <w:tc>
          <w:tcPr>
            <w:tcW w:w="986"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center"/>
              <w:rPr>
                <w:rFonts w:ascii="Times New Roman" w:hAnsi="Times New Roman" w:cs="Times New Roman"/>
                <w:b/>
                <w:sz w:val="14"/>
                <w:szCs w:val="14"/>
              </w:rPr>
            </w:pPr>
            <w:r w:rsidRPr="00896984">
              <w:rPr>
                <w:rFonts w:ascii="Times New Roman" w:hAnsi="Times New Roman" w:cs="Times New Roman"/>
                <w:b/>
                <w:sz w:val="14"/>
                <w:szCs w:val="14"/>
              </w:rPr>
              <w:t>25,2</w:t>
            </w:r>
          </w:p>
        </w:tc>
        <w:tc>
          <w:tcPr>
            <w:tcW w:w="986"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center"/>
              <w:rPr>
                <w:rFonts w:ascii="Times New Roman" w:hAnsi="Times New Roman" w:cs="Times New Roman"/>
                <w:b/>
                <w:sz w:val="14"/>
                <w:szCs w:val="14"/>
              </w:rPr>
            </w:pPr>
            <w:r w:rsidRPr="00896984">
              <w:rPr>
                <w:rFonts w:ascii="Times New Roman" w:hAnsi="Times New Roman" w:cs="Times New Roman"/>
                <w:b/>
                <w:sz w:val="14"/>
                <w:szCs w:val="14"/>
              </w:rPr>
              <w:t>26,1</w:t>
            </w:r>
          </w:p>
        </w:tc>
        <w:tc>
          <w:tcPr>
            <w:tcW w:w="986"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896984" w:rsidP="00942EF3">
            <w:pPr>
              <w:bidi w:val="0"/>
              <w:jc w:val="center"/>
              <w:rPr>
                <w:rFonts w:ascii="Times New Roman" w:hAnsi="Times New Roman" w:cs="Times New Roman"/>
                <w:b/>
                <w:sz w:val="14"/>
                <w:szCs w:val="14"/>
              </w:rPr>
            </w:pPr>
            <w:r w:rsidRPr="00896984">
              <w:rPr>
                <w:rFonts w:ascii="Times New Roman" w:hAnsi="Times New Roman" w:cs="Times New Roman"/>
                <w:b/>
                <w:sz w:val="14"/>
                <w:szCs w:val="14"/>
              </w:rPr>
              <w:t>26,0</w:t>
            </w:r>
          </w:p>
        </w:tc>
        <w:tc>
          <w:tcPr>
            <w:tcW w:w="986"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896984" w:rsidP="00942EF3">
            <w:pPr>
              <w:bidi w:val="0"/>
              <w:jc w:val="center"/>
              <w:rPr>
                <w:rFonts w:ascii="Times New Roman" w:hAnsi="Times New Roman" w:cs="Times New Roman"/>
                <w:b/>
                <w:sz w:val="14"/>
                <w:szCs w:val="14"/>
              </w:rPr>
            </w:pPr>
            <w:r w:rsidRPr="00896984">
              <w:rPr>
                <w:rFonts w:ascii="Times New Roman" w:hAnsi="Times New Roman" w:cs="Times New Roman"/>
                <w:b/>
                <w:sz w:val="14"/>
                <w:szCs w:val="14"/>
              </w:rPr>
              <w:t>26,0</w:t>
            </w:r>
          </w:p>
        </w:tc>
        <w:tc>
          <w:tcPr>
            <w:tcW w:w="987" w:type="dxa"/>
            <w:tcBorders>
              <w:top w:val="single" w:sz="4" w:space="0" w:color="auto"/>
              <w:left w:val="single" w:sz="4" w:space="0" w:color="auto"/>
              <w:bottom w:val="single" w:sz="4" w:space="0" w:color="auto"/>
              <w:right w:val="single" w:sz="4" w:space="0" w:color="auto"/>
            </w:tcBorders>
            <w:noWrap/>
            <w:textDirection w:val="lrTb"/>
            <w:vAlign w:val="center"/>
          </w:tcPr>
          <w:p w:rsidR="000A6169" w:rsidRPr="00896984" w:rsidP="00942EF3">
            <w:pPr>
              <w:bidi w:val="0"/>
              <w:jc w:val="center"/>
              <w:rPr>
                <w:rFonts w:ascii="Times New Roman" w:hAnsi="Times New Roman" w:cs="Times New Roman"/>
                <w:b/>
                <w:sz w:val="14"/>
                <w:szCs w:val="14"/>
              </w:rPr>
            </w:pPr>
            <w:r w:rsidRPr="00896984">
              <w:rPr>
                <w:rFonts w:ascii="Times New Roman" w:hAnsi="Times New Roman" w:cs="Times New Roman"/>
                <w:b/>
                <w:sz w:val="14"/>
                <w:szCs w:val="14"/>
              </w:rPr>
              <w:t>25,8</w:t>
            </w:r>
          </w:p>
        </w:tc>
      </w:tr>
    </w:tbl>
    <w:p w:rsidR="000A6169" w:rsidRPr="00896984" w:rsidP="000A6169">
      <w:pPr>
        <w:bidi w:val="0"/>
        <w:jc w:val="both"/>
        <w:rPr>
          <w:rFonts w:ascii="Times New Roman" w:hAnsi="Times New Roman" w:cs="Times New Roman"/>
        </w:rPr>
      </w:pPr>
    </w:p>
    <w:p w:rsidR="000A6169" w:rsidRPr="00896984" w:rsidP="000A6169">
      <w:pPr>
        <w:bidi w:val="0"/>
        <w:ind w:firstLine="708"/>
        <w:jc w:val="both"/>
        <w:rPr>
          <w:rFonts w:ascii="Times New Roman" w:hAnsi="Times New Roman" w:cs="Times New Roman"/>
        </w:rPr>
      </w:pPr>
      <w:r w:rsidRPr="00896984">
        <w:rPr>
          <w:rFonts w:ascii="Times New Roman" w:hAnsi="Times New Roman" w:cs="Times New Roman"/>
        </w:rPr>
        <w:t>V ďalšej tabuľke sú uvedené rozdiely medzi akruálnymi a hotovostnými odhadmi daní. Najviac sa prognóza daní v metodike ESA 95 odlišuje od predpokladaného hotovostného plnenia v roku 2012.</w:t>
      </w:r>
    </w:p>
    <w:p w:rsidR="000A6169" w:rsidRPr="00896984" w:rsidP="000A6169">
      <w:pPr>
        <w:bidi w:val="0"/>
        <w:jc w:val="both"/>
        <w:rPr>
          <w:rFonts w:ascii="Times New Roman" w:hAnsi="Times New Roman" w:cs="Times New Roman"/>
        </w:rPr>
      </w:pPr>
    </w:p>
    <w:tbl>
      <w:tblPr>
        <w:tblStyle w:val="TableNormal"/>
        <w:tblW w:w="9072" w:type="dxa"/>
        <w:jc w:val="center"/>
        <w:tblCellMar>
          <w:left w:w="70" w:type="dxa"/>
          <w:right w:w="70" w:type="dxa"/>
        </w:tblCellMar>
      </w:tblPr>
      <w:tblGrid>
        <w:gridCol w:w="4584"/>
        <w:gridCol w:w="1122"/>
        <w:gridCol w:w="1122"/>
        <w:gridCol w:w="1122"/>
        <w:gridCol w:w="1122"/>
      </w:tblGrid>
      <w:tr>
        <w:tblPrEx>
          <w:tblW w:w="9072" w:type="dxa"/>
          <w:jc w:val="center"/>
          <w:tblCellMar>
            <w:left w:w="70" w:type="dxa"/>
            <w:right w:w="70" w:type="dxa"/>
          </w:tblCellMar>
        </w:tblPrEx>
        <w:trPr>
          <w:trHeight w:val="270"/>
          <w:jc w:val="center"/>
        </w:trPr>
        <w:tc>
          <w:tcPr>
            <w:tcW w:w="458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A6169" w:rsidRPr="00896984" w:rsidP="00942EF3">
            <w:pPr>
              <w:bidi w:val="0"/>
              <w:rPr>
                <w:rFonts w:ascii="Times New Roman" w:hAnsi="Times New Roman" w:cs="Times New Roman"/>
                <w:b/>
                <w:bCs/>
                <w:sz w:val="14"/>
                <w:szCs w:val="16"/>
              </w:rPr>
            </w:pPr>
            <w:r w:rsidRPr="00896984">
              <w:rPr>
                <w:rFonts w:ascii="Times New Roman" w:hAnsi="Times New Roman" w:cs="Times New Roman"/>
                <w:b/>
                <w:bCs/>
                <w:sz w:val="14"/>
                <w:szCs w:val="16"/>
              </w:rPr>
              <w:t>Odhad rozdielu medzi akruálnymi a hotovostnými prognózami v rokoch 2011 až 2014 (v tis. eur)</w:t>
            </w:r>
          </w:p>
        </w:tc>
        <w:tc>
          <w:tcPr>
            <w:tcW w:w="112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A6169" w:rsidRPr="00896984" w:rsidP="00942EF3">
            <w:pPr>
              <w:bidi w:val="0"/>
              <w:jc w:val="center"/>
              <w:rPr>
                <w:rFonts w:ascii="Times New Roman" w:hAnsi="Times New Roman" w:cs="Times New Roman"/>
                <w:b/>
                <w:bCs/>
                <w:sz w:val="14"/>
                <w:szCs w:val="16"/>
              </w:rPr>
            </w:pPr>
            <w:r w:rsidRPr="00896984">
              <w:rPr>
                <w:rFonts w:ascii="Times New Roman" w:hAnsi="Times New Roman" w:cs="Times New Roman"/>
                <w:b/>
                <w:bCs/>
                <w:sz w:val="14"/>
                <w:szCs w:val="16"/>
              </w:rPr>
              <w:t>2011 N</w:t>
            </w:r>
          </w:p>
        </w:tc>
        <w:tc>
          <w:tcPr>
            <w:tcW w:w="112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A6169" w:rsidRPr="00896984" w:rsidP="00942EF3">
            <w:pPr>
              <w:bidi w:val="0"/>
              <w:jc w:val="center"/>
              <w:rPr>
                <w:rFonts w:ascii="Times New Roman" w:hAnsi="Times New Roman" w:cs="Times New Roman"/>
                <w:b/>
                <w:bCs/>
                <w:sz w:val="14"/>
                <w:szCs w:val="16"/>
              </w:rPr>
            </w:pPr>
            <w:r w:rsidRPr="00896984">
              <w:rPr>
                <w:rFonts w:ascii="Times New Roman" w:hAnsi="Times New Roman" w:cs="Times New Roman"/>
                <w:b/>
                <w:bCs/>
                <w:sz w:val="14"/>
                <w:szCs w:val="16"/>
              </w:rPr>
              <w:t>2012 N</w:t>
            </w:r>
          </w:p>
        </w:tc>
        <w:tc>
          <w:tcPr>
            <w:tcW w:w="112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A6169" w:rsidRPr="00896984" w:rsidP="00942EF3">
            <w:pPr>
              <w:bidi w:val="0"/>
              <w:jc w:val="center"/>
              <w:rPr>
                <w:rFonts w:ascii="Times New Roman" w:hAnsi="Times New Roman" w:cs="Times New Roman"/>
                <w:b/>
                <w:bCs/>
                <w:sz w:val="14"/>
                <w:szCs w:val="16"/>
              </w:rPr>
            </w:pPr>
            <w:r w:rsidRPr="00896984">
              <w:rPr>
                <w:rFonts w:ascii="Times New Roman" w:hAnsi="Times New Roman" w:cs="Times New Roman"/>
                <w:b/>
                <w:bCs/>
                <w:sz w:val="14"/>
                <w:szCs w:val="16"/>
              </w:rPr>
              <w:t>2013 N</w:t>
            </w:r>
          </w:p>
        </w:tc>
        <w:tc>
          <w:tcPr>
            <w:tcW w:w="112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A6169" w:rsidRPr="00896984" w:rsidP="00942EF3">
            <w:pPr>
              <w:bidi w:val="0"/>
              <w:jc w:val="center"/>
              <w:rPr>
                <w:rFonts w:ascii="Times New Roman" w:hAnsi="Times New Roman" w:cs="Times New Roman"/>
                <w:b/>
                <w:bCs/>
                <w:sz w:val="14"/>
                <w:szCs w:val="16"/>
              </w:rPr>
            </w:pPr>
            <w:r w:rsidRPr="00896984">
              <w:rPr>
                <w:rFonts w:ascii="Times New Roman" w:hAnsi="Times New Roman" w:cs="Times New Roman"/>
                <w:b/>
                <w:bCs/>
                <w:sz w:val="14"/>
                <w:szCs w:val="16"/>
              </w:rPr>
              <w:t>2014 N</w:t>
            </w:r>
          </w:p>
        </w:tc>
      </w:tr>
      <w:tr>
        <w:tblPrEx>
          <w:tblW w:w="9072" w:type="dxa"/>
          <w:jc w:val="center"/>
          <w:tblCellMar>
            <w:left w:w="70" w:type="dxa"/>
            <w:right w:w="70" w:type="dxa"/>
          </w:tblCellMar>
        </w:tblPrEx>
        <w:trPr>
          <w:trHeight w:val="270"/>
          <w:jc w:val="center"/>
        </w:trPr>
        <w:tc>
          <w:tcPr>
            <w:tcW w:w="4584"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rPr>
                <w:rFonts w:ascii="Times New Roman" w:hAnsi="Times New Roman" w:cs="Times New Roman"/>
                <w:b/>
                <w:bCs/>
                <w:sz w:val="14"/>
                <w:szCs w:val="16"/>
              </w:rPr>
            </w:pPr>
            <w:r w:rsidRPr="00896984">
              <w:rPr>
                <w:rFonts w:ascii="Times New Roman" w:hAnsi="Times New Roman" w:cs="Times New Roman"/>
                <w:b/>
                <w:bCs/>
                <w:sz w:val="14"/>
                <w:szCs w:val="16"/>
              </w:rPr>
              <w:t>Daňové príjmy VS</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b/>
                <w:bCs/>
                <w:sz w:val="14"/>
                <w:szCs w:val="16"/>
              </w:rPr>
            </w:pPr>
            <w:r w:rsidRPr="00896984">
              <w:rPr>
                <w:rFonts w:ascii="Times New Roman" w:hAnsi="Times New Roman" w:cs="Times New Roman"/>
                <w:b/>
                <w:bCs/>
                <w:sz w:val="14"/>
                <w:szCs w:val="16"/>
              </w:rPr>
              <w:t>183 541</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b/>
                <w:bCs/>
                <w:sz w:val="14"/>
                <w:szCs w:val="16"/>
              </w:rPr>
            </w:pPr>
            <w:r w:rsidRPr="00896984">
              <w:rPr>
                <w:rFonts w:ascii="Times New Roman" w:hAnsi="Times New Roman" w:cs="Times New Roman"/>
                <w:b/>
                <w:bCs/>
                <w:sz w:val="14"/>
                <w:szCs w:val="16"/>
              </w:rPr>
              <w:t>239 058</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b/>
                <w:bCs/>
                <w:sz w:val="14"/>
                <w:szCs w:val="16"/>
              </w:rPr>
            </w:pPr>
            <w:r w:rsidRPr="00896984">
              <w:rPr>
                <w:rFonts w:ascii="Times New Roman" w:hAnsi="Times New Roman" w:cs="Times New Roman"/>
                <w:b/>
                <w:bCs/>
                <w:sz w:val="14"/>
                <w:szCs w:val="16"/>
              </w:rPr>
              <w:t>-140 204</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b/>
                <w:bCs/>
                <w:sz w:val="14"/>
                <w:szCs w:val="16"/>
              </w:rPr>
            </w:pPr>
            <w:r w:rsidRPr="00896984">
              <w:rPr>
                <w:rFonts w:ascii="Times New Roman" w:hAnsi="Times New Roman" w:cs="Times New Roman"/>
                <w:b/>
                <w:bCs/>
                <w:sz w:val="14"/>
                <w:szCs w:val="16"/>
              </w:rPr>
              <w:t>43 820</w:t>
            </w:r>
          </w:p>
        </w:tc>
      </w:tr>
      <w:tr>
        <w:tblPrEx>
          <w:tblW w:w="9072" w:type="dxa"/>
          <w:jc w:val="center"/>
          <w:tblCellMar>
            <w:left w:w="70" w:type="dxa"/>
            <w:right w:w="70" w:type="dxa"/>
          </w:tblCellMar>
        </w:tblPrEx>
        <w:trPr>
          <w:trHeight w:val="270"/>
          <w:jc w:val="center"/>
        </w:trPr>
        <w:tc>
          <w:tcPr>
            <w:tcW w:w="4584"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A14AA2">
            <w:pPr>
              <w:bidi w:val="0"/>
              <w:ind w:firstLine="280" w:firstLineChars="200"/>
              <w:rPr>
                <w:rFonts w:ascii="Times New Roman" w:hAnsi="Times New Roman" w:cs="Times New Roman"/>
                <w:sz w:val="14"/>
                <w:szCs w:val="16"/>
              </w:rPr>
            </w:pPr>
            <w:r w:rsidRPr="00896984">
              <w:rPr>
                <w:rFonts w:ascii="Times New Roman" w:hAnsi="Times New Roman" w:cs="Times New Roman"/>
                <w:sz w:val="14"/>
                <w:szCs w:val="16"/>
              </w:rPr>
              <w:t>štátny rozpočet</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6"/>
              </w:rPr>
            </w:pPr>
            <w:r w:rsidRPr="00896984">
              <w:rPr>
                <w:rFonts w:ascii="Times New Roman" w:hAnsi="Times New Roman" w:cs="Times New Roman"/>
                <w:sz w:val="14"/>
                <w:szCs w:val="16"/>
              </w:rPr>
              <w:t>185 246</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6"/>
              </w:rPr>
            </w:pPr>
            <w:r w:rsidRPr="00896984">
              <w:rPr>
                <w:rFonts w:ascii="Times New Roman" w:hAnsi="Times New Roman" w:cs="Times New Roman"/>
                <w:sz w:val="14"/>
                <w:szCs w:val="16"/>
              </w:rPr>
              <w:t>240 814</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6"/>
              </w:rPr>
            </w:pPr>
            <w:r w:rsidRPr="00896984">
              <w:rPr>
                <w:rFonts w:ascii="Times New Roman" w:hAnsi="Times New Roman" w:cs="Times New Roman"/>
                <w:sz w:val="14"/>
                <w:szCs w:val="16"/>
              </w:rPr>
              <w:t>-138 395</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6"/>
              </w:rPr>
            </w:pPr>
            <w:r w:rsidRPr="00896984">
              <w:rPr>
                <w:rFonts w:ascii="Times New Roman" w:hAnsi="Times New Roman" w:cs="Times New Roman"/>
                <w:sz w:val="14"/>
                <w:szCs w:val="16"/>
              </w:rPr>
              <w:t>45 683</w:t>
            </w:r>
          </w:p>
        </w:tc>
      </w:tr>
      <w:tr>
        <w:tblPrEx>
          <w:tblW w:w="9072" w:type="dxa"/>
          <w:jc w:val="center"/>
          <w:tblCellMar>
            <w:left w:w="70" w:type="dxa"/>
            <w:right w:w="70" w:type="dxa"/>
          </w:tblCellMar>
        </w:tblPrEx>
        <w:trPr>
          <w:trHeight w:val="270"/>
          <w:jc w:val="center"/>
        </w:trPr>
        <w:tc>
          <w:tcPr>
            <w:tcW w:w="4584"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A14AA2">
            <w:pPr>
              <w:bidi w:val="0"/>
              <w:ind w:firstLine="280" w:firstLineChars="200"/>
              <w:rPr>
                <w:rFonts w:ascii="Times New Roman" w:hAnsi="Times New Roman" w:cs="Times New Roman"/>
                <w:sz w:val="14"/>
                <w:szCs w:val="16"/>
              </w:rPr>
            </w:pPr>
            <w:r w:rsidRPr="00896984">
              <w:rPr>
                <w:rFonts w:ascii="Times New Roman" w:hAnsi="Times New Roman" w:cs="Times New Roman"/>
                <w:sz w:val="14"/>
                <w:szCs w:val="16"/>
              </w:rPr>
              <w:t>obce</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6"/>
              </w:rPr>
            </w:pPr>
            <w:r w:rsidRPr="00896984">
              <w:rPr>
                <w:rFonts w:ascii="Times New Roman" w:hAnsi="Times New Roman" w:cs="Times New Roman"/>
                <w:sz w:val="14"/>
                <w:szCs w:val="16"/>
              </w:rPr>
              <w:t>0</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6"/>
              </w:rPr>
            </w:pPr>
            <w:r w:rsidRPr="00896984">
              <w:rPr>
                <w:rFonts w:ascii="Times New Roman" w:hAnsi="Times New Roman" w:cs="Times New Roman"/>
                <w:sz w:val="14"/>
                <w:szCs w:val="16"/>
              </w:rPr>
              <w:t>0</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6"/>
              </w:rPr>
            </w:pPr>
            <w:r w:rsidRPr="00896984">
              <w:rPr>
                <w:rFonts w:ascii="Times New Roman" w:hAnsi="Times New Roman" w:cs="Times New Roman"/>
                <w:sz w:val="14"/>
                <w:szCs w:val="16"/>
              </w:rPr>
              <w:t>0</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6"/>
              </w:rPr>
            </w:pPr>
            <w:r w:rsidRPr="00896984">
              <w:rPr>
                <w:rFonts w:ascii="Times New Roman" w:hAnsi="Times New Roman" w:cs="Times New Roman"/>
                <w:sz w:val="14"/>
                <w:szCs w:val="16"/>
              </w:rPr>
              <w:t>0</w:t>
            </w:r>
          </w:p>
        </w:tc>
      </w:tr>
      <w:tr>
        <w:tblPrEx>
          <w:tblW w:w="9072" w:type="dxa"/>
          <w:jc w:val="center"/>
          <w:tblCellMar>
            <w:left w:w="70" w:type="dxa"/>
            <w:right w:w="70" w:type="dxa"/>
          </w:tblCellMar>
        </w:tblPrEx>
        <w:trPr>
          <w:trHeight w:val="270"/>
          <w:jc w:val="center"/>
        </w:trPr>
        <w:tc>
          <w:tcPr>
            <w:tcW w:w="4584"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A14AA2">
            <w:pPr>
              <w:bidi w:val="0"/>
              <w:ind w:firstLine="280" w:firstLineChars="200"/>
              <w:rPr>
                <w:rFonts w:ascii="Times New Roman" w:hAnsi="Times New Roman" w:cs="Times New Roman"/>
                <w:sz w:val="14"/>
                <w:szCs w:val="16"/>
              </w:rPr>
            </w:pPr>
            <w:r w:rsidRPr="00896984">
              <w:rPr>
                <w:rFonts w:ascii="Times New Roman" w:hAnsi="Times New Roman" w:cs="Times New Roman"/>
                <w:sz w:val="14"/>
                <w:szCs w:val="16"/>
              </w:rPr>
              <w:t>VÚC</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6"/>
              </w:rPr>
            </w:pPr>
            <w:r w:rsidRPr="00896984">
              <w:rPr>
                <w:rFonts w:ascii="Times New Roman" w:hAnsi="Times New Roman" w:cs="Times New Roman"/>
                <w:sz w:val="14"/>
                <w:szCs w:val="16"/>
              </w:rPr>
              <w:t>-1 705</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6"/>
              </w:rPr>
            </w:pPr>
            <w:r w:rsidRPr="00896984">
              <w:rPr>
                <w:rFonts w:ascii="Times New Roman" w:hAnsi="Times New Roman" w:cs="Times New Roman"/>
                <w:sz w:val="14"/>
                <w:szCs w:val="16"/>
              </w:rPr>
              <w:t>-1 756</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6"/>
              </w:rPr>
            </w:pPr>
            <w:r w:rsidRPr="00896984">
              <w:rPr>
                <w:rFonts w:ascii="Times New Roman" w:hAnsi="Times New Roman" w:cs="Times New Roman"/>
                <w:sz w:val="14"/>
                <w:szCs w:val="16"/>
              </w:rPr>
              <w:t>-1 809</w:t>
            </w:r>
          </w:p>
        </w:tc>
        <w:tc>
          <w:tcPr>
            <w:tcW w:w="1122"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6"/>
              </w:rPr>
            </w:pPr>
            <w:r w:rsidRPr="00896984">
              <w:rPr>
                <w:rFonts w:ascii="Times New Roman" w:hAnsi="Times New Roman" w:cs="Times New Roman"/>
                <w:sz w:val="14"/>
                <w:szCs w:val="16"/>
              </w:rPr>
              <w:t>-1 863</w:t>
            </w:r>
          </w:p>
        </w:tc>
      </w:tr>
      <w:tr>
        <w:tblPrEx>
          <w:tblW w:w="9072" w:type="dxa"/>
          <w:jc w:val="center"/>
          <w:tblCellMar>
            <w:left w:w="70" w:type="dxa"/>
            <w:right w:w="70" w:type="dxa"/>
          </w:tblCellMar>
        </w:tblPrEx>
        <w:trPr>
          <w:trHeight w:val="270"/>
          <w:jc w:val="center"/>
        </w:trPr>
        <w:tc>
          <w:tcPr>
            <w:tcW w:w="5706" w:type="dxa"/>
            <w:gridSpan w:val="2"/>
            <w:tcBorders>
              <w:top w:val="single" w:sz="4" w:space="0" w:color="auto"/>
              <w:left w:val="none" w:sz="0" w:space="0" w:color="auto"/>
              <w:bottom w:val="none" w:sz="0" w:space="0" w:color="auto"/>
              <w:right w:val="none" w:sz="0" w:space="0" w:color="auto"/>
            </w:tcBorders>
            <w:textDirection w:val="lrTb"/>
            <w:vAlign w:val="center"/>
          </w:tcPr>
          <w:p w:rsidR="000A6169" w:rsidRPr="00896984" w:rsidP="00942EF3">
            <w:pPr>
              <w:bidi w:val="0"/>
              <w:rPr>
                <w:rFonts w:ascii="Times New Roman" w:hAnsi="Times New Roman" w:cs="Times New Roman"/>
                <w:sz w:val="14"/>
                <w:szCs w:val="16"/>
              </w:rPr>
            </w:pPr>
            <w:r w:rsidRPr="00896984">
              <w:rPr>
                <w:rFonts w:ascii="Times New Roman" w:hAnsi="Times New Roman" w:cs="Times New Roman"/>
                <w:sz w:val="14"/>
                <w:szCs w:val="16"/>
              </w:rPr>
              <w:t>(+) znamená, že výnos daní v metodike ESA 95 je vyšší ako na hotovostnej báze</w:t>
            </w:r>
          </w:p>
          <w:p w:rsidR="000A6169" w:rsidRPr="00896984" w:rsidP="00942EF3">
            <w:pPr>
              <w:bidi w:val="0"/>
              <w:rPr>
                <w:rFonts w:ascii="Times New Roman" w:hAnsi="Times New Roman" w:cs="Times New Roman"/>
                <w:sz w:val="14"/>
                <w:szCs w:val="16"/>
              </w:rPr>
            </w:pPr>
            <w:r w:rsidRPr="00896984">
              <w:rPr>
                <w:rFonts w:ascii="Times New Roman" w:hAnsi="Times New Roman" w:cs="Times New Roman"/>
                <w:sz w:val="14"/>
                <w:szCs w:val="16"/>
              </w:rPr>
              <w:t>(-) znamená, že výnos daní v metodike ESA 95 je nižší ako na hotovostnej báze</w:t>
            </w:r>
          </w:p>
        </w:tc>
        <w:tc>
          <w:tcPr>
            <w:tcW w:w="1122" w:type="dxa"/>
            <w:tcBorders>
              <w:top w:val="single" w:sz="4" w:space="0" w:color="auto"/>
              <w:left w:val="none" w:sz="0" w:space="0" w:color="auto"/>
              <w:bottom w:val="none" w:sz="0" w:space="0" w:color="auto"/>
              <w:right w:val="none" w:sz="0" w:space="0" w:color="auto"/>
            </w:tcBorders>
            <w:textDirection w:val="lrTb"/>
            <w:vAlign w:val="center"/>
          </w:tcPr>
          <w:p w:rsidR="000A6169" w:rsidRPr="00896984" w:rsidP="00942EF3">
            <w:pPr>
              <w:bidi w:val="0"/>
              <w:jc w:val="right"/>
              <w:rPr>
                <w:rFonts w:ascii="Times New Roman" w:hAnsi="Times New Roman" w:cs="Times New Roman"/>
                <w:sz w:val="14"/>
                <w:szCs w:val="16"/>
              </w:rPr>
            </w:pPr>
          </w:p>
        </w:tc>
        <w:tc>
          <w:tcPr>
            <w:tcW w:w="1122" w:type="dxa"/>
            <w:tcBorders>
              <w:top w:val="single" w:sz="4" w:space="0" w:color="auto"/>
              <w:left w:val="none" w:sz="0" w:space="0" w:color="auto"/>
              <w:bottom w:val="none" w:sz="0" w:space="0" w:color="auto"/>
              <w:right w:val="none" w:sz="0" w:space="0" w:color="auto"/>
            </w:tcBorders>
            <w:textDirection w:val="lrTb"/>
            <w:vAlign w:val="center"/>
          </w:tcPr>
          <w:p w:rsidR="000A6169" w:rsidRPr="00896984" w:rsidP="00942EF3">
            <w:pPr>
              <w:bidi w:val="0"/>
              <w:jc w:val="right"/>
              <w:rPr>
                <w:rFonts w:ascii="Times New Roman" w:hAnsi="Times New Roman" w:cs="Times New Roman"/>
                <w:sz w:val="14"/>
                <w:szCs w:val="16"/>
              </w:rPr>
            </w:pPr>
          </w:p>
        </w:tc>
        <w:tc>
          <w:tcPr>
            <w:tcW w:w="1122" w:type="dxa"/>
            <w:tcBorders>
              <w:top w:val="single" w:sz="4" w:space="0" w:color="auto"/>
              <w:left w:val="none" w:sz="0" w:space="0" w:color="auto"/>
              <w:bottom w:val="none" w:sz="0" w:space="0" w:color="auto"/>
              <w:right w:val="none" w:sz="0" w:space="0" w:color="auto"/>
            </w:tcBorders>
            <w:textDirection w:val="lrTb"/>
            <w:vAlign w:val="center"/>
          </w:tcPr>
          <w:p w:rsidR="000A6169" w:rsidRPr="00896984" w:rsidP="00942EF3">
            <w:pPr>
              <w:bidi w:val="0"/>
              <w:jc w:val="right"/>
              <w:rPr>
                <w:rFonts w:ascii="Times New Roman" w:hAnsi="Times New Roman" w:cs="Times New Roman"/>
                <w:sz w:val="14"/>
                <w:szCs w:val="16"/>
              </w:rPr>
            </w:pPr>
          </w:p>
        </w:tc>
      </w:tr>
    </w:tbl>
    <w:p w:rsidR="000A6169" w:rsidRPr="00896984" w:rsidP="000A6169">
      <w:pPr>
        <w:bidi w:val="0"/>
        <w:jc w:val="both"/>
        <w:rPr>
          <w:rFonts w:ascii="Times New Roman" w:hAnsi="Times New Roman" w:cs="Times New Roman"/>
        </w:rPr>
      </w:pPr>
    </w:p>
    <w:p w:rsidR="000A6169" w:rsidRPr="00896984" w:rsidP="000A6169">
      <w:pPr>
        <w:bidi w:val="0"/>
        <w:ind w:firstLine="708"/>
        <w:jc w:val="both"/>
        <w:rPr>
          <w:rFonts w:ascii="Times New Roman" w:hAnsi="Times New Roman" w:cs="Times New Roman"/>
        </w:rPr>
      </w:pPr>
      <w:r w:rsidRPr="00896984">
        <w:rPr>
          <w:rFonts w:ascii="Times New Roman" w:hAnsi="Times New Roman" w:cs="Times New Roman"/>
        </w:rPr>
        <w:t>Veľký rozdiel medzi akruálnym výnosom daní a hotovostným výnosom daní je spôsobený v rokoch 2011 a 2012 najmä daňou z príjmov právnických osôb a daňou z príjmov fyzických osôb. V prípade dane z príjmu fyzických osôb je tento rozdiel vo veľkej miere spôsobený navrhovanými legislatívnymi zmenami, ktoré sa v hotovostnom vyjadrení prejavia až vo februári roku 2012, prípadne až pri podaní daňového priznania v roku 2013 za rok 2012. V roku 2013 je rozdiel spôsobený najmä daňou z príjmov právnických osôb a daňou z z pridanej hodnoty. Rozdiely vyplývajú najmä z dôvodu vyrovnania daní za predchádzajúci rok (DPPO, DPFO) a vyplácania nadmerných odpočtov pri DPH, ktoré sa realizujú vždy až v nasledujúcom roku, avšak akruálne patria ešte do predchádzajúceho roka.</w:t>
      </w:r>
    </w:p>
    <w:p w:rsidR="000A6169" w:rsidRPr="00896984" w:rsidP="000A6169">
      <w:pPr>
        <w:bidi w:val="0"/>
        <w:ind w:firstLine="708"/>
        <w:jc w:val="both"/>
        <w:rPr>
          <w:rFonts w:ascii="Times New Roman" w:hAnsi="Times New Roman" w:cs="Times New Roman"/>
          <w:highlight w:val="yellow"/>
        </w:rPr>
      </w:pPr>
    </w:p>
    <w:p w:rsidR="000A6169" w:rsidRPr="00896984" w:rsidP="000A6169">
      <w:pPr>
        <w:bidi w:val="0"/>
        <w:ind w:firstLine="708"/>
        <w:jc w:val="both"/>
        <w:rPr>
          <w:rFonts w:ascii="Times New Roman" w:hAnsi="Times New Roman" w:cs="Times New Roman"/>
        </w:rPr>
      </w:pPr>
      <w:r w:rsidRPr="00896984">
        <w:rPr>
          <w:rFonts w:ascii="Times New Roman" w:hAnsi="Times New Roman" w:cs="Times New Roman"/>
        </w:rPr>
        <w:t>Zároveň na rozdiel medzi akruálnym a hotovostným výnosom pozitívne vplýva najmä odlišné zaznamenávanie sumy 2 % poukazovaných na osobitný účel z daní z príjmov fyzických a právnických osôb. Kým pri hotovostnom princípe suma poukázaná na osobitný účel ovplyvňuje výšku výnosu dane znížením príjmov verejnej správy, akruálne dane nie sú týmto prevodom ovplyvnené. Vyplýva to z ekonomickej podstaty transakcie, ktorá neznižuje výšku daňovej povinnosti voči verejným financiám (akruálnu daň), ale na základe zákona schváleného NR SR, sa časť peňazí použije na financovanie tretieho sektora. Uvedená suma teda neznižuje príjmy, ale zvyšuje verejné výdavky a týmto spôsobom negatívne ovplyvňuje hospodárenie v metodike ESA</w:t>
      </w:r>
      <w:r w:rsidRPr="00896984" w:rsidR="00A14AA2">
        <w:rPr>
          <w:rFonts w:ascii="Times New Roman" w:hAnsi="Times New Roman" w:cs="Times New Roman"/>
        </w:rPr>
        <w:t xml:space="preserve"> </w:t>
      </w:r>
      <w:r w:rsidRPr="00896984">
        <w:rPr>
          <w:rFonts w:ascii="Times New Roman" w:hAnsi="Times New Roman" w:cs="Times New Roman"/>
        </w:rPr>
        <w:t>95.</w:t>
      </w:r>
    </w:p>
    <w:p w:rsidR="000A6169" w:rsidRPr="00896984" w:rsidP="000A6169">
      <w:pPr>
        <w:bidi w:val="0"/>
        <w:ind w:firstLine="708"/>
        <w:jc w:val="both"/>
        <w:rPr>
          <w:rFonts w:ascii="Times New Roman" w:hAnsi="Times New Roman" w:cs="Times New Roman"/>
          <w:highlight w:val="yellow"/>
        </w:rPr>
      </w:pPr>
    </w:p>
    <w:p w:rsidR="000A6169" w:rsidRPr="00896984" w:rsidP="000A6169">
      <w:pPr>
        <w:pStyle w:val="Default"/>
        <w:bidi w:val="0"/>
        <w:spacing w:before="3"/>
        <w:ind w:firstLine="708"/>
        <w:jc w:val="both"/>
        <w:rPr>
          <w:rFonts w:ascii="Times New Roman" w:hAnsi="Times New Roman" w:cs="Times New Roman"/>
          <w:color w:val="auto"/>
        </w:rPr>
      </w:pPr>
      <w:r w:rsidRPr="00896984">
        <w:rPr>
          <w:rFonts w:ascii="Times New Roman" w:hAnsi="Times New Roman" w:cs="Times New Roman"/>
          <w:color w:val="auto"/>
        </w:rPr>
        <w:t>Prevod prostriedkov na osobitný účel sa v porovnaní s rokom 2010 zníži, čo je dôsledkom poklesu ziskovosti podnikov a legislatívnej zmeny s účinnosťou od roku 2011. Novela zákona č. 595/2003 Z. z. o dani z príjmov sprísňuje podmienky pre asignáciu 2 % dane a zavádza postupné znižovanie poukazovaného podielu zaplatenej dane z 2 % na 0,5 % v roku 2018. Pre roky 2011 a 2012 bude môcť právnická osoba darovať podiel vo výške 2 % zaplatenej dane len v prípade, že poskytne oprávnenému prijímateľovi dar vo výške zodpovedajúcej 0,5 % daňovej povinnosti. Ak dar neposkytne, správca dane zníži poukazovaný podiel zaplatenej dane na 1,5 %, čo v kombinácii so sprísnenými pravidlami pre poskytovanie asignácie 2 % dane spôsobí nižší objem prostriedkov prevedených na verejno-prospešný účel. Podľa nových pravidiel sa podiel zaplatenej dane nebude môcť použiť na reklamu a obstaranie nehnuteľností.</w:t>
      </w:r>
    </w:p>
    <w:p w:rsidR="000A6169" w:rsidRPr="00896984" w:rsidP="000A6169">
      <w:pPr>
        <w:bidi w:val="0"/>
        <w:rPr>
          <w:rFonts w:ascii="Times New Roman" w:hAnsi="Times New Roman" w:cs="Times New Roman"/>
        </w:rPr>
      </w:pPr>
    </w:p>
    <w:tbl>
      <w:tblPr>
        <w:tblStyle w:val="TableNormal"/>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2880"/>
        <w:gridCol w:w="900"/>
        <w:gridCol w:w="900"/>
        <w:gridCol w:w="900"/>
        <w:gridCol w:w="900"/>
        <w:gridCol w:w="900"/>
        <w:gridCol w:w="900"/>
        <w:gridCol w:w="792"/>
      </w:tblGrid>
      <w:tr>
        <w:tblPrEx>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70"/>
          <w:jc w:val="center"/>
        </w:trPr>
        <w:tc>
          <w:tcPr>
            <w:tcW w:w="288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A6169" w:rsidRPr="00896984" w:rsidP="00A14AA2">
            <w:pPr>
              <w:bidi w:val="0"/>
              <w:jc w:val="both"/>
              <w:rPr>
                <w:rFonts w:ascii="Times New Roman" w:hAnsi="Times New Roman" w:cs="Times New Roman"/>
                <w:b/>
                <w:bCs/>
                <w:sz w:val="14"/>
                <w:szCs w:val="16"/>
              </w:rPr>
            </w:pPr>
          </w:p>
          <w:p w:rsidR="000A6169" w:rsidRPr="00896984" w:rsidP="00A14AA2">
            <w:pPr>
              <w:bidi w:val="0"/>
              <w:rPr>
                <w:rFonts w:ascii="Times New Roman" w:hAnsi="Times New Roman" w:cs="Times New Roman"/>
                <w:sz w:val="14"/>
                <w:szCs w:val="16"/>
              </w:rPr>
            </w:pPr>
            <w:r w:rsidRPr="00896984">
              <w:rPr>
                <w:rFonts w:ascii="Times New Roman" w:hAnsi="Times New Roman" w:cs="Times New Roman"/>
                <w:b/>
                <w:bCs/>
                <w:sz w:val="14"/>
                <w:szCs w:val="16"/>
              </w:rPr>
              <w:t>Vplyv prevodu prostriedkov na verejnoprospešný účel v rokoch 2008 – 2014 na rozpočet (v tis. eur)</w:t>
            </w:r>
            <w:r w:rsidRPr="00896984">
              <w:rPr>
                <w:rFonts w:ascii="Times New Roman" w:hAnsi="Times New Roman" w:cs="Times New Roman"/>
                <w:sz w:val="14"/>
                <w:szCs w:val="16"/>
              </w:rPr>
              <w:t> </w:t>
            </w:r>
          </w:p>
          <w:p w:rsidR="000A6169" w:rsidRPr="00896984" w:rsidP="00A14AA2">
            <w:pPr>
              <w:bidi w:val="0"/>
              <w:jc w:val="both"/>
              <w:rPr>
                <w:rFonts w:ascii="Times New Roman" w:hAnsi="Times New Roman" w:cs="Times New Roman"/>
                <w:b/>
                <w:bCs/>
                <w:sz w:val="14"/>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A6169" w:rsidRPr="00896984" w:rsidP="00942EF3">
            <w:pPr>
              <w:bidi w:val="0"/>
              <w:jc w:val="center"/>
              <w:rPr>
                <w:rFonts w:ascii="Times New Roman" w:hAnsi="Times New Roman" w:cs="Times New Roman"/>
                <w:b/>
                <w:bCs/>
                <w:sz w:val="14"/>
                <w:szCs w:val="16"/>
              </w:rPr>
            </w:pPr>
            <w:r w:rsidRPr="00896984">
              <w:rPr>
                <w:rFonts w:ascii="Times New Roman" w:hAnsi="Times New Roman" w:cs="Times New Roman"/>
                <w:b/>
                <w:bCs/>
                <w:sz w:val="14"/>
                <w:szCs w:val="16"/>
              </w:rPr>
              <w:t>2008 S</w:t>
            </w:r>
          </w:p>
        </w:tc>
        <w:tc>
          <w:tcPr>
            <w:tcW w:w="90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A6169" w:rsidRPr="00896984" w:rsidP="00942EF3">
            <w:pPr>
              <w:bidi w:val="0"/>
              <w:jc w:val="center"/>
              <w:rPr>
                <w:rFonts w:ascii="Times New Roman" w:hAnsi="Times New Roman" w:cs="Times New Roman"/>
                <w:b/>
                <w:bCs/>
                <w:sz w:val="14"/>
                <w:szCs w:val="16"/>
              </w:rPr>
            </w:pPr>
            <w:r w:rsidRPr="00896984">
              <w:rPr>
                <w:rFonts w:ascii="Times New Roman" w:hAnsi="Times New Roman" w:cs="Times New Roman"/>
                <w:b/>
                <w:bCs/>
                <w:sz w:val="14"/>
                <w:szCs w:val="16"/>
              </w:rPr>
              <w:t>2009 S</w:t>
            </w:r>
          </w:p>
        </w:tc>
        <w:tc>
          <w:tcPr>
            <w:tcW w:w="90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A6169" w:rsidRPr="00896984" w:rsidP="00942EF3">
            <w:pPr>
              <w:bidi w:val="0"/>
              <w:jc w:val="center"/>
              <w:rPr>
                <w:rFonts w:ascii="Times New Roman" w:hAnsi="Times New Roman" w:cs="Times New Roman"/>
                <w:b/>
                <w:bCs/>
                <w:sz w:val="14"/>
                <w:szCs w:val="16"/>
              </w:rPr>
            </w:pPr>
            <w:r w:rsidRPr="00896984">
              <w:rPr>
                <w:rFonts w:ascii="Times New Roman" w:hAnsi="Times New Roman" w:cs="Times New Roman"/>
                <w:b/>
                <w:bCs/>
                <w:sz w:val="14"/>
                <w:szCs w:val="16"/>
              </w:rPr>
              <w:t>2010 S</w:t>
            </w:r>
          </w:p>
        </w:tc>
        <w:tc>
          <w:tcPr>
            <w:tcW w:w="90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A6169" w:rsidRPr="00896984" w:rsidP="00942EF3">
            <w:pPr>
              <w:bidi w:val="0"/>
              <w:jc w:val="center"/>
              <w:rPr>
                <w:rFonts w:ascii="Times New Roman" w:hAnsi="Times New Roman" w:cs="Times New Roman"/>
                <w:b/>
                <w:bCs/>
                <w:sz w:val="14"/>
                <w:szCs w:val="16"/>
              </w:rPr>
            </w:pPr>
            <w:r w:rsidRPr="00896984">
              <w:rPr>
                <w:rFonts w:ascii="Times New Roman" w:hAnsi="Times New Roman" w:cs="Times New Roman"/>
                <w:b/>
                <w:bCs/>
                <w:sz w:val="14"/>
                <w:szCs w:val="16"/>
              </w:rPr>
              <w:t>2011 OS</w:t>
            </w:r>
          </w:p>
        </w:tc>
        <w:tc>
          <w:tcPr>
            <w:tcW w:w="90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A6169" w:rsidRPr="00896984" w:rsidP="00942EF3">
            <w:pPr>
              <w:bidi w:val="0"/>
              <w:jc w:val="center"/>
              <w:rPr>
                <w:rFonts w:ascii="Times New Roman" w:hAnsi="Times New Roman" w:cs="Times New Roman"/>
                <w:b/>
                <w:bCs/>
                <w:sz w:val="14"/>
                <w:szCs w:val="16"/>
              </w:rPr>
            </w:pPr>
            <w:r w:rsidRPr="00896984">
              <w:rPr>
                <w:rFonts w:ascii="Times New Roman" w:hAnsi="Times New Roman" w:cs="Times New Roman"/>
                <w:b/>
                <w:bCs/>
                <w:sz w:val="14"/>
                <w:szCs w:val="16"/>
              </w:rPr>
              <w:t>2012 N</w:t>
            </w:r>
          </w:p>
        </w:tc>
        <w:tc>
          <w:tcPr>
            <w:tcW w:w="90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A6169" w:rsidRPr="00896984" w:rsidP="00942EF3">
            <w:pPr>
              <w:bidi w:val="0"/>
              <w:jc w:val="center"/>
              <w:rPr>
                <w:rFonts w:ascii="Times New Roman" w:hAnsi="Times New Roman" w:cs="Times New Roman"/>
                <w:b/>
                <w:bCs/>
                <w:sz w:val="14"/>
                <w:szCs w:val="16"/>
              </w:rPr>
            </w:pPr>
            <w:r w:rsidRPr="00896984">
              <w:rPr>
                <w:rFonts w:ascii="Times New Roman" w:hAnsi="Times New Roman" w:cs="Times New Roman"/>
                <w:b/>
                <w:bCs/>
                <w:sz w:val="14"/>
                <w:szCs w:val="16"/>
              </w:rPr>
              <w:t>2013 N</w:t>
            </w:r>
          </w:p>
        </w:tc>
        <w:tc>
          <w:tcPr>
            <w:tcW w:w="79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A6169" w:rsidRPr="00896984" w:rsidP="00942EF3">
            <w:pPr>
              <w:bidi w:val="0"/>
              <w:jc w:val="center"/>
              <w:rPr>
                <w:rFonts w:ascii="Times New Roman" w:hAnsi="Times New Roman" w:cs="Times New Roman"/>
                <w:b/>
                <w:bCs/>
                <w:sz w:val="14"/>
                <w:szCs w:val="16"/>
              </w:rPr>
            </w:pPr>
            <w:r w:rsidRPr="00896984">
              <w:rPr>
                <w:rFonts w:ascii="Times New Roman" w:hAnsi="Times New Roman" w:cs="Times New Roman"/>
                <w:b/>
                <w:bCs/>
                <w:sz w:val="14"/>
                <w:szCs w:val="16"/>
              </w:rPr>
              <w:t>2014 N</w:t>
            </w:r>
          </w:p>
        </w:tc>
      </w:tr>
      <w:tr>
        <w:tblPrEx>
          <w:tblW w:w="9072" w:type="dxa"/>
          <w:jc w:val="center"/>
          <w:tblCellMar>
            <w:left w:w="70" w:type="dxa"/>
            <w:right w:w="70" w:type="dxa"/>
          </w:tblCellMar>
        </w:tblPrEx>
        <w:trPr>
          <w:trHeight w:val="270"/>
          <w:jc w:val="center"/>
        </w:trPr>
        <w:tc>
          <w:tcPr>
            <w:tcW w:w="2880"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rPr>
                <w:rFonts w:ascii="Times New Roman" w:hAnsi="Times New Roman" w:cs="Times New Roman"/>
                <w:b/>
                <w:bCs/>
                <w:sz w:val="14"/>
                <w:szCs w:val="16"/>
              </w:rPr>
            </w:pPr>
            <w:r w:rsidRPr="00896984">
              <w:rPr>
                <w:rFonts w:ascii="Times New Roman" w:hAnsi="Times New Roman" w:cs="Times New Roman"/>
                <w:b/>
                <w:bCs/>
                <w:sz w:val="14"/>
                <w:szCs w:val="16"/>
              </w:rPr>
              <w:t xml:space="preserve">Prevod na VPÚ spolu </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b/>
                <w:bCs/>
                <w:sz w:val="14"/>
                <w:szCs w:val="16"/>
              </w:rPr>
            </w:pPr>
            <w:r w:rsidRPr="00896984">
              <w:rPr>
                <w:rFonts w:ascii="Times New Roman" w:hAnsi="Times New Roman" w:cs="Times New Roman"/>
                <w:b/>
                <w:bCs/>
                <w:sz w:val="14"/>
                <w:szCs w:val="16"/>
              </w:rPr>
              <w:t>49 180</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b/>
                <w:bCs/>
                <w:sz w:val="14"/>
                <w:szCs w:val="16"/>
              </w:rPr>
            </w:pPr>
            <w:r w:rsidRPr="00896984">
              <w:rPr>
                <w:rFonts w:ascii="Times New Roman" w:hAnsi="Times New Roman" w:cs="Times New Roman"/>
                <w:b/>
                <w:bCs/>
                <w:sz w:val="14"/>
                <w:szCs w:val="16"/>
              </w:rPr>
              <w:t>55 180</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b/>
                <w:bCs/>
                <w:sz w:val="14"/>
                <w:szCs w:val="16"/>
              </w:rPr>
            </w:pPr>
            <w:r w:rsidRPr="00896984">
              <w:rPr>
                <w:rFonts w:ascii="Times New Roman" w:hAnsi="Times New Roman" w:cs="Times New Roman"/>
                <w:b/>
                <w:bCs/>
                <w:sz w:val="14"/>
                <w:szCs w:val="16"/>
              </w:rPr>
              <w:t>44 145</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b/>
                <w:bCs/>
                <w:sz w:val="14"/>
                <w:szCs w:val="16"/>
              </w:rPr>
            </w:pPr>
            <w:r w:rsidRPr="00896984">
              <w:rPr>
                <w:rFonts w:ascii="Times New Roman" w:hAnsi="Times New Roman" w:cs="Times New Roman"/>
                <w:b/>
                <w:bCs/>
                <w:sz w:val="14"/>
                <w:szCs w:val="16"/>
              </w:rPr>
              <w:t>40 059</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b/>
                <w:bCs/>
                <w:sz w:val="14"/>
                <w:szCs w:val="16"/>
              </w:rPr>
            </w:pPr>
            <w:r w:rsidRPr="00896984">
              <w:rPr>
                <w:rFonts w:ascii="Times New Roman" w:hAnsi="Times New Roman" w:cs="Times New Roman"/>
                <w:b/>
                <w:bCs/>
                <w:sz w:val="14"/>
                <w:szCs w:val="16"/>
              </w:rPr>
              <w:t>40 801</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b/>
                <w:bCs/>
                <w:sz w:val="14"/>
                <w:szCs w:val="16"/>
              </w:rPr>
            </w:pPr>
            <w:r w:rsidRPr="00896984">
              <w:rPr>
                <w:rFonts w:ascii="Times New Roman" w:hAnsi="Times New Roman" w:cs="Times New Roman"/>
                <w:b/>
                <w:bCs/>
                <w:sz w:val="14"/>
                <w:szCs w:val="16"/>
              </w:rPr>
              <w:t>38 811</w:t>
            </w:r>
          </w:p>
        </w:tc>
        <w:tc>
          <w:tcPr>
            <w:tcW w:w="792"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b/>
                <w:bCs/>
                <w:sz w:val="14"/>
                <w:szCs w:val="16"/>
              </w:rPr>
            </w:pPr>
            <w:r w:rsidRPr="00896984">
              <w:rPr>
                <w:rFonts w:ascii="Times New Roman" w:hAnsi="Times New Roman" w:cs="Times New Roman"/>
                <w:b/>
                <w:bCs/>
                <w:sz w:val="14"/>
                <w:szCs w:val="16"/>
              </w:rPr>
              <w:t>42 392</w:t>
            </w:r>
          </w:p>
        </w:tc>
      </w:tr>
      <w:tr>
        <w:tblPrEx>
          <w:tblW w:w="9072" w:type="dxa"/>
          <w:jc w:val="center"/>
          <w:tblCellMar>
            <w:left w:w="70" w:type="dxa"/>
            <w:right w:w="70" w:type="dxa"/>
          </w:tblCellMar>
        </w:tblPrEx>
        <w:trPr>
          <w:trHeight w:val="270"/>
          <w:jc w:val="center"/>
        </w:trPr>
        <w:tc>
          <w:tcPr>
            <w:tcW w:w="2880"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rPr>
                <w:rFonts w:ascii="Times New Roman" w:hAnsi="Times New Roman" w:cs="Times New Roman"/>
                <w:sz w:val="14"/>
                <w:szCs w:val="16"/>
              </w:rPr>
            </w:pPr>
            <w:r w:rsidRPr="00896984">
              <w:rPr>
                <w:rFonts w:ascii="Times New Roman" w:hAnsi="Times New Roman" w:cs="Times New Roman"/>
                <w:sz w:val="14"/>
                <w:szCs w:val="16"/>
              </w:rPr>
              <w:t xml:space="preserve">     z toho prevod na VPÚ z DPFO</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6"/>
              </w:rPr>
            </w:pPr>
            <w:r w:rsidRPr="00896984">
              <w:rPr>
                <w:rFonts w:ascii="Times New Roman" w:hAnsi="Times New Roman" w:cs="Times New Roman"/>
                <w:sz w:val="14"/>
                <w:szCs w:val="16"/>
              </w:rPr>
              <w:t>15 036</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6"/>
              </w:rPr>
            </w:pPr>
            <w:r w:rsidRPr="00896984">
              <w:rPr>
                <w:rFonts w:ascii="Times New Roman" w:hAnsi="Times New Roman" w:cs="Times New Roman"/>
                <w:sz w:val="14"/>
                <w:szCs w:val="16"/>
              </w:rPr>
              <w:t>17 684</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6"/>
              </w:rPr>
            </w:pPr>
            <w:r w:rsidRPr="00896984">
              <w:rPr>
                <w:rFonts w:ascii="Times New Roman" w:hAnsi="Times New Roman" w:cs="Times New Roman"/>
                <w:sz w:val="14"/>
                <w:szCs w:val="16"/>
              </w:rPr>
              <w:t>15 553</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6"/>
              </w:rPr>
            </w:pPr>
            <w:r w:rsidRPr="00896984">
              <w:rPr>
                <w:rFonts w:ascii="Times New Roman" w:hAnsi="Times New Roman" w:cs="Times New Roman"/>
                <w:sz w:val="14"/>
                <w:szCs w:val="16"/>
              </w:rPr>
              <w:t>16 500</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6"/>
              </w:rPr>
            </w:pPr>
            <w:r w:rsidRPr="00896984">
              <w:rPr>
                <w:rFonts w:ascii="Times New Roman" w:hAnsi="Times New Roman" w:cs="Times New Roman"/>
                <w:sz w:val="14"/>
                <w:szCs w:val="16"/>
              </w:rPr>
              <w:t>16 714</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6"/>
              </w:rPr>
            </w:pPr>
            <w:r w:rsidRPr="00896984">
              <w:rPr>
                <w:rFonts w:ascii="Times New Roman" w:hAnsi="Times New Roman" w:cs="Times New Roman"/>
                <w:sz w:val="14"/>
                <w:szCs w:val="16"/>
              </w:rPr>
              <w:t>19 415</w:t>
            </w:r>
          </w:p>
        </w:tc>
        <w:tc>
          <w:tcPr>
            <w:tcW w:w="792"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6"/>
              </w:rPr>
            </w:pPr>
            <w:r w:rsidRPr="00896984">
              <w:rPr>
                <w:rFonts w:ascii="Times New Roman" w:hAnsi="Times New Roman" w:cs="Times New Roman"/>
                <w:sz w:val="14"/>
                <w:szCs w:val="16"/>
              </w:rPr>
              <w:t>21 255</w:t>
            </w:r>
          </w:p>
        </w:tc>
      </w:tr>
      <w:tr>
        <w:tblPrEx>
          <w:tblW w:w="9072" w:type="dxa"/>
          <w:jc w:val="center"/>
          <w:tblCellMar>
            <w:left w:w="70" w:type="dxa"/>
            <w:right w:w="70" w:type="dxa"/>
          </w:tblCellMar>
        </w:tblPrEx>
        <w:trPr>
          <w:trHeight w:val="270"/>
          <w:jc w:val="center"/>
        </w:trPr>
        <w:tc>
          <w:tcPr>
            <w:tcW w:w="2880"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rPr>
                <w:rFonts w:ascii="Times New Roman" w:hAnsi="Times New Roman" w:cs="Times New Roman"/>
                <w:sz w:val="14"/>
                <w:szCs w:val="16"/>
              </w:rPr>
            </w:pPr>
            <w:r w:rsidRPr="00896984">
              <w:rPr>
                <w:rFonts w:ascii="Times New Roman" w:hAnsi="Times New Roman" w:cs="Times New Roman"/>
                <w:sz w:val="14"/>
                <w:szCs w:val="16"/>
              </w:rPr>
              <w:t xml:space="preserve">     z toho prevod na VPÚ z DPPO</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6"/>
              </w:rPr>
            </w:pPr>
            <w:r w:rsidRPr="00896984">
              <w:rPr>
                <w:rFonts w:ascii="Times New Roman" w:hAnsi="Times New Roman" w:cs="Times New Roman"/>
                <w:sz w:val="14"/>
                <w:szCs w:val="16"/>
              </w:rPr>
              <w:t>34 144</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6"/>
              </w:rPr>
            </w:pPr>
            <w:r w:rsidRPr="00896984">
              <w:rPr>
                <w:rFonts w:ascii="Times New Roman" w:hAnsi="Times New Roman" w:cs="Times New Roman"/>
                <w:sz w:val="14"/>
                <w:szCs w:val="16"/>
              </w:rPr>
              <w:t>37 496</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6"/>
              </w:rPr>
            </w:pPr>
            <w:r w:rsidRPr="00896984">
              <w:rPr>
                <w:rFonts w:ascii="Times New Roman" w:hAnsi="Times New Roman" w:cs="Times New Roman"/>
                <w:sz w:val="14"/>
                <w:szCs w:val="16"/>
              </w:rPr>
              <w:t>28 592</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6"/>
              </w:rPr>
            </w:pPr>
            <w:r w:rsidRPr="00896984">
              <w:rPr>
                <w:rFonts w:ascii="Times New Roman" w:hAnsi="Times New Roman" w:cs="Times New Roman"/>
                <w:sz w:val="14"/>
                <w:szCs w:val="16"/>
              </w:rPr>
              <w:t>23 559</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6"/>
              </w:rPr>
            </w:pPr>
            <w:r w:rsidRPr="00896984">
              <w:rPr>
                <w:rFonts w:ascii="Times New Roman" w:hAnsi="Times New Roman" w:cs="Times New Roman"/>
                <w:sz w:val="14"/>
                <w:szCs w:val="16"/>
              </w:rPr>
              <w:t>24 087</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6"/>
              </w:rPr>
            </w:pPr>
            <w:r w:rsidRPr="00896984">
              <w:rPr>
                <w:rFonts w:ascii="Times New Roman" w:hAnsi="Times New Roman" w:cs="Times New Roman"/>
                <w:sz w:val="14"/>
                <w:szCs w:val="16"/>
              </w:rPr>
              <w:t>19 396</w:t>
            </w:r>
          </w:p>
        </w:tc>
        <w:tc>
          <w:tcPr>
            <w:tcW w:w="792"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6"/>
              </w:rPr>
            </w:pPr>
            <w:r w:rsidRPr="00896984">
              <w:rPr>
                <w:rFonts w:ascii="Times New Roman" w:hAnsi="Times New Roman" w:cs="Times New Roman"/>
                <w:sz w:val="14"/>
                <w:szCs w:val="16"/>
              </w:rPr>
              <w:t>21 137</w:t>
            </w:r>
          </w:p>
        </w:tc>
      </w:tr>
    </w:tbl>
    <w:p w:rsidR="000A6169" w:rsidRPr="00896984" w:rsidP="000A6169">
      <w:pPr>
        <w:bidi w:val="0"/>
        <w:rPr>
          <w:rFonts w:ascii="Times New Roman" w:hAnsi="Times New Roman" w:cs="Times New Roman"/>
        </w:rPr>
      </w:pPr>
    </w:p>
    <w:p w:rsidR="00A14AA2" w:rsidRPr="00896984" w:rsidP="000A6169">
      <w:pPr>
        <w:bidi w:val="0"/>
        <w:ind w:firstLine="708"/>
        <w:jc w:val="both"/>
        <w:rPr>
          <w:rFonts w:ascii="Times New Roman" w:hAnsi="Times New Roman" w:cs="Times New Roman"/>
          <w:b/>
          <w:bCs/>
        </w:rPr>
      </w:pPr>
    </w:p>
    <w:p w:rsidR="00A14AA2" w:rsidRPr="00896984" w:rsidP="000A6169">
      <w:pPr>
        <w:bidi w:val="0"/>
        <w:ind w:firstLine="708"/>
        <w:jc w:val="both"/>
        <w:rPr>
          <w:rFonts w:ascii="Times New Roman" w:hAnsi="Times New Roman" w:cs="Times New Roman"/>
          <w:b/>
          <w:bCs/>
        </w:rPr>
      </w:pPr>
    </w:p>
    <w:p w:rsidR="00A14AA2" w:rsidRPr="00896984" w:rsidP="000A6169">
      <w:pPr>
        <w:bidi w:val="0"/>
        <w:ind w:firstLine="708"/>
        <w:jc w:val="both"/>
        <w:rPr>
          <w:rFonts w:ascii="Times New Roman" w:hAnsi="Times New Roman" w:cs="Times New Roman"/>
          <w:b/>
          <w:bCs/>
        </w:rPr>
      </w:pPr>
    </w:p>
    <w:p w:rsidR="00A14AA2" w:rsidRPr="00896984" w:rsidP="000A6169">
      <w:pPr>
        <w:bidi w:val="0"/>
        <w:ind w:firstLine="708"/>
        <w:jc w:val="both"/>
        <w:rPr>
          <w:rFonts w:ascii="Times New Roman" w:hAnsi="Times New Roman" w:cs="Times New Roman"/>
          <w:b/>
          <w:bCs/>
        </w:rPr>
      </w:pPr>
    </w:p>
    <w:p w:rsidR="00A14AA2" w:rsidRPr="00896984" w:rsidP="000A6169">
      <w:pPr>
        <w:bidi w:val="0"/>
        <w:ind w:firstLine="708"/>
        <w:jc w:val="both"/>
        <w:rPr>
          <w:rFonts w:ascii="Times New Roman" w:hAnsi="Times New Roman" w:cs="Times New Roman"/>
          <w:b/>
          <w:bCs/>
        </w:rPr>
      </w:pPr>
    </w:p>
    <w:p w:rsidR="00A14AA2" w:rsidRPr="00896984" w:rsidP="000A6169">
      <w:pPr>
        <w:bidi w:val="0"/>
        <w:ind w:firstLine="708"/>
        <w:jc w:val="both"/>
        <w:rPr>
          <w:rFonts w:ascii="Times New Roman" w:hAnsi="Times New Roman" w:cs="Times New Roman"/>
          <w:b/>
          <w:bCs/>
        </w:rPr>
      </w:pPr>
    </w:p>
    <w:p w:rsidR="00A14AA2" w:rsidRPr="00896984" w:rsidP="000A6169">
      <w:pPr>
        <w:bidi w:val="0"/>
        <w:ind w:firstLine="708"/>
        <w:jc w:val="both"/>
        <w:rPr>
          <w:rFonts w:ascii="Times New Roman" w:hAnsi="Times New Roman" w:cs="Times New Roman"/>
          <w:b/>
          <w:bCs/>
        </w:rPr>
      </w:pPr>
    </w:p>
    <w:p w:rsidR="00A14AA2" w:rsidRPr="00896984" w:rsidP="000A6169">
      <w:pPr>
        <w:bidi w:val="0"/>
        <w:ind w:firstLine="708"/>
        <w:jc w:val="both"/>
        <w:rPr>
          <w:rFonts w:ascii="Times New Roman" w:hAnsi="Times New Roman" w:cs="Times New Roman"/>
          <w:b/>
          <w:bCs/>
        </w:rPr>
      </w:pPr>
    </w:p>
    <w:p w:rsidR="00A14AA2" w:rsidRPr="00896984" w:rsidP="000A6169">
      <w:pPr>
        <w:bidi w:val="0"/>
        <w:ind w:firstLine="708"/>
        <w:jc w:val="both"/>
        <w:rPr>
          <w:rFonts w:ascii="Times New Roman" w:hAnsi="Times New Roman" w:cs="Times New Roman"/>
          <w:b/>
          <w:bCs/>
        </w:rPr>
      </w:pPr>
    </w:p>
    <w:p w:rsidR="00A14AA2" w:rsidRPr="00896984" w:rsidP="000A6169">
      <w:pPr>
        <w:bidi w:val="0"/>
        <w:ind w:firstLine="708"/>
        <w:jc w:val="both"/>
        <w:rPr>
          <w:rFonts w:ascii="Times New Roman" w:hAnsi="Times New Roman" w:cs="Times New Roman"/>
          <w:b/>
          <w:bCs/>
        </w:rPr>
      </w:pPr>
    </w:p>
    <w:p w:rsidR="00A14AA2" w:rsidRPr="00896984" w:rsidP="000A6169">
      <w:pPr>
        <w:bidi w:val="0"/>
        <w:ind w:firstLine="708"/>
        <w:jc w:val="both"/>
        <w:rPr>
          <w:rFonts w:ascii="Times New Roman" w:hAnsi="Times New Roman" w:cs="Times New Roman"/>
          <w:b/>
          <w:bCs/>
        </w:rPr>
      </w:pPr>
    </w:p>
    <w:p w:rsidR="00A14AA2" w:rsidRPr="00896984" w:rsidP="000A6169">
      <w:pPr>
        <w:bidi w:val="0"/>
        <w:ind w:firstLine="708"/>
        <w:jc w:val="both"/>
        <w:rPr>
          <w:rFonts w:ascii="Times New Roman" w:hAnsi="Times New Roman" w:cs="Times New Roman"/>
          <w:b/>
          <w:bCs/>
        </w:rPr>
      </w:pPr>
    </w:p>
    <w:p w:rsidR="00A14AA2" w:rsidRPr="00896984" w:rsidP="000A6169">
      <w:pPr>
        <w:bidi w:val="0"/>
        <w:ind w:firstLine="708"/>
        <w:jc w:val="both"/>
        <w:rPr>
          <w:rFonts w:ascii="Times New Roman" w:hAnsi="Times New Roman" w:cs="Times New Roman"/>
          <w:b/>
          <w:bCs/>
        </w:rPr>
      </w:pPr>
    </w:p>
    <w:p w:rsidR="00A14AA2" w:rsidRPr="00896984" w:rsidP="000A6169">
      <w:pPr>
        <w:bidi w:val="0"/>
        <w:ind w:firstLine="708"/>
        <w:jc w:val="both"/>
        <w:rPr>
          <w:rFonts w:ascii="Times New Roman" w:hAnsi="Times New Roman" w:cs="Times New Roman"/>
          <w:b/>
          <w:bCs/>
        </w:rPr>
      </w:pPr>
    </w:p>
    <w:p w:rsidR="00A14AA2" w:rsidRPr="00896984" w:rsidP="000A6169">
      <w:pPr>
        <w:bidi w:val="0"/>
        <w:ind w:firstLine="708"/>
        <w:jc w:val="both"/>
        <w:rPr>
          <w:rFonts w:ascii="Times New Roman" w:hAnsi="Times New Roman" w:cs="Times New Roman"/>
          <w:b/>
          <w:bCs/>
        </w:rPr>
      </w:pPr>
    </w:p>
    <w:p w:rsidR="00A14AA2" w:rsidRPr="00896984" w:rsidP="000A6169">
      <w:pPr>
        <w:bidi w:val="0"/>
        <w:ind w:firstLine="708"/>
        <w:jc w:val="both"/>
        <w:rPr>
          <w:rFonts w:ascii="Times New Roman" w:hAnsi="Times New Roman" w:cs="Times New Roman"/>
          <w:b/>
          <w:bCs/>
        </w:rPr>
      </w:pPr>
    </w:p>
    <w:p w:rsidR="00A14AA2" w:rsidRPr="00896984" w:rsidP="000A6169">
      <w:pPr>
        <w:bidi w:val="0"/>
        <w:ind w:firstLine="708"/>
        <w:jc w:val="both"/>
        <w:rPr>
          <w:rFonts w:ascii="Times New Roman" w:hAnsi="Times New Roman" w:cs="Times New Roman"/>
          <w:b/>
          <w:bCs/>
        </w:rPr>
      </w:pPr>
    </w:p>
    <w:p w:rsidR="00942EF3" w:rsidRPr="00896984" w:rsidP="00C62210">
      <w:pPr>
        <w:bidi w:val="0"/>
        <w:ind w:firstLine="709"/>
        <w:jc w:val="both"/>
        <w:rPr>
          <w:rFonts w:ascii="Times New Roman" w:hAnsi="Times New Roman" w:cs="Times New Roman"/>
        </w:rPr>
      </w:pPr>
      <w:r w:rsidRPr="00896984" w:rsidR="000A6169">
        <w:rPr>
          <w:rFonts w:ascii="Times New Roman" w:hAnsi="Times New Roman" w:cs="Times New Roman"/>
          <w:b/>
          <w:bCs/>
        </w:rPr>
        <w:t>Nižšie sú prezentované daňové a odvodové príjmy na akruálnej báze</w:t>
      </w:r>
      <w:r w:rsidRPr="00896984" w:rsidR="000A6169">
        <w:rPr>
          <w:rFonts w:ascii="Times New Roman" w:hAnsi="Times New Roman" w:cs="Times New Roman"/>
        </w:rPr>
        <w:t xml:space="preserve"> (metodika ESA 95) </w:t>
      </w:r>
      <w:r w:rsidRPr="00896984" w:rsidR="000A6169">
        <w:rPr>
          <w:rFonts w:ascii="Times New Roman" w:hAnsi="Times New Roman" w:cs="Times New Roman"/>
          <w:b/>
          <w:bCs/>
        </w:rPr>
        <w:t>bez sankcií</w:t>
      </w:r>
      <w:r w:rsidRPr="00896984" w:rsidR="000A6169">
        <w:rPr>
          <w:rFonts w:ascii="Times New Roman" w:hAnsi="Times New Roman" w:cs="Times New Roman"/>
        </w:rPr>
        <w:t>.</w:t>
      </w:r>
      <w:bookmarkStart w:id="43" w:name="_Toc273148233"/>
      <w:bookmarkStart w:id="44" w:name="_Toc273950834"/>
      <w:r w:rsidRPr="00896984" w:rsidR="000A6169">
        <w:rPr>
          <w:rFonts w:ascii="Times New Roman" w:hAnsi="Times New Roman" w:cs="Times New Roman"/>
        </w:rPr>
        <w:t xml:space="preserve"> </w:t>
      </w:r>
    </w:p>
    <w:p w:rsidR="00C62210" w:rsidRPr="00896984" w:rsidP="00C62210">
      <w:pPr>
        <w:bidi w:val="0"/>
        <w:ind w:firstLine="709"/>
        <w:jc w:val="both"/>
        <w:rPr>
          <w:rFonts w:ascii="Times New Roman" w:hAnsi="Times New Roman" w:cs="Times New Roman"/>
        </w:rPr>
      </w:pPr>
    </w:p>
    <w:tbl>
      <w:tblPr>
        <w:tblStyle w:val="TableNormal"/>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172"/>
        <w:gridCol w:w="860"/>
        <w:gridCol w:w="902"/>
        <w:gridCol w:w="860"/>
        <w:gridCol w:w="860"/>
        <w:gridCol w:w="860"/>
        <w:gridCol w:w="858"/>
      </w:tblGrid>
      <w:tr>
        <w:tblPrEx>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198"/>
        </w:trPr>
        <w:tc>
          <w:tcPr>
            <w:tcW w:w="2225" w:type="pct"/>
            <w:vMerge w:val="restar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0A6169" w:rsidRPr="00896984" w:rsidP="00942EF3">
            <w:pPr>
              <w:bidi w:val="0"/>
              <w:rPr>
                <w:rFonts w:ascii="Times New Roman" w:hAnsi="Times New Roman" w:cs="Times New Roman"/>
                <w:b/>
                <w:sz w:val="14"/>
                <w:szCs w:val="14"/>
                <w:lang w:eastAsia="sk-SK"/>
              </w:rPr>
            </w:pPr>
            <w:r w:rsidRPr="00896984">
              <w:rPr>
                <w:rFonts w:ascii="Times New Roman" w:hAnsi="Times New Roman" w:cs="Times New Roman"/>
                <w:b/>
                <w:sz w:val="14"/>
                <w:szCs w:val="14"/>
                <w:lang w:eastAsia="sk-SK"/>
              </w:rPr>
              <w:t>v tis. eur</w:t>
            </w:r>
          </w:p>
        </w:tc>
        <w:tc>
          <w:tcPr>
            <w:tcW w:w="940" w:type="pct"/>
            <w:gridSpan w:val="2"/>
            <w:tcBorders>
              <w:top w:val="single" w:sz="4" w:space="0" w:color="auto"/>
              <w:left w:val="single" w:sz="4" w:space="0" w:color="auto"/>
              <w:bottom w:val="single" w:sz="4" w:space="0" w:color="auto"/>
              <w:right w:val="single" w:sz="4" w:space="0" w:color="auto"/>
            </w:tcBorders>
            <w:shd w:val="clear" w:color="auto" w:fill="A6A6A6"/>
            <w:textDirection w:val="lrTb"/>
            <w:vAlign w:val="bottom"/>
            <w:hideMark/>
          </w:tcPr>
          <w:p w:rsidR="000A6169" w:rsidRPr="00896984" w:rsidP="00942EF3">
            <w:pPr>
              <w:bidi w:val="0"/>
              <w:jc w:val="center"/>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Skutočnosť</w:t>
            </w:r>
          </w:p>
        </w:tc>
        <w:tc>
          <w:tcPr>
            <w:tcW w:w="1835" w:type="pct"/>
            <w:gridSpan w:val="4"/>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0A6169" w:rsidRPr="00896984" w:rsidP="00942EF3">
            <w:pPr>
              <w:bidi w:val="0"/>
              <w:jc w:val="center"/>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Prognóza</w:t>
            </w:r>
          </w:p>
        </w:tc>
      </w:tr>
      <w:tr>
        <w:tblPrEx>
          <w:tblW w:w="5087" w:type="pct"/>
          <w:tblCellMar>
            <w:left w:w="70" w:type="dxa"/>
            <w:right w:w="70" w:type="dxa"/>
          </w:tblCellMar>
          <w:tblLook w:val="04A0"/>
        </w:tblPrEx>
        <w:trPr>
          <w:trHeight w:hRule="exact" w:val="198"/>
        </w:trPr>
        <w:tc>
          <w:tcPr>
            <w:tcW w:w="2225"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0A6169" w:rsidRPr="00896984" w:rsidP="00942EF3">
            <w:pPr>
              <w:bidi w:val="0"/>
              <w:rPr>
                <w:rFonts w:ascii="Times New Roman" w:hAnsi="Times New Roman" w:cs="Times New Roman"/>
                <w:sz w:val="14"/>
                <w:szCs w:val="14"/>
                <w:lang w:eastAsia="sk-SK"/>
              </w:rPr>
            </w:pPr>
          </w:p>
        </w:tc>
        <w:tc>
          <w:tcPr>
            <w:tcW w:w="459" w:type="pct"/>
            <w:tcBorders>
              <w:top w:val="single" w:sz="4" w:space="0" w:color="auto"/>
              <w:left w:val="single" w:sz="4" w:space="0" w:color="auto"/>
              <w:bottom w:val="single" w:sz="4" w:space="0" w:color="auto"/>
              <w:right w:val="single" w:sz="4" w:space="0" w:color="auto"/>
            </w:tcBorders>
            <w:shd w:val="clear" w:color="auto" w:fill="A6A6A6"/>
            <w:textDirection w:val="lrTb"/>
            <w:vAlign w:val="bottom"/>
            <w:hideMark/>
          </w:tcPr>
          <w:p w:rsidR="000A6169" w:rsidRPr="00896984" w:rsidP="00942EF3">
            <w:pPr>
              <w:bidi w:val="0"/>
              <w:jc w:val="center"/>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2009</w:t>
            </w:r>
          </w:p>
        </w:tc>
        <w:tc>
          <w:tcPr>
            <w:tcW w:w="481" w:type="pct"/>
            <w:tcBorders>
              <w:top w:val="single" w:sz="4" w:space="0" w:color="auto"/>
              <w:left w:val="single" w:sz="4" w:space="0" w:color="auto"/>
              <w:bottom w:val="single" w:sz="4" w:space="0" w:color="auto"/>
              <w:right w:val="single" w:sz="4" w:space="0" w:color="auto"/>
            </w:tcBorders>
            <w:shd w:val="clear" w:color="auto" w:fill="A6A6A6"/>
            <w:textDirection w:val="lrTb"/>
            <w:vAlign w:val="bottom"/>
            <w:hideMark/>
          </w:tcPr>
          <w:p w:rsidR="000A6169" w:rsidRPr="00896984" w:rsidP="00942EF3">
            <w:pPr>
              <w:bidi w:val="0"/>
              <w:jc w:val="center"/>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2010</w:t>
            </w:r>
          </w:p>
        </w:tc>
        <w:tc>
          <w:tcPr>
            <w:tcW w:w="45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0A6169" w:rsidRPr="00896984" w:rsidP="00942EF3">
            <w:pPr>
              <w:bidi w:val="0"/>
              <w:jc w:val="center"/>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2011</w:t>
            </w:r>
          </w:p>
        </w:tc>
        <w:tc>
          <w:tcPr>
            <w:tcW w:w="45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0A6169" w:rsidRPr="00896984" w:rsidP="00942EF3">
            <w:pPr>
              <w:bidi w:val="0"/>
              <w:jc w:val="center"/>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2012</w:t>
            </w:r>
          </w:p>
        </w:tc>
        <w:tc>
          <w:tcPr>
            <w:tcW w:w="45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0A6169" w:rsidRPr="00896984" w:rsidP="00942EF3">
            <w:pPr>
              <w:bidi w:val="0"/>
              <w:jc w:val="center"/>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2013</w:t>
            </w:r>
          </w:p>
        </w:tc>
        <w:tc>
          <w:tcPr>
            <w:tcW w:w="45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0A6169" w:rsidRPr="00896984" w:rsidP="00942EF3">
            <w:pPr>
              <w:bidi w:val="0"/>
              <w:jc w:val="center"/>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2014</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0A6169" w:rsidRPr="00896984" w:rsidP="00942EF3">
            <w:pPr>
              <w:bidi w:val="0"/>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Dane z príjmov, ziskov a kapitálového majetku</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3 257 260</w:t>
            </w:r>
          </w:p>
        </w:tc>
        <w:tc>
          <w:tcPr>
            <w:tcW w:w="48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3 318 717</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3 720 477</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5 881 916</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6 381 216</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6 886 518</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Daň z príjmov fyzických osôb</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1 519 334</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1 514 451</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1 770 868</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3 659 053</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3 915 546</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4 201 408</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560" w:firstLineChars="4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DPFO zo závislej činnosti</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1 455 422</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1 447 257</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1 669 628</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3 442 088</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3 688 114</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3 960 524</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560" w:firstLineChars="4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DPFO z  podnikania (2010 je odhad)</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63 912</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67 194</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101 240</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216 965</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227 432</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240 884</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Daň z príjmov právnických osôb (2010 je odhad)</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1 582 171</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1 651 934</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1 797 946</w:t>
            </w:r>
          </w:p>
        </w:tc>
        <w:tc>
          <w:tcPr>
            <w:tcW w:w="45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2 021 111</w:t>
            </w:r>
          </w:p>
        </w:tc>
        <w:tc>
          <w:tcPr>
            <w:tcW w:w="45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2 212 112</w:t>
            </w:r>
          </w:p>
        </w:tc>
        <w:tc>
          <w:tcPr>
            <w:tcW w:w="45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2 409 906</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Daň z príjmov vyberaná zrážkou</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155 755</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152 332</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151 663</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201 752</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253 558</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275 204</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0A6169" w:rsidRPr="00896984" w:rsidP="00942EF3">
            <w:pPr>
              <w:bidi w:val="0"/>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Dane na tovary a služby</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5 982 515</w:t>
            </w:r>
          </w:p>
        </w:tc>
        <w:tc>
          <w:tcPr>
            <w:tcW w:w="48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6 112 906</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6 724 719</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6 938 512</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7 300 631</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7 701 878</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Daň z pridanej hodnoty</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4 221 289</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4 182 101</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4 691 252</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4 828 293</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5 134 064</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5 465 723</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Spotrebné dane</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1 761 227</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1 930 805</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2 033 467</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2 110 219</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2 166 567</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2 236 155</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560" w:firstLineChars="4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Z minerálnych olejov</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1 046 500</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1 032 132</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1 099 332</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1 129 371</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1 177 171</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1 229 083</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560" w:firstLineChars="4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Z liehu</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197 024</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196 881</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201 808</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209 107</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216 444</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224 848</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560" w:firstLineChars="4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Z piva</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58 145</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55 832</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55 724</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56 427</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57 517</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59 759</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560" w:firstLineChars="4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Z vína</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3 680</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4 300</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3 804</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3 820</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3 869</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4 026</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560" w:firstLineChars="4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Z tabaku a tabakových výrobkov</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436 472</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601 873</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629 337</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661 505</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660 379</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665 599</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560" w:firstLineChars="4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Z elektrickej energie</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7 532</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15 541</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15 735</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16 099</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16 516</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17 193</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560" w:firstLineChars="4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Zo zemného plynu</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11 035</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23 508</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25 210</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30 105</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30 918</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31 927</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560" w:firstLineChars="4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Z uhlia</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839</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739</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2 517</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3 785</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3 753</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3 720</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0A6169" w:rsidRPr="00896984" w:rsidP="00942EF3">
            <w:pPr>
              <w:bidi w:val="0"/>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Dane z medzinárodného obchodu a transakcií</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27 158</w:t>
            </w:r>
          </w:p>
        </w:tc>
        <w:tc>
          <w:tcPr>
            <w:tcW w:w="48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35 368</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39 921</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40 667</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41 489</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42 328</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Dovozné clo</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-6</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Dovozná prirážka</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Podiel na vybratých finančných prostriedkoch EÚ</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27 160</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35 366</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39 921</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40 667</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41 489</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42 328</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Ostatné colné príjmy</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0A6169" w:rsidRPr="00896984" w:rsidP="00942EF3">
            <w:pPr>
              <w:bidi w:val="0"/>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Miestne dane</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530 871</w:t>
            </w:r>
          </w:p>
        </w:tc>
        <w:tc>
          <w:tcPr>
            <w:tcW w:w="48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547 229</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578 768</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605 236</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632 953</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661 980</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Daň z nehnuteľností</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254 814</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266 284</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280 933</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294 979</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309 728</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325 214</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Dane za špecifické služby</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158 102</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159 875</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174 307</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183 023</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192 174</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201 783</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Daň z motorových vozidiel</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117 955</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121 070</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123 528</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127 234</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131 051</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134 983</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0A6169" w:rsidRPr="00896984" w:rsidP="00942EF3">
            <w:pPr>
              <w:bidi w:val="0"/>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Ostatné dane</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79 215</w:t>
            </w:r>
          </w:p>
        </w:tc>
        <w:tc>
          <w:tcPr>
            <w:tcW w:w="48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78 115</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122 584</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122 810</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78 010</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78 225</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Daň z emisných kvót</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45 000</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45 000</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Úhrada za služby verejnosti poskytované STV a SRo</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77 348</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76 098</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75 821</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76 278</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76 469</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76 684</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Daň z úhrad za dobývací priestor</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560</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597</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531</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531</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531</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531</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840" w:firstLineChars="6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 xml:space="preserve">do štátneho rozpočtu </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107</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109</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106</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106</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106</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106</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840" w:firstLineChars="6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 xml:space="preserve">do obcí </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453</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489</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425</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425</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425</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425</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Daň z úhrad za uskladňovanie plynov alebo kvapalín</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780</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1 183</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1 001</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1 001</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1 010</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1 010</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Majetkové dane (do ŠR)</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454</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361</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208</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Iné dane</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72</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-125</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23</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rPr>
                <w:rFonts w:ascii="Times New Roman" w:hAnsi="Times New Roman" w:cs="Times New Roman"/>
                <w:sz w:val="14"/>
                <w:szCs w:val="14"/>
              </w:rPr>
            </w:pPr>
            <w:r w:rsidRPr="00896984">
              <w:rPr>
                <w:rFonts w:ascii="Times New Roman" w:hAnsi="Times New Roman" w:cs="Times New Roman"/>
                <w:sz w:val="14"/>
                <w:szCs w:val="14"/>
              </w:rPr>
              <w:t>Prevod samosprávam</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1 621 906</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1 784 735</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1 890 053</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rPr>
            </w:pPr>
            <w:r w:rsidRPr="00896984">
              <w:rPr>
                <w:rFonts w:ascii="Times New Roman" w:hAnsi="Times New Roman" w:cs="Times New Roman"/>
                <w:sz w:val="14"/>
                <w:szCs w:val="14"/>
              </w:rPr>
              <w:t>obciam</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1 215 565</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1 337 600</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1 416 532</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A14AA2">
            <w:pPr>
              <w:bidi w:val="0"/>
              <w:ind w:firstLine="280" w:firstLineChars="200"/>
              <w:rPr>
                <w:rFonts w:ascii="Times New Roman" w:hAnsi="Times New Roman" w:cs="Times New Roman"/>
                <w:sz w:val="14"/>
                <w:szCs w:val="14"/>
              </w:rPr>
            </w:pPr>
            <w:r w:rsidRPr="00896984">
              <w:rPr>
                <w:rFonts w:ascii="Times New Roman" w:hAnsi="Times New Roman" w:cs="Times New Roman"/>
                <w:sz w:val="14"/>
                <w:szCs w:val="14"/>
              </w:rPr>
              <w:t>VÚC</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406 341</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447 135</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473 521</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0A6169" w:rsidRPr="00896984" w:rsidP="00942EF3">
            <w:pPr>
              <w:bidi w:val="0"/>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Fondy sociálneho a zdravotného poistenia (FSZP)</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6 491 378</w:t>
            </w:r>
          </w:p>
        </w:tc>
        <w:tc>
          <w:tcPr>
            <w:tcW w:w="48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6 490 538</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6 953 074</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5 565 318</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5 919 715</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6 250 150</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942EF3">
            <w:pPr>
              <w:bidi w:val="0"/>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Sociálna poisťovňa</w:t>
            </w:r>
          </w:p>
        </w:tc>
        <w:tc>
          <w:tcPr>
            <w:tcW w:w="459"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4 304 043</w:t>
            </w:r>
          </w:p>
        </w:tc>
        <w:tc>
          <w:tcPr>
            <w:tcW w:w="481"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4 247 290</w:t>
            </w:r>
          </w:p>
        </w:tc>
        <w:tc>
          <w:tcPr>
            <w:tcW w:w="459"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4 558 983</w:t>
            </w:r>
          </w:p>
        </w:tc>
        <w:tc>
          <w:tcPr>
            <w:tcW w:w="459"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3 293 873</w:t>
            </w:r>
          </w:p>
        </w:tc>
        <w:tc>
          <w:tcPr>
            <w:tcW w:w="459"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3 502 853</w:t>
            </w:r>
          </w:p>
        </w:tc>
        <w:tc>
          <w:tcPr>
            <w:tcW w:w="459"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3 673 960</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Ekonomicky aktívne obyvateľstvo + dlžné</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4 195 265</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4 247 267</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4 558 983</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3 293 873</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3 502 853</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3 673 960</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 xml:space="preserve"> - EAO</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3 982 736</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4 020 671</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4 287 363</w:t>
            </w:r>
          </w:p>
        </w:tc>
        <w:tc>
          <w:tcPr>
            <w:tcW w:w="45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3 144 500</w:t>
            </w:r>
          </w:p>
        </w:tc>
        <w:tc>
          <w:tcPr>
            <w:tcW w:w="45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3 353 480</w:t>
            </w:r>
          </w:p>
        </w:tc>
        <w:tc>
          <w:tcPr>
            <w:tcW w:w="45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3 524 587</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 xml:space="preserve"> - dlžné</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212 529</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226 596</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271 620</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149 373</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149 373</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149 373</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transfer úspor z DSS do SP- od vystúpených</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108 778</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23</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0</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942EF3">
            <w:pPr>
              <w:bidi w:val="0"/>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Zdravotné poisťovne</w:t>
            </w:r>
          </w:p>
        </w:tc>
        <w:tc>
          <w:tcPr>
            <w:tcW w:w="459"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2 187 335</w:t>
            </w:r>
          </w:p>
        </w:tc>
        <w:tc>
          <w:tcPr>
            <w:tcW w:w="481"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2 243 248</w:t>
            </w:r>
          </w:p>
        </w:tc>
        <w:tc>
          <w:tcPr>
            <w:tcW w:w="459"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2 394 091</w:t>
            </w:r>
          </w:p>
        </w:tc>
        <w:tc>
          <w:tcPr>
            <w:tcW w:w="459"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2 271 445</w:t>
            </w:r>
          </w:p>
        </w:tc>
        <w:tc>
          <w:tcPr>
            <w:tcW w:w="459"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2 416 862</w:t>
            </w:r>
          </w:p>
        </w:tc>
        <w:tc>
          <w:tcPr>
            <w:tcW w:w="459"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2 576 190</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Ekonomicky aktívne obyvateľstvo + dlžné</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2 187 335</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2 243 248</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2 394 091</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2 271 445</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2 416 862</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2 576 190</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z toho: ročné zúčtovanie</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18 597</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13 127</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17 102</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18 053</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19 161</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20 451</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Daňové príjmy VS spolu</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9 877 019</w:t>
            </w:r>
          </w:p>
        </w:tc>
        <w:tc>
          <w:tcPr>
            <w:tcW w:w="48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10 092 334</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11 186 469</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13 589 141</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14 434 299</w:t>
            </w:r>
          </w:p>
        </w:tc>
        <w:tc>
          <w:tcPr>
            <w:tcW w:w="4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15 370 929</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Daňové príjmy ŠR</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7 842 331</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8 138 822</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8 957 572</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11 284 295</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11 938 707</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12 740 777</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 xml:space="preserve">Daňové príjmy obcí </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1 481 562</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1 423 374</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1 634 488</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1 693 992</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1 839 927</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1 943 954</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Daňové príjmy VÚC</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474 998</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452 857</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517 587</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533 575</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578 186</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608 504</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Daňové príjmy STV</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53 961</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53 316</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Daňové príjmy SRo</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23 387</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22 782</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Daňové príjmy Rozhlasu a televízie Slovenska (RTS)</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 -</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 </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75 821</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76 278</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76 469</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76 684</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A14AA2">
            <w:pPr>
              <w:bidi w:val="0"/>
              <w:ind w:firstLine="280" w:firstLineChars="200"/>
              <w:rPr>
                <w:rFonts w:ascii="Times New Roman" w:hAnsi="Times New Roman" w:cs="Times New Roman"/>
                <w:sz w:val="14"/>
                <w:szCs w:val="14"/>
                <w:lang w:eastAsia="sk-SK"/>
              </w:rPr>
            </w:pPr>
            <w:r w:rsidRPr="00896984">
              <w:rPr>
                <w:rFonts w:ascii="Times New Roman" w:hAnsi="Times New Roman" w:cs="Times New Roman"/>
                <w:sz w:val="14"/>
                <w:szCs w:val="14"/>
                <w:lang w:eastAsia="sk-SK"/>
              </w:rPr>
              <w:t>Environmentálny fond</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780</w:t>
            </w:r>
          </w:p>
        </w:tc>
        <w:tc>
          <w:tcPr>
            <w:tcW w:w="481"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1 183</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1 001</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1 001</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1 010</w:t>
            </w:r>
          </w:p>
        </w:tc>
        <w:tc>
          <w:tcPr>
            <w:tcW w:w="459"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jc w:val="right"/>
              <w:rPr>
                <w:rFonts w:ascii="Times New Roman" w:hAnsi="Times New Roman" w:cs="Times New Roman"/>
                <w:sz w:val="14"/>
                <w:szCs w:val="14"/>
                <w:lang w:eastAsia="sk-SK"/>
              </w:rPr>
            </w:pPr>
            <w:r w:rsidRPr="00896984">
              <w:rPr>
                <w:rFonts w:ascii="Times New Roman" w:hAnsi="Times New Roman" w:cs="Times New Roman"/>
                <w:sz w:val="14"/>
                <w:szCs w:val="14"/>
                <w:lang w:eastAsia="sk-SK"/>
              </w:rPr>
              <w:t>1 010</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FSZP spolu</w:t>
            </w:r>
          </w:p>
        </w:tc>
        <w:tc>
          <w:tcPr>
            <w:tcW w:w="459"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6 491 378</w:t>
            </w:r>
          </w:p>
        </w:tc>
        <w:tc>
          <w:tcPr>
            <w:tcW w:w="481"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6 490 538</w:t>
            </w:r>
          </w:p>
        </w:tc>
        <w:tc>
          <w:tcPr>
            <w:tcW w:w="459"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6 953 074</w:t>
            </w:r>
          </w:p>
        </w:tc>
        <w:tc>
          <w:tcPr>
            <w:tcW w:w="459"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5 565 318</w:t>
            </w:r>
          </w:p>
        </w:tc>
        <w:tc>
          <w:tcPr>
            <w:tcW w:w="459"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5 919 715</w:t>
            </w:r>
          </w:p>
        </w:tc>
        <w:tc>
          <w:tcPr>
            <w:tcW w:w="459"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6 250 150</w:t>
            </w:r>
          </w:p>
        </w:tc>
      </w:tr>
      <w:tr>
        <w:tblPrEx>
          <w:tblW w:w="5087" w:type="pct"/>
          <w:tblCellMar>
            <w:left w:w="70" w:type="dxa"/>
            <w:right w:w="70" w:type="dxa"/>
          </w:tblCellMar>
          <w:tblLook w:val="04A0"/>
        </w:tblPrEx>
        <w:trPr>
          <w:trHeight w:hRule="exact" w:val="198"/>
        </w:trPr>
        <w:tc>
          <w:tcPr>
            <w:tcW w:w="2225" w:type="pct"/>
            <w:tcBorders>
              <w:top w:val="single" w:sz="4" w:space="0" w:color="auto"/>
              <w:left w:val="single" w:sz="4" w:space="0" w:color="auto"/>
              <w:bottom w:val="single" w:sz="4" w:space="0" w:color="auto"/>
              <w:right w:val="single" w:sz="4" w:space="0" w:color="auto"/>
            </w:tcBorders>
            <w:noWrap/>
            <w:textDirection w:val="lrTb"/>
            <w:vAlign w:val="center"/>
            <w:hideMark/>
          </w:tcPr>
          <w:p w:rsidR="000A6169" w:rsidRPr="00896984" w:rsidP="00942EF3">
            <w:pPr>
              <w:bidi w:val="0"/>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Daňové príjmy a príjmy FSZP spolu</w:t>
            </w:r>
          </w:p>
        </w:tc>
        <w:tc>
          <w:tcPr>
            <w:tcW w:w="459"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16 368 398</w:t>
            </w:r>
          </w:p>
        </w:tc>
        <w:tc>
          <w:tcPr>
            <w:tcW w:w="481"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16 582 872</w:t>
            </w:r>
          </w:p>
        </w:tc>
        <w:tc>
          <w:tcPr>
            <w:tcW w:w="459"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18 139 543</w:t>
            </w:r>
          </w:p>
        </w:tc>
        <w:tc>
          <w:tcPr>
            <w:tcW w:w="459"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19 154 459</w:t>
            </w:r>
          </w:p>
        </w:tc>
        <w:tc>
          <w:tcPr>
            <w:tcW w:w="459"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20 354 014</w:t>
            </w:r>
          </w:p>
        </w:tc>
        <w:tc>
          <w:tcPr>
            <w:tcW w:w="459" w:type="pct"/>
            <w:tcBorders>
              <w:top w:val="single" w:sz="4" w:space="0" w:color="auto"/>
              <w:left w:val="single" w:sz="4" w:space="0" w:color="auto"/>
              <w:bottom w:val="single" w:sz="4" w:space="0" w:color="auto"/>
              <w:right w:val="single" w:sz="4" w:space="0" w:color="auto"/>
            </w:tcBorders>
            <w:noWrap/>
            <w:textDirection w:val="lrTb"/>
            <w:vAlign w:val="bottom"/>
            <w:hideMark/>
          </w:tcPr>
          <w:p w:rsidR="000A6169" w:rsidRPr="00896984" w:rsidP="00942EF3">
            <w:pPr>
              <w:bidi w:val="0"/>
              <w:jc w:val="right"/>
              <w:rPr>
                <w:rFonts w:ascii="Times New Roman" w:hAnsi="Times New Roman" w:cs="Times New Roman"/>
                <w:b/>
                <w:bCs/>
                <w:sz w:val="14"/>
                <w:szCs w:val="14"/>
                <w:lang w:eastAsia="sk-SK"/>
              </w:rPr>
            </w:pPr>
            <w:r w:rsidRPr="00896984">
              <w:rPr>
                <w:rFonts w:ascii="Times New Roman" w:hAnsi="Times New Roman" w:cs="Times New Roman"/>
                <w:b/>
                <w:bCs/>
                <w:sz w:val="14"/>
                <w:szCs w:val="14"/>
                <w:lang w:eastAsia="sk-SK"/>
              </w:rPr>
              <w:t>21 621 079</w:t>
            </w:r>
          </w:p>
        </w:tc>
      </w:tr>
    </w:tbl>
    <w:p w:rsidR="00C62210" w:rsidRPr="00896984" w:rsidP="000A6169">
      <w:pPr>
        <w:pStyle w:val="Heading2"/>
        <w:bidi w:val="0"/>
        <w:spacing w:before="0" w:after="0"/>
        <w:ind w:left="426" w:hanging="426"/>
        <w:rPr>
          <w:rFonts w:ascii="Times New Roman" w:hAnsi="Times New Roman"/>
          <w:i w:val="0"/>
          <w:iCs w:val="0"/>
          <w:sz w:val="24"/>
          <w:szCs w:val="24"/>
        </w:rPr>
      </w:pPr>
    </w:p>
    <w:p w:rsidR="00C62210" w:rsidRPr="00896984" w:rsidP="000A6169">
      <w:pPr>
        <w:pStyle w:val="Heading2"/>
        <w:bidi w:val="0"/>
        <w:spacing w:before="0" w:after="0"/>
        <w:ind w:left="426" w:hanging="426"/>
        <w:rPr>
          <w:rFonts w:ascii="Times New Roman" w:hAnsi="Times New Roman"/>
          <w:i w:val="0"/>
          <w:iCs w:val="0"/>
          <w:sz w:val="24"/>
          <w:szCs w:val="24"/>
        </w:rPr>
      </w:pPr>
    </w:p>
    <w:p w:rsidR="00C62210" w:rsidRPr="00896984" w:rsidP="00C62210">
      <w:pPr>
        <w:bidi w:val="0"/>
      </w:pPr>
    </w:p>
    <w:p w:rsidR="00C62210" w:rsidRPr="00896984" w:rsidP="00C62210">
      <w:pPr>
        <w:bidi w:val="0"/>
      </w:pPr>
    </w:p>
    <w:p w:rsidR="000A6169" w:rsidRPr="00896984" w:rsidP="00C62210">
      <w:pPr>
        <w:pStyle w:val="Heading2"/>
        <w:bidi w:val="0"/>
        <w:spacing w:before="0" w:after="0"/>
        <w:ind w:left="426" w:hanging="426"/>
        <w:jc w:val="both"/>
        <w:rPr>
          <w:rFonts w:ascii="Times New Roman" w:hAnsi="Times New Roman"/>
          <w:i w:val="0"/>
          <w:iCs w:val="0"/>
          <w:sz w:val="24"/>
          <w:szCs w:val="24"/>
        </w:rPr>
      </w:pPr>
      <w:bookmarkStart w:id="45" w:name="_Toc306089063"/>
      <w:r w:rsidRPr="00896984">
        <w:rPr>
          <w:rFonts w:ascii="Times New Roman" w:hAnsi="Times New Roman"/>
          <w:i w:val="0"/>
          <w:iCs w:val="0"/>
          <w:sz w:val="24"/>
          <w:szCs w:val="24"/>
        </w:rPr>
        <w:t>4.5. Porovnanie aktuálneho odhadu daní s rozpočtom verejnej správy na roky 2011 až 201</w:t>
      </w:r>
      <w:bookmarkEnd w:id="43"/>
      <w:bookmarkEnd w:id="44"/>
      <w:r w:rsidRPr="00896984">
        <w:rPr>
          <w:rFonts w:ascii="Times New Roman" w:hAnsi="Times New Roman"/>
          <w:i w:val="0"/>
          <w:iCs w:val="0"/>
          <w:sz w:val="24"/>
          <w:szCs w:val="24"/>
        </w:rPr>
        <w:t>3</w:t>
      </w:r>
      <w:bookmarkEnd w:id="45"/>
    </w:p>
    <w:p w:rsidR="000A6169" w:rsidRPr="00896984" w:rsidP="000A6169">
      <w:pPr>
        <w:bidi w:val="0"/>
        <w:rPr>
          <w:rFonts w:ascii="Times New Roman" w:hAnsi="Times New Roman" w:cs="Times New Roman"/>
        </w:rPr>
      </w:pPr>
    </w:p>
    <w:p w:rsidR="000A6169" w:rsidRPr="00896984" w:rsidP="000A6169">
      <w:pPr>
        <w:bidi w:val="0"/>
        <w:ind w:firstLine="708"/>
        <w:jc w:val="both"/>
        <w:rPr>
          <w:rFonts w:ascii="Times New Roman" w:hAnsi="Times New Roman" w:cs="Times New Roman"/>
        </w:rPr>
      </w:pPr>
      <w:r w:rsidRPr="00896984">
        <w:rPr>
          <w:rFonts w:ascii="Times New Roman" w:hAnsi="Times New Roman" w:cs="Times New Roman"/>
        </w:rPr>
        <w:t>Nižšie uvedená tabuľka prezentuje rozdiely aktuálnej prognózy daní a odvodov v metodike ESA</w:t>
      </w:r>
      <w:r w:rsidRPr="00896984" w:rsidR="00C62210">
        <w:rPr>
          <w:rFonts w:ascii="Times New Roman" w:hAnsi="Times New Roman" w:cs="Times New Roman"/>
        </w:rPr>
        <w:t xml:space="preserve"> </w:t>
      </w:r>
      <w:r w:rsidRPr="00896984">
        <w:rPr>
          <w:rFonts w:ascii="Times New Roman" w:hAnsi="Times New Roman" w:cs="Times New Roman"/>
        </w:rPr>
        <w:t xml:space="preserve">95 oproti rozpočtu verejnej správy na roky 2011 </w:t>
      </w:r>
      <w:r w:rsidRPr="00896984" w:rsidR="00C62210">
        <w:rPr>
          <w:rFonts w:ascii="Times New Roman" w:hAnsi="Times New Roman" w:cs="Times New Roman"/>
        </w:rPr>
        <w:t>až</w:t>
      </w:r>
      <w:r w:rsidRPr="00896984">
        <w:rPr>
          <w:rFonts w:ascii="Times New Roman" w:hAnsi="Times New Roman" w:cs="Times New Roman"/>
        </w:rPr>
        <w:t xml:space="preserve"> 2013. Aktuálna prognóza je v porovnaní so schváleným rozpočtom v roku 2011 nižšia o 61,4 mil. eur, v roku 2012 o 130,0 mil. eur a v roku 2013 je nižšia o 268,6 mil. eur. Zníženie prognózy daňových príjmov 2011 je spôsobené najmä zohľadnením skutočného plnenia daní v priebehu roka. V rokoch 2012 a 2013 je negatívny rozdiel ovplyvnený zhoršeným vývojom makroekonomického prostredia v porovnaní s pôvodnými očakávaniami a čiastočne je ovplyvnený pozitívnym vplyvom novej legislatívy.</w:t>
      </w:r>
    </w:p>
    <w:p w:rsidR="000A6169" w:rsidRPr="00896984" w:rsidP="000A6169">
      <w:pPr>
        <w:bidi w:val="0"/>
        <w:ind w:firstLine="708"/>
        <w:jc w:val="both"/>
        <w:rPr>
          <w:rFonts w:ascii="Times New Roman" w:hAnsi="Times New Roman" w:cs="Times New Roman"/>
        </w:rPr>
      </w:pPr>
      <w:r w:rsidRPr="00896984">
        <w:rPr>
          <w:rFonts w:ascii="Times New Roman" w:hAnsi="Times New Roman" w:cs="Times New Roman"/>
        </w:rPr>
        <w:t xml:space="preserve"> </w:t>
      </w:r>
    </w:p>
    <w:tbl>
      <w:tblPr>
        <w:tblStyle w:val="TableNormal"/>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5229"/>
        <w:gridCol w:w="1281"/>
        <w:gridCol w:w="1281"/>
        <w:gridCol w:w="1281"/>
      </w:tblGrid>
      <w:tr>
        <w:tblPrEx>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70"/>
          <w:jc w:val="center"/>
        </w:trPr>
        <w:tc>
          <w:tcPr>
            <w:tcW w:w="5229"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0A6169" w:rsidRPr="00896984" w:rsidP="00C62210">
            <w:pPr>
              <w:bidi w:val="0"/>
              <w:rPr>
                <w:rFonts w:ascii="Times New Roman" w:hAnsi="Times New Roman" w:cs="Times New Roman"/>
                <w:b/>
                <w:bCs/>
                <w:sz w:val="14"/>
                <w:szCs w:val="14"/>
              </w:rPr>
            </w:pPr>
            <w:bookmarkStart w:id="46" w:name="OLE_LINK1"/>
            <w:r w:rsidRPr="00896984">
              <w:rPr>
                <w:rFonts w:ascii="Times New Roman" w:hAnsi="Times New Roman" w:cs="Times New Roman"/>
                <w:b/>
                <w:bCs/>
                <w:sz w:val="14"/>
                <w:szCs w:val="14"/>
              </w:rPr>
              <w:t xml:space="preserve">Rozdiely medzi aktuálnym odhadom daní a rozpočtom verejnej správy na roky </w:t>
            </w:r>
            <w:r w:rsidRPr="00896984" w:rsidR="00C62210">
              <w:rPr>
                <w:rFonts w:ascii="Times New Roman" w:hAnsi="Times New Roman" w:cs="Times New Roman"/>
                <w:b/>
                <w:bCs/>
                <w:sz w:val="14"/>
                <w:szCs w:val="14"/>
              </w:rPr>
              <w:br/>
            </w:r>
            <w:r w:rsidRPr="00896984">
              <w:rPr>
                <w:rFonts w:ascii="Times New Roman" w:hAnsi="Times New Roman" w:cs="Times New Roman"/>
                <w:b/>
                <w:bCs/>
                <w:sz w:val="14"/>
                <w:szCs w:val="14"/>
              </w:rPr>
              <w:t>2011</w:t>
            </w:r>
            <w:r w:rsidRPr="00896984" w:rsidR="00C62210">
              <w:rPr>
                <w:rFonts w:ascii="Times New Roman" w:hAnsi="Times New Roman" w:cs="Times New Roman"/>
                <w:b/>
                <w:bCs/>
                <w:sz w:val="14"/>
                <w:szCs w:val="14"/>
              </w:rPr>
              <w:t xml:space="preserve"> až </w:t>
            </w:r>
            <w:r w:rsidRPr="00896984">
              <w:rPr>
                <w:rFonts w:ascii="Times New Roman" w:hAnsi="Times New Roman" w:cs="Times New Roman"/>
                <w:b/>
                <w:bCs/>
                <w:sz w:val="14"/>
                <w:szCs w:val="14"/>
              </w:rPr>
              <w:t>2013 (ESA 95, tis. eur)</w:t>
            </w:r>
          </w:p>
        </w:tc>
        <w:tc>
          <w:tcPr>
            <w:tcW w:w="1281"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0A6169" w:rsidRPr="00896984" w:rsidP="00942EF3">
            <w:pPr>
              <w:bidi w:val="0"/>
              <w:jc w:val="right"/>
              <w:rPr>
                <w:rFonts w:ascii="Times New Roman" w:hAnsi="Times New Roman" w:cs="Times New Roman"/>
                <w:b/>
                <w:bCs/>
                <w:sz w:val="14"/>
                <w:szCs w:val="14"/>
              </w:rPr>
            </w:pPr>
            <w:r w:rsidRPr="00896984">
              <w:rPr>
                <w:rFonts w:ascii="Times New Roman" w:hAnsi="Times New Roman" w:cs="Times New Roman"/>
                <w:b/>
                <w:bCs/>
                <w:sz w:val="14"/>
                <w:szCs w:val="14"/>
              </w:rPr>
              <w:t>2011</w:t>
            </w:r>
          </w:p>
        </w:tc>
        <w:tc>
          <w:tcPr>
            <w:tcW w:w="1281"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0A6169" w:rsidRPr="00896984" w:rsidP="00942EF3">
            <w:pPr>
              <w:bidi w:val="0"/>
              <w:jc w:val="right"/>
              <w:rPr>
                <w:rFonts w:ascii="Times New Roman" w:hAnsi="Times New Roman" w:cs="Times New Roman"/>
                <w:b/>
                <w:bCs/>
                <w:sz w:val="14"/>
                <w:szCs w:val="14"/>
              </w:rPr>
            </w:pPr>
            <w:r w:rsidRPr="00896984">
              <w:rPr>
                <w:rFonts w:ascii="Times New Roman" w:hAnsi="Times New Roman" w:cs="Times New Roman"/>
                <w:b/>
                <w:bCs/>
                <w:sz w:val="14"/>
                <w:szCs w:val="14"/>
              </w:rPr>
              <w:t>2012</w:t>
            </w:r>
          </w:p>
        </w:tc>
        <w:tc>
          <w:tcPr>
            <w:tcW w:w="1281"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0A6169" w:rsidRPr="00896984" w:rsidP="00942EF3">
            <w:pPr>
              <w:bidi w:val="0"/>
              <w:jc w:val="right"/>
              <w:rPr>
                <w:rFonts w:ascii="Times New Roman" w:hAnsi="Times New Roman" w:cs="Times New Roman"/>
                <w:b/>
                <w:bCs/>
                <w:sz w:val="14"/>
                <w:szCs w:val="14"/>
              </w:rPr>
            </w:pPr>
            <w:r w:rsidRPr="00896984">
              <w:rPr>
                <w:rFonts w:ascii="Times New Roman" w:hAnsi="Times New Roman" w:cs="Times New Roman"/>
                <w:b/>
                <w:bCs/>
                <w:sz w:val="14"/>
                <w:szCs w:val="14"/>
              </w:rPr>
              <w:t>2013</w:t>
            </w:r>
          </w:p>
        </w:tc>
      </w:tr>
      <w:tr>
        <w:tblPrEx>
          <w:tblW w:w="9072" w:type="dxa"/>
          <w:jc w:val="center"/>
          <w:tblCellMar>
            <w:left w:w="70" w:type="dxa"/>
            <w:right w:w="70" w:type="dxa"/>
          </w:tblCellMar>
        </w:tblPrEx>
        <w:trPr>
          <w:trHeight w:val="270"/>
          <w:jc w:val="center"/>
        </w:trPr>
        <w:tc>
          <w:tcPr>
            <w:tcW w:w="5229"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A6169" w:rsidRPr="00896984" w:rsidP="00942EF3">
            <w:pPr>
              <w:bidi w:val="0"/>
              <w:rPr>
                <w:rFonts w:ascii="Times New Roman" w:hAnsi="Times New Roman" w:cs="Times New Roman"/>
                <w:b/>
                <w:bCs/>
                <w:sz w:val="14"/>
                <w:szCs w:val="14"/>
              </w:rPr>
            </w:pPr>
            <w:r w:rsidRPr="00896984">
              <w:rPr>
                <w:rFonts w:ascii="Times New Roman" w:hAnsi="Times New Roman" w:cs="Times New Roman"/>
                <w:b/>
                <w:bCs/>
                <w:sz w:val="14"/>
                <w:szCs w:val="14"/>
              </w:rPr>
              <w:t>Daňové príjmy na akruálnej báze spolu</w:t>
            </w:r>
          </w:p>
        </w:tc>
        <w:tc>
          <w:tcPr>
            <w:tcW w:w="1281"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0A6169" w:rsidRPr="00896984" w:rsidP="00942EF3">
            <w:pPr>
              <w:bidi w:val="0"/>
              <w:jc w:val="right"/>
              <w:rPr>
                <w:rFonts w:ascii="Times New Roman" w:hAnsi="Times New Roman" w:cs="Times New Roman"/>
                <w:b/>
                <w:bCs/>
                <w:sz w:val="14"/>
                <w:szCs w:val="14"/>
              </w:rPr>
            </w:pPr>
            <w:r w:rsidRPr="00896984">
              <w:rPr>
                <w:rFonts w:ascii="Times New Roman" w:hAnsi="Times New Roman" w:cs="Times New Roman"/>
                <w:b/>
                <w:bCs/>
                <w:sz w:val="14"/>
                <w:szCs w:val="14"/>
              </w:rPr>
              <w:t>-61 410</w:t>
            </w:r>
          </w:p>
        </w:tc>
        <w:tc>
          <w:tcPr>
            <w:tcW w:w="1281"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0A6169" w:rsidRPr="00896984" w:rsidP="00942EF3">
            <w:pPr>
              <w:bidi w:val="0"/>
              <w:jc w:val="right"/>
              <w:rPr>
                <w:rFonts w:ascii="Times New Roman" w:hAnsi="Times New Roman" w:cs="Times New Roman"/>
                <w:b/>
                <w:bCs/>
                <w:sz w:val="14"/>
                <w:szCs w:val="14"/>
              </w:rPr>
            </w:pPr>
            <w:r w:rsidRPr="00896984">
              <w:rPr>
                <w:rFonts w:ascii="Times New Roman" w:hAnsi="Times New Roman" w:cs="Times New Roman"/>
                <w:b/>
                <w:bCs/>
                <w:sz w:val="14"/>
                <w:szCs w:val="14"/>
              </w:rPr>
              <w:t>-129 970</w:t>
            </w:r>
          </w:p>
        </w:tc>
        <w:tc>
          <w:tcPr>
            <w:tcW w:w="1281"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0A6169" w:rsidRPr="00896984" w:rsidP="00942EF3">
            <w:pPr>
              <w:bidi w:val="0"/>
              <w:jc w:val="right"/>
              <w:rPr>
                <w:rFonts w:ascii="Times New Roman" w:hAnsi="Times New Roman" w:cs="Times New Roman"/>
                <w:b/>
                <w:bCs/>
                <w:sz w:val="14"/>
                <w:szCs w:val="14"/>
              </w:rPr>
            </w:pPr>
            <w:r w:rsidRPr="00896984">
              <w:rPr>
                <w:rFonts w:ascii="Times New Roman" w:hAnsi="Times New Roman" w:cs="Times New Roman"/>
                <w:b/>
                <w:bCs/>
                <w:sz w:val="14"/>
                <w:szCs w:val="14"/>
              </w:rPr>
              <w:t>-268 649</w:t>
            </w:r>
          </w:p>
        </w:tc>
      </w:tr>
      <w:tr>
        <w:tblPrEx>
          <w:tblW w:w="9072" w:type="dxa"/>
          <w:jc w:val="center"/>
          <w:tblCellMar>
            <w:left w:w="70" w:type="dxa"/>
            <w:right w:w="70" w:type="dxa"/>
          </w:tblCellMar>
        </w:tblPrEx>
        <w:trPr>
          <w:trHeight w:val="270"/>
          <w:jc w:val="center"/>
        </w:trPr>
        <w:tc>
          <w:tcPr>
            <w:tcW w:w="5229"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A6169" w:rsidRPr="00896984" w:rsidP="00942EF3">
            <w:pPr>
              <w:bidi w:val="0"/>
              <w:rPr>
                <w:rFonts w:ascii="Times New Roman" w:hAnsi="Times New Roman" w:cs="Times New Roman"/>
                <w:b/>
                <w:bCs/>
                <w:sz w:val="14"/>
                <w:szCs w:val="14"/>
              </w:rPr>
            </w:pPr>
            <w:r w:rsidRPr="00896984">
              <w:rPr>
                <w:rFonts w:ascii="Times New Roman" w:hAnsi="Times New Roman" w:cs="Times New Roman"/>
                <w:b/>
                <w:bCs/>
                <w:sz w:val="14"/>
                <w:szCs w:val="14"/>
              </w:rPr>
              <w:t xml:space="preserve"> v % HDP</w:t>
            </w:r>
          </w:p>
        </w:tc>
        <w:tc>
          <w:tcPr>
            <w:tcW w:w="1281"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0A6169" w:rsidRPr="00896984" w:rsidP="00942EF3">
            <w:pPr>
              <w:bidi w:val="0"/>
              <w:jc w:val="right"/>
              <w:rPr>
                <w:rFonts w:ascii="Times New Roman" w:hAnsi="Times New Roman" w:cs="Times New Roman"/>
                <w:b/>
                <w:bCs/>
                <w:i/>
                <w:iCs/>
                <w:sz w:val="14"/>
                <w:szCs w:val="14"/>
              </w:rPr>
            </w:pPr>
            <w:r w:rsidRPr="00896984">
              <w:rPr>
                <w:rFonts w:ascii="Times New Roman" w:hAnsi="Times New Roman" w:cs="Times New Roman"/>
                <w:b/>
                <w:bCs/>
                <w:i/>
                <w:iCs/>
                <w:sz w:val="14"/>
                <w:szCs w:val="14"/>
              </w:rPr>
              <w:t>-0,1</w:t>
            </w:r>
          </w:p>
        </w:tc>
        <w:tc>
          <w:tcPr>
            <w:tcW w:w="1281"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0A6169" w:rsidRPr="00896984" w:rsidP="00942EF3">
            <w:pPr>
              <w:bidi w:val="0"/>
              <w:jc w:val="right"/>
              <w:rPr>
                <w:rFonts w:ascii="Times New Roman" w:hAnsi="Times New Roman" w:cs="Times New Roman"/>
                <w:b/>
                <w:bCs/>
                <w:i/>
                <w:iCs/>
                <w:sz w:val="14"/>
                <w:szCs w:val="14"/>
              </w:rPr>
            </w:pPr>
            <w:r w:rsidRPr="00896984">
              <w:rPr>
                <w:rFonts w:ascii="Times New Roman" w:hAnsi="Times New Roman" w:cs="Times New Roman"/>
                <w:b/>
                <w:bCs/>
                <w:i/>
                <w:iCs/>
                <w:sz w:val="14"/>
                <w:szCs w:val="14"/>
              </w:rPr>
              <w:t>-0,2</w:t>
            </w:r>
          </w:p>
        </w:tc>
        <w:tc>
          <w:tcPr>
            <w:tcW w:w="1281"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0A6169" w:rsidRPr="00896984" w:rsidP="00942EF3">
            <w:pPr>
              <w:bidi w:val="0"/>
              <w:jc w:val="right"/>
              <w:rPr>
                <w:rFonts w:ascii="Times New Roman" w:hAnsi="Times New Roman" w:cs="Times New Roman"/>
                <w:b/>
                <w:bCs/>
                <w:i/>
                <w:iCs/>
                <w:sz w:val="14"/>
                <w:szCs w:val="14"/>
              </w:rPr>
            </w:pPr>
            <w:r w:rsidRPr="00896984">
              <w:rPr>
                <w:rFonts w:ascii="Times New Roman" w:hAnsi="Times New Roman" w:cs="Times New Roman"/>
                <w:b/>
                <w:bCs/>
                <w:i/>
                <w:iCs/>
                <w:sz w:val="14"/>
                <w:szCs w:val="14"/>
              </w:rPr>
              <w:t>-0,3</w:t>
            </w:r>
          </w:p>
        </w:tc>
      </w:tr>
      <w:tr>
        <w:tblPrEx>
          <w:tblW w:w="9072" w:type="dxa"/>
          <w:jc w:val="center"/>
          <w:tblCellMar>
            <w:left w:w="70" w:type="dxa"/>
            <w:right w:w="70" w:type="dxa"/>
          </w:tblCellMar>
        </w:tblPrEx>
        <w:trPr>
          <w:trHeight w:val="270"/>
          <w:jc w:val="center"/>
        </w:trPr>
        <w:tc>
          <w:tcPr>
            <w:tcW w:w="522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rPr>
                <w:rFonts w:ascii="Times New Roman" w:hAnsi="Times New Roman" w:cs="Times New Roman"/>
                <w:sz w:val="14"/>
                <w:szCs w:val="14"/>
              </w:rPr>
            </w:pPr>
            <w:r w:rsidRPr="00896984">
              <w:rPr>
                <w:rFonts w:ascii="Times New Roman" w:hAnsi="Times New Roman" w:cs="Times New Roman"/>
                <w:sz w:val="14"/>
                <w:szCs w:val="14"/>
              </w:rPr>
              <w:t>z toho: vplyv legislatívnych zmien</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bCs/>
                <w:sz w:val="14"/>
                <w:szCs w:val="14"/>
              </w:rPr>
            </w:pPr>
            <w:r w:rsidRPr="00896984">
              <w:rPr>
                <w:rFonts w:ascii="Times New Roman" w:hAnsi="Times New Roman" w:cs="Times New Roman"/>
                <w:bCs/>
                <w:sz w:val="14"/>
                <w:szCs w:val="14"/>
              </w:rPr>
              <w:t>3 815</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bCs/>
                <w:sz w:val="14"/>
                <w:szCs w:val="14"/>
              </w:rPr>
            </w:pPr>
            <w:r w:rsidRPr="00896984">
              <w:rPr>
                <w:rFonts w:ascii="Times New Roman" w:hAnsi="Times New Roman" w:cs="Times New Roman"/>
                <w:bCs/>
                <w:sz w:val="14"/>
                <w:szCs w:val="14"/>
              </w:rPr>
              <w:t>124 040</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bCs/>
                <w:sz w:val="14"/>
                <w:szCs w:val="14"/>
              </w:rPr>
            </w:pPr>
            <w:r w:rsidRPr="00896984">
              <w:rPr>
                <w:rFonts w:ascii="Times New Roman" w:hAnsi="Times New Roman" w:cs="Times New Roman"/>
                <w:bCs/>
                <w:sz w:val="14"/>
                <w:szCs w:val="14"/>
              </w:rPr>
              <w:t>109 567</w:t>
            </w:r>
          </w:p>
        </w:tc>
      </w:tr>
      <w:tr>
        <w:tblPrEx>
          <w:tblW w:w="9072" w:type="dxa"/>
          <w:jc w:val="center"/>
          <w:tblCellMar>
            <w:left w:w="70" w:type="dxa"/>
            <w:right w:w="70" w:type="dxa"/>
          </w:tblCellMar>
        </w:tblPrEx>
        <w:trPr>
          <w:trHeight w:val="270"/>
          <w:jc w:val="center"/>
        </w:trPr>
        <w:tc>
          <w:tcPr>
            <w:tcW w:w="522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C62210">
            <w:pPr>
              <w:bidi w:val="0"/>
              <w:ind w:firstLine="140" w:firstLineChars="100"/>
              <w:rPr>
                <w:rFonts w:ascii="Times New Roman" w:hAnsi="Times New Roman" w:cs="Times New Roman"/>
                <w:sz w:val="14"/>
                <w:szCs w:val="14"/>
              </w:rPr>
            </w:pPr>
            <w:r w:rsidRPr="00896984">
              <w:rPr>
                <w:rFonts w:ascii="Times New Roman" w:hAnsi="Times New Roman" w:cs="Times New Roman"/>
                <w:sz w:val="14"/>
                <w:szCs w:val="14"/>
              </w:rPr>
              <w:t>Daň z príjmov fyzických osôb</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-63 896</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1 600 658</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1 677 944</w:t>
            </w:r>
          </w:p>
        </w:tc>
      </w:tr>
      <w:tr>
        <w:tblPrEx>
          <w:tblW w:w="9072" w:type="dxa"/>
          <w:jc w:val="center"/>
          <w:tblCellMar>
            <w:left w:w="70" w:type="dxa"/>
            <w:right w:w="70" w:type="dxa"/>
          </w:tblCellMar>
        </w:tblPrEx>
        <w:trPr>
          <w:trHeight w:val="270"/>
          <w:jc w:val="center"/>
        </w:trPr>
        <w:tc>
          <w:tcPr>
            <w:tcW w:w="522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C62210">
            <w:pPr>
              <w:bidi w:val="0"/>
              <w:ind w:firstLine="140" w:firstLineChars="100"/>
              <w:rPr>
                <w:rFonts w:ascii="Times New Roman" w:hAnsi="Times New Roman" w:cs="Times New Roman"/>
                <w:sz w:val="14"/>
                <w:szCs w:val="14"/>
              </w:rPr>
            </w:pPr>
            <w:r w:rsidRPr="00896984">
              <w:rPr>
                <w:rFonts w:ascii="Times New Roman" w:hAnsi="Times New Roman" w:cs="Times New Roman"/>
                <w:sz w:val="14"/>
                <w:szCs w:val="14"/>
              </w:rPr>
              <w:t>Daň z príjmov právnických osôb</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26 614</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76 118</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38 366</w:t>
            </w:r>
          </w:p>
        </w:tc>
      </w:tr>
      <w:tr>
        <w:tblPrEx>
          <w:tblW w:w="9072" w:type="dxa"/>
          <w:jc w:val="center"/>
          <w:tblCellMar>
            <w:left w:w="70" w:type="dxa"/>
            <w:right w:w="70" w:type="dxa"/>
          </w:tblCellMar>
        </w:tblPrEx>
        <w:trPr>
          <w:trHeight w:val="270"/>
          <w:jc w:val="center"/>
        </w:trPr>
        <w:tc>
          <w:tcPr>
            <w:tcW w:w="522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C62210">
            <w:pPr>
              <w:bidi w:val="0"/>
              <w:ind w:firstLine="140" w:firstLineChars="100"/>
              <w:rPr>
                <w:rFonts w:ascii="Times New Roman" w:hAnsi="Times New Roman" w:cs="Times New Roman"/>
                <w:sz w:val="14"/>
                <w:szCs w:val="14"/>
              </w:rPr>
            </w:pPr>
            <w:r w:rsidRPr="00896984">
              <w:rPr>
                <w:rFonts w:ascii="Times New Roman" w:hAnsi="Times New Roman" w:cs="Times New Roman"/>
                <w:sz w:val="14"/>
                <w:szCs w:val="14"/>
              </w:rPr>
              <w:t>Daň z príjmov vyberaná zrážkou</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5 685</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8 172</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14 179</w:t>
            </w:r>
          </w:p>
        </w:tc>
      </w:tr>
      <w:tr>
        <w:tblPrEx>
          <w:tblW w:w="9072" w:type="dxa"/>
          <w:jc w:val="center"/>
          <w:tblCellMar>
            <w:left w:w="70" w:type="dxa"/>
            <w:right w:w="70" w:type="dxa"/>
          </w:tblCellMar>
        </w:tblPrEx>
        <w:trPr>
          <w:trHeight w:val="270"/>
          <w:jc w:val="center"/>
        </w:trPr>
        <w:tc>
          <w:tcPr>
            <w:tcW w:w="522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C62210">
            <w:pPr>
              <w:bidi w:val="0"/>
              <w:ind w:firstLine="140" w:firstLineChars="100"/>
              <w:rPr>
                <w:rFonts w:ascii="Times New Roman" w:hAnsi="Times New Roman" w:cs="Times New Roman"/>
                <w:sz w:val="14"/>
                <w:szCs w:val="14"/>
              </w:rPr>
            </w:pPr>
            <w:r w:rsidRPr="00896984">
              <w:rPr>
                <w:rFonts w:ascii="Times New Roman" w:hAnsi="Times New Roman" w:cs="Times New Roman"/>
                <w:sz w:val="14"/>
                <w:szCs w:val="14"/>
              </w:rPr>
              <w:t>Daň z pridanej hodnoty</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72 160</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98 918</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92 844</w:t>
            </w:r>
          </w:p>
        </w:tc>
      </w:tr>
      <w:tr>
        <w:tblPrEx>
          <w:tblW w:w="9072" w:type="dxa"/>
          <w:jc w:val="center"/>
          <w:tblCellMar>
            <w:left w:w="70" w:type="dxa"/>
            <w:right w:w="70" w:type="dxa"/>
          </w:tblCellMar>
        </w:tblPrEx>
        <w:trPr>
          <w:trHeight w:val="270"/>
          <w:jc w:val="center"/>
        </w:trPr>
        <w:tc>
          <w:tcPr>
            <w:tcW w:w="522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C62210">
            <w:pPr>
              <w:bidi w:val="0"/>
              <w:ind w:firstLine="140" w:firstLineChars="100"/>
              <w:rPr>
                <w:rFonts w:ascii="Times New Roman" w:hAnsi="Times New Roman" w:cs="Times New Roman"/>
                <w:sz w:val="14"/>
                <w:szCs w:val="14"/>
              </w:rPr>
            </w:pPr>
            <w:r w:rsidRPr="00896984">
              <w:rPr>
                <w:rFonts w:ascii="Times New Roman" w:hAnsi="Times New Roman" w:cs="Times New Roman"/>
                <w:sz w:val="14"/>
                <w:szCs w:val="14"/>
              </w:rPr>
              <w:t>Spotrebné dane</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-73 751</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-62 443</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-92 925</w:t>
            </w:r>
          </w:p>
        </w:tc>
      </w:tr>
      <w:tr>
        <w:tblPrEx>
          <w:tblW w:w="9072" w:type="dxa"/>
          <w:jc w:val="center"/>
          <w:tblCellMar>
            <w:left w:w="70" w:type="dxa"/>
            <w:right w:w="70" w:type="dxa"/>
          </w:tblCellMar>
        </w:tblPrEx>
        <w:trPr>
          <w:trHeight w:val="270"/>
          <w:jc w:val="center"/>
        </w:trPr>
        <w:tc>
          <w:tcPr>
            <w:tcW w:w="522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C62210">
            <w:pPr>
              <w:bidi w:val="0"/>
              <w:ind w:firstLine="140" w:firstLineChars="100"/>
              <w:rPr>
                <w:rFonts w:ascii="Times New Roman" w:hAnsi="Times New Roman" w:cs="Times New Roman"/>
                <w:sz w:val="14"/>
                <w:szCs w:val="14"/>
              </w:rPr>
            </w:pPr>
            <w:r w:rsidRPr="00896984">
              <w:rPr>
                <w:rFonts w:ascii="Times New Roman" w:hAnsi="Times New Roman" w:cs="Times New Roman"/>
                <w:sz w:val="14"/>
                <w:szCs w:val="14"/>
              </w:rPr>
              <w:t>Dane z medzinárodného obchodu a transakcií</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6 013</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6 070</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6 190</w:t>
            </w:r>
          </w:p>
        </w:tc>
      </w:tr>
      <w:tr>
        <w:tblPrEx>
          <w:tblW w:w="9072" w:type="dxa"/>
          <w:jc w:val="center"/>
          <w:tblCellMar>
            <w:left w:w="70" w:type="dxa"/>
            <w:right w:w="70" w:type="dxa"/>
          </w:tblCellMar>
        </w:tblPrEx>
        <w:trPr>
          <w:trHeight w:val="270"/>
          <w:jc w:val="center"/>
        </w:trPr>
        <w:tc>
          <w:tcPr>
            <w:tcW w:w="522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C62210">
            <w:pPr>
              <w:bidi w:val="0"/>
              <w:ind w:firstLine="140" w:firstLineChars="100"/>
              <w:rPr>
                <w:rFonts w:ascii="Times New Roman" w:hAnsi="Times New Roman" w:cs="Times New Roman"/>
                <w:sz w:val="14"/>
                <w:szCs w:val="14"/>
              </w:rPr>
            </w:pPr>
            <w:r w:rsidRPr="00896984">
              <w:rPr>
                <w:rFonts w:ascii="Times New Roman" w:hAnsi="Times New Roman" w:cs="Times New Roman"/>
                <w:sz w:val="14"/>
                <w:szCs w:val="14"/>
              </w:rPr>
              <w:t>Miestne dane</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1 936</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1 995</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2 055</w:t>
            </w:r>
          </w:p>
        </w:tc>
      </w:tr>
      <w:tr>
        <w:tblPrEx>
          <w:tblW w:w="9072" w:type="dxa"/>
          <w:jc w:val="center"/>
          <w:tblCellMar>
            <w:left w:w="70" w:type="dxa"/>
            <w:right w:w="70" w:type="dxa"/>
          </w:tblCellMar>
        </w:tblPrEx>
        <w:trPr>
          <w:trHeight w:val="270"/>
          <w:jc w:val="center"/>
        </w:trPr>
        <w:tc>
          <w:tcPr>
            <w:tcW w:w="522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C62210">
            <w:pPr>
              <w:bidi w:val="0"/>
              <w:ind w:firstLine="140" w:firstLineChars="100"/>
              <w:rPr>
                <w:rFonts w:ascii="Times New Roman" w:hAnsi="Times New Roman" w:cs="Times New Roman"/>
                <w:sz w:val="14"/>
                <w:szCs w:val="14"/>
              </w:rPr>
            </w:pPr>
            <w:r w:rsidRPr="00896984">
              <w:rPr>
                <w:rFonts w:ascii="Times New Roman" w:hAnsi="Times New Roman" w:cs="Times New Roman"/>
                <w:sz w:val="14"/>
                <w:szCs w:val="14"/>
              </w:rPr>
              <w:t>Ostatné dane</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-47 271</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28 771</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76 611</w:t>
            </w:r>
          </w:p>
        </w:tc>
      </w:tr>
      <w:tr>
        <w:tblPrEx>
          <w:tblW w:w="9072" w:type="dxa"/>
          <w:jc w:val="center"/>
          <w:tblCellMar>
            <w:left w:w="70" w:type="dxa"/>
            <w:right w:w="70" w:type="dxa"/>
          </w:tblCellMar>
        </w:tblPrEx>
        <w:trPr>
          <w:trHeight w:val="270"/>
          <w:jc w:val="center"/>
        </w:trPr>
        <w:tc>
          <w:tcPr>
            <w:tcW w:w="522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C62210">
            <w:pPr>
              <w:bidi w:val="0"/>
              <w:ind w:firstLine="140" w:firstLineChars="100"/>
              <w:rPr>
                <w:rFonts w:ascii="Times New Roman" w:hAnsi="Times New Roman" w:cs="Times New Roman"/>
                <w:sz w:val="14"/>
                <w:szCs w:val="14"/>
              </w:rPr>
            </w:pPr>
            <w:r w:rsidRPr="00896984">
              <w:rPr>
                <w:rFonts w:ascii="Times New Roman" w:hAnsi="Times New Roman" w:cs="Times New Roman"/>
                <w:sz w:val="14"/>
                <w:szCs w:val="14"/>
              </w:rPr>
              <w:t>Sociálna poisťovňa</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17 461</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-1 507 921</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-1 718 211</w:t>
            </w:r>
          </w:p>
        </w:tc>
      </w:tr>
      <w:tr>
        <w:tblPrEx>
          <w:tblW w:w="9072" w:type="dxa"/>
          <w:jc w:val="center"/>
          <w:tblCellMar>
            <w:left w:w="70" w:type="dxa"/>
            <w:right w:w="70" w:type="dxa"/>
          </w:tblCellMar>
        </w:tblPrEx>
        <w:trPr>
          <w:trHeight w:val="270"/>
          <w:jc w:val="center"/>
        </w:trPr>
        <w:tc>
          <w:tcPr>
            <w:tcW w:w="522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C62210">
            <w:pPr>
              <w:bidi w:val="0"/>
              <w:ind w:firstLine="140" w:firstLineChars="100"/>
              <w:rPr>
                <w:rFonts w:ascii="Times New Roman" w:hAnsi="Times New Roman" w:cs="Times New Roman"/>
                <w:sz w:val="14"/>
                <w:szCs w:val="14"/>
              </w:rPr>
            </w:pPr>
            <w:r w:rsidRPr="00896984">
              <w:rPr>
                <w:rFonts w:ascii="Times New Roman" w:hAnsi="Times New Roman" w:cs="Times New Roman"/>
                <w:sz w:val="14"/>
                <w:szCs w:val="14"/>
              </w:rPr>
              <w:t>Zdravotné poisťovne</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-6 361</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-320 308</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-365 702</w:t>
            </w:r>
          </w:p>
        </w:tc>
      </w:tr>
      <w:tr>
        <w:tblPrEx>
          <w:tblW w:w="9072" w:type="dxa"/>
          <w:jc w:val="center"/>
          <w:tblCellMar>
            <w:left w:w="70" w:type="dxa"/>
            <w:right w:w="70" w:type="dxa"/>
          </w:tblCellMar>
        </w:tblPrEx>
        <w:trPr>
          <w:trHeight w:val="270"/>
          <w:jc w:val="center"/>
        </w:trPr>
        <w:tc>
          <w:tcPr>
            <w:tcW w:w="522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rPr>
                <w:rFonts w:ascii="Times New Roman" w:hAnsi="Times New Roman" w:cs="Times New Roman"/>
                <w:b/>
                <w:bCs/>
                <w:sz w:val="14"/>
                <w:szCs w:val="14"/>
              </w:rPr>
            </w:pPr>
            <w:r w:rsidRPr="00896984">
              <w:rPr>
                <w:rFonts w:ascii="Times New Roman" w:hAnsi="Times New Roman" w:cs="Times New Roman"/>
                <w:b/>
                <w:bCs/>
                <w:sz w:val="14"/>
                <w:szCs w:val="14"/>
              </w:rPr>
              <w:t>Výdavky na verejnoprospešný účel</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b/>
                <w:bCs/>
                <w:sz w:val="14"/>
                <w:szCs w:val="14"/>
              </w:rPr>
            </w:pPr>
            <w:r w:rsidRPr="00896984">
              <w:rPr>
                <w:rFonts w:ascii="Times New Roman" w:hAnsi="Times New Roman" w:cs="Times New Roman"/>
                <w:b/>
                <w:bCs/>
                <w:sz w:val="14"/>
                <w:szCs w:val="14"/>
              </w:rPr>
              <w:t>7 640</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b/>
                <w:bCs/>
                <w:sz w:val="14"/>
                <w:szCs w:val="14"/>
              </w:rPr>
            </w:pPr>
            <w:r w:rsidRPr="00896984">
              <w:rPr>
                <w:rFonts w:ascii="Times New Roman" w:hAnsi="Times New Roman" w:cs="Times New Roman"/>
                <w:b/>
                <w:bCs/>
                <w:sz w:val="14"/>
                <w:szCs w:val="14"/>
              </w:rPr>
              <w:t>577</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b/>
                <w:bCs/>
                <w:sz w:val="14"/>
                <w:szCs w:val="14"/>
              </w:rPr>
            </w:pPr>
            <w:r w:rsidRPr="00896984">
              <w:rPr>
                <w:rFonts w:ascii="Times New Roman" w:hAnsi="Times New Roman" w:cs="Times New Roman"/>
                <w:b/>
                <w:bCs/>
                <w:sz w:val="14"/>
                <w:szCs w:val="14"/>
              </w:rPr>
              <w:t>-533</w:t>
            </w:r>
          </w:p>
        </w:tc>
      </w:tr>
      <w:tr>
        <w:tblPrEx>
          <w:tblW w:w="9072" w:type="dxa"/>
          <w:jc w:val="center"/>
          <w:tblCellMar>
            <w:left w:w="70" w:type="dxa"/>
            <w:right w:w="70" w:type="dxa"/>
          </w:tblCellMar>
        </w:tblPrEx>
        <w:trPr>
          <w:trHeight w:val="270"/>
          <w:jc w:val="center"/>
        </w:trPr>
        <w:tc>
          <w:tcPr>
            <w:tcW w:w="522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C62210">
            <w:pPr>
              <w:bidi w:val="0"/>
              <w:ind w:firstLine="140" w:firstLineChars="100"/>
              <w:rPr>
                <w:rFonts w:ascii="Times New Roman" w:hAnsi="Times New Roman" w:cs="Times New Roman"/>
                <w:sz w:val="14"/>
                <w:szCs w:val="14"/>
              </w:rPr>
            </w:pPr>
            <w:r w:rsidRPr="00896984">
              <w:rPr>
                <w:rFonts w:ascii="Times New Roman" w:hAnsi="Times New Roman" w:cs="Times New Roman"/>
                <w:sz w:val="14"/>
                <w:szCs w:val="14"/>
              </w:rPr>
              <w:t>Daň z príjmov fyzických osôb</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2 385</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26</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-362</w:t>
            </w:r>
          </w:p>
        </w:tc>
      </w:tr>
      <w:tr>
        <w:tblPrEx>
          <w:tblW w:w="9072" w:type="dxa"/>
          <w:jc w:val="center"/>
          <w:tblCellMar>
            <w:left w:w="70" w:type="dxa"/>
            <w:right w:w="70" w:type="dxa"/>
          </w:tblCellMar>
        </w:tblPrEx>
        <w:trPr>
          <w:trHeight w:val="270"/>
          <w:jc w:val="center"/>
        </w:trPr>
        <w:tc>
          <w:tcPr>
            <w:tcW w:w="5229"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C62210">
            <w:pPr>
              <w:bidi w:val="0"/>
              <w:ind w:firstLine="140" w:firstLineChars="100"/>
              <w:rPr>
                <w:rFonts w:ascii="Times New Roman" w:hAnsi="Times New Roman" w:cs="Times New Roman"/>
                <w:sz w:val="14"/>
                <w:szCs w:val="14"/>
              </w:rPr>
            </w:pPr>
            <w:r w:rsidRPr="00896984">
              <w:rPr>
                <w:rFonts w:ascii="Times New Roman" w:hAnsi="Times New Roman" w:cs="Times New Roman"/>
                <w:sz w:val="14"/>
                <w:szCs w:val="14"/>
              </w:rPr>
              <w:t>Daň z príjmov právnických osôb</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5 255</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551</w:t>
            </w:r>
          </w:p>
        </w:tc>
        <w:tc>
          <w:tcPr>
            <w:tcW w:w="1281" w:type="dxa"/>
            <w:tcBorders>
              <w:top w:val="single" w:sz="4" w:space="0" w:color="auto"/>
              <w:left w:val="single" w:sz="4" w:space="0" w:color="auto"/>
              <w:bottom w:val="single" w:sz="4" w:space="0" w:color="auto"/>
              <w:right w:val="single" w:sz="4" w:space="0" w:color="auto"/>
            </w:tcBorders>
            <w:textDirection w:val="lrTb"/>
            <w:vAlign w:val="center"/>
          </w:tcPr>
          <w:p w:rsidR="000A6169" w:rsidRPr="00896984" w:rsidP="00942EF3">
            <w:pPr>
              <w:bidi w:val="0"/>
              <w:jc w:val="right"/>
              <w:rPr>
                <w:rFonts w:ascii="Times New Roman" w:hAnsi="Times New Roman" w:cs="Times New Roman"/>
                <w:sz w:val="14"/>
                <w:szCs w:val="14"/>
              </w:rPr>
            </w:pPr>
            <w:r w:rsidRPr="00896984">
              <w:rPr>
                <w:rFonts w:ascii="Times New Roman" w:hAnsi="Times New Roman" w:cs="Times New Roman"/>
                <w:sz w:val="14"/>
                <w:szCs w:val="14"/>
              </w:rPr>
              <w:t>-171</w:t>
            </w:r>
          </w:p>
        </w:tc>
      </w:tr>
      <w:tr>
        <w:tblPrEx>
          <w:tblW w:w="9072" w:type="dxa"/>
          <w:jc w:val="center"/>
          <w:tblCellMar>
            <w:left w:w="70" w:type="dxa"/>
            <w:right w:w="70" w:type="dxa"/>
          </w:tblCellMar>
        </w:tblPrEx>
        <w:trPr>
          <w:trHeight w:val="270"/>
          <w:jc w:val="center"/>
        </w:trPr>
        <w:tc>
          <w:tcPr>
            <w:tcW w:w="9072" w:type="dxa"/>
            <w:gridSpan w:val="4"/>
            <w:tcBorders>
              <w:top w:val="single" w:sz="4" w:space="0" w:color="auto"/>
              <w:left w:val="nil"/>
              <w:bottom w:val="nil"/>
              <w:right w:val="nil"/>
            </w:tcBorders>
            <w:textDirection w:val="lrTb"/>
            <w:vAlign w:val="center"/>
          </w:tcPr>
          <w:p w:rsidR="000A6169" w:rsidRPr="00896984" w:rsidP="00942EF3">
            <w:pPr>
              <w:bidi w:val="0"/>
              <w:rPr>
                <w:rFonts w:ascii="Times New Roman" w:hAnsi="Times New Roman" w:cs="Times New Roman"/>
                <w:i/>
                <w:iCs/>
                <w:sz w:val="14"/>
                <w:szCs w:val="14"/>
              </w:rPr>
            </w:pPr>
            <w:r w:rsidRPr="00896984">
              <w:rPr>
                <w:rFonts w:ascii="Times New Roman" w:hAnsi="Times New Roman" w:cs="Times New Roman"/>
                <w:i/>
                <w:iCs/>
                <w:sz w:val="14"/>
                <w:szCs w:val="14"/>
              </w:rPr>
              <w:t>(+)  indikuje aktuálny odhad vyšší ako rozpočet, (-)  indikuje aktuálny odhad nižší ako rozpočet</w:t>
            </w:r>
          </w:p>
          <w:p w:rsidR="000A6169" w:rsidRPr="00896984" w:rsidP="00942EF3">
            <w:pPr>
              <w:bidi w:val="0"/>
              <w:rPr>
                <w:rFonts w:ascii="Times New Roman" w:hAnsi="Times New Roman" w:cs="Times New Roman"/>
                <w:i/>
                <w:iCs/>
                <w:sz w:val="14"/>
                <w:szCs w:val="14"/>
              </w:rPr>
            </w:pPr>
            <w:r w:rsidRPr="00896984">
              <w:rPr>
                <w:rFonts w:ascii="Times New Roman" w:hAnsi="Times New Roman" w:cs="Times New Roman"/>
                <w:i/>
                <w:iCs/>
                <w:sz w:val="14"/>
                <w:szCs w:val="14"/>
              </w:rPr>
              <w:t>Rozdiely sú robené na prognózach bez sankcií.</w:t>
            </w:r>
          </w:p>
        </w:tc>
      </w:tr>
    </w:tbl>
    <w:p w:rsidR="00964C46" w:rsidRPr="00896984" w:rsidP="00964C46">
      <w:pPr>
        <w:bidi w:val="0"/>
        <w:ind w:firstLine="708"/>
        <w:jc w:val="both"/>
        <w:rPr>
          <w:rFonts w:ascii="Times New Roman" w:hAnsi="Times New Roman" w:cs="Times New Roman"/>
        </w:rPr>
      </w:pPr>
      <w:bookmarkEnd w:id="46"/>
    </w:p>
    <w:p w:rsidR="006C007D" w:rsidRPr="00CD5972" w:rsidP="00964C46">
      <w:pPr>
        <w:pStyle w:val="Heading2"/>
        <w:bidi w:val="0"/>
        <w:spacing w:before="0" w:after="0"/>
        <w:rPr>
          <w:rFonts w:ascii="Times New Roman" w:hAnsi="Times New Roman"/>
          <w:i w:val="0"/>
          <w:sz w:val="24"/>
          <w:szCs w:val="24"/>
        </w:rPr>
      </w:pPr>
      <w:bookmarkStart w:id="47" w:name="_Toc210700501"/>
      <w:bookmarkStart w:id="48" w:name="_Toc306089064"/>
      <w:r w:rsidRPr="00CD5972" w:rsidR="00C44CBE">
        <w:rPr>
          <w:rFonts w:ascii="Times New Roman" w:hAnsi="Times New Roman"/>
          <w:i w:val="0"/>
          <w:sz w:val="24"/>
          <w:szCs w:val="24"/>
        </w:rPr>
        <w:t>4</w:t>
      </w:r>
      <w:r w:rsidRPr="00CD5972">
        <w:rPr>
          <w:rFonts w:ascii="Times New Roman" w:hAnsi="Times New Roman"/>
          <w:i w:val="0"/>
          <w:sz w:val="24"/>
          <w:szCs w:val="24"/>
        </w:rPr>
        <w:t>.6. Rozpočtovanie iných ako daňových príjmov</w:t>
      </w:r>
      <w:bookmarkEnd w:id="47"/>
      <w:r w:rsidRPr="00CD5972" w:rsidR="00C44CBE">
        <w:rPr>
          <w:rFonts w:ascii="Times New Roman" w:hAnsi="Times New Roman"/>
          <w:i w:val="0"/>
          <w:sz w:val="24"/>
          <w:szCs w:val="24"/>
        </w:rPr>
        <w:t xml:space="preserve"> štátneho rozpočtu</w:t>
      </w:r>
      <w:bookmarkEnd w:id="48"/>
    </w:p>
    <w:p w:rsidR="00CD5972" w:rsidP="00CD5972">
      <w:pPr>
        <w:autoSpaceDE w:val="0"/>
        <w:autoSpaceDN w:val="0"/>
        <w:bidi w:val="0"/>
        <w:adjustRightInd w:val="0"/>
        <w:spacing w:line="240" w:lineRule="atLeast"/>
        <w:jc w:val="both"/>
        <w:rPr>
          <w:rFonts w:ascii="Times New Roman" w:hAnsi="Times New Roman"/>
          <w:color w:val="000000"/>
          <w:sz w:val="22"/>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838"/>
        <w:gridCol w:w="980"/>
        <w:gridCol w:w="982"/>
        <w:gridCol w:w="1163"/>
        <w:gridCol w:w="988"/>
        <w:gridCol w:w="1087"/>
        <w:gridCol w:w="1087"/>
        <w:gridCol w:w="108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22"/>
        </w:trPr>
        <w:tc>
          <w:tcPr>
            <w:tcW w:w="997" w:type="pct"/>
            <w:tcBorders>
              <w:top w:val="single" w:sz="4" w:space="0" w:color="auto"/>
              <w:left w:val="single" w:sz="4" w:space="0" w:color="auto"/>
              <w:bottom w:val="single" w:sz="4" w:space="0" w:color="auto"/>
              <w:right w:val="single" w:sz="4" w:space="0" w:color="auto"/>
            </w:tcBorders>
            <w:shd w:val="clear" w:color="000000" w:fill="A6A6A6"/>
            <w:textDirection w:val="lrTb"/>
            <w:vAlign w:val="bottom"/>
            <w:hideMark/>
          </w:tcPr>
          <w:p w:rsidR="00CD5972" w:rsidRPr="00972075" w:rsidP="00F576BD">
            <w:pPr>
              <w:bidi w:val="0"/>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v tis. eur</w:t>
            </w:r>
          </w:p>
        </w:tc>
        <w:tc>
          <w:tcPr>
            <w:tcW w:w="53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72075" w:rsidP="00F576BD">
            <w:pPr>
              <w:bidi w:val="0"/>
              <w:jc w:val="center"/>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2009 S</w:t>
            </w:r>
          </w:p>
        </w:tc>
        <w:tc>
          <w:tcPr>
            <w:tcW w:w="53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72075" w:rsidP="00F576BD">
            <w:pPr>
              <w:bidi w:val="0"/>
              <w:jc w:val="center"/>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2010 S</w:t>
            </w:r>
          </w:p>
        </w:tc>
        <w:tc>
          <w:tcPr>
            <w:tcW w:w="63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72075" w:rsidP="00F576BD">
            <w:pPr>
              <w:bidi w:val="0"/>
              <w:jc w:val="center"/>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2011 R</w:t>
            </w:r>
          </w:p>
        </w:tc>
        <w:tc>
          <w:tcPr>
            <w:tcW w:w="53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72075" w:rsidP="00F576BD">
            <w:pPr>
              <w:bidi w:val="0"/>
              <w:jc w:val="center"/>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2011 OS</w:t>
            </w:r>
          </w:p>
        </w:tc>
        <w:tc>
          <w:tcPr>
            <w:tcW w:w="590"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72075" w:rsidP="00F576BD">
            <w:pPr>
              <w:bidi w:val="0"/>
              <w:jc w:val="center"/>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2012 N</w:t>
            </w:r>
          </w:p>
        </w:tc>
        <w:tc>
          <w:tcPr>
            <w:tcW w:w="590"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72075" w:rsidP="00F576BD">
            <w:pPr>
              <w:bidi w:val="0"/>
              <w:jc w:val="center"/>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2013 N</w:t>
            </w:r>
          </w:p>
        </w:tc>
        <w:tc>
          <w:tcPr>
            <w:tcW w:w="590"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72075" w:rsidP="00F576BD">
            <w:pPr>
              <w:bidi w:val="0"/>
              <w:jc w:val="center"/>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2014 N</w:t>
            </w:r>
          </w:p>
        </w:tc>
      </w:tr>
      <w:tr>
        <w:tblPrEx>
          <w:tblW w:w="5000" w:type="pct"/>
          <w:tblCellMar>
            <w:left w:w="70" w:type="dxa"/>
            <w:right w:w="70" w:type="dxa"/>
          </w:tblCellMar>
          <w:tblLook w:val="04A0"/>
        </w:tblPrEx>
        <w:trPr>
          <w:trHeight w:val="322"/>
        </w:trPr>
        <w:tc>
          <w:tcPr>
            <w:tcW w:w="997"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72075" w:rsidP="00F576BD">
            <w:pPr>
              <w:bidi w:val="0"/>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Spolu</w:t>
            </w:r>
          </w:p>
        </w:tc>
        <w:tc>
          <w:tcPr>
            <w:tcW w:w="532"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72075" w:rsidP="00F576BD">
            <w:pPr>
              <w:bidi w:val="0"/>
              <w:jc w:val="right"/>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2 435 620</w:t>
            </w:r>
          </w:p>
        </w:tc>
        <w:tc>
          <w:tcPr>
            <w:tcW w:w="533"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72075" w:rsidP="00F576BD">
            <w:pPr>
              <w:bidi w:val="0"/>
              <w:jc w:val="right"/>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2 781 496</w:t>
            </w:r>
          </w:p>
        </w:tc>
        <w:tc>
          <w:tcPr>
            <w:tcW w:w="631"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72075" w:rsidP="00F576BD">
            <w:pPr>
              <w:bidi w:val="0"/>
              <w:jc w:val="right"/>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4 361 005</w:t>
            </w:r>
          </w:p>
        </w:tc>
        <w:tc>
          <w:tcPr>
            <w:tcW w:w="536"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72075" w:rsidP="00F576BD">
            <w:pPr>
              <w:bidi w:val="0"/>
              <w:jc w:val="right"/>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3 126 741</w:t>
            </w:r>
          </w:p>
        </w:tc>
        <w:tc>
          <w:tcPr>
            <w:tcW w:w="590"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72075" w:rsidP="00F576BD">
            <w:pPr>
              <w:bidi w:val="0"/>
              <w:jc w:val="right"/>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4 296 503</w:t>
            </w:r>
          </w:p>
        </w:tc>
        <w:tc>
          <w:tcPr>
            <w:tcW w:w="590"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72075" w:rsidP="00F576BD">
            <w:pPr>
              <w:bidi w:val="0"/>
              <w:jc w:val="right"/>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3 740 399</w:t>
            </w:r>
          </w:p>
        </w:tc>
        <w:tc>
          <w:tcPr>
            <w:tcW w:w="590"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72075" w:rsidP="00F576BD">
            <w:pPr>
              <w:bidi w:val="0"/>
              <w:jc w:val="right"/>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3 857 475</w:t>
            </w:r>
          </w:p>
        </w:tc>
      </w:tr>
      <w:tr>
        <w:tblPrEx>
          <w:tblW w:w="5000" w:type="pct"/>
          <w:tblCellMar>
            <w:left w:w="70" w:type="dxa"/>
            <w:right w:w="70" w:type="dxa"/>
          </w:tblCellMar>
          <w:tblLook w:val="04A0"/>
        </w:tblPrEx>
        <w:trPr>
          <w:trHeight w:val="322"/>
        </w:trPr>
        <w:tc>
          <w:tcPr>
            <w:tcW w:w="997"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72075" w:rsidP="00F576BD">
            <w:pPr>
              <w:bidi w:val="0"/>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Zahraničné transfery</w:t>
            </w:r>
          </w:p>
        </w:tc>
        <w:tc>
          <w:tcPr>
            <w:tcW w:w="53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1 111 480</w:t>
            </w:r>
          </w:p>
        </w:tc>
        <w:tc>
          <w:tcPr>
            <w:tcW w:w="53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1 650 565</w:t>
            </w:r>
          </w:p>
        </w:tc>
        <w:tc>
          <w:tcPr>
            <w:tcW w:w="631"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3 343 890</w:t>
            </w:r>
          </w:p>
        </w:tc>
        <w:tc>
          <w:tcPr>
            <w:tcW w:w="536"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 xml:space="preserve">       1 974 669    </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 xml:space="preserve">          3 082 986    </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 xml:space="preserve">          2 706 894    </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 xml:space="preserve">          2 818 621    </w:t>
            </w:r>
          </w:p>
        </w:tc>
      </w:tr>
      <w:tr>
        <w:tblPrEx>
          <w:tblW w:w="5000" w:type="pct"/>
          <w:tblCellMar>
            <w:left w:w="70" w:type="dxa"/>
            <w:right w:w="70" w:type="dxa"/>
          </w:tblCellMar>
          <w:tblLook w:val="04A0"/>
        </w:tblPrEx>
        <w:trPr>
          <w:trHeight w:val="322"/>
        </w:trPr>
        <w:tc>
          <w:tcPr>
            <w:tcW w:w="997"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72075" w:rsidP="00F576BD">
            <w:pPr>
              <w:bidi w:val="0"/>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Dividendy</w:t>
            </w:r>
          </w:p>
        </w:tc>
        <w:tc>
          <w:tcPr>
            <w:tcW w:w="53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603 818</w:t>
            </w:r>
          </w:p>
        </w:tc>
        <w:tc>
          <w:tcPr>
            <w:tcW w:w="53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487 652</w:t>
            </w:r>
          </w:p>
        </w:tc>
        <w:tc>
          <w:tcPr>
            <w:tcW w:w="631"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390 416</w:t>
            </w:r>
          </w:p>
        </w:tc>
        <w:tc>
          <w:tcPr>
            <w:tcW w:w="536"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 xml:space="preserve">          462 036    </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 xml:space="preserve">              4</w:t>
            </w:r>
            <w:r>
              <w:rPr>
                <w:rFonts w:ascii="Times New Roman" w:hAnsi="Times New Roman" w:cs="Times New Roman"/>
                <w:color w:val="000000"/>
                <w:sz w:val="14"/>
                <w:szCs w:val="14"/>
                <w:lang w:eastAsia="sk-SK"/>
              </w:rPr>
              <w:t>7</w:t>
            </w:r>
            <w:r w:rsidRPr="00972075">
              <w:rPr>
                <w:rFonts w:ascii="Times New Roman" w:hAnsi="Times New Roman" w:cs="Times New Roman"/>
                <w:color w:val="000000"/>
                <w:sz w:val="14"/>
                <w:szCs w:val="14"/>
                <w:lang w:eastAsia="sk-SK"/>
              </w:rPr>
              <w:t xml:space="preserve">7 847    </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 xml:space="preserve">              380 439    </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 xml:space="preserve">              375 160    </w:t>
            </w:r>
          </w:p>
        </w:tc>
      </w:tr>
      <w:tr>
        <w:tblPrEx>
          <w:tblW w:w="5000" w:type="pct"/>
          <w:tblCellMar>
            <w:left w:w="70" w:type="dxa"/>
            <w:right w:w="70" w:type="dxa"/>
          </w:tblCellMar>
          <w:tblLook w:val="04A0"/>
        </w:tblPrEx>
        <w:trPr>
          <w:trHeight w:val="322"/>
        </w:trPr>
        <w:tc>
          <w:tcPr>
            <w:tcW w:w="997"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72075" w:rsidP="00F576BD">
            <w:pPr>
              <w:bidi w:val="0"/>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Ostatné nedaňové príjmy a tuzemské transfery</w:t>
            </w:r>
          </w:p>
        </w:tc>
        <w:tc>
          <w:tcPr>
            <w:tcW w:w="53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720 322</w:t>
            </w:r>
          </w:p>
        </w:tc>
        <w:tc>
          <w:tcPr>
            <w:tcW w:w="53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643 279</w:t>
            </w:r>
          </w:p>
        </w:tc>
        <w:tc>
          <w:tcPr>
            <w:tcW w:w="631"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626 699</w:t>
            </w:r>
          </w:p>
        </w:tc>
        <w:tc>
          <w:tcPr>
            <w:tcW w:w="536"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 xml:space="preserve">          690 036    </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 xml:space="preserve">              7</w:t>
            </w:r>
            <w:r>
              <w:rPr>
                <w:rFonts w:ascii="Times New Roman" w:hAnsi="Times New Roman" w:cs="Times New Roman"/>
                <w:color w:val="000000"/>
                <w:sz w:val="14"/>
                <w:szCs w:val="14"/>
                <w:lang w:eastAsia="sk-SK"/>
              </w:rPr>
              <w:t>3</w:t>
            </w:r>
            <w:r w:rsidRPr="00972075">
              <w:rPr>
                <w:rFonts w:ascii="Times New Roman" w:hAnsi="Times New Roman" w:cs="Times New Roman"/>
                <w:color w:val="000000"/>
                <w:sz w:val="14"/>
                <w:szCs w:val="14"/>
                <w:lang w:eastAsia="sk-SK"/>
              </w:rPr>
              <w:t xml:space="preserve">5 670    </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 xml:space="preserve">              653 066    </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 xml:space="preserve">              663 694    </w:t>
            </w:r>
          </w:p>
        </w:tc>
      </w:tr>
    </w:tbl>
    <w:p w:rsidR="00CD5972" w:rsidRPr="0060281F" w:rsidP="00CD5972">
      <w:pPr>
        <w:autoSpaceDE w:val="0"/>
        <w:autoSpaceDN w:val="0"/>
        <w:bidi w:val="0"/>
        <w:adjustRightInd w:val="0"/>
        <w:spacing w:line="240" w:lineRule="atLeast"/>
        <w:jc w:val="both"/>
        <w:rPr>
          <w:rFonts w:ascii="Times New Roman" w:hAnsi="Times New Roman"/>
          <w:color w:val="000000"/>
          <w:sz w:val="22"/>
          <w:szCs w:val="22"/>
        </w:rPr>
      </w:pPr>
    </w:p>
    <w:p w:rsidR="00CD5972" w:rsidRPr="0060281F" w:rsidP="00CD5972">
      <w:pPr>
        <w:bidi w:val="0"/>
        <w:jc w:val="both"/>
        <w:rPr>
          <w:rFonts w:ascii="Times New Roman" w:hAnsi="Times New Roman"/>
          <w:b/>
        </w:rPr>
      </w:pPr>
      <w:r>
        <w:rPr>
          <w:rFonts w:ascii="Times New Roman" w:hAnsi="Times New Roman"/>
          <w:b/>
        </w:rPr>
        <w:t>4</w:t>
      </w:r>
      <w:r w:rsidRPr="0060281F">
        <w:rPr>
          <w:rFonts w:ascii="Times New Roman" w:hAnsi="Times New Roman"/>
          <w:b/>
        </w:rPr>
        <w:t>.</w:t>
      </w:r>
      <w:r>
        <w:rPr>
          <w:rFonts w:ascii="Times New Roman" w:hAnsi="Times New Roman"/>
          <w:b/>
        </w:rPr>
        <w:t>6</w:t>
      </w:r>
      <w:r w:rsidRPr="0060281F">
        <w:rPr>
          <w:rFonts w:ascii="Times New Roman" w:hAnsi="Times New Roman"/>
          <w:b/>
        </w:rPr>
        <w:t>.1.  Zahraničné transfery</w:t>
      </w:r>
    </w:p>
    <w:p w:rsidR="00CD5972" w:rsidRPr="0060281F" w:rsidP="00CD5972">
      <w:pPr>
        <w:bidi w:val="0"/>
        <w:ind w:firstLine="708"/>
        <w:jc w:val="both"/>
        <w:rPr>
          <w:rFonts w:ascii="Times New Roman" w:hAnsi="Times New Roman"/>
        </w:rPr>
      </w:pPr>
    </w:p>
    <w:p w:rsidR="00CD5972" w:rsidRPr="0060281F" w:rsidP="00CD5972">
      <w:pPr>
        <w:bidi w:val="0"/>
        <w:ind w:firstLine="708"/>
        <w:jc w:val="both"/>
        <w:rPr>
          <w:rFonts w:ascii="Times New Roman" w:hAnsi="Times New Roman"/>
        </w:rPr>
      </w:pPr>
      <w:r>
        <w:rPr>
          <w:rFonts w:ascii="Times New Roman" w:hAnsi="Times New Roman"/>
        </w:rPr>
        <w:t xml:space="preserve">Zahraničné transfery predstavujú </w:t>
      </w:r>
      <w:r w:rsidRPr="0060281F">
        <w:rPr>
          <w:rFonts w:ascii="Times New Roman" w:hAnsi="Times New Roman"/>
        </w:rPr>
        <w:t>prostriedky</w:t>
      </w:r>
      <w:r w:rsidRPr="0060281F">
        <w:rPr>
          <w:rFonts w:ascii="Times New Roman" w:hAnsi="Times New Roman"/>
          <w:b/>
        </w:rPr>
        <w:t xml:space="preserve"> </w:t>
      </w:r>
      <w:r w:rsidRPr="0060281F">
        <w:rPr>
          <w:rFonts w:ascii="Times New Roman" w:hAnsi="Times New Roman"/>
        </w:rPr>
        <w:t>zo všeobecného rozpočtu Európskej únie v rámci druhého a od roku 2014 aj tretieho programového obdobia. V rokoch 2012 až 2014 sa rozpočtujú prostriedky EÚ pre programy Národného strategického referenčného rámca a poľnohospodárske fondy na roky 2012 až 2014 na základe odhadov čerpania výdavkov v jednotlivých rokoch, ktoré boli predložené príslušnými rezortmi, plniacimi funkcie riadiacich orgánov. Alokácie zodpovedajú sumám očakávaného čerpania v príslušných rokoch. Bližšia špecifikácia týchto prostriedkov je uvedená v prílohe č. 2 materiálu.</w:t>
      </w:r>
    </w:p>
    <w:p w:rsidR="00CD5972" w:rsidRPr="0060281F" w:rsidP="00CD5972">
      <w:pPr>
        <w:bidi w:val="0"/>
        <w:ind w:firstLine="708"/>
        <w:jc w:val="both"/>
        <w:rPr>
          <w:rFonts w:ascii="Times New Roman" w:hAnsi="Times New Roman"/>
        </w:rPr>
      </w:pPr>
      <w:r w:rsidRPr="0060281F">
        <w:rPr>
          <w:rFonts w:ascii="Times New Roman" w:hAnsi="Times New Roman"/>
        </w:rPr>
        <w:t xml:space="preserve"> </w:t>
      </w:r>
    </w:p>
    <w:p w:rsidR="00CD5972" w:rsidP="00CD5972">
      <w:pPr>
        <w:bidi w:val="0"/>
        <w:ind w:firstLine="708"/>
        <w:jc w:val="both"/>
        <w:rPr>
          <w:rFonts w:ascii="Times New Roman" w:hAnsi="Times New Roman"/>
        </w:rPr>
      </w:pPr>
      <w:r w:rsidRPr="0060281F">
        <w:rPr>
          <w:rFonts w:ascii="Times New Roman" w:hAnsi="Times New Roman"/>
        </w:rPr>
        <w:t>Vývoj plnenia týchto príjmov je nasledovný:</w:t>
      </w:r>
    </w:p>
    <w:p w:rsidR="00CD5972" w:rsidP="00CD5972">
      <w:pPr>
        <w:bidi w:val="0"/>
        <w:ind w:firstLine="708"/>
        <w:jc w:val="both"/>
        <w:rPr>
          <w:rFonts w:ascii="Times New Roman" w:hAnsi="Times New Roman"/>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16"/>
        <w:gridCol w:w="949"/>
        <w:gridCol w:w="949"/>
        <w:gridCol w:w="949"/>
        <w:gridCol w:w="988"/>
        <w:gridCol w:w="1087"/>
        <w:gridCol w:w="1087"/>
        <w:gridCol w:w="108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15"/>
        </w:trPr>
        <w:tc>
          <w:tcPr>
            <w:tcW w:w="1148"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72075" w:rsidP="00F576BD">
            <w:pPr>
              <w:bidi w:val="0"/>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v tis. eur</w:t>
            </w:r>
          </w:p>
        </w:tc>
        <w:tc>
          <w:tcPr>
            <w:tcW w:w="515"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CD5972" w:rsidRPr="00972075" w:rsidP="00F576BD">
            <w:pPr>
              <w:bidi w:val="0"/>
              <w:jc w:val="center"/>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2009 S</w:t>
            </w:r>
          </w:p>
        </w:tc>
        <w:tc>
          <w:tcPr>
            <w:tcW w:w="515"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CD5972" w:rsidRPr="00972075" w:rsidP="00F576BD">
            <w:pPr>
              <w:bidi w:val="0"/>
              <w:jc w:val="center"/>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2010 S</w:t>
            </w:r>
          </w:p>
        </w:tc>
        <w:tc>
          <w:tcPr>
            <w:tcW w:w="515"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CD5972" w:rsidRPr="00972075" w:rsidP="00F576BD">
            <w:pPr>
              <w:bidi w:val="0"/>
              <w:jc w:val="center"/>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2011 R</w:t>
            </w:r>
          </w:p>
        </w:tc>
        <w:tc>
          <w:tcPr>
            <w:tcW w:w="536"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CD5972" w:rsidRPr="00972075" w:rsidP="00F576BD">
            <w:pPr>
              <w:bidi w:val="0"/>
              <w:jc w:val="center"/>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2011 OS</w:t>
            </w:r>
          </w:p>
        </w:tc>
        <w:tc>
          <w:tcPr>
            <w:tcW w:w="590"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CD5972" w:rsidRPr="00972075" w:rsidP="00F576BD">
            <w:pPr>
              <w:bidi w:val="0"/>
              <w:jc w:val="center"/>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2012 N</w:t>
            </w:r>
          </w:p>
        </w:tc>
        <w:tc>
          <w:tcPr>
            <w:tcW w:w="590"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CD5972" w:rsidRPr="00972075" w:rsidP="00F576BD">
            <w:pPr>
              <w:bidi w:val="0"/>
              <w:jc w:val="center"/>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2013 N</w:t>
            </w:r>
          </w:p>
        </w:tc>
        <w:tc>
          <w:tcPr>
            <w:tcW w:w="590"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CD5972" w:rsidRPr="00972075" w:rsidP="00F576BD">
            <w:pPr>
              <w:bidi w:val="0"/>
              <w:jc w:val="center"/>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2014 N</w:t>
            </w:r>
          </w:p>
        </w:tc>
      </w:tr>
      <w:tr>
        <w:tblPrEx>
          <w:tblW w:w="5000" w:type="pct"/>
          <w:tblCellMar>
            <w:left w:w="70" w:type="dxa"/>
            <w:right w:w="70" w:type="dxa"/>
          </w:tblCellMar>
          <w:tblLook w:val="04A0"/>
        </w:tblPrEx>
        <w:trPr>
          <w:trHeight w:val="315"/>
        </w:trPr>
        <w:tc>
          <w:tcPr>
            <w:tcW w:w="1148"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72075" w:rsidP="00F576BD">
            <w:pPr>
              <w:bidi w:val="0"/>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Zahraničné transfery</w:t>
            </w:r>
          </w:p>
        </w:tc>
        <w:tc>
          <w:tcPr>
            <w:tcW w:w="515"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72075" w:rsidP="00F576BD">
            <w:pPr>
              <w:bidi w:val="0"/>
              <w:jc w:val="right"/>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1 111 480</w:t>
            </w:r>
          </w:p>
        </w:tc>
        <w:tc>
          <w:tcPr>
            <w:tcW w:w="515"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72075" w:rsidP="00F576BD">
            <w:pPr>
              <w:bidi w:val="0"/>
              <w:jc w:val="right"/>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1 650 565</w:t>
            </w:r>
          </w:p>
        </w:tc>
        <w:tc>
          <w:tcPr>
            <w:tcW w:w="515"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72075" w:rsidP="00F576BD">
            <w:pPr>
              <w:bidi w:val="0"/>
              <w:jc w:val="right"/>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3 343 890</w:t>
            </w:r>
          </w:p>
        </w:tc>
        <w:tc>
          <w:tcPr>
            <w:tcW w:w="536"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72075" w:rsidP="00F576BD">
            <w:pPr>
              <w:bidi w:val="0"/>
              <w:jc w:val="right"/>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 xml:space="preserve">    1 974 669</w:t>
            </w:r>
          </w:p>
        </w:tc>
        <w:tc>
          <w:tcPr>
            <w:tcW w:w="59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72075" w:rsidP="00F576BD">
            <w:pPr>
              <w:bidi w:val="0"/>
              <w:jc w:val="right"/>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3 082 986</w:t>
            </w:r>
          </w:p>
        </w:tc>
        <w:tc>
          <w:tcPr>
            <w:tcW w:w="59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72075" w:rsidP="00F576BD">
            <w:pPr>
              <w:bidi w:val="0"/>
              <w:jc w:val="right"/>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2 706 894</w:t>
            </w:r>
          </w:p>
        </w:tc>
        <w:tc>
          <w:tcPr>
            <w:tcW w:w="59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72075" w:rsidP="00F576BD">
            <w:pPr>
              <w:bidi w:val="0"/>
              <w:jc w:val="right"/>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2 818 621</w:t>
            </w:r>
          </w:p>
        </w:tc>
      </w:tr>
    </w:tbl>
    <w:p w:rsidR="00CD5972" w:rsidRPr="006353C5" w:rsidP="00CD5972">
      <w:pPr>
        <w:bidi w:val="0"/>
        <w:ind w:firstLine="708"/>
        <w:jc w:val="both"/>
        <w:rPr>
          <w:rFonts w:ascii="Times New Roman" w:hAnsi="Times New Roman"/>
          <w:szCs w:val="22"/>
        </w:rPr>
      </w:pPr>
    </w:p>
    <w:p w:rsidR="00CD5972" w:rsidRPr="006353C5" w:rsidP="00CD5972">
      <w:pPr>
        <w:bidi w:val="0"/>
        <w:jc w:val="both"/>
        <w:rPr>
          <w:rFonts w:ascii="Times New Roman" w:hAnsi="Times New Roman"/>
          <w:b/>
          <w:szCs w:val="22"/>
        </w:rPr>
      </w:pPr>
      <w:r>
        <w:rPr>
          <w:rFonts w:ascii="Times New Roman" w:hAnsi="Times New Roman"/>
          <w:b/>
          <w:szCs w:val="22"/>
        </w:rPr>
        <w:t>4</w:t>
      </w:r>
      <w:r w:rsidRPr="006353C5">
        <w:rPr>
          <w:rFonts w:ascii="Times New Roman" w:hAnsi="Times New Roman"/>
          <w:b/>
          <w:szCs w:val="22"/>
        </w:rPr>
        <w:t>.</w:t>
      </w:r>
      <w:r>
        <w:rPr>
          <w:rFonts w:ascii="Times New Roman" w:hAnsi="Times New Roman"/>
          <w:b/>
          <w:szCs w:val="22"/>
        </w:rPr>
        <w:t>6</w:t>
      </w:r>
      <w:r w:rsidRPr="006353C5">
        <w:rPr>
          <w:rFonts w:ascii="Times New Roman" w:hAnsi="Times New Roman"/>
          <w:b/>
          <w:szCs w:val="22"/>
        </w:rPr>
        <w:t>.2.</w:t>
        <w:tab/>
        <w:t>Dividendy</w:t>
      </w:r>
    </w:p>
    <w:p w:rsidR="00CD5972" w:rsidRPr="006353C5" w:rsidP="00CD5972">
      <w:pPr>
        <w:bidi w:val="0"/>
        <w:jc w:val="both"/>
        <w:rPr>
          <w:rFonts w:ascii="Times New Roman" w:hAnsi="Times New Roman"/>
          <w:b/>
          <w:szCs w:val="22"/>
        </w:rPr>
      </w:pPr>
    </w:p>
    <w:p w:rsidR="00CD5972" w:rsidP="00CD5972">
      <w:pPr>
        <w:bidi w:val="0"/>
        <w:jc w:val="both"/>
        <w:rPr>
          <w:rFonts w:ascii="Times New Roman" w:hAnsi="Times New Roman"/>
          <w:szCs w:val="22"/>
        </w:rPr>
      </w:pPr>
      <w:r w:rsidRPr="006353C5">
        <w:rPr>
          <w:rFonts w:ascii="Times New Roman" w:hAnsi="Times New Roman"/>
          <w:szCs w:val="22"/>
        </w:rPr>
        <w:tab/>
        <w:t>Dividendy tvoria príjmy z dividend podnikov s majetkovou účasťou Fondu národného majetku SR a príjmy z podnikania z vlastníckeho podielu štátu, ktorý je zastúpený príslušnými rezortnými  ministerstvami v akciových spoločnostiach s majetkovou účasťou štátu. Ich vývoj je nasledovný</w:t>
      </w:r>
      <w:r>
        <w:rPr>
          <w:rFonts w:ascii="Times New Roman" w:hAnsi="Times New Roman"/>
          <w:szCs w:val="22"/>
        </w:rPr>
        <w:t>:</w:t>
      </w:r>
    </w:p>
    <w:p w:rsidR="00CD5972" w:rsidRPr="006353C5" w:rsidP="00CD5972">
      <w:pPr>
        <w:bidi w:val="0"/>
        <w:jc w:val="both"/>
        <w:rPr>
          <w:rFonts w:ascii="Times New Roman" w:hAnsi="Times New Roman"/>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16"/>
        <w:gridCol w:w="949"/>
        <w:gridCol w:w="949"/>
        <w:gridCol w:w="949"/>
        <w:gridCol w:w="988"/>
        <w:gridCol w:w="1087"/>
        <w:gridCol w:w="1087"/>
        <w:gridCol w:w="108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15"/>
        </w:trPr>
        <w:tc>
          <w:tcPr>
            <w:tcW w:w="1148" w:type="pct"/>
            <w:tcBorders>
              <w:top w:val="single" w:sz="4" w:space="0" w:color="auto"/>
              <w:left w:val="single" w:sz="4" w:space="0" w:color="auto"/>
              <w:bottom w:val="single" w:sz="4" w:space="0" w:color="auto"/>
              <w:right w:val="single" w:sz="4" w:space="0" w:color="auto"/>
            </w:tcBorders>
            <w:shd w:val="clear" w:color="000000" w:fill="A6A6A6"/>
            <w:textDirection w:val="lrTb"/>
            <w:vAlign w:val="bottom"/>
            <w:hideMark/>
          </w:tcPr>
          <w:p w:rsidR="00CD5972" w:rsidRPr="00972075" w:rsidP="00F576BD">
            <w:pPr>
              <w:bidi w:val="0"/>
              <w:jc w:val="both"/>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v tis. eur</w:t>
            </w:r>
          </w:p>
        </w:tc>
        <w:tc>
          <w:tcPr>
            <w:tcW w:w="51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72075" w:rsidP="00F576BD">
            <w:pPr>
              <w:bidi w:val="0"/>
              <w:jc w:val="center"/>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2009 S</w:t>
            </w:r>
          </w:p>
        </w:tc>
        <w:tc>
          <w:tcPr>
            <w:tcW w:w="51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72075" w:rsidP="00F576BD">
            <w:pPr>
              <w:bidi w:val="0"/>
              <w:jc w:val="center"/>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2010 S</w:t>
            </w:r>
          </w:p>
        </w:tc>
        <w:tc>
          <w:tcPr>
            <w:tcW w:w="51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72075" w:rsidP="00F576BD">
            <w:pPr>
              <w:bidi w:val="0"/>
              <w:jc w:val="center"/>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2011 R</w:t>
            </w:r>
          </w:p>
        </w:tc>
        <w:tc>
          <w:tcPr>
            <w:tcW w:w="53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72075" w:rsidP="00F576BD">
            <w:pPr>
              <w:bidi w:val="0"/>
              <w:jc w:val="center"/>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2011 OS</w:t>
            </w:r>
          </w:p>
        </w:tc>
        <w:tc>
          <w:tcPr>
            <w:tcW w:w="590"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72075" w:rsidP="00F576BD">
            <w:pPr>
              <w:bidi w:val="0"/>
              <w:jc w:val="center"/>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2012 N</w:t>
            </w:r>
          </w:p>
        </w:tc>
        <w:tc>
          <w:tcPr>
            <w:tcW w:w="590"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72075" w:rsidP="00F576BD">
            <w:pPr>
              <w:bidi w:val="0"/>
              <w:jc w:val="center"/>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2013 N</w:t>
            </w:r>
          </w:p>
        </w:tc>
        <w:tc>
          <w:tcPr>
            <w:tcW w:w="590"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72075" w:rsidP="00F576BD">
            <w:pPr>
              <w:bidi w:val="0"/>
              <w:jc w:val="center"/>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2014 N</w:t>
            </w:r>
          </w:p>
        </w:tc>
      </w:tr>
      <w:tr>
        <w:tblPrEx>
          <w:tblW w:w="5000" w:type="pct"/>
          <w:tblCellMar>
            <w:left w:w="70" w:type="dxa"/>
            <w:right w:w="70" w:type="dxa"/>
          </w:tblCellMar>
          <w:tblLook w:val="04A0"/>
        </w:tblPrEx>
        <w:trPr>
          <w:trHeight w:val="315"/>
        </w:trPr>
        <w:tc>
          <w:tcPr>
            <w:tcW w:w="1148"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72075" w:rsidP="00F576BD">
            <w:pPr>
              <w:bidi w:val="0"/>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Dividendy</w:t>
            </w:r>
          </w:p>
        </w:tc>
        <w:tc>
          <w:tcPr>
            <w:tcW w:w="515"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72075" w:rsidP="00F576BD">
            <w:pPr>
              <w:bidi w:val="0"/>
              <w:jc w:val="right"/>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603 818</w:t>
            </w:r>
          </w:p>
        </w:tc>
        <w:tc>
          <w:tcPr>
            <w:tcW w:w="515"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72075" w:rsidP="00F576BD">
            <w:pPr>
              <w:bidi w:val="0"/>
              <w:jc w:val="right"/>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487 652</w:t>
            </w:r>
          </w:p>
        </w:tc>
        <w:tc>
          <w:tcPr>
            <w:tcW w:w="515"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72075" w:rsidP="00F576BD">
            <w:pPr>
              <w:bidi w:val="0"/>
              <w:jc w:val="right"/>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390 416</w:t>
            </w:r>
          </w:p>
        </w:tc>
        <w:tc>
          <w:tcPr>
            <w:tcW w:w="536"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72075" w:rsidP="00F576BD">
            <w:pPr>
              <w:bidi w:val="0"/>
              <w:jc w:val="right"/>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 xml:space="preserve"> 462 036    </w:t>
            </w:r>
          </w:p>
        </w:tc>
        <w:tc>
          <w:tcPr>
            <w:tcW w:w="590"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72075" w:rsidP="00F576BD">
            <w:pPr>
              <w:bidi w:val="0"/>
              <w:jc w:val="right"/>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4</w:t>
            </w:r>
            <w:r>
              <w:rPr>
                <w:rFonts w:ascii="Times New Roman" w:hAnsi="Times New Roman" w:cs="Times New Roman"/>
                <w:b/>
                <w:bCs/>
                <w:color w:val="000000"/>
                <w:sz w:val="14"/>
                <w:szCs w:val="14"/>
                <w:lang w:eastAsia="sk-SK"/>
              </w:rPr>
              <w:t>7</w:t>
            </w:r>
            <w:r w:rsidRPr="00972075">
              <w:rPr>
                <w:rFonts w:ascii="Times New Roman" w:hAnsi="Times New Roman" w:cs="Times New Roman"/>
                <w:b/>
                <w:bCs/>
                <w:color w:val="000000"/>
                <w:sz w:val="14"/>
                <w:szCs w:val="14"/>
                <w:lang w:eastAsia="sk-SK"/>
              </w:rPr>
              <w:t>7 847</w:t>
            </w:r>
          </w:p>
        </w:tc>
        <w:tc>
          <w:tcPr>
            <w:tcW w:w="590"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72075" w:rsidP="00F576BD">
            <w:pPr>
              <w:bidi w:val="0"/>
              <w:jc w:val="right"/>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380 439</w:t>
            </w:r>
          </w:p>
        </w:tc>
        <w:tc>
          <w:tcPr>
            <w:tcW w:w="590"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72075" w:rsidP="00F576BD">
            <w:pPr>
              <w:bidi w:val="0"/>
              <w:jc w:val="right"/>
              <w:rPr>
                <w:rFonts w:ascii="Times New Roman" w:hAnsi="Times New Roman" w:cs="Times New Roman"/>
                <w:b/>
                <w:bCs/>
                <w:color w:val="000000"/>
                <w:sz w:val="14"/>
                <w:szCs w:val="14"/>
                <w:lang w:eastAsia="sk-SK"/>
              </w:rPr>
            </w:pPr>
            <w:r w:rsidRPr="00972075">
              <w:rPr>
                <w:rFonts w:ascii="Times New Roman" w:hAnsi="Times New Roman" w:cs="Times New Roman"/>
                <w:b/>
                <w:bCs/>
                <w:color w:val="000000"/>
                <w:sz w:val="14"/>
                <w:szCs w:val="14"/>
                <w:lang w:eastAsia="sk-SK"/>
              </w:rPr>
              <w:t>375 160</w:t>
            </w:r>
          </w:p>
        </w:tc>
      </w:tr>
      <w:tr>
        <w:tblPrEx>
          <w:tblW w:w="5000" w:type="pct"/>
          <w:tblCellMar>
            <w:left w:w="70" w:type="dxa"/>
            <w:right w:w="70" w:type="dxa"/>
          </w:tblCellMar>
          <w:tblLook w:val="04A0"/>
        </w:tblPrEx>
        <w:trPr>
          <w:trHeight w:val="315"/>
        </w:trPr>
        <w:tc>
          <w:tcPr>
            <w:tcW w:w="1148"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972075" w:rsidP="00F576BD">
            <w:pPr>
              <w:bidi w:val="0"/>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Fond národného majetku</w:t>
            </w:r>
          </w:p>
        </w:tc>
        <w:tc>
          <w:tcPr>
            <w:tcW w:w="515"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466 328</w:t>
            </w:r>
          </w:p>
        </w:tc>
        <w:tc>
          <w:tcPr>
            <w:tcW w:w="515"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417 818</w:t>
            </w:r>
          </w:p>
        </w:tc>
        <w:tc>
          <w:tcPr>
            <w:tcW w:w="515"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298 204</w:t>
            </w:r>
          </w:p>
        </w:tc>
        <w:tc>
          <w:tcPr>
            <w:tcW w:w="536"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373 979</w:t>
            </w:r>
          </w:p>
        </w:tc>
        <w:tc>
          <w:tcPr>
            <w:tcW w:w="590"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385 864</w:t>
            </w:r>
          </w:p>
        </w:tc>
        <w:tc>
          <w:tcPr>
            <w:tcW w:w="590"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358 084</w:t>
            </w:r>
          </w:p>
        </w:tc>
        <w:tc>
          <w:tcPr>
            <w:tcW w:w="590"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353 355</w:t>
            </w:r>
          </w:p>
        </w:tc>
      </w:tr>
      <w:tr>
        <w:tblPrEx>
          <w:tblW w:w="5000" w:type="pct"/>
          <w:tblCellMar>
            <w:left w:w="70" w:type="dxa"/>
            <w:right w:w="70" w:type="dxa"/>
          </w:tblCellMar>
          <w:tblLook w:val="04A0"/>
        </w:tblPrEx>
        <w:trPr>
          <w:trHeight w:val="315"/>
        </w:trPr>
        <w:tc>
          <w:tcPr>
            <w:tcW w:w="1148"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972075" w:rsidP="00F576BD">
            <w:pPr>
              <w:bidi w:val="0"/>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Kapitoly štátneho rozpočtu</w:t>
            </w:r>
          </w:p>
        </w:tc>
        <w:tc>
          <w:tcPr>
            <w:tcW w:w="515"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137 490</w:t>
            </w:r>
          </w:p>
        </w:tc>
        <w:tc>
          <w:tcPr>
            <w:tcW w:w="515"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69 834</w:t>
            </w:r>
          </w:p>
        </w:tc>
        <w:tc>
          <w:tcPr>
            <w:tcW w:w="515"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92 212</w:t>
            </w:r>
          </w:p>
        </w:tc>
        <w:tc>
          <w:tcPr>
            <w:tcW w:w="536"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 88 057</w:t>
            </w:r>
          </w:p>
        </w:tc>
        <w:tc>
          <w:tcPr>
            <w:tcW w:w="590"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9</w:t>
            </w:r>
            <w:r w:rsidRPr="00972075">
              <w:rPr>
                <w:rFonts w:ascii="Times New Roman" w:hAnsi="Times New Roman" w:cs="Times New Roman"/>
                <w:color w:val="000000"/>
                <w:sz w:val="14"/>
                <w:szCs w:val="14"/>
                <w:lang w:eastAsia="sk-SK"/>
              </w:rPr>
              <w:t>1 983</w:t>
            </w:r>
          </w:p>
        </w:tc>
        <w:tc>
          <w:tcPr>
            <w:tcW w:w="590"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22 355</w:t>
            </w:r>
          </w:p>
        </w:tc>
        <w:tc>
          <w:tcPr>
            <w:tcW w:w="590"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972075" w:rsidP="00F576BD">
            <w:pPr>
              <w:bidi w:val="0"/>
              <w:jc w:val="right"/>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21 805</w:t>
            </w:r>
          </w:p>
        </w:tc>
      </w:tr>
    </w:tbl>
    <w:p w:rsidR="00CD5972" w:rsidP="00CD5972">
      <w:pPr>
        <w:bidi w:val="0"/>
        <w:jc w:val="both"/>
        <w:rPr>
          <w:rFonts w:ascii="Times New Roman" w:hAnsi="Times New Roman"/>
          <w:i/>
          <w:sz w:val="22"/>
          <w:szCs w:val="22"/>
        </w:rPr>
      </w:pPr>
      <w:r w:rsidRPr="00C659E9">
        <w:rPr>
          <w:rFonts w:ascii="Times New Roman" w:hAnsi="Times New Roman"/>
          <w:i/>
          <w:sz w:val="22"/>
          <w:szCs w:val="22"/>
        </w:rPr>
        <w:tab/>
      </w:r>
    </w:p>
    <w:p w:rsidR="00CD5972" w:rsidRPr="00C659E9" w:rsidP="00CD5972">
      <w:pPr>
        <w:bidi w:val="0"/>
        <w:jc w:val="both"/>
        <w:rPr>
          <w:rFonts w:ascii="Times New Roman" w:hAnsi="Times New Roman"/>
          <w:i/>
          <w:szCs w:val="22"/>
        </w:rPr>
      </w:pPr>
      <w:r>
        <w:rPr>
          <w:rFonts w:ascii="Times New Roman" w:hAnsi="Times New Roman"/>
          <w:i/>
          <w:sz w:val="22"/>
          <w:szCs w:val="22"/>
        </w:rPr>
        <w:tab/>
      </w:r>
      <w:r w:rsidRPr="00C659E9">
        <w:rPr>
          <w:rFonts w:ascii="Times New Roman" w:hAnsi="Times New Roman"/>
          <w:i/>
          <w:szCs w:val="22"/>
        </w:rPr>
        <w:t>Fond národného majetku</w:t>
      </w:r>
    </w:p>
    <w:p w:rsidR="00CD5972" w:rsidRPr="006353C5" w:rsidP="00CD5972">
      <w:pPr>
        <w:bidi w:val="0"/>
        <w:jc w:val="both"/>
        <w:rPr>
          <w:rFonts w:ascii="Times New Roman" w:hAnsi="Times New Roman"/>
          <w:b/>
          <w:szCs w:val="22"/>
        </w:rPr>
      </w:pPr>
    </w:p>
    <w:p w:rsidR="00CD5972" w:rsidRPr="006353C5" w:rsidP="00CD5972">
      <w:pPr>
        <w:bidi w:val="0"/>
        <w:jc w:val="both"/>
        <w:rPr>
          <w:rFonts w:ascii="Times New Roman" w:hAnsi="Times New Roman"/>
          <w:szCs w:val="22"/>
        </w:rPr>
      </w:pPr>
      <w:r w:rsidRPr="006353C5">
        <w:rPr>
          <w:rFonts w:ascii="Times New Roman" w:hAnsi="Times New Roman"/>
          <w:b/>
          <w:szCs w:val="22"/>
        </w:rPr>
        <w:tab/>
      </w:r>
      <w:r w:rsidRPr="006353C5">
        <w:rPr>
          <w:rFonts w:ascii="Times New Roman" w:hAnsi="Times New Roman"/>
          <w:szCs w:val="22"/>
        </w:rPr>
        <w:t>Dividendy realizované prostredníctvom Fondu národného majetku sú najmä zo spoločností,  ktoré s</w:t>
      </w:r>
      <w:r>
        <w:rPr>
          <w:rFonts w:ascii="Times New Roman" w:hAnsi="Times New Roman"/>
          <w:szCs w:val="22"/>
        </w:rPr>
        <w:t>ú uvedené v nasledovnej tabuľke, pričom v p</w:t>
      </w:r>
      <w:r>
        <w:rPr>
          <w:rFonts w:ascii="Times New Roman" w:hAnsi="Times New Roman"/>
        </w:rPr>
        <w:t xml:space="preserve">ríjmoch štátneho rozpočtu sú iba riadne dividendy spoločností. </w:t>
      </w:r>
      <w:r>
        <w:rPr>
          <w:rFonts w:ascii="Times New Roman" w:hAnsi="Times New Roman"/>
          <w:szCs w:val="22"/>
        </w:rPr>
        <w:t xml:space="preserve">  </w:t>
      </w:r>
    </w:p>
    <w:p w:rsidR="00CD5972" w:rsidP="00CD5972">
      <w:pPr>
        <w:bidi w:val="0"/>
        <w:ind w:firstLine="708"/>
        <w:jc w:val="both"/>
        <w:rPr>
          <w:rFonts w:ascii="Times New Roman" w:hAnsi="Times New Roman"/>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085"/>
        <w:gridCol w:w="820"/>
        <w:gridCol w:w="820"/>
        <w:gridCol w:w="820"/>
        <w:gridCol w:w="853"/>
        <w:gridCol w:w="938"/>
        <w:gridCol w:w="938"/>
        <w:gridCol w:w="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15"/>
        </w:trPr>
        <w:tc>
          <w:tcPr>
            <w:tcW w:w="1674" w:type="pct"/>
            <w:tcBorders>
              <w:top w:val="single" w:sz="4" w:space="0" w:color="auto"/>
              <w:left w:val="single" w:sz="4" w:space="0" w:color="auto"/>
              <w:bottom w:val="single" w:sz="4" w:space="0" w:color="auto"/>
              <w:right w:val="single" w:sz="4" w:space="0" w:color="auto"/>
            </w:tcBorders>
            <w:shd w:val="clear" w:color="000000" w:fill="A6A6A6"/>
            <w:textDirection w:val="lrTb"/>
            <w:vAlign w:val="bottom"/>
            <w:hideMark/>
          </w:tcPr>
          <w:p w:rsidR="00CD5972" w:rsidRPr="00552165" w:rsidP="00F576BD">
            <w:pPr>
              <w:bidi w:val="0"/>
              <w:jc w:val="both"/>
              <w:rPr>
                <w:rFonts w:ascii="Times New Roman" w:hAnsi="Times New Roman" w:cs="Times New Roman"/>
                <w:b/>
                <w:bCs/>
                <w:color w:val="000000"/>
                <w:sz w:val="14"/>
                <w:szCs w:val="14"/>
                <w:lang w:eastAsia="sk-SK"/>
              </w:rPr>
            </w:pPr>
            <w:r w:rsidRPr="00552165">
              <w:rPr>
                <w:rFonts w:ascii="Times New Roman" w:hAnsi="Times New Roman" w:cs="Times New Roman"/>
                <w:b/>
                <w:bCs/>
                <w:color w:val="000000"/>
                <w:sz w:val="14"/>
                <w:szCs w:val="14"/>
                <w:lang w:eastAsia="sk-SK"/>
              </w:rPr>
              <w:t>v tis. eur</w:t>
            </w:r>
          </w:p>
        </w:tc>
        <w:tc>
          <w:tcPr>
            <w:tcW w:w="44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552165" w:rsidP="00F576BD">
            <w:pPr>
              <w:bidi w:val="0"/>
              <w:jc w:val="center"/>
              <w:rPr>
                <w:rFonts w:ascii="Times New Roman" w:hAnsi="Times New Roman" w:cs="Times New Roman"/>
                <w:b/>
                <w:bCs/>
                <w:color w:val="000000"/>
                <w:sz w:val="14"/>
                <w:szCs w:val="14"/>
                <w:lang w:eastAsia="sk-SK"/>
              </w:rPr>
            </w:pPr>
            <w:r w:rsidRPr="00552165">
              <w:rPr>
                <w:rFonts w:ascii="Times New Roman" w:hAnsi="Times New Roman" w:cs="Times New Roman"/>
                <w:b/>
                <w:bCs/>
                <w:color w:val="000000"/>
                <w:sz w:val="14"/>
                <w:szCs w:val="14"/>
                <w:lang w:eastAsia="sk-SK"/>
              </w:rPr>
              <w:t>2009 S</w:t>
            </w:r>
          </w:p>
        </w:tc>
        <w:tc>
          <w:tcPr>
            <w:tcW w:w="44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552165" w:rsidP="00F576BD">
            <w:pPr>
              <w:bidi w:val="0"/>
              <w:jc w:val="center"/>
              <w:rPr>
                <w:rFonts w:ascii="Times New Roman" w:hAnsi="Times New Roman" w:cs="Times New Roman"/>
                <w:b/>
                <w:bCs/>
                <w:color w:val="000000"/>
                <w:sz w:val="14"/>
                <w:szCs w:val="14"/>
                <w:lang w:eastAsia="sk-SK"/>
              </w:rPr>
            </w:pPr>
            <w:r w:rsidRPr="00552165">
              <w:rPr>
                <w:rFonts w:ascii="Times New Roman" w:hAnsi="Times New Roman" w:cs="Times New Roman"/>
                <w:b/>
                <w:bCs/>
                <w:color w:val="000000"/>
                <w:sz w:val="14"/>
                <w:szCs w:val="14"/>
                <w:lang w:eastAsia="sk-SK"/>
              </w:rPr>
              <w:t>2010 S</w:t>
            </w:r>
          </w:p>
        </w:tc>
        <w:tc>
          <w:tcPr>
            <w:tcW w:w="44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552165" w:rsidP="00F576BD">
            <w:pPr>
              <w:bidi w:val="0"/>
              <w:jc w:val="center"/>
              <w:rPr>
                <w:rFonts w:ascii="Times New Roman" w:hAnsi="Times New Roman" w:cs="Times New Roman"/>
                <w:b/>
                <w:bCs/>
                <w:color w:val="000000"/>
                <w:sz w:val="14"/>
                <w:szCs w:val="14"/>
                <w:lang w:eastAsia="sk-SK"/>
              </w:rPr>
            </w:pPr>
            <w:r w:rsidRPr="00552165">
              <w:rPr>
                <w:rFonts w:ascii="Times New Roman" w:hAnsi="Times New Roman" w:cs="Times New Roman"/>
                <w:b/>
                <w:bCs/>
                <w:color w:val="000000"/>
                <w:sz w:val="14"/>
                <w:szCs w:val="14"/>
                <w:lang w:eastAsia="sk-SK"/>
              </w:rPr>
              <w:t>2011 R</w:t>
            </w:r>
          </w:p>
        </w:tc>
        <w:tc>
          <w:tcPr>
            <w:tcW w:w="46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552165" w:rsidP="00F576BD">
            <w:pPr>
              <w:bidi w:val="0"/>
              <w:jc w:val="center"/>
              <w:rPr>
                <w:rFonts w:ascii="Times New Roman" w:hAnsi="Times New Roman" w:cs="Times New Roman"/>
                <w:b/>
                <w:bCs/>
                <w:color w:val="000000"/>
                <w:sz w:val="14"/>
                <w:szCs w:val="14"/>
                <w:lang w:eastAsia="sk-SK"/>
              </w:rPr>
            </w:pPr>
            <w:r w:rsidRPr="00552165">
              <w:rPr>
                <w:rFonts w:ascii="Times New Roman" w:hAnsi="Times New Roman" w:cs="Times New Roman"/>
                <w:b/>
                <w:bCs/>
                <w:color w:val="000000"/>
                <w:sz w:val="14"/>
                <w:szCs w:val="14"/>
                <w:lang w:eastAsia="sk-SK"/>
              </w:rPr>
              <w:t>2011 OS</w:t>
            </w:r>
          </w:p>
        </w:tc>
        <w:tc>
          <w:tcPr>
            <w:tcW w:w="50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552165" w:rsidP="00F576BD">
            <w:pPr>
              <w:bidi w:val="0"/>
              <w:jc w:val="center"/>
              <w:rPr>
                <w:rFonts w:ascii="Times New Roman" w:hAnsi="Times New Roman" w:cs="Times New Roman"/>
                <w:b/>
                <w:bCs/>
                <w:color w:val="000000"/>
                <w:sz w:val="14"/>
                <w:szCs w:val="14"/>
                <w:lang w:eastAsia="sk-SK"/>
              </w:rPr>
            </w:pPr>
            <w:r w:rsidRPr="00552165">
              <w:rPr>
                <w:rFonts w:ascii="Times New Roman" w:hAnsi="Times New Roman" w:cs="Times New Roman"/>
                <w:b/>
                <w:bCs/>
                <w:color w:val="000000"/>
                <w:sz w:val="14"/>
                <w:szCs w:val="14"/>
                <w:lang w:eastAsia="sk-SK"/>
              </w:rPr>
              <w:t>2012 N</w:t>
            </w:r>
          </w:p>
        </w:tc>
        <w:tc>
          <w:tcPr>
            <w:tcW w:w="50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552165" w:rsidP="00F576BD">
            <w:pPr>
              <w:bidi w:val="0"/>
              <w:jc w:val="center"/>
              <w:rPr>
                <w:rFonts w:ascii="Times New Roman" w:hAnsi="Times New Roman" w:cs="Times New Roman"/>
                <w:b/>
                <w:bCs/>
                <w:color w:val="000000"/>
                <w:sz w:val="14"/>
                <w:szCs w:val="14"/>
                <w:lang w:eastAsia="sk-SK"/>
              </w:rPr>
            </w:pPr>
            <w:r w:rsidRPr="00552165">
              <w:rPr>
                <w:rFonts w:ascii="Times New Roman" w:hAnsi="Times New Roman" w:cs="Times New Roman"/>
                <w:b/>
                <w:bCs/>
                <w:color w:val="000000"/>
                <w:sz w:val="14"/>
                <w:szCs w:val="14"/>
                <w:lang w:eastAsia="sk-SK"/>
              </w:rPr>
              <w:t>2013 N</w:t>
            </w:r>
          </w:p>
        </w:tc>
        <w:tc>
          <w:tcPr>
            <w:tcW w:w="50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552165" w:rsidP="00F576BD">
            <w:pPr>
              <w:bidi w:val="0"/>
              <w:jc w:val="center"/>
              <w:rPr>
                <w:rFonts w:ascii="Times New Roman" w:hAnsi="Times New Roman" w:cs="Times New Roman"/>
                <w:b/>
                <w:bCs/>
                <w:color w:val="000000"/>
                <w:sz w:val="14"/>
                <w:szCs w:val="14"/>
                <w:lang w:eastAsia="sk-SK"/>
              </w:rPr>
            </w:pPr>
            <w:r w:rsidRPr="00552165">
              <w:rPr>
                <w:rFonts w:ascii="Times New Roman" w:hAnsi="Times New Roman" w:cs="Times New Roman"/>
                <w:b/>
                <w:bCs/>
                <w:color w:val="000000"/>
                <w:sz w:val="14"/>
                <w:szCs w:val="14"/>
                <w:lang w:eastAsia="sk-SK"/>
              </w:rPr>
              <w:t>2014 N</w:t>
            </w:r>
          </w:p>
        </w:tc>
      </w:tr>
      <w:tr>
        <w:tblPrEx>
          <w:tblW w:w="5000" w:type="pct"/>
          <w:tblCellMar>
            <w:left w:w="70" w:type="dxa"/>
            <w:right w:w="70" w:type="dxa"/>
          </w:tblCellMar>
          <w:tblLook w:val="04A0"/>
        </w:tblPrEx>
        <w:trPr>
          <w:trHeight w:val="315"/>
        </w:trPr>
        <w:tc>
          <w:tcPr>
            <w:tcW w:w="1674"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552165" w:rsidP="00F576BD">
            <w:pPr>
              <w:bidi w:val="0"/>
              <w:rPr>
                <w:rFonts w:ascii="Times New Roman" w:hAnsi="Times New Roman" w:cs="Times New Roman"/>
                <w:b/>
                <w:bCs/>
                <w:color w:val="000000"/>
                <w:sz w:val="14"/>
                <w:szCs w:val="14"/>
                <w:lang w:eastAsia="sk-SK"/>
              </w:rPr>
            </w:pPr>
            <w:r w:rsidRPr="00552165">
              <w:rPr>
                <w:rFonts w:ascii="Times New Roman" w:hAnsi="Times New Roman" w:cs="Times New Roman"/>
                <w:b/>
                <w:bCs/>
                <w:color w:val="000000"/>
                <w:sz w:val="14"/>
                <w:szCs w:val="14"/>
                <w:lang w:eastAsia="sk-SK"/>
              </w:rPr>
              <w:t xml:space="preserve">Dividendy </w:t>
            </w:r>
          </w:p>
        </w:tc>
        <w:tc>
          <w:tcPr>
            <w:tcW w:w="445"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552165" w:rsidP="00F576BD">
            <w:pPr>
              <w:bidi w:val="0"/>
              <w:jc w:val="right"/>
              <w:rPr>
                <w:rFonts w:ascii="Times New Roman" w:hAnsi="Times New Roman" w:cs="Times New Roman"/>
                <w:b/>
                <w:bCs/>
                <w:color w:val="000000"/>
                <w:sz w:val="14"/>
                <w:szCs w:val="14"/>
                <w:lang w:eastAsia="sk-SK"/>
              </w:rPr>
            </w:pPr>
            <w:r w:rsidRPr="00552165">
              <w:rPr>
                <w:rFonts w:ascii="Times New Roman" w:hAnsi="Times New Roman" w:cs="Times New Roman"/>
                <w:b/>
                <w:bCs/>
                <w:color w:val="000000"/>
                <w:sz w:val="14"/>
                <w:szCs w:val="14"/>
                <w:lang w:eastAsia="sk-SK"/>
              </w:rPr>
              <w:t>466 328</w:t>
            </w:r>
          </w:p>
        </w:tc>
        <w:tc>
          <w:tcPr>
            <w:tcW w:w="445"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552165" w:rsidP="00F576BD">
            <w:pPr>
              <w:bidi w:val="0"/>
              <w:jc w:val="right"/>
              <w:rPr>
                <w:rFonts w:ascii="Times New Roman" w:hAnsi="Times New Roman" w:cs="Times New Roman"/>
                <w:b/>
                <w:bCs/>
                <w:color w:val="000000"/>
                <w:sz w:val="14"/>
                <w:szCs w:val="14"/>
                <w:lang w:eastAsia="sk-SK"/>
              </w:rPr>
            </w:pPr>
            <w:r w:rsidRPr="00552165">
              <w:rPr>
                <w:rFonts w:ascii="Times New Roman" w:hAnsi="Times New Roman" w:cs="Times New Roman"/>
                <w:b/>
                <w:bCs/>
                <w:color w:val="000000"/>
                <w:sz w:val="14"/>
                <w:szCs w:val="14"/>
                <w:lang w:eastAsia="sk-SK"/>
              </w:rPr>
              <w:t>417 818</w:t>
            </w:r>
          </w:p>
        </w:tc>
        <w:tc>
          <w:tcPr>
            <w:tcW w:w="445"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552165" w:rsidP="00F576BD">
            <w:pPr>
              <w:bidi w:val="0"/>
              <w:jc w:val="right"/>
              <w:rPr>
                <w:rFonts w:ascii="Times New Roman" w:hAnsi="Times New Roman" w:cs="Times New Roman"/>
                <w:b/>
                <w:bCs/>
                <w:color w:val="000000"/>
                <w:sz w:val="14"/>
                <w:szCs w:val="14"/>
                <w:lang w:eastAsia="sk-SK"/>
              </w:rPr>
            </w:pPr>
            <w:r w:rsidRPr="00552165">
              <w:rPr>
                <w:rFonts w:ascii="Times New Roman" w:hAnsi="Times New Roman" w:cs="Times New Roman"/>
                <w:b/>
                <w:bCs/>
                <w:color w:val="000000"/>
                <w:sz w:val="14"/>
                <w:szCs w:val="14"/>
                <w:lang w:eastAsia="sk-SK"/>
              </w:rPr>
              <w:t>298 204</w:t>
            </w:r>
          </w:p>
        </w:tc>
        <w:tc>
          <w:tcPr>
            <w:tcW w:w="463"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552165" w:rsidP="00F576BD">
            <w:pPr>
              <w:bidi w:val="0"/>
              <w:jc w:val="right"/>
              <w:rPr>
                <w:rFonts w:ascii="Times New Roman" w:hAnsi="Times New Roman" w:cs="Times New Roman"/>
                <w:b/>
                <w:bCs/>
                <w:color w:val="000000"/>
                <w:sz w:val="14"/>
                <w:szCs w:val="14"/>
                <w:lang w:eastAsia="sk-SK"/>
              </w:rPr>
            </w:pPr>
            <w:r w:rsidRPr="00552165">
              <w:rPr>
                <w:rFonts w:ascii="Times New Roman" w:hAnsi="Times New Roman" w:cs="Times New Roman"/>
                <w:b/>
                <w:bCs/>
                <w:color w:val="000000"/>
                <w:sz w:val="14"/>
                <w:szCs w:val="14"/>
                <w:lang w:eastAsia="sk-SK"/>
              </w:rPr>
              <w:t>373 979</w:t>
            </w:r>
          </w:p>
        </w:tc>
        <w:tc>
          <w:tcPr>
            <w:tcW w:w="509"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552165" w:rsidP="00F576BD">
            <w:pPr>
              <w:bidi w:val="0"/>
              <w:jc w:val="right"/>
              <w:rPr>
                <w:rFonts w:ascii="Times New Roman" w:hAnsi="Times New Roman" w:cs="Times New Roman"/>
                <w:b/>
                <w:bCs/>
                <w:color w:val="000000"/>
                <w:sz w:val="14"/>
                <w:szCs w:val="14"/>
                <w:lang w:eastAsia="sk-SK"/>
              </w:rPr>
            </w:pPr>
            <w:r w:rsidRPr="00552165">
              <w:rPr>
                <w:rFonts w:ascii="Times New Roman" w:hAnsi="Times New Roman" w:cs="Times New Roman"/>
                <w:b/>
                <w:bCs/>
                <w:color w:val="000000"/>
                <w:sz w:val="14"/>
                <w:szCs w:val="14"/>
                <w:lang w:eastAsia="sk-SK"/>
              </w:rPr>
              <w:t>385 864</w:t>
            </w:r>
          </w:p>
        </w:tc>
        <w:tc>
          <w:tcPr>
            <w:tcW w:w="509"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552165" w:rsidP="00F576BD">
            <w:pPr>
              <w:bidi w:val="0"/>
              <w:jc w:val="right"/>
              <w:rPr>
                <w:rFonts w:ascii="Times New Roman" w:hAnsi="Times New Roman" w:cs="Times New Roman"/>
                <w:b/>
                <w:bCs/>
                <w:color w:val="000000"/>
                <w:sz w:val="14"/>
                <w:szCs w:val="14"/>
                <w:lang w:eastAsia="sk-SK"/>
              </w:rPr>
            </w:pPr>
            <w:r w:rsidRPr="00552165">
              <w:rPr>
                <w:rFonts w:ascii="Times New Roman" w:hAnsi="Times New Roman" w:cs="Times New Roman"/>
                <w:b/>
                <w:bCs/>
                <w:color w:val="000000"/>
                <w:sz w:val="14"/>
                <w:szCs w:val="14"/>
                <w:lang w:eastAsia="sk-SK"/>
              </w:rPr>
              <w:t>358 084</w:t>
            </w:r>
          </w:p>
        </w:tc>
        <w:tc>
          <w:tcPr>
            <w:tcW w:w="509"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552165" w:rsidP="00F576BD">
            <w:pPr>
              <w:bidi w:val="0"/>
              <w:jc w:val="right"/>
              <w:rPr>
                <w:rFonts w:ascii="Times New Roman" w:hAnsi="Times New Roman" w:cs="Times New Roman"/>
                <w:b/>
                <w:bCs/>
                <w:color w:val="000000"/>
                <w:sz w:val="14"/>
                <w:szCs w:val="14"/>
                <w:lang w:eastAsia="sk-SK"/>
              </w:rPr>
            </w:pPr>
            <w:r w:rsidRPr="00552165">
              <w:rPr>
                <w:rFonts w:ascii="Times New Roman" w:hAnsi="Times New Roman" w:cs="Times New Roman"/>
                <w:b/>
                <w:bCs/>
                <w:color w:val="000000"/>
                <w:sz w:val="14"/>
                <w:szCs w:val="14"/>
                <w:lang w:eastAsia="sk-SK"/>
              </w:rPr>
              <w:t>353 355</w:t>
            </w:r>
          </w:p>
        </w:tc>
      </w:tr>
      <w:tr>
        <w:tblPrEx>
          <w:tblW w:w="5000" w:type="pct"/>
          <w:tblCellMar>
            <w:left w:w="70" w:type="dxa"/>
            <w:right w:w="70" w:type="dxa"/>
          </w:tblCellMar>
          <w:tblLook w:val="04A0"/>
        </w:tblPrEx>
        <w:trPr>
          <w:trHeight w:val="315"/>
        </w:trPr>
        <w:tc>
          <w:tcPr>
            <w:tcW w:w="1674"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P="00F576BD">
            <w:pPr>
              <w:bidi w:val="0"/>
              <w:rPr>
                <w:rFonts w:ascii="Times New Roman" w:hAnsi="Times New Roman" w:cs="Times New Roman"/>
                <w:color w:val="000000"/>
                <w:sz w:val="14"/>
                <w:szCs w:val="14"/>
                <w:lang w:eastAsia="sk-SK"/>
              </w:rPr>
            </w:pPr>
            <w:r w:rsidRPr="00972075">
              <w:rPr>
                <w:rFonts w:ascii="Times New Roman" w:hAnsi="Times New Roman" w:cs="Times New Roman"/>
                <w:color w:val="000000"/>
                <w:sz w:val="14"/>
                <w:szCs w:val="14"/>
                <w:lang w:eastAsia="sk-SK"/>
              </w:rPr>
              <w:t xml:space="preserve">v tom: Slovenský plynárenský priemysel, a.s. </w:t>
            </w:r>
            <w:r>
              <w:rPr>
                <w:rFonts w:ascii="Times New Roman" w:hAnsi="Times New Roman" w:cs="Times New Roman"/>
                <w:color w:val="000000"/>
                <w:sz w:val="14"/>
                <w:szCs w:val="14"/>
                <w:lang w:eastAsia="sk-SK"/>
              </w:rPr>
              <w:t xml:space="preserve">   </w:t>
            </w:r>
          </w:p>
          <w:p w:rsidR="00CD5972" w:rsidRPr="00552165" w:rsidP="00F576BD">
            <w:pPr>
              <w:bidi w:val="0"/>
              <w:ind w:firstLine="420" w:firstLineChars="300"/>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w:t>
            </w:r>
            <w:r w:rsidRPr="00972075">
              <w:rPr>
                <w:rFonts w:ascii="Times New Roman" w:hAnsi="Times New Roman" w:cs="Times New Roman"/>
                <w:color w:val="000000"/>
                <w:sz w:val="14"/>
                <w:szCs w:val="14"/>
                <w:lang w:eastAsia="sk-SK"/>
              </w:rPr>
              <w:t>Bratislava</w:t>
            </w:r>
          </w:p>
        </w:tc>
        <w:tc>
          <w:tcPr>
            <w:tcW w:w="445"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305 601</w:t>
            </w:r>
          </w:p>
        </w:tc>
        <w:tc>
          <w:tcPr>
            <w:tcW w:w="445"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290 379</w:t>
            </w:r>
          </w:p>
        </w:tc>
        <w:tc>
          <w:tcPr>
            <w:tcW w:w="445"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172 532</w:t>
            </w:r>
          </w:p>
        </w:tc>
        <w:tc>
          <w:tcPr>
            <w:tcW w:w="463"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225 926</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225 926</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225 926</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225 926</w:t>
            </w:r>
          </w:p>
        </w:tc>
      </w:tr>
      <w:tr>
        <w:tblPrEx>
          <w:tblW w:w="5000" w:type="pct"/>
          <w:tblCellMar>
            <w:left w:w="70" w:type="dxa"/>
            <w:right w:w="70" w:type="dxa"/>
          </w:tblCellMar>
          <w:tblLook w:val="04A0"/>
        </w:tblPrEx>
        <w:trPr>
          <w:trHeight w:val="315"/>
        </w:trPr>
        <w:tc>
          <w:tcPr>
            <w:tcW w:w="1674"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ind w:firstLine="420" w:firstLineChars="300"/>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Západoslovenská energetika, a.s.</w:t>
            </w:r>
          </w:p>
        </w:tc>
        <w:tc>
          <w:tcPr>
            <w:tcW w:w="445"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46 168</w:t>
            </w:r>
          </w:p>
        </w:tc>
        <w:tc>
          <w:tcPr>
            <w:tcW w:w="445"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54 265</w:t>
            </w:r>
          </w:p>
        </w:tc>
        <w:tc>
          <w:tcPr>
            <w:tcW w:w="445"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40 740</w:t>
            </w:r>
          </w:p>
        </w:tc>
        <w:tc>
          <w:tcPr>
            <w:tcW w:w="463"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48 154</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47 456</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50 694</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47 664</w:t>
            </w:r>
          </w:p>
        </w:tc>
      </w:tr>
      <w:tr>
        <w:tblPrEx>
          <w:tblW w:w="5000" w:type="pct"/>
          <w:tblCellMar>
            <w:left w:w="70" w:type="dxa"/>
            <w:right w:w="70" w:type="dxa"/>
          </w:tblCellMar>
          <w:tblLook w:val="04A0"/>
        </w:tblPrEx>
        <w:trPr>
          <w:trHeight w:val="315"/>
        </w:trPr>
        <w:tc>
          <w:tcPr>
            <w:tcW w:w="1674"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ind w:firstLine="420" w:firstLineChars="300"/>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Stredoslovenská energetika, a.s.</w:t>
            </w:r>
          </w:p>
        </w:tc>
        <w:tc>
          <w:tcPr>
            <w:tcW w:w="445"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20 256</w:t>
            </w:r>
          </w:p>
        </w:tc>
        <w:tc>
          <w:tcPr>
            <w:tcW w:w="445"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21 403</w:t>
            </w:r>
          </w:p>
        </w:tc>
        <w:tc>
          <w:tcPr>
            <w:tcW w:w="445"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12 230</w:t>
            </w:r>
          </w:p>
        </w:tc>
        <w:tc>
          <w:tcPr>
            <w:tcW w:w="463"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37 357</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37 357</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37 357</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37 357</w:t>
            </w:r>
          </w:p>
        </w:tc>
      </w:tr>
      <w:tr>
        <w:tblPrEx>
          <w:tblW w:w="5000" w:type="pct"/>
          <w:tblCellMar>
            <w:left w:w="70" w:type="dxa"/>
            <w:right w:w="70" w:type="dxa"/>
          </w:tblCellMar>
          <w:tblLook w:val="04A0"/>
        </w:tblPrEx>
        <w:trPr>
          <w:trHeight w:val="315"/>
        </w:trPr>
        <w:tc>
          <w:tcPr>
            <w:tcW w:w="1674"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ind w:firstLine="420" w:firstLineChars="300"/>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Východoslovenská energetika, a.s.</w:t>
            </w:r>
          </w:p>
        </w:tc>
        <w:tc>
          <w:tcPr>
            <w:tcW w:w="445"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42 695</w:t>
            </w:r>
          </w:p>
        </w:tc>
        <w:tc>
          <w:tcPr>
            <w:tcW w:w="445"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27 339</w:t>
            </w:r>
          </w:p>
        </w:tc>
        <w:tc>
          <w:tcPr>
            <w:tcW w:w="445"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29 800</w:t>
            </w:r>
          </w:p>
        </w:tc>
        <w:tc>
          <w:tcPr>
            <w:tcW w:w="463"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32 907</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37 700</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35 100</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33 400</w:t>
            </w:r>
          </w:p>
        </w:tc>
      </w:tr>
      <w:tr>
        <w:tblPrEx>
          <w:tblW w:w="5000" w:type="pct"/>
          <w:tblCellMar>
            <w:left w:w="70" w:type="dxa"/>
            <w:right w:w="70" w:type="dxa"/>
          </w:tblCellMar>
          <w:tblLook w:val="04A0"/>
        </w:tblPrEx>
        <w:trPr>
          <w:trHeight w:val="315"/>
        </w:trPr>
        <w:tc>
          <w:tcPr>
            <w:tcW w:w="1674"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ind w:firstLine="420" w:firstLineChars="300"/>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Slovak Telecom, a.s.</w:t>
            </w:r>
          </w:p>
        </w:tc>
        <w:tc>
          <w:tcPr>
            <w:tcW w:w="445"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45 487</w:t>
            </w:r>
          </w:p>
        </w:tc>
        <w:tc>
          <w:tcPr>
            <w:tcW w:w="445"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19 940</w:t>
            </w:r>
          </w:p>
        </w:tc>
        <w:tc>
          <w:tcPr>
            <w:tcW w:w="445"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37 500</w:t>
            </w:r>
          </w:p>
        </w:tc>
        <w:tc>
          <w:tcPr>
            <w:tcW w:w="463"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19 500</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18 369</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0</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val="315"/>
        </w:trPr>
        <w:tc>
          <w:tcPr>
            <w:tcW w:w="1674"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ind w:firstLine="420" w:firstLineChars="300"/>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Iné spolu</w:t>
            </w:r>
          </w:p>
        </w:tc>
        <w:tc>
          <w:tcPr>
            <w:tcW w:w="445"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6 122</w:t>
            </w:r>
          </w:p>
        </w:tc>
        <w:tc>
          <w:tcPr>
            <w:tcW w:w="445"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4 493</w:t>
            </w:r>
          </w:p>
        </w:tc>
        <w:tc>
          <w:tcPr>
            <w:tcW w:w="445"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5 402</w:t>
            </w:r>
          </w:p>
        </w:tc>
        <w:tc>
          <w:tcPr>
            <w:tcW w:w="463"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10 135</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19 056</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9 007</w:t>
            </w:r>
          </w:p>
        </w:tc>
        <w:tc>
          <w:tcPr>
            <w:tcW w:w="509"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552165" w:rsidP="00F576BD">
            <w:pPr>
              <w:bidi w:val="0"/>
              <w:jc w:val="right"/>
              <w:rPr>
                <w:rFonts w:ascii="Times New Roman" w:hAnsi="Times New Roman" w:cs="Times New Roman"/>
                <w:color w:val="000000"/>
                <w:sz w:val="14"/>
                <w:szCs w:val="14"/>
                <w:lang w:eastAsia="sk-SK"/>
              </w:rPr>
            </w:pPr>
            <w:r w:rsidRPr="00552165">
              <w:rPr>
                <w:rFonts w:ascii="Times New Roman" w:hAnsi="Times New Roman" w:cs="Times New Roman"/>
                <w:color w:val="000000"/>
                <w:sz w:val="14"/>
                <w:szCs w:val="14"/>
                <w:lang w:eastAsia="sk-SK"/>
              </w:rPr>
              <w:t>9 008</w:t>
            </w:r>
          </w:p>
        </w:tc>
      </w:tr>
    </w:tbl>
    <w:p w:rsidR="00CD5972" w:rsidP="00CD5972">
      <w:pPr>
        <w:bidi w:val="0"/>
        <w:ind w:firstLine="708"/>
        <w:jc w:val="both"/>
        <w:rPr>
          <w:rFonts w:ascii="Times New Roman" w:hAnsi="Times New Roman"/>
          <w:szCs w:val="22"/>
        </w:rPr>
      </w:pPr>
    </w:p>
    <w:p w:rsidR="00CD5972" w:rsidRPr="00C659E9" w:rsidP="00CD5972">
      <w:pPr>
        <w:bidi w:val="0"/>
        <w:ind w:firstLine="708"/>
        <w:jc w:val="both"/>
        <w:rPr>
          <w:rFonts w:ascii="Times New Roman" w:hAnsi="Times New Roman"/>
          <w:i/>
          <w:szCs w:val="22"/>
        </w:rPr>
      </w:pPr>
      <w:r w:rsidRPr="00C659E9">
        <w:rPr>
          <w:rFonts w:ascii="Times New Roman" w:hAnsi="Times New Roman"/>
          <w:i/>
          <w:szCs w:val="22"/>
        </w:rPr>
        <w:t>Kapitoly štátneho rozpočtu</w:t>
      </w:r>
    </w:p>
    <w:p w:rsidR="00CD5972" w:rsidRPr="006353C5" w:rsidP="00CD5972">
      <w:pPr>
        <w:bidi w:val="0"/>
        <w:ind w:left="1065"/>
        <w:jc w:val="both"/>
        <w:rPr>
          <w:rFonts w:ascii="Times New Roman" w:hAnsi="Times New Roman"/>
          <w:szCs w:val="22"/>
        </w:rPr>
      </w:pPr>
    </w:p>
    <w:p w:rsidR="00CD5972" w:rsidRPr="006353C5" w:rsidP="00CD5972">
      <w:pPr>
        <w:bidi w:val="0"/>
        <w:ind w:firstLine="709"/>
        <w:jc w:val="both"/>
        <w:rPr>
          <w:rFonts w:ascii="Times New Roman" w:hAnsi="Times New Roman"/>
          <w:szCs w:val="22"/>
        </w:rPr>
      </w:pPr>
      <w:r w:rsidRPr="006353C5">
        <w:rPr>
          <w:rFonts w:ascii="Times New Roman" w:hAnsi="Times New Roman"/>
          <w:szCs w:val="22"/>
        </w:rPr>
        <w:t xml:space="preserve">Z vlastníckeho podielu štátu, ktorý je zastúpený príslušnými rezortnými ministerstvami v akciových spoločnostiach s majetkovou účasťou štátu, ide predovšetkým o príjmy z podnikania, ktoré majú podobu dividend najmä od spoločnosti Slovak Telecom, </w:t>
      </w:r>
      <w:r>
        <w:rPr>
          <w:rFonts w:ascii="Times New Roman" w:hAnsi="Times New Roman"/>
          <w:szCs w:val="22"/>
        </w:rPr>
        <w:br/>
      </w:r>
      <w:r w:rsidRPr="006353C5">
        <w:rPr>
          <w:rFonts w:ascii="Times New Roman" w:hAnsi="Times New Roman"/>
          <w:szCs w:val="22"/>
        </w:rPr>
        <w:t xml:space="preserve">a. s., </w:t>
      </w:r>
      <w:r>
        <w:rPr>
          <w:rFonts w:ascii="Times New Roman" w:hAnsi="Times New Roman"/>
          <w:szCs w:val="22"/>
        </w:rPr>
        <w:t xml:space="preserve">Jadrová a vyraďovacia spoločnosť, a.s., </w:t>
      </w:r>
      <w:r w:rsidRPr="006353C5">
        <w:rPr>
          <w:rFonts w:ascii="Times New Roman" w:hAnsi="Times New Roman"/>
          <w:szCs w:val="22"/>
        </w:rPr>
        <w:t>Transpetrol, a. s., Slovenská záručná a rozvojová banka, a. s., Slovenská konsolidačná, a.</w:t>
      </w:r>
      <w:r>
        <w:rPr>
          <w:rFonts w:ascii="Times New Roman" w:hAnsi="Times New Roman"/>
          <w:szCs w:val="22"/>
        </w:rPr>
        <w:t> </w:t>
      </w:r>
      <w:r w:rsidRPr="006353C5">
        <w:rPr>
          <w:rFonts w:ascii="Times New Roman" w:hAnsi="Times New Roman"/>
          <w:szCs w:val="22"/>
        </w:rPr>
        <w:t xml:space="preserve">s. a od Správy služieb diplomatickému zboru, a. s. </w:t>
      </w:r>
    </w:p>
    <w:p w:rsidR="00CD5972" w:rsidP="00CD5972">
      <w:pPr>
        <w:bidi w:val="0"/>
        <w:ind w:firstLine="708"/>
        <w:jc w:val="both"/>
        <w:rPr>
          <w:rFonts w:ascii="Times New Roman" w:hAnsi="Times New Roman"/>
          <w:szCs w:val="22"/>
        </w:rPr>
      </w:pPr>
    </w:p>
    <w:p w:rsidR="0017084C" w:rsidP="00CD5972">
      <w:pPr>
        <w:bidi w:val="0"/>
        <w:ind w:firstLine="708"/>
        <w:jc w:val="both"/>
        <w:rPr>
          <w:rFonts w:ascii="Times New Roman" w:hAnsi="Times New Roman"/>
          <w:szCs w:val="22"/>
        </w:rPr>
      </w:pPr>
    </w:p>
    <w:p w:rsidR="0017084C" w:rsidP="00CD5972">
      <w:pPr>
        <w:bidi w:val="0"/>
        <w:ind w:firstLine="708"/>
        <w:jc w:val="both"/>
        <w:rPr>
          <w:rFonts w:ascii="Times New Roman" w:hAnsi="Times New Roman"/>
          <w:szCs w:val="22"/>
        </w:rPr>
      </w:pPr>
    </w:p>
    <w:p w:rsidR="0017084C" w:rsidP="00CD5972">
      <w:pPr>
        <w:bidi w:val="0"/>
        <w:ind w:firstLine="708"/>
        <w:jc w:val="both"/>
        <w:rPr>
          <w:rFonts w:ascii="Times New Roman" w:hAnsi="Times New Roman"/>
          <w:szCs w:val="22"/>
        </w:rPr>
      </w:pPr>
    </w:p>
    <w:p w:rsidR="0017084C" w:rsidP="00CD5972">
      <w:pPr>
        <w:bidi w:val="0"/>
        <w:ind w:firstLine="708"/>
        <w:jc w:val="both"/>
        <w:rPr>
          <w:rFonts w:ascii="Times New Roman" w:hAnsi="Times New Roman"/>
          <w:szCs w:val="22"/>
        </w:rPr>
      </w:pPr>
    </w:p>
    <w:p w:rsidR="0017084C" w:rsidP="00CD5972">
      <w:pPr>
        <w:bidi w:val="0"/>
        <w:ind w:firstLine="708"/>
        <w:jc w:val="both"/>
        <w:rPr>
          <w:rFonts w:ascii="Times New Roman" w:hAnsi="Times New Roman"/>
          <w:szCs w:val="22"/>
        </w:rPr>
      </w:pPr>
    </w:p>
    <w:p w:rsidR="00475510" w:rsidP="00CD5972">
      <w:pPr>
        <w:bidi w:val="0"/>
        <w:ind w:firstLine="708"/>
        <w:jc w:val="both"/>
        <w:rPr>
          <w:rFonts w:ascii="Times New Roman" w:hAnsi="Times New Roman"/>
          <w:szCs w:val="22"/>
        </w:rPr>
      </w:pPr>
    </w:p>
    <w:p w:rsidR="0017084C" w:rsidP="00CD5972">
      <w:pPr>
        <w:bidi w:val="0"/>
        <w:ind w:firstLine="708"/>
        <w:jc w:val="both"/>
        <w:rPr>
          <w:rFonts w:ascii="Times New Roman" w:hAnsi="Times New Roman"/>
          <w:szCs w:val="22"/>
        </w:rPr>
      </w:pPr>
    </w:p>
    <w:p w:rsidR="0017084C" w:rsidP="00CD5972">
      <w:pPr>
        <w:bidi w:val="0"/>
        <w:ind w:firstLine="708"/>
        <w:jc w:val="both"/>
        <w:rPr>
          <w:rFonts w:ascii="Times New Roman" w:hAnsi="Times New Roman"/>
          <w:szCs w:val="22"/>
        </w:rPr>
      </w:pPr>
    </w:p>
    <w:p w:rsidR="00CD5972" w:rsidP="00CD5972">
      <w:pPr>
        <w:bidi w:val="0"/>
        <w:ind w:firstLine="708"/>
        <w:jc w:val="both"/>
        <w:rPr>
          <w:rFonts w:ascii="Times New Roman" w:hAnsi="Times New Roman"/>
          <w:szCs w:val="22"/>
        </w:rPr>
      </w:pPr>
      <w:r w:rsidRPr="006353C5">
        <w:rPr>
          <w:rFonts w:ascii="Times New Roman" w:hAnsi="Times New Roman"/>
          <w:szCs w:val="22"/>
        </w:rPr>
        <w:t>Vývoj týchto príjmov zobrazuje nasledovná tabuľka</w:t>
      </w:r>
      <w:r>
        <w:rPr>
          <w:rFonts w:ascii="Times New Roman" w:hAnsi="Times New Roman"/>
          <w:szCs w:val="22"/>
        </w:rPr>
        <w:t>:</w:t>
      </w:r>
      <w:r w:rsidRPr="006353C5">
        <w:rPr>
          <w:rFonts w:ascii="Times New Roman" w:hAnsi="Times New Roman"/>
          <w:szCs w:val="22"/>
        </w:rPr>
        <w:t xml:space="preserve">  </w:t>
      </w:r>
    </w:p>
    <w:p w:rsidR="00CD5972" w:rsidP="00CD5972">
      <w:pPr>
        <w:bidi w:val="0"/>
        <w:ind w:firstLine="708"/>
        <w:jc w:val="both"/>
        <w:rPr>
          <w:rFonts w:ascii="Times New Roman" w:hAnsi="Times New Roman"/>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759"/>
        <w:gridCol w:w="780"/>
        <w:gridCol w:w="780"/>
        <w:gridCol w:w="779"/>
        <w:gridCol w:w="779"/>
        <w:gridCol w:w="779"/>
        <w:gridCol w:w="779"/>
        <w:gridCol w:w="77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370"/>
        </w:trPr>
        <w:tc>
          <w:tcPr>
            <w:tcW w:w="2040" w:type="pct"/>
            <w:tcBorders>
              <w:top w:val="single" w:sz="4" w:space="0" w:color="auto"/>
              <w:left w:val="single" w:sz="4" w:space="0" w:color="auto"/>
              <w:bottom w:val="single" w:sz="4" w:space="0" w:color="auto"/>
              <w:right w:val="single" w:sz="4" w:space="0" w:color="auto"/>
            </w:tcBorders>
            <w:shd w:val="clear" w:color="000000" w:fill="A6A6A6"/>
            <w:textDirection w:val="lrTb"/>
            <w:vAlign w:val="bottom"/>
            <w:hideMark/>
          </w:tcPr>
          <w:p w:rsidR="00CD5972" w:rsidRPr="00924CC2" w:rsidP="00F576BD">
            <w:pPr>
              <w:bidi w:val="0"/>
              <w:jc w:val="both"/>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v tis. eur</w:t>
            </w:r>
          </w:p>
        </w:tc>
        <w:tc>
          <w:tcPr>
            <w:tcW w:w="42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2009 S</w:t>
            </w:r>
          </w:p>
        </w:tc>
        <w:tc>
          <w:tcPr>
            <w:tcW w:w="42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2010 S</w:t>
            </w:r>
          </w:p>
        </w:tc>
        <w:tc>
          <w:tcPr>
            <w:tcW w:w="42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2011 R</w:t>
            </w:r>
          </w:p>
        </w:tc>
        <w:tc>
          <w:tcPr>
            <w:tcW w:w="42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2011 OS</w:t>
            </w:r>
          </w:p>
        </w:tc>
        <w:tc>
          <w:tcPr>
            <w:tcW w:w="42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2012 N</w:t>
            </w:r>
          </w:p>
        </w:tc>
        <w:tc>
          <w:tcPr>
            <w:tcW w:w="42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2013 N</w:t>
            </w:r>
          </w:p>
        </w:tc>
        <w:tc>
          <w:tcPr>
            <w:tcW w:w="42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2014 N</w:t>
            </w:r>
          </w:p>
        </w:tc>
      </w:tr>
      <w:tr>
        <w:tblPrEx>
          <w:tblW w:w="5000" w:type="pct"/>
          <w:tblLayout w:type="fixed"/>
          <w:tblCellMar>
            <w:left w:w="70" w:type="dxa"/>
            <w:right w:w="70" w:type="dxa"/>
          </w:tblCellMar>
          <w:tblLook w:val="04A0"/>
        </w:tblPrEx>
        <w:trPr>
          <w:trHeight w:val="370"/>
        </w:trPr>
        <w:tc>
          <w:tcPr>
            <w:tcW w:w="2040"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both"/>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Príjmy z podnikania - dividendy</w:t>
            </w:r>
          </w:p>
        </w:tc>
        <w:tc>
          <w:tcPr>
            <w:tcW w:w="423"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137 490</w:t>
            </w:r>
          </w:p>
        </w:tc>
        <w:tc>
          <w:tcPr>
            <w:tcW w:w="423"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69 834</w:t>
            </w:r>
          </w:p>
        </w:tc>
        <w:tc>
          <w:tcPr>
            <w:tcW w:w="423"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92 212</w:t>
            </w:r>
          </w:p>
        </w:tc>
        <w:tc>
          <w:tcPr>
            <w:tcW w:w="423"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88 057</w:t>
            </w:r>
          </w:p>
        </w:tc>
        <w:tc>
          <w:tcPr>
            <w:tcW w:w="423"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91 983</w:t>
            </w:r>
          </w:p>
        </w:tc>
        <w:tc>
          <w:tcPr>
            <w:tcW w:w="423"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22 355</w:t>
            </w:r>
          </w:p>
        </w:tc>
        <w:tc>
          <w:tcPr>
            <w:tcW w:w="422"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21 805</w:t>
            </w:r>
          </w:p>
        </w:tc>
      </w:tr>
      <w:tr>
        <w:tblPrEx>
          <w:tblW w:w="5000" w:type="pct"/>
          <w:tblLayout w:type="fixed"/>
          <w:tblCellMar>
            <w:left w:w="70" w:type="dxa"/>
            <w:right w:w="70" w:type="dxa"/>
          </w:tblCellMar>
          <w:tblLook w:val="04A0"/>
        </w:tblPrEx>
        <w:trPr>
          <w:trHeight w:val="370"/>
        </w:trPr>
        <w:tc>
          <w:tcPr>
            <w:tcW w:w="204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Ministerstvo financií SR</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3 486</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15 139</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3 706</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14 700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12 880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10 100</w:t>
            </w:r>
          </w:p>
        </w:tc>
        <w:tc>
          <w:tcPr>
            <w:tcW w:w="422"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9 550</w:t>
            </w:r>
          </w:p>
        </w:tc>
      </w:tr>
      <w:tr>
        <w:tblPrEx>
          <w:tblW w:w="5000" w:type="pct"/>
          <w:tblLayout w:type="fixed"/>
          <w:tblCellMar>
            <w:left w:w="70" w:type="dxa"/>
            <w:right w:w="70" w:type="dxa"/>
          </w:tblCellMar>
          <w:tblLook w:val="04A0"/>
        </w:tblPrEx>
        <w:trPr>
          <w:trHeight w:val="370"/>
        </w:trPr>
        <w:tc>
          <w:tcPr>
            <w:tcW w:w="204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Slovenská konsolidačná, a.s.</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13 273</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3 206</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13 400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11 880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8 100</w:t>
            </w:r>
          </w:p>
        </w:tc>
        <w:tc>
          <w:tcPr>
            <w:tcW w:w="422"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6 550</w:t>
            </w:r>
          </w:p>
        </w:tc>
      </w:tr>
      <w:tr>
        <w:tblPrEx>
          <w:tblW w:w="5000" w:type="pct"/>
          <w:tblLayout w:type="fixed"/>
          <w:tblCellMar>
            <w:left w:w="70" w:type="dxa"/>
            <w:right w:w="70" w:type="dxa"/>
          </w:tblCellMar>
          <w:tblLook w:val="04A0"/>
        </w:tblPrEx>
        <w:trPr>
          <w:trHeight w:val="370"/>
        </w:trPr>
        <w:tc>
          <w:tcPr>
            <w:tcW w:w="204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SZRB, a.s.</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3 320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1 700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500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1 300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1 000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2 000</w:t>
            </w:r>
          </w:p>
        </w:tc>
        <w:tc>
          <w:tcPr>
            <w:tcW w:w="422"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3 000</w:t>
            </w:r>
          </w:p>
        </w:tc>
      </w:tr>
      <w:tr>
        <w:tblPrEx>
          <w:tblW w:w="5000" w:type="pct"/>
          <w:tblLayout w:type="fixed"/>
          <w:tblCellMar>
            <w:left w:w="70" w:type="dxa"/>
            <w:right w:w="70" w:type="dxa"/>
          </w:tblCellMar>
          <w:tblLook w:val="04A0"/>
        </w:tblPrEx>
        <w:trPr>
          <w:trHeight w:val="370"/>
        </w:trPr>
        <w:tc>
          <w:tcPr>
            <w:tcW w:w="204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EXIMBANKA</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166</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166</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c>
          <w:tcPr>
            <w:tcW w:w="422"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r>
      <w:tr>
        <w:tblPrEx>
          <w:tblW w:w="5000" w:type="pct"/>
          <w:tblLayout w:type="fixed"/>
          <w:tblCellMar>
            <w:left w:w="70" w:type="dxa"/>
            <w:right w:w="70" w:type="dxa"/>
          </w:tblCellMar>
          <w:tblLook w:val="04A0"/>
        </w:tblPrEx>
        <w:trPr>
          <w:trHeight w:val="370"/>
        </w:trPr>
        <w:tc>
          <w:tcPr>
            <w:tcW w:w="204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Ministerstvo zahraničných vecí SR</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603</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345</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500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105</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1 548</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1 547</w:t>
            </w:r>
          </w:p>
        </w:tc>
        <w:tc>
          <w:tcPr>
            <w:tcW w:w="422"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1 547</w:t>
            </w:r>
          </w:p>
        </w:tc>
      </w:tr>
      <w:tr>
        <w:tblPrEx>
          <w:tblW w:w="5000" w:type="pct"/>
          <w:tblLayout w:type="fixed"/>
          <w:tblCellMar>
            <w:left w:w="70" w:type="dxa"/>
            <w:right w:w="70" w:type="dxa"/>
          </w:tblCellMar>
          <w:tblLook w:val="04A0"/>
        </w:tblPrEx>
        <w:trPr>
          <w:trHeight w:val="370"/>
        </w:trPr>
        <w:tc>
          <w:tcPr>
            <w:tcW w:w="204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Správa služieb diplomatickému zboru</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603</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345</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500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105</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1 548</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1 547</w:t>
            </w:r>
          </w:p>
        </w:tc>
        <w:tc>
          <w:tcPr>
            <w:tcW w:w="422"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1 547</w:t>
            </w:r>
          </w:p>
        </w:tc>
      </w:tr>
      <w:tr>
        <w:tblPrEx>
          <w:tblW w:w="5000" w:type="pct"/>
          <w:tblLayout w:type="fixed"/>
          <w:tblCellMar>
            <w:left w:w="70" w:type="dxa"/>
            <w:right w:w="70" w:type="dxa"/>
          </w:tblCellMar>
          <w:tblLook w:val="04A0"/>
        </w:tblPrEx>
        <w:trPr>
          <w:trHeight w:val="370"/>
        </w:trPr>
        <w:tc>
          <w:tcPr>
            <w:tcW w:w="204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Ministerstvo hospodárstva SR</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133 169</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53 239</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88 000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72 878</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76 849</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10 000</w:t>
            </w:r>
          </w:p>
        </w:tc>
        <w:tc>
          <w:tcPr>
            <w:tcW w:w="422"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10 000</w:t>
            </w:r>
          </w:p>
        </w:tc>
      </w:tr>
      <w:tr>
        <w:tblPrEx>
          <w:tblW w:w="5000" w:type="pct"/>
          <w:tblLayout w:type="fixed"/>
          <w:tblCellMar>
            <w:left w:w="70" w:type="dxa"/>
            <w:right w:w="70" w:type="dxa"/>
          </w:tblCellMar>
          <w:tblLook w:val="04A0"/>
        </w:tblPrEx>
        <w:trPr>
          <w:trHeight w:val="370"/>
        </w:trPr>
        <w:tc>
          <w:tcPr>
            <w:tcW w:w="204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Jadrová a vyraďovacia spoločnosť, a.s.</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7 818</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8 036</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3 000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18 340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25</w:t>
            </w:r>
            <w:r>
              <w:rPr>
                <w:rFonts w:ascii="Times New Roman" w:hAnsi="Times New Roman" w:cs="Times New Roman"/>
                <w:color w:val="000000"/>
                <w:sz w:val="14"/>
                <w:szCs w:val="14"/>
                <w:lang w:eastAsia="sk-SK"/>
              </w:rPr>
              <w:t xml:space="preserve"> </w:t>
            </w:r>
            <w:r w:rsidRPr="00924CC2">
              <w:rPr>
                <w:rFonts w:ascii="Times New Roman" w:hAnsi="Times New Roman" w:cs="Times New Roman"/>
                <w:color w:val="000000"/>
                <w:sz w:val="14"/>
                <w:szCs w:val="14"/>
                <w:lang w:eastAsia="sk-SK"/>
              </w:rPr>
              <w:t>000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c>
          <w:tcPr>
            <w:tcW w:w="422"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r>
      <w:tr>
        <w:tblPrEx>
          <w:tblW w:w="5000" w:type="pct"/>
          <w:tblLayout w:type="fixed"/>
          <w:tblCellMar>
            <w:left w:w="70" w:type="dxa"/>
            <w:right w:w="70" w:type="dxa"/>
          </w:tblCellMar>
          <w:tblLook w:val="04A0"/>
        </w:tblPrEx>
        <w:trPr>
          <w:trHeight w:val="370"/>
        </w:trPr>
        <w:tc>
          <w:tcPr>
            <w:tcW w:w="204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Slovak Telecom, a.s.</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125 351</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45 197</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85 000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44 200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41 849</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c>
          <w:tcPr>
            <w:tcW w:w="422"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r>
      <w:tr>
        <w:tblPrEx>
          <w:tblW w:w="5000" w:type="pct"/>
          <w:tblLayout w:type="fixed"/>
          <w:tblCellMar>
            <w:left w:w="70" w:type="dxa"/>
            <w:right w:w="70" w:type="dxa"/>
          </w:tblCellMar>
          <w:tblLook w:val="04A0"/>
        </w:tblPrEx>
        <w:trPr>
          <w:trHeight w:val="370"/>
        </w:trPr>
        <w:tc>
          <w:tcPr>
            <w:tcW w:w="204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Transpetrol, a.s.</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6</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10 338</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10 000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10 000</w:t>
            </w:r>
          </w:p>
        </w:tc>
        <w:tc>
          <w:tcPr>
            <w:tcW w:w="422"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10 000</w:t>
            </w:r>
          </w:p>
        </w:tc>
      </w:tr>
      <w:tr>
        <w:tblPrEx>
          <w:tblW w:w="5000" w:type="pct"/>
          <w:tblLayout w:type="fixed"/>
          <w:tblCellMar>
            <w:left w:w="70" w:type="dxa"/>
            <w:right w:w="70" w:type="dxa"/>
          </w:tblCellMar>
          <w:tblLook w:val="04A0"/>
        </w:tblPrEx>
        <w:trPr>
          <w:trHeight w:val="370"/>
        </w:trPr>
        <w:tc>
          <w:tcPr>
            <w:tcW w:w="204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Ministerstvo práce, sociálnych vecí a rodiny SR</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7</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6</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23</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6</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7</w:t>
            </w:r>
          </w:p>
        </w:tc>
        <w:tc>
          <w:tcPr>
            <w:tcW w:w="422"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7</w:t>
            </w:r>
          </w:p>
        </w:tc>
      </w:tr>
      <w:tr>
        <w:tblPrEx>
          <w:tblW w:w="5000" w:type="pct"/>
          <w:tblLayout w:type="fixed"/>
          <w:tblCellMar>
            <w:left w:w="70" w:type="dxa"/>
            <w:right w:w="70" w:type="dxa"/>
          </w:tblCellMar>
          <w:tblLook w:val="04A0"/>
        </w:tblPrEx>
        <w:trPr>
          <w:trHeight w:val="370"/>
        </w:trPr>
        <w:tc>
          <w:tcPr>
            <w:tcW w:w="204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Technická inšpekcia, a.s.</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7</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6</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23</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6</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7</w:t>
            </w:r>
          </w:p>
        </w:tc>
        <w:tc>
          <w:tcPr>
            <w:tcW w:w="422"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7</w:t>
            </w:r>
          </w:p>
        </w:tc>
      </w:tr>
      <w:tr>
        <w:tblPrEx>
          <w:tblW w:w="5000" w:type="pct"/>
          <w:tblLayout w:type="fixed"/>
          <w:tblCellMar>
            <w:left w:w="70" w:type="dxa"/>
            <w:right w:w="70" w:type="dxa"/>
          </w:tblCellMar>
          <w:tblLook w:val="04A0"/>
        </w:tblPrEx>
        <w:trPr>
          <w:trHeight w:val="370"/>
        </w:trPr>
        <w:tc>
          <w:tcPr>
            <w:tcW w:w="204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Ministerstvo dopravy, výstavby a regionálneho rozvoja SR</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232</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1 033</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351</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700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701</w:t>
            </w:r>
          </w:p>
        </w:tc>
        <w:tc>
          <w:tcPr>
            <w:tcW w:w="422"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701</w:t>
            </w:r>
          </w:p>
        </w:tc>
      </w:tr>
      <w:tr>
        <w:tblPrEx>
          <w:tblW w:w="5000" w:type="pct"/>
          <w:tblLayout w:type="fixed"/>
          <w:tblCellMar>
            <w:left w:w="70" w:type="dxa"/>
            <w:right w:w="70" w:type="dxa"/>
          </w:tblCellMar>
          <w:tblLook w:val="04A0"/>
        </w:tblPrEx>
        <w:trPr>
          <w:trHeight w:val="370"/>
        </w:trPr>
        <w:tc>
          <w:tcPr>
            <w:tcW w:w="204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Verejné prístavy, a.s.</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166</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444</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350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350</w:t>
            </w:r>
          </w:p>
        </w:tc>
        <w:tc>
          <w:tcPr>
            <w:tcW w:w="422"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350</w:t>
            </w:r>
          </w:p>
        </w:tc>
      </w:tr>
      <w:tr>
        <w:tblPrEx>
          <w:tblW w:w="5000" w:type="pct"/>
          <w:tblLayout w:type="fixed"/>
          <w:tblCellMar>
            <w:left w:w="70" w:type="dxa"/>
            <w:right w:w="70" w:type="dxa"/>
          </w:tblCellMar>
          <w:tblLook w:val="04A0"/>
        </w:tblPrEx>
        <w:trPr>
          <w:trHeight w:val="370"/>
        </w:trPr>
        <w:tc>
          <w:tcPr>
            <w:tcW w:w="204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Letisko Košice - Airport Košice, a.s.</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589</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351</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350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350</w:t>
            </w:r>
          </w:p>
        </w:tc>
        <w:tc>
          <w:tcPr>
            <w:tcW w:w="422"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350</w:t>
            </w:r>
          </w:p>
        </w:tc>
      </w:tr>
      <w:tr>
        <w:tblPrEx>
          <w:tblW w:w="5000" w:type="pct"/>
          <w:tblLayout w:type="fixed"/>
          <w:tblCellMar>
            <w:left w:w="70" w:type="dxa"/>
            <w:right w:w="70" w:type="dxa"/>
          </w:tblCellMar>
          <w:tblLook w:val="04A0"/>
        </w:tblPrEx>
        <w:trPr>
          <w:trHeight w:val="370"/>
        </w:trPr>
        <w:tc>
          <w:tcPr>
            <w:tcW w:w="204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Technická ochrana a obnova železníc, a.s.</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66</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c>
          <w:tcPr>
            <w:tcW w:w="423"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w:t>
            </w:r>
          </w:p>
        </w:tc>
        <w:tc>
          <w:tcPr>
            <w:tcW w:w="422"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w:t>
            </w:r>
          </w:p>
        </w:tc>
      </w:tr>
      <w:tr>
        <w:tblPrEx>
          <w:tblW w:w="5000" w:type="pct"/>
          <w:tblLayout w:type="fixed"/>
          <w:tblCellMar>
            <w:left w:w="70" w:type="dxa"/>
            <w:right w:w="70" w:type="dxa"/>
          </w:tblCellMar>
          <w:tblLook w:val="04A0"/>
        </w:tblPrEx>
        <w:trPr>
          <w:trHeight w:val="370"/>
        </w:trPr>
        <w:tc>
          <w:tcPr>
            <w:tcW w:w="204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Ministerstvo pôdohospodárstva a rozvoja vidieka SR</w:t>
            </w:r>
          </w:p>
        </w:tc>
        <w:tc>
          <w:tcPr>
            <w:tcW w:w="423"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0</w:t>
            </w:r>
          </w:p>
        </w:tc>
        <w:tc>
          <w:tcPr>
            <w:tcW w:w="423"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71</w:t>
            </w:r>
          </w:p>
        </w:tc>
        <w:tc>
          <w:tcPr>
            <w:tcW w:w="423"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0</w:t>
            </w:r>
          </w:p>
        </w:tc>
        <w:tc>
          <w:tcPr>
            <w:tcW w:w="423"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0</w:t>
            </w:r>
          </w:p>
        </w:tc>
        <w:tc>
          <w:tcPr>
            <w:tcW w:w="423"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0</w:t>
            </w:r>
          </w:p>
        </w:tc>
        <w:tc>
          <w:tcPr>
            <w:tcW w:w="423"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0</w:t>
            </w:r>
          </w:p>
        </w:tc>
        <w:tc>
          <w:tcPr>
            <w:tcW w:w="422"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0</w:t>
            </w:r>
          </w:p>
        </w:tc>
      </w:tr>
      <w:tr>
        <w:tblPrEx>
          <w:tblW w:w="5000" w:type="pct"/>
          <w:tblLayout w:type="fixed"/>
          <w:tblCellMar>
            <w:left w:w="70" w:type="dxa"/>
            <w:right w:w="70" w:type="dxa"/>
          </w:tblCellMar>
          <w:tblLook w:val="04A0"/>
        </w:tblPrEx>
        <w:trPr>
          <w:trHeight w:val="370"/>
        </w:trPr>
        <w:tc>
          <w:tcPr>
            <w:tcW w:w="204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UniCreditbank Slovakia, a.s.</w:t>
            </w:r>
          </w:p>
        </w:tc>
        <w:tc>
          <w:tcPr>
            <w:tcW w:w="423"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c>
          <w:tcPr>
            <w:tcW w:w="423"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71</w:t>
            </w:r>
          </w:p>
        </w:tc>
        <w:tc>
          <w:tcPr>
            <w:tcW w:w="423"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c>
          <w:tcPr>
            <w:tcW w:w="423"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c>
          <w:tcPr>
            <w:tcW w:w="423"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c>
          <w:tcPr>
            <w:tcW w:w="423"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c>
          <w:tcPr>
            <w:tcW w:w="422" w:type="pct"/>
            <w:tcBorders>
              <w:top w:val="single" w:sz="4" w:space="0" w:color="auto"/>
              <w:left w:val="single" w:sz="4" w:space="0" w:color="auto"/>
              <w:bottom w:val="single" w:sz="4" w:space="0" w:color="auto"/>
              <w:right w:val="single" w:sz="4" w:space="0" w:color="auto"/>
            </w:tcBorders>
            <w:noWrap/>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r>
    </w:tbl>
    <w:p w:rsidR="00CD5972" w:rsidRPr="00D935D3" w:rsidP="00CD5972">
      <w:pPr>
        <w:bidi w:val="0"/>
        <w:ind w:firstLine="708"/>
        <w:jc w:val="both"/>
        <w:rPr>
          <w:rFonts w:ascii="Times New Roman" w:hAnsi="Times New Roman"/>
          <w:szCs w:val="22"/>
        </w:rPr>
      </w:pPr>
    </w:p>
    <w:p w:rsidR="00CD5972" w:rsidRPr="00D935D3" w:rsidP="00CD5972">
      <w:pPr>
        <w:bidi w:val="0"/>
        <w:jc w:val="both"/>
        <w:rPr>
          <w:rFonts w:ascii="Times New Roman" w:hAnsi="Times New Roman"/>
          <w:b/>
          <w:szCs w:val="22"/>
        </w:rPr>
      </w:pPr>
      <w:r>
        <w:rPr>
          <w:rFonts w:ascii="Times New Roman" w:hAnsi="Times New Roman"/>
          <w:b/>
          <w:szCs w:val="22"/>
        </w:rPr>
        <w:t>4</w:t>
      </w:r>
      <w:r w:rsidRPr="00D935D3">
        <w:rPr>
          <w:rFonts w:ascii="Times New Roman" w:hAnsi="Times New Roman"/>
          <w:b/>
          <w:szCs w:val="22"/>
        </w:rPr>
        <w:t>.</w:t>
      </w:r>
      <w:r>
        <w:rPr>
          <w:rFonts w:ascii="Times New Roman" w:hAnsi="Times New Roman"/>
          <w:b/>
          <w:szCs w:val="22"/>
        </w:rPr>
        <w:t>6</w:t>
      </w:r>
      <w:r w:rsidRPr="00D935D3">
        <w:rPr>
          <w:rFonts w:ascii="Times New Roman" w:hAnsi="Times New Roman"/>
          <w:b/>
          <w:szCs w:val="22"/>
        </w:rPr>
        <w:t xml:space="preserve">.3.  Nedaňové príjmy a tuzemské transfery </w:t>
      </w:r>
    </w:p>
    <w:p w:rsidR="00CD5972" w:rsidRPr="00D935D3" w:rsidP="00CD5972">
      <w:pPr>
        <w:bidi w:val="0"/>
        <w:jc w:val="both"/>
        <w:rPr>
          <w:rFonts w:ascii="Times New Roman" w:hAnsi="Times New Roman"/>
          <w:color w:val="000000"/>
          <w:szCs w:val="22"/>
        </w:rPr>
      </w:pPr>
    </w:p>
    <w:p w:rsidR="00CD5972" w:rsidP="00CD5972">
      <w:pPr>
        <w:bidi w:val="0"/>
        <w:ind w:firstLine="708"/>
        <w:jc w:val="both"/>
        <w:rPr>
          <w:rFonts w:ascii="Times New Roman" w:hAnsi="Times New Roman"/>
          <w:szCs w:val="22"/>
        </w:rPr>
      </w:pPr>
      <w:r w:rsidRPr="00D935D3">
        <w:rPr>
          <w:rFonts w:ascii="Times New Roman" w:hAnsi="Times New Roman"/>
          <w:b/>
          <w:szCs w:val="22"/>
        </w:rPr>
        <w:t>Nedaňové príjmy</w:t>
      </w:r>
      <w:r w:rsidRPr="00D935D3">
        <w:rPr>
          <w:rFonts w:ascii="Times New Roman" w:hAnsi="Times New Roman"/>
          <w:szCs w:val="22"/>
        </w:rPr>
        <w:t xml:space="preserve"> súvisia s činnosťou jednotlivých kapitol štátneho rozpočtu a</w:t>
      </w:r>
      <w:r>
        <w:rPr>
          <w:rFonts w:ascii="Times New Roman" w:hAnsi="Times New Roman"/>
          <w:szCs w:val="22"/>
        </w:rPr>
        <w:t> v</w:t>
      </w:r>
      <w:r w:rsidRPr="00D935D3">
        <w:rPr>
          <w:rFonts w:ascii="Times New Roman" w:hAnsi="Times New Roman"/>
          <w:szCs w:val="22"/>
        </w:rPr>
        <w:t>ývoj</w:t>
      </w:r>
      <w:r>
        <w:rPr>
          <w:rFonts w:ascii="Times New Roman" w:hAnsi="Times New Roman"/>
          <w:szCs w:val="22"/>
        </w:rPr>
        <w:t xml:space="preserve"> </w:t>
      </w:r>
      <w:r w:rsidRPr="00D935D3">
        <w:rPr>
          <w:rFonts w:ascii="Times New Roman" w:hAnsi="Times New Roman"/>
          <w:szCs w:val="22"/>
        </w:rPr>
        <w:t xml:space="preserve">týchto príjmov na roky 2012 až 2014 zobrazuje nasledovná tabuľka: </w:t>
      </w:r>
    </w:p>
    <w:p w:rsidR="00CD5972" w:rsidP="00CD5972">
      <w:pPr>
        <w:bidi w:val="0"/>
        <w:ind w:firstLine="708"/>
        <w:jc w:val="both"/>
        <w:rPr>
          <w:rFonts w:ascii="Times New Roman" w:hAnsi="Times New Roman"/>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16"/>
        <w:gridCol w:w="949"/>
        <w:gridCol w:w="949"/>
        <w:gridCol w:w="949"/>
        <w:gridCol w:w="988"/>
        <w:gridCol w:w="1087"/>
        <w:gridCol w:w="1087"/>
        <w:gridCol w:w="108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15"/>
        </w:trPr>
        <w:tc>
          <w:tcPr>
            <w:tcW w:w="1148" w:type="pct"/>
            <w:tcBorders>
              <w:top w:val="single" w:sz="4" w:space="0" w:color="auto"/>
              <w:left w:val="single" w:sz="4" w:space="0" w:color="auto"/>
              <w:bottom w:val="single" w:sz="4" w:space="0" w:color="auto"/>
              <w:right w:val="single" w:sz="4" w:space="0" w:color="auto"/>
            </w:tcBorders>
            <w:shd w:val="clear" w:color="000000" w:fill="A6A6A6"/>
            <w:textDirection w:val="lrTb"/>
            <w:vAlign w:val="bottom"/>
            <w:hideMark/>
          </w:tcPr>
          <w:p w:rsidR="00CD5972" w:rsidRPr="00924CC2" w:rsidP="00F576BD">
            <w:pPr>
              <w:bidi w:val="0"/>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v tis. eur</w:t>
            </w:r>
          </w:p>
        </w:tc>
        <w:tc>
          <w:tcPr>
            <w:tcW w:w="51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2009 S</w:t>
            </w:r>
          </w:p>
        </w:tc>
        <w:tc>
          <w:tcPr>
            <w:tcW w:w="51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2010 S</w:t>
            </w:r>
          </w:p>
        </w:tc>
        <w:tc>
          <w:tcPr>
            <w:tcW w:w="51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2011 R</w:t>
            </w:r>
          </w:p>
        </w:tc>
        <w:tc>
          <w:tcPr>
            <w:tcW w:w="53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2011 OS</w:t>
            </w:r>
          </w:p>
        </w:tc>
        <w:tc>
          <w:tcPr>
            <w:tcW w:w="590"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2012 N</w:t>
            </w:r>
          </w:p>
        </w:tc>
        <w:tc>
          <w:tcPr>
            <w:tcW w:w="590"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2013 N</w:t>
            </w:r>
          </w:p>
        </w:tc>
        <w:tc>
          <w:tcPr>
            <w:tcW w:w="590"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2014 N</w:t>
            </w:r>
          </w:p>
        </w:tc>
      </w:tr>
      <w:tr>
        <w:tblPrEx>
          <w:tblW w:w="5000" w:type="pct"/>
          <w:tblCellMar>
            <w:left w:w="70" w:type="dxa"/>
            <w:right w:w="70" w:type="dxa"/>
          </w:tblCellMar>
          <w:tblLook w:val="04A0"/>
        </w:tblPrEx>
        <w:trPr>
          <w:trHeight w:val="315"/>
        </w:trPr>
        <w:tc>
          <w:tcPr>
            <w:tcW w:w="1148"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both"/>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Spolu</w:t>
            </w:r>
          </w:p>
        </w:tc>
        <w:tc>
          <w:tcPr>
            <w:tcW w:w="515"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720 322</w:t>
            </w:r>
          </w:p>
        </w:tc>
        <w:tc>
          <w:tcPr>
            <w:tcW w:w="515"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643 279</w:t>
            </w:r>
          </w:p>
        </w:tc>
        <w:tc>
          <w:tcPr>
            <w:tcW w:w="515"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626 699</w:t>
            </w:r>
          </w:p>
        </w:tc>
        <w:tc>
          <w:tcPr>
            <w:tcW w:w="536"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690 036</w:t>
            </w:r>
          </w:p>
        </w:tc>
        <w:tc>
          <w:tcPr>
            <w:tcW w:w="590"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7</w:t>
            </w:r>
            <w:r>
              <w:rPr>
                <w:rFonts w:ascii="Times New Roman" w:hAnsi="Times New Roman" w:cs="Times New Roman"/>
                <w:b/>
                <w:bCs/>
                <w:color w:val="000000"/>
                <w:sz w:val="14"/>
                <w:szCs w:val="14"/>
                <w:lang w:eastAsia="sk-SK"/>
              </w:rPr>
              <w:t>3</w:t>
            </w:r>
            <w:r w:rsidRPr="00924CC2">
              <w:rPr>
                <w:rFonts w:ascii="Times New Roman" w:hAnsi="Times New Roman" w:cs="Times New Roman"/>
                <w:b/>
                <w:bCs/>
                <w:color w:val="000000"/>
                <w:sz w:val="14"/>
                <w:szCs w:val="14"/>
                <w:lang w:eastAsia="sk-SK"/>
              </w:rPr>
              <w:t>5 670</w:t>
            </w:r>
          </w:p>
        </w:tc>
        <w:tc>
          <w:tcPr>
            <w:tcW w:w="590"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653 066</w:t>
            </w:r>
          </w:p>
        </w:tc>
        <w:tc>
          <w:tcPr>
            <w:tcW w:w="590"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663 694</w:t>
            </w:r>
          </w:p>
        </w:tc>
      </w:tr>
      <w:tr>
        <w:tblPrEx>
          <w:tblW w:w="5000" w:type="pct"/>
          <w:tblCellMar>
            <w:left w:w="70" w:type="dxa"/>
            <w:right w:w="70" w:type="dxa"/>
          </w:tblCellMar>
          <w:tblLook w:val="04A0"/>
        </w:tblPrEx>
        <w:trPr>
          <w:trHeight w:val="315"/>
        </w:trPr>
        <w:tc>
          <w:tcPr>
            <w:tcW w:w="1148"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Nedaňové príjmy</w:t>
            </w:r>
          </w:p>
        </w:tc>
        <w:tc>
          <w:tcPr>
            <w:tcW w:w="515"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700 557</w:t>
            </w:r>
          </w:p>
        </w:tc>
        <w:tc>
          <w:tcPr>
            <w:tcW w:w="515"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623 036</w:t>
            </w:r>
          </w:p>
        </w:tc>
        <w:tc>
          <w:tcPr>
            <w:tcW w:w="515"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610 871</w:t>
            </w:r>
          </w:p>
        </w:tc>
        <w:tc>
          <w:tcPr>
            <w:tcW w:w="536"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674 904</w:t>
            </w:r>
          </w:p>
        </w:tc>
        <w:tc>
          <w:tcPr>
            <w:tcW w:w="59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7</w:t>
            </w:r>
            <w:r>
              <w:rPr>
                <w:rFonts w:ascii="Times New Roman" w:hAnsi="Times New Roman" w:cs="Times New Roman"/>
                <w:color w:val="000000"/>
                <w:sz w:val="14"/>
                <w:szCs w:val="14"/>
                <w:lang w:eastAsia="sk-SK"/>
              </w:rPr>
              <w:t>2</w:t>
            </w:r>
            <w:r w:rsidRPr="00924CC2">
              <w:rPr>
                <w:rFonts w:ascii="Times New Roman" w:hAnsi="Times New Roman" w:cs="Times New Roman"/>
                <w:color w:val="000000"/>
                <w:sz w:val="14"/>
                <w:szCs w:val="14"/>
                <w:lang w:eastAsia="sk-SK"/>
              </w:rPr>
              <w:t>3 658</w:t>
            </w:r>
          </w:p>
        </w:tc>
        <w:tc>
          <w:tcPr>
            <w:tcW w:w="59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640 723</w:t>
            </w:r>
          </w:p>
        </w:tc>
        <w:tc>
          <w:tcPr>
            <w:tcW w:w="59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651 025</w:t>
            </w:r>
          </w:p>
        </w:tc>
      </w:tr>
      <w:tr>
        <w:tblPrEx>
          <w:tblW w:w="5000" w:type="pct"/>
          <w:tblCellMar>
            <w:left w:w="70" w:type="dxa"/>
            <w:right w:w="70" w:type="dxa"/>
          </w:tblCellMar>
          <w:tblLook w:val="04A0"/>
        </w:tblPrEx>
        <w:trPr>
          <w:trHeight w:val="315"/>
        </w:trPr>
        <w:tc>
          <w:tcPr>
            <w:tcW w:w="1148"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Tuzemské transfery</w:t>
            </w:r>
          </w:p>
        </w:tc>
        <w:tc>
          <w:tcPr>
            <w:tcW w:w="515"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19 765</w:t>
            </w:r>
          </w:p>
        </w:tc>
        <w:tc>
          <w:tcPr>
            <w:tcW w:w="515"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20 243</w:t>
            </w:r>
          </w:p>
        </w:tc>
        <w:tc>
          <w:tcPr>
            <w:tcW w:w="515"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15 828</w:t>
            </w:r>
          </w:p>
        </w:tc>
        <w:tc>
          <w:tcPr>
            <w:tcW w:w="536"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15 132</w:t>
            </w:r>
          </w:p>
        </w:tc>
        <w:tc>
          <w:tcPr>
            <w:tcW w:w="59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12 012</w:t>
            </w:r>
          </w:p>
        </w:tc>
        <w:tc>
          <w:tcPr>
            <w:tcW w:w="59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12 343</w:t>
            </w:r>
          </w:p>
        </w:tc>
        <w:tc>
          <w:tcPr>
            <w:tcW w:w="59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12 669</w:t>
            </w:r>
          </w:p>
        </w:tc>
      </w:tr>
    </w:tbl>
    <w:p w:rsidR="00CD5972" w:rsidRPr="00D935D3" w:rsidP="00CD5972">
      <w:pPr>
        <w:bidi w:val="0"/>
        <w:ind w:firstLine="708"/>
        <w:jc w:val="both"/>
        <w:rPr>
          <w:rFonts w:ascii="Times New Roman" w:hAnsi="Times New Roman"/>
          <w:szCs w:val="22"/>
        </w:rPr>
      </w:pPr>
    </w:p>
    <w:p w:rsidR="0017084C" w:rsidP="00CD5972">
      <w:pPr>
        <w:bidi w:val="0"/>
        <w:ind w:firstLine="708"/>
        <w:jc w:val="both"/>
        <w:rPr>
          <w:rFonts w:ascii="Times New Roman" w:hAnsi="Times New Roman"/>
          <w:i/>
          <w:szCs w:val="22"/>
        </w:rPr>
      </w:pPr>
    </w:p>
    <w:p w:rsidR="0017084C" w:rsidP="00CD5972">
      <w:pPr>
        <w:bidi w:val="0"/>
        <w:ind w:firstLine="708"/>
        <w:jc w:val="both"/>
        <w:rPr>
          <w:rFonts w:ascii="Times New Roman" w:hAnsi="Times New Roman"/>
          <w:i/>
          <w:szCs w:val="22"/>
        </w:rPr>
      </w:pPr>
    </w:p>
    <w:p w:rsidR="0017084C" w:rsidP="00CD5972">
      <w:pPr>
        <w:bidi w:val="0"/>
        <w:ind w:firstLine="708"/>
        <w:jc w:val="both"/>
        <w:rPr>
          <w:rFonts w:ascii="Times New Roman" w:hAnsi="Times New Roman"/>
          <w:i/>
          <w:szCs w:val="22"/>
        </w:rPr>
      </w:pPr>
    </w:p>
    <w:p w:rsidR="00C475F7" w:rsidP="00CD5972">
      <w:pPr>
        <w:bidi w:val="0"/>
        <w:ind w:firstLine="708"/>
        <w:jc w:val="both"/>
        <w:rPr>
          <w:rFonts w:ascii="Times New Roman" w:hAnsi="Times New Roman"/>
          <w:i/>
          <w:szCs w:val="22"/>
        </w:rPr>
      </w:pPr>
    </w:p>
    <w:p w:rsidR="0017084C" w:rsidP="00CD5972">
      <w:pPr>
        <w:bidi w:val="0"/>
        <w:ind w:firstLine="708"/>
        <w:jc w:val="both"/>
        <w:rPr>
          <w:rFonts w:ascii="Times New Roman" w:hAnsi="Times New Roman"/>
          <w:i/>
          <w:szCs w:val="22"/>
        </w:rPr>
      </w:pPr>
    </w:p>
    <w:p w:rsidR="0017084C" w:rsidP="00CD5972">
      <w:pPr>
        <w:bidi w:val="0"/>
        <w:ind w:firstLine="708"/>
        <w:jc w:val="both"/>
        <w:rPr>
          <w:rFonts w:ascii="Times New Roman" w:hAnsi="Times New Roman"/>
          <w:i/>
          <w:szCs w:val="22"/>
        </w:rPr>
      </w:pPr>
    </w:p>
    <w:p w:rsidR="0017084C" w:rsidP="00CD5972">
      <w:pPr>
        <w:bidi w:val="0"/>
        <w:ind w:firstLine="708"/>
        <w:jc w:val="both"/>
        <w:rPr>
          <w:rFonts w:ascii="Times New Roman" w:hAnsi="Times New Roman"/>
          <w:i/>
          <w:szCs w:val="22"/>
        </w:rPr>
      </w:pPr>
    </w:p>
    <w:p w:rsidR="0017084C" w:rsidP="00CD5972">
      <w:pPr>
        <w:bidi w:val="0"/>
        <w:ind w:firstLine="708"/>
        <w:jc w:val="both"/>
        <w:rPr>
          <w:rFonts w:ascii="Times New Roman" w:hAnsi="Times New Roman"/>
          <w:i/>
          <w:szCs w:val="22"/>
        </w:rPr>
      </w:pPr>
    </w:p>
    <w:p w:rsidR="0017084C" w:rsidP="00CD5972">
      <w:pPr>
        <w:bidi w:val="0"/>
        <w:ind w:firstLine="708"/>
        <w:jc w:val="both"/>
        <w:rPr>
          <w:rFonts w:ascii="Times New Roman" w:hAnsi="Times New Roman"/>
          <w:i/>
          <w:szCs w:val="22"/>
        </w:rPr>
      </w:pPr>
    </w:p>
    <w:p w:rsidR="00CD5972" w:rsidP="00CD5972">
      <w:pPr>
        <w:bidi w:val="0"/>
        <w:ind w:firstLine="708"/>
        <w:jc w:val="both"/>
        <w:rPr>
          <w:rFonts w:ascii="Times New Roman" w:hAnsi="Times New Roman"/>
          <w:i/>
          <w:szCs w:val="22"/>
        </w:rPr>
      </w:pPr>
      <w:r w:rsidRPr="0072154C">
        <w:rPr>
          <w:rFonts w:ascii="Times New Roman" w:hAnsi="Times New Roman"/>
          <w:i/>
          <w:szCs w:val="22"/>
        </w:rPr>
        <w:t xml:space="preserve">Rozpočtovanie nedaňových príjmov  </w:t>
      </w:r>
    </w:p>
    <w:p w:rsidR="00CD5972" w:rsidP="00CD5972">
      <w:pPr>
        <w:bidi w:val="0"/>
        <w:ind w:firstLine="708"/>
        <w:jc w:val="both"/>
        <w:rPr>
          <w:rFonts w:ascii="Times New Roman" w:hAnsi="Times New Roman"/>
          <w:i/>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16"/>
        <w:gridCol w:w="949"/>
        <w:gridCol w:w="949"/>
        <w:gridCol w:w="949"/>
        <w:gridCol w:w="988"/>
        <w:gridCol w:w="1087"/>
        <w:gridCol w:w="1087"/>
        <w:gridCol w:w="108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53"/>
        </w:trPr>
        <w:tc>
          <w:tcPr>
            <w:tcW w:w="1148" w:type="pct"/>
            <w:tcBorders>
              <w:top w:val="single" w:sz="4" w:space="0" w:color="auto"/>
              <w:left w:val="single" w:sz="4" w:space="0" w:color="auto"/>
              <w:bottom w:val="single" w:sz="4" w:space="0" w:color="auto"/>
              <w:right w:val="single" w:sz="4" w:space="0" w:color="auto"/>
            </w:tcBorders>
            <w:shd w:val="clear" w:color="000000" w:fill="A6A6A6"/>
            <w:textDirection w:val="lrTb"/>
            <w:vAlign w:val="bottom"/>
            <w:hideMark/>
          </w:tcPr>
          <w:p w:rsidR="00CD5972" w:rsidRPr="00924CC2" w:rsidP="00F576BD">
            <w:pPr>
              <w:bidi w:val="0"/>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v tis. eur</w:t>
            </w:r>
          </w:p>
        </w:tc>
        <w:tc>
          <w:tcPr>
            <w:tcW w:w="51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2009 S</w:t>
            </w:r>
          </w:p>
        </w:tc>
        <w:tc>
          <w:tcPr>
            <w:tcW w:w="51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2010 S</w:t>
            </w:r>
          </w:p>
        </w:tc>
        <w:tc>
          <w:tcPr>
            <w:tcW w:w="51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2011 R</w:t>
            </w:r>
          </w:p>
        </w:tc>
        <w:tc>
          <w:tcPr>
            <w:tcW w:w="53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2011 OS</w:t>
            </w:r>
          </w:p>
        </w:tc>
        <w:tc>
          <w:tcPr>
            <w:tcW w:w="590"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2012 N</w:t>
            </w:r>
          </w:p>
        </w:tc>
        <w:tc>
          <w:tcPr>
            <w:tcW w:w="590"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2013 N</w:t>
            </w:r>
          </w:p>
        </w:tc>
        <w:tc>
          <w:tcPr>
            <w:tcW w:w="590"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2014 N</w:t>
            </w:r>
          </w:p>
        </w:tc>
      </w:tr>
      <w:tr>
        <w:tblPrEx>
          <w:tblW w:w="5000" w:type="pct"/>
          <w:tblCellMar>
            <w:left w:w="70" w:type="dxa"/>
            <w:right w:w="70" w:type="dxa"/>
          </w:tblCellMar>
          <w:tblLook w:val="04A0"/>
        </w:tblPrEx>
        <w:trPr>
          <w:trHeight w:val="353"/>
        </w:trPr>
        <w:tc>
          <w:tcPr>
            <w:tcW w:w="1148"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Nedaňové príjmy</w:t>
            </w:r>
          </w:p>
        </w:tc>
        <w:tc>
          <w:tcPr>
            <w:tcW w:w="515"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700 557</w:t>
            </w:r>
          </w:p>
        </w:tc>
        <w:tc>
          <w:tcPr>
            <w:tcW w:w="515"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623 036</w:t>
            </w:r>
          </w:p>
        </w:tc>
        <w:tc>
          <w:tcPr>
            <w:tcW w:w="515"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610 871</w:t>
            </w:r>
          </w:p>
        </w:tc>
        <w:tc>
          <w:tcPr>
            <w:tcW w:w="536"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674 904</w:t>
            </w:r>
          </w:p>
        </w:tc>
        <w:tc>
          <w:tcPr>
            <w:tcW w:w="590"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7</w:t>
            </w:r>
            <w:r>
              <w:rPr>
                <w:rFonts w:ascii="Times New Roman" w:hAnsi="Times New Roman" w:cs="Times New Roman"/>
                <w:b/>
                <w:bCs/>
                <w:color w:val="000000"/>
                <w:sz w:val="14"/>
                <w:szCs w:val="14"/>
                <w:lang w:eastAsia="sk-SK"/>
              </w:rPr>
              <w:t>2</w:t>
            </w:r>
            <w:r w:rsidRPr="00924CC2">
              <w:rPr>
                <w:rFonts w:ascii="Times New Roman" w:hAnsi="Times New Roman" w:cs="Times New Roman"/>
                <w:b/>
                <w:bCs/>
                <w:color w:val="000000"/>
                <w:sz w:val="14"/>
                <w:szCs w:val="14"/>
                <w:lang w:eastAsia="sk-SK"/>
              </w:rPr>
              <w:t>3 658</w:t>
            </w:r>
          </w:p>
        </w:tc>
        <w:tc>
          <w:tcPr>
            <w:tcW w:w="590"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640 723</w:t>
            </w:r>
          </w:p>
        </w:tc>
        <w:tc>
          <w:tcPr>
            <w:tcW w:w="590"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651 025</w:t>
            </w:r>
          </w:p>
        </w:tc>
      </w:tr>
      <w:tr>
        <w:tblPrEx>
          <w:tblW w:w="5000" w:type="pct"/>
          <w:tblCellMar>
            <w:left w:w="70" w:type="dxa"/>
            <w:right w:w="70" w:type="dxa"/>
          </w:tblCellMar>
          <w:tblLook w:val="04A0"/>
        </w:tblPrEx>
        <w:trPr>
          <w:trHeight w:val="353"/>
        </w:trPr>
        <w:tc>
          <w:tcPr>
            <w:tcW w:w="1148"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Iné príjmy z podnikania</w:t>
            </w:r>
          </w:p>
        </w:tc>
        <w:tc>
          <w:tcPr>
            <w:tcW w:w="515"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w:t>
            </w:r>
          </w:p>
        </w:tc>
        <w:tc>
          <w:tcPr>
            <w:tcW w:w="515"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w:t>
            </w:r>
          </w:p>
        </w:tc>
        <w:tc>
          <w:tcPr>
            <w:tcW w:w="515"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w:t>
            </w:r>
          </w:p>
        </w:tc>
        <w:tc>
          <w:tcPr>
            <w:tcW w:w="536"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w:t>
            </w:r>
          </w:p>
        </w:tc>
        <w:tc>
          <w:tcPr>
            <w:tcW w:w="59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20 000</w:t>
            </w:r>
          </w:p>
        </w:tc>
        <w:tc>
          <w:tcPr>
            <w:tcW w:w="59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w:t>
            </w:r>
          </w:p>
        </w:tc>
        <w:tc>
          <w:tcPr>
            <w:tcW w:w="59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val="353"/>
        </w:trPr>
        <w:tc>
          <w:tcPr>
            <w:tcW w:w="1148"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Príjmy z vlastníctva majetku</w:t>
            </w:r>
          </w:p>
        </w:tc>
        <w:tc>
          <w:tcPr>
            <w:tcW w:w="515"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9 186</w:t>
            </w:r>
          </w:p>
        </w:tc>
        <w:tc>
          <w:tcPr>
            <w:tcW w:w="515"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8 394</w:t>
            </w:r>
          </w:p>
        </w:tc>
        <w:tc>
          <w:tcPr>
            <w:tcW w:w="515"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7 503</w:t>
            </w:r>
          </w:p>
        </w:tc>
        <w:tc>
          <w:tcPr>
            <w:tcW w:w="536"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7 800</w:t>
            </w:r>
          </w:p>
        </w:tc>
        <w:tc>
          <w:tcPr>
            <w:tcW w:w="59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6 081</w:t>
            </w:r>
          </w:p>
        </w:tc>
        <w:tc>
          <w:tcPr>
            <w:tcW w:w="59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6 301</w:t>
            </w:r>
          </w:p>
        </w:tc>
        <w:tc>
          <w:tcPr>
            <w:tcW w:w="59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6 516</w:t>
            </w:r>
          </w:p>
        </w:tc>
      </w:tr>
      <w:tr>
        <w:tblPrEx>
          <w:tblW w:w="5000" w:type="pct"/>
          <w:tblCellMar>
            <w:left w:w="70" w:type="dxa"/>
            <w:right w:w="70" w:type="dxa"/>
          </w:tblCellMar>
          <w:tblLook w:val="04A0"/>
        </w:tblPrEx>
        <w:trPr>
          <w:trHeight w:val="353"/>
        </w:trPr>
        <w:tc>
          <w:tcPr>
            <w:tcW w:w="1148"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Administratívne a iné poplatky a platby</w:t>
            </w:r>
          </w:p>
        </w:tc>
        <w:tc>
          <w:tcPr>
            <w:tcW w:w="515"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280 994</w:t>
            </w:r>
          </w:p>
        </w:tc>
        <w:tc>
          <w:tcPr>
            <w:tcW w:w="515"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279 705</w:t>
            </w:r>
          </w:p>
        </w:tc>
        <w:tc>
          <w:tcPr>
            <w:tcW w:w="515"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290 958</w:t>
            </w:r>
          </w:p>
        </w:tc>
        <w:tc>
          <w:tcPr>
            <w:tcW w:w="536"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312 654</w:t>
            </w:r>
          </w:p>
        </w:tc>
        <w:tc>
          <w:tcPr>
            <w:tcW w:w="59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351 649</w:t>
            </w:r>
          </w:p>
        </w:tc>
        <w:tc>
          <w:tcPr>
            <w:tcW w:w="59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288 240</w:t>
            </w:r>
          </w:p>
        </w:tc>
        <w:tc>
          <w:tcPr>
            <w:tcW w:w="59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288 509</w:t>
            </w:r>
          </w:p>
        </w:tc>
      </w:tr>
      <w:tr>
        <w:tblPrEx>
          <w:tblW w:w="5000" w:type="pct"/>
          <w:tblCellMar>
            <w:left w:w="70" w:type="dxa"/>
            <w:right w:w="70" w:type="dxa"/>
          </w:tblCellMar>
          <w:tblLook w:val="04A0"/>
        </w:tblPrEx>
        <w:trPr>
          <w:trHeight w:val="353"/>
        </w:trPr>
        <w:tc>
          <w:tcPr>
            <w:tcW w:w="1148"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Kapitálové príjmy</w:t>
            </w:r>
          </w:p>
        </w:tc>
        <w:tc>
          <w:tcPr>
            <w:tcW w:w="515"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17 172</w:t>
            </w:r>
          </w:p>
        </w:tc>
        <w:tc>
          <w:tcPr>
            <w:tcW w:w="515"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16 346</w:t>
            </w:r>
          </w:p>
        </w:tc>
        <w:tc>
          <w:tcPr>
            <w:tcW w:w="515"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16 661</w:t>
            </w:r>
          </w:p>
        </w:tc>
        <w:tc>
          <w:tcPr>
            <w:tcW w:w="536"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16 035</w:t>
            </w:r>
          </w:p>
        </w:tc>
        <w:tc>
          <w:tcPr>
            <w:tcW w:w="59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9 596</w:t>
            </w:r>
          </w:p>
        </w:tc>
        <w:tc>
          <w:tcPr>
            <w:tcW w:w="59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8 500</w:t>
            </w:r>
          </w:p>
        </w:tc>
        <w:tc>
          <w:tcPr>
            <w:tcW w:w="59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9 344</w:t>
            </w:r>
          </w:p>
        </w:tc>
      </w:tr>
      <w:tr>
        <w:tblPrEx>
          <w:tblW w:w="5000" w:type="pct"/>
          <w:tblCellMar>
            <w:left w:w="70" w:type="dxa"/>
            <w:right w:w="70" w:type="dxa"/>
          </w:tblCellMar>
          <w:tblLook w:val="04A0"/>
        </w:tblPrEx>
        <w:trPr>
          <w:trHeight w:val="353"/>
        </w:trPr>
        <w:tc>
          <w:tcPr>
            <w:tcW w:w="1148"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Úroky z tuzem. a zahr. úverov, pôžičiek a vkladov</w:t>
            </w:r>
          </w:p>
        </w:tc>
        <w:tc>
          <w:tcPr>
            <w:tcW w:w="515"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94 725</w:t>
            </w:r>
          </w:p>
        </w:tc>
        <w:tc>
          <w:tcPr>
            <w:tcW w:w="515"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79 011</w:t>
            </w:r>
          </w:p>
        </w:tc>
        <w:tc>
          <w:tcPr>
            <w:tcW w:w="515"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79 803</w:t>
            </w:r>
          </w:p>
        </w:tc>
        <w:tc>
          <w:tcPr>
            <w:tcW w:w="536"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 xml:space="preserve"> 60 328   </w:t>
            </w:r>
          </w:p>
        </w:tc>
        <w:tc>
          <w:tcPr>
            <w:tcW w:w="59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45 748</w:t>
            </w:r>
          </w:p>
        </w:tc>
        <w:tc>
          <w:tcPr>
            <w:tcW w:w="59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58 602</w:t>
            </w:r>
          </w:p>
        </w:tc>
        <w:tc>
          <w:tcPr>
            <w:tcW w:w="59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68 777</w:t>
            </w:r>
          </w:p>
        </w:tc>
      </w:tr>
      <w:tr>
        <w:tblPrEx>
          <w:tblW w:w="5000" w:type="pct"/>
          <w:tblCellMar>
            <w:left w:w="70" w:type="dxa"/>
            <w:right w:w="70" w:type="dxa"/>
          </w:tblCellMar>
          <w:tblLook w:val="04A0"/>
        </w:tblPrEx>
        <w:trPr>
          <w:trHeight w:val="353"/>
        </w:trPr>
        <w:tc>
          <w:tcPr>
            <w:tcW w:w="1148"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Iné nedaňové príjmy</w:t>
            </w:r>
          </w:p>
        </w:tc>
        <w:tc>
          <w:tcPr>
            <w:tcW w:w="515"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298 480</w:t>
            </w:r>
          </w:p>
        </w:tc>
        <w:tc>
          <w:tcPr>
            <w:tcW w:w="515"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239 580</w:t>
            </w:r>
          </w:p>
        </w:tc>
        <w:tc>
          <w:tcPr>
            <w:tcW w:w="515"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215 946</w:t>
            </w:r>
          </w:p>
        </w:tc>
        <w:tc>
          <w:tcPr>
            <w:tcW w:w="536"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278 087</w:t>
            </w:r>
          </w:p>
        </w:tc>
        <w:tc>
          <w:tcPr>
            <w:tcW w:w="59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290 584</w:t>
            </w:r>
          </w:p>
        </w:tc>
        <w:tc>
          <w:tcPr>
            <w:tcW w:w="59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279 080</w:t>
            </w:r>
          </w:p>
        </w:tc>
        <w:tc>
          <w:tcPr>
            <w:tcW w:w="59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277 879</w:t>
            </w:r>
          </w:p>
        </w:tc>
      </w:tr>
    </w:tbl>
    <w:p w:rsidR="00CD5972" w:rsidRPr="0072154C" w:rsidP="00CD5972">
      <w:pPr>
        <w:bidi w:val="0"/>
        <w:ind w:firstLine="708"/>
        <w:jc w:val="both"/>
        <w:rPr>
          <w:rFonts w:ascii="Times New Roman" w:hAnsi="Times New Roman"/>
          <w:i/>
          <w:szCs w:val="22"/>
        </w:rPr>
      </w:pPr>
    </w:p>
    <w:p w:rsidR="00CD5972" w:rsidRPr="00186401" w:rsidP="00CD5972">
      <w:pPr>
        <w:bidi w:val="0"/>
        <w:ind w:firstLine="708"/>
        <w:jc w:val="both"/>
      </w:pPr>
      <w:r w:rsidRPr="00552165">
        <w:rPr>
          <w:rFonts w:ascii="Times New Roman" w:hAnsi="Times New Roman"/>
          <w:b/>
          <w:szCs w:val="22"/>
        </w:rPr>
        <w:t>Iné príjmy z podnikania</w:t>
      </w:r>
      <w:r>
        <w:rPr>
          <w:rFonts w:ascii="Times New Roman" w:hAnsi="Times New Roman"/>
          <w:szCs w:val="22"/>
        </w:rPr>
        <w:t xml:space="preserve"> predstavujú osobitný odvod zo zisku po zdanení štátneho podniku Lesy SR, š.</w:t>
      </w:r>
      <w:r w:rsidR="00C475F7">
        <w:rPr>
          <w:rFonts w:ascii="Times New Roman" w:hAnsi="Times New Roman"/>
          <w:szCs w:val="22"/>
        </w:rPr>
        <w:t xml:space="preserve"> </w:t>
      </w:r>
      <w:r>
        <w:rPr>
          <w:rFonts w:ascii="Times New Roman" w:hAnsi="Times New Roman"/>
          <w:szCs w:val="22"/>
        </w:rPr>
        <w:t xml:space="preserve">p. vo výške 20 000 tis. eur a sú súčasťou  príjmov kapitoly Ministerstva  pôdohospodárstva a rozvoja vidieka Slovenskej republiky. </w:t>
      </w:r>
    </w:p>
    <w:p w:rsidR="00CD5972" w:rsidRPr="002C0D88" w:rsidP="00CD5972">
      <w:pPr>
        <w:bidi w:val="0"/>
        <w:ind w:firstLine="708"/>
        <w:jc w:val="both"/>
        <w:rPr>
          <w:rFonts w:ascii="Times New Roman" w:hAnsi="Times New Roman"/>
          <w:szCs w:val="22"/>
        </w:rPr>
      </w:pPr>
    </w:p>
    <w:p w:rsidR="00CD5972" w:rsidRPr="002C0D88" w:rsidP="00CD5972">
      <w:pPr>
        <w:bidi w:val="0"/>
        <w:ind w:firstLine="708"/>
        <w:jc w:val="both"/>
        <w:rPr>
          <w:rFonts w:ascii="Times New Roman" w:hAnsi="Times New Roman"/>
          <w:szCs w:val="22"/>
        </w:rPr>
      </w:pPr>
      <w:r w:rsidRPr="002C0D88">
        <w:rPr>
          <w:rFonts w:ascii="Times New Roman" w:hAnsi="Times New Roman"/>
          <w:szCs w:val="22"/>
        </w:rPr>
        <w:t xml:space="preserve">Pri </w:t>
      </w:r>
      <w:r w:rsidRPr="002C0D88">
        <w:rPr>
          <w:rFonts w:ascii="Times New Roman" w:hAnsi="Times New Roman"/>
          <w:b/>
          <w:szCs w:val="22"/>
        </w:rPr>
        <w:t xml:space="preserve">administratívnych poplatkoch a iných poplatkoch a platbách </w:t>
      </w:r>
      <w:r w:rsidRPr="002C0D88">
        <w:rPr>
          <w:rFonts w:ascii="Times New Roman" w:hAnsi="Times New Roman"/>
          <w:szCs w:val="22"/>
        </w:rPr>
        <w:t xml:space="preserve">výška príjmov závisí od počtu jednotlivých aktov konania v priebehu roka. </w:t>
        <w:tab/>
      </w:r>
    </w:p>
    <w:p w:rsidR="00CD5972" w:rsidP="00CD5972">
      <w:pPr>
        <w:bidi w:val="0"/>
        <w:ind w:firstLine="708"/>
        <w:jc w:val="both"/>
        <w:rPr>
          <w:rFonts w:ascii="Times New Roman" w:hAnsi="Times New Roman"/>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16"/>
        <w:gridCol w:w="949"/>
        <w:gridCol w:w="949"/>
        <w:gridCol w:w="949"/>
        <w:gridCol w:w="988"/>
        <w:gridCol w:w="1087"/>
        <w:gridCol w:w="1087"/>
        <w:gridCol w:w="108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15"/>
        </w:trPr>
        <w:tc>
          <w:tcPr>
            <w:tcW w:w="1148" w:type="pct"/>
            <w:tcBorders>
              <w:top w:val="single" w:sz="4" w:space="0" w:color="auto"/>
              <w:left w:val="single" w:sz="4" w:space="0" w:color="auto"/>
              <w:bottom w:val="single" w:sz="4" w:space="0" w:color="auto"/>
              <w:right w:val="single" w:sz="4" w:space="0" w:color="auto"/>
            </w:tcBorders>
            <w:shd w:val="clear" w:color="000000" w:fill="A6A6A6"/>
            <w:textDirection w:val="lrTb"/>
            <w:vAlign w:val="bottom"/>
            <w:hideMark/>
          </w:tcPr>
          <w:p w:rsidR="00CD5972" w:rsidRPr="00924CC2" w:rsidP="00F576BD">
            <w:pPr>
              <w:bidi w:val="0"/>
              <w:jc w:val="both"/>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v tis. eur</w:t>
            </w:r>
          </w:p>
        </w:tc>
        <w:tc>
          <w:tcPr>
            <w:tcW w:w="51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2009 S</w:t>
            </w:r>
          </w:p>
        </w:tc>
        <w:tc>
          <w:tcPr>
            <w:tcW w:w="51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2010 S</w:t>
            </w:r>
          </w:p>
        </w:tc>
        <w:tc>
          <w:tcPr>
            <w:tcW w:w="51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2011 R</w:t>
            </w:r>
          </w:p>
        </w:tc>
        <w:tc>
          <w:tcPr>
            <w:tcW w:w="53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2011 OS</w:t>
            </w:r>
          </w:p>
        </w:tc>
        <w:tc>
          <w:tcPr>
            <w:tcW w:w="590"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2012 N</w:t>
            </w:r>
          </w:p>
        </w:tc>
        <w:tc>
          <w:tcPr>
            <w:tcW w:w="590"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2013 N</w:t>
            </w:r>
          </w:p>
        </w:tc>
        <w:tc>
          <w:tcPr>
            <w:tcW w:w="590"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2014 N</w:t>
            </w:r>
          </w:p>
        </w:tc>
      </w:tr>
      <w:tr>
        <w:tblPrEx>
          <w:tblW w:w="5000" w:type="pct"/>
          <w:tblCellMar>
            <w:left w:w="70" w:type="dxa"/>
            <w:right w:w="70" w:type="dxa"/>
          </w:tblCellMar>
          <w:tblLook w:val="04A0"/>
        </w:tblPrEx>
        <w:trPr>
          <w:trHeight w:val="315"/>
        </w:trPr>
        <w:tc>
          <w:tcPr>
            <w:tcW w:w="1148"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both"/>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Spolu</w:t>
            </w:r>
          </w:p>
        </w:tc>
        <w:tc>
          <w:tcPr>
            <w:tcW w:w="515"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280 994</w:t>
            </w:r>
          </w:p>
        </w:tc>
        <w:tc>
          <w:tcPr>
            <w:tcW w:w="515"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279 705</w:t>
            </w:r>
          </w:p>
        </w:tc>
        <w:tc>
          <w:tcPr>
            <w:tcW w:w="515"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290 958</w:t>
            </w:r>
          </w:p>
        </w:tc>
        <w:tc>
          <w:tcPr>
            <w:tcW w:w="536"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312 654</w:t>
            </w:r>
          </w:p>
        </w:tc>
        <w:tc>
          <w:tcPr>
            <w:tcW w:w="590"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351 649</w:t>
            </w:r>
          </w:p>
        </w:tc>
        <w:tc>
          <w:tcPr>
            <w:tcW w:w="590"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288 240</w:t>
            </w:r>
          </w:p>
        </w:tc>
        <w:tc>
          <w:tcPr>
            <w:tcW w:w="590"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288 509</w:t>
            </w:r>
          </w:p>
        </w:tc>
      </w:tr>
      <w:tr>
        <w:tblPrEx>
          <w:tblW w:w="5000" w:type="pct"/>
          <w:tblCellMar>
            <w:left w:w="70" w:type="dxa"/>
            <w:right w:w="70" w:type="dxa"/>
          </w:tblCellMar>
          <w:tblLook w:val="04A0"/>
        </w:tblPrEx>
        <w:trPr>
          <w:trHeight w:val="315"/>
        </w:trPr>
        <w:tc>
          <w:tcPr>
            <w:tcW w:w="1148"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both"/>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Administratívne poplatky</w:t>
            </w:r>
          </w:p>
        </w:tc>
        <w:tc>
          <w:tcPr>
            <w:tcW w:w="51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160 180</w:t>
            </w:r>
          </w:p>
        </w:tc>
        <w:tc>
          <w:tcPr>
            <w:tcW w:w="51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162 247</w:t>
            </w:r>
          </w:p>
        </w:tc>
        <w:tc>
          <w:tcPr>
            <w:tcW w:w="51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177 452</w:t>
            </w:r>
          </w:p>
        </w:tc>
        <w:tc>
          <w:tcPr>
            <w:tcW w:w="536"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200 554</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200 699</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176 406</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176 411</w:t>
            </w:r>
          </w:p>
        </w:tc>
      </w:tr>
      <w:tr>
        <w:tblPrEx>
          <w:tblW w:w="5000" w:type="pct"/>
          <w:tblCellMar>
            <w:left w:w="70" w:type="dxa"/>
            <w:right w:w="70" w:type="dxa"/>
          </w:tblCellMar>
          <w:tblLook w:val="04A0"/>
        </w:tblPrEx>
        <w:trPr>
          <w:trHeight w:val="315"/>
        </w:trPr>
        <w:tc>
          <w:tcPr>
            <w:tcW w:w="1148"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both"/>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 xml:space="preserve">v tom: súdne </w:t>
            </w:r>
          </w:p>
        </w:tc>
        <w:tc>
          <w:tcPr>
            <w:tcW w:w="51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28 545</w:t>
            </w:r>
          </w:p>
        </w:tc>
        <w:tc>
          <w:tcPr>
            <w:tcW w:w="51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31 551</w:t>
            </w:r>
          </w:p>
        </w:tc>
        <w:tc>
          <w:tcPr>
            <w:tcW w:w="51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27 008</w:t>
            </w:r>
          </w:p>
        </w:tc>
        <w:tc>
          <w:tcPr>
            <w:tcW w:w="536"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29 308</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32 020</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87 020</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87 020</w:t>
            </w:r>
          </w:p>
        </w:tc>
      </w:tr>
      <w:tr>
        <w:tblPrEx>
          <w:tblW w:w="5000" w:type="pct"/>
          <w:tblCellMar>
            <w:left w:w="70" w:type="dxa"/>
            <w:right w:w="70" w:type="dxa"/>
          </w:tblCellMar>
          <w:tblLook w:val="04A0"/>
        </w:tblPrEx>
        <w:trPr>
          <w:trHeight w:val="188"/>
        </w:trPr>
        <w:tc>
          <w:tcPr>
            <w:tcW w:w="1148" w:type="pct"/>
            <w:tcBorders>
              <w:top w:val="single" w:sz="4" w:space="0" w:color="auto"/>
              <w:left w:val="single" w:sz="4" w:space="0" w:color="auto"/>
              <w:bottom w:val="nil"/>
              <w:right w:val="single" w:sz="4" w:space="0" w:color="auto"/>
            </w:tcBorders>
            <w:shd w:val="clear" w:color="000000" w:fill="FFFFFF"/>
            <w:textDirection w:val="lrTb"/>
            <w:vAlign w:val="bottom"/>
            <w:hideMark/>
          </w:tcPr>
          <w:p w:rsidR="00CD5972" w:rsidRPr="00924CC2" w:rsidP="00F576BD">
            <w:pPr>
              <w:bidi w:val="0"/>
              <w:jc w:val="both"/>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 xml:space="preserve">       </w:t>
            </w:r>
            <w:r>
              <w:rPr>
                <w:rFonts w:ascii="Times New Roman" w:hAnsi="Times New Roman" w:cs="Times New Roman"/>
                <w:color w:val="000000"/>
                <w:sz w:val="14"/>
                <w:szCs w:val="14"/>
                <w:lang w:eastAsia="sk-SK"/>
              </w:rPr>
              <w:t xml:space="preserve">   </w:t>
            </w:r>
            <w:r w:rsidRPr="00924CC2">
              <w:rPr>
                <w:rFonts w:ascii="Times New Roman" w:hAnsi="Times New Roman" w:cs="Times New Roman"/>
                <w:color w:val="000000"/>
                <w:sz w:val="14"/>
                <w:szCs w:val="14"/>
                <w:lang w:eastAsia="sk-SK"/>
              </w:rPr>
              <w:t xml:space="preserve">  tržby z predaja </w:t>
            </w:r>
          </w:p>
        </w:tc>
        <w:tc>
          <w:tcPr>
            <w:tcW w:w="515" w:type="pct"/>
            <w:vMerge w:val="restar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102 386</w:t>
            </w:r>
          </w:p>
        </w:tc>
        <w:tc>
          <w:tcPr>
            <w:tcW w:w="515" w:type="pct"/>
            <w:vMerge w:val="restar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96 658</w:t>
            </w:r>
          </w:p>
        </w:tc>
        <w:tc>
          <w:tcPr>
            <w:tcW w:w="515" w:type="pct"/>
            <w:vMerge w:val="restar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113 171</w:t>
            </w:r>
          </w:p>
        </w:tc>
        <w:tc>
          <w:tcPr>
            <w:tcW w:w="536" w:type="pct"/>
            <w:vMerge w:val="restar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93 200</w:t>
            </w:r>
          </w:p>
        </w:tc>
        <w:tc>
          <w:tcPr>
            <w:tcW w:w="590" w:type="pct"/>
            <w:vMerge w:val="restar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100 421</w:t>
            </w:r>
          </w:p>
        </w:tc>
        <w:tc>
          <w:tcPr>
            <w:tcW w:w="590" w:type="pct"/>
            <w:vMerge w:val="restar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c>
          <w:tcPr>
            <w:tcW w:w="590" w:type="pct"/>
            <w:vMerge w:val="restar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val="120"/>
        </w:trPr>
        <w:tc>
          <w:tcPr>
            <w:tcW w:w="1148" w:type="pct"/>
            <w:tcBorders>
              <w:top w:val="nil"/>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both"/>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 xml:space="preserve">      </w:t>
            </w:r>
            <w:r>
              <w:rPr>
                <w:rFonts w:ascii="Times New Roman" w:hAnsi="Times New Roman" w:cs="Times New Roman"/>
                <w:color w:val="000000"/>
                <w:sz w:val="14"/>
                <w:szCs w:val="14"/>
                <w:lang w:eastAsia="sk-SK"/>
              </w:rPr>
              <w:t xml:space="preserve"> </w:t>
            </w:r>
            <w:r w:rsidRPr="00924CC2">
              <w:rPr>
                <w:rFonts w:ascii="Times New Roman" w:hAnsi="Times New Roman" w:cs="Times New Roman"/>
                <w:color w:val="000000"/>
                <w:sz w:val="14"/>
                <w:szCs w:val="14"/>
                <w:lang w:eastAsia="sk-SK"/>
              </w:rPr>
              <w:t xml:space="preserve">     kolkových známok         </w:t>
            </w:r>
          </w:p>
        </w:tc>
        <w:tc>
          <w:tcPr>
            <w:tcW w:w="515" w:type="pct"/>
            <w:vMerge/>
            <w:tcBorders>
              <w:top w:val="single" w:sz="4" w:space="0" w:color="auto"/>
              <w:left w:val="single" w:sz="4" w:space="0" w:color="auto"/>
              <w:bottom w:val="single" w:sz="4" w:space="0" w:color="auto"/>
              <w:right w:val="single" w:sz="4" w:space="0" w:color="auto"/>
            </w:tcBorders>
            <w:textDirection w:val="lrTb"/>
            <w:vAlign w:val="center"/>
            <w:hideMark/>
          </w:tcPr>
          <w:p w:rsidR="00CD5972" w:rsidRPr="00924CC2" w:rsidP="00F576BD">
            <w:pPr>
              <w:bidi w:val="0"/>
              <w:rPr>
                <w:rFonts w:ascii="Times New Roman" w:hAnsi="Times New Roman" w:cs="Times New Roman"/>
                <w:color w:val="000000"/>
                <w:sz w:val="14"/>
                <w:szCs w:val="14"/>
                <w:lang w:eastAsia="sk-SK"/>
              </w:rPr>
            </w:pPr>
          </w:p>
        </w:tc>
        <w:tc>
          <w:tcPr>
            <w:tcW w:w="515" w:type="pct"/>
            <w:vMerge/>
            <w:tcBorders>
              <w:top w:val="single" w:sz="4" w:space="0" w:color="auto"/>
              <w:left w:val="single" w:sz="4" w:space="0" w:color="auto"/>
              <w:bottom w:val="single" w:sz="4" w:space="0" w:color="auto"/>
              <w:right w:val="single" w:sz="4" w:space="0" w:color="auto"/>
            </w:tcBorders>
            <w:textDirection w:val="lrTb"/>
            <w:vAlign w:val="center"/>
            <w:hideMark/>
          </w:tcPr>
          <w:p w:rsidR="00CD5972" w:rsidRPr="00924CC2" w:rsidP="00F576BD">
            <w:pPr>
              <w:bidi w:val="0"/>
              <w:rPr>
                <w:rFonts w:ascii="Times New Roman" w:hAnsi="Times New Roman" w:cs="Times New Roman"/>
                <w:color w:val="000000"/>
                <w:sz w:val="14"/>
                <w:szCs w:val="14"/>
                <w:lang w:eastAsia="sk-SK"/>
              </w:rPr>
            </w:pPr>
          </w:p>
        </w:tc>
        <w:tc>
          <w:tcPr>
            <w:tcW w:w="515" w:type="pct"/>
            <w:vMerge/>
            <w:tcBorders>
              <w:top w:val="single" w:sz="4" w:space="0" w:color="auto"/>
              <w:left w:val="single" w:sz="4" w:space="0" w:color="auto"/>
              <w:bottom w:val="single" w:sz="4" w:space="0" w:color="auto"/>
              <w:right w:val="single" w:sz="4" w:space="0" w:color="auto"/>
            </w:tcBorders>
            <w:textDirection w:val="lrTb"/>
            <w:vAlign w:val="center"/>
            <w:hideMark/>
          </w:tcPr>
          <w:p w:rsidR="00CD5972" w:rsidRPr="00924CC2" w:rsidP="00F576BD">
            <w:pPr>
              <w:bidi w:val="0"/>
              <w:rPr>
                <w:rFonts w:ascii="Times New Roman" w:hAnsi="Times New Roman" w:cs="Times New Roman"/>
                <w:color w:val="000000"/>
                <w:sz w:val="14"/>
                <w:szCs w:val="14"/>
                <w:lang w:eastAsia="sk-SK"/>
              </w:rPr>
            </w:pPr>
          </w:p>
        </w:tc>
        <w:tc>
          <w:tcPr>
            <w:tcW w:w="536" w:type="pct"/>
            <w:vMerge/>
            <w:tcBorders>
              <w:top w:val="single" w:sz="4" w:space="0" w:color="auto"/>
              <w:left w:val="single" w:sz="4" w:space="0" w:color="auto"/>
              <w:bottom w:val="single" w:sz="4" w:space="0" w:color="auto"/>
              <w:right w:val="single" w:sz="4" w:space="0" w:color="auto"/>
            </w:tcBorders>
            <w:textDirection w:val="lrTb"/>
            <w:vAlign w:val="center"/>
            <w:hideMark/>
          </w:tcPr>
          <w:p w:rsidR="00CD5972" w:rsidRPr="00924CC2" w:rsidP="00F576BD">
            <w:pPr>
              <w:bidi w:val="0"/>
              <w:rPr>
                <w:rFonts w:ascii="Times New Roman" w:hAnsi="Times New Roman" w:cs="Times New Roman"/>
                <w:color w:val="000000"/>
                <w:sz w:val="14"/>
                <w:szCs w:val="14"/>
                <w:lang w:eastAsia="sk-SK"/>
              </w:rPr>
            </w:pPr>
          </w:p>
        </w:tc>
        <w:tc>
          <w:tcPr>
            <w:tcW w:w="590" w:type="pct"/>
            <w:vMerge/>
            <w:tcBorders>
              <w:top w:val="single" w:sz="4" w:space="0" w:color="auto"/>
              <w:left w:val="single" w:sz="4" w:space="0" w:color="auto"/>
              <w:bottom w:val="single" w:sz="4" w:space="0" w:color="auto"/>
              <w:right w:val="single" w:sz="4" w:space="0" w:color="auto"/>
            </w:tcBorders>
            <w:textDirection w:val="lrTb"/>
            <w:vAlign w:val="center"/>
            <w:hideMark/>
          </w:tcPr>
          <w:p w:rsidR="00CD5972" w:rsidRPr="00924CC2" w:rsidP="00F576BD">
            <w:pPr>
              <w:bidi w:val="0"/>
              <w:rPr>
                <w:rFonts w:ascii="Times New Roman" w:hAnsi="Times New Roman" w:cs="Times New Roman"/>
                <w:color w:val="000000"/>
                <w:sz w:val="14"/>
                <w:szCs w:val="14"/>
                <w:lang w:eastAsia="sk-SK"/>
              </w:rPr>
            </w:pPr>
          </w:p>
        </w:tc>
        <w:tc>
          <w:tcPr>
            <w:tcW w:w="590" w:type="pct"/>
            <w:vMerge/>
            <w:tcBorders>
              <w:top w:val="single" w:sz="4" w:space="0" w:color="auto"/>
              <w:left w:val="single" w:sz="4" w:space="0" w:color="auto"/>
              <w:bottom w:val="single" w:sz="4" w:space="0" w:color="auto"/>
              <w:right w:val="single" w:sz="4" w:space="0" w:color="auto"/>
            </w:tcBorders>
            <w:textDirection w:val="lrTb"/>
            <w:vAlign w:val="center"/>
            <w:hideMark/>
          </w:tcPr>
          <w:p w:rsidR="00CD5972" w:rsidRPr="00924CC2" w:rsidP="00F576BD">
            <w:pPr>
              <w:bidi w:val="0"/>
              <w:rPr>
                <w:rFonts w:ascii="Times New Roman" w:hAnsi="Times New Roman" w:cs="Times New Roman"/>
                <w:color w:val="000000"/>
                <w:sz w:val="14"/>
                <w:szCs w:val="14"/>
                <w:lang w:eastAsia="sk-SK"/>
              </w:rPr>
            </w:pPr>
          </w:p>
        </w:tc>
        <w:tc>
          <w:tcPr>
            <w:tcW w:w="590" w:type="pct"/>
            <w:vMerge/>
            <w:tcBorders>
              <w:top w:val="single" w:sz="4" w:space="0" w:color="auto"/>
              <w:left w:val="single" w:sz="4" w:space="0" w:color="auto"/>
              <w:bottom w:val="single" w:sz="4" w:space="0" w:color="auto"/>
              <w:right w:val="single" w:sz="4" w:space="0" w:color="auto"/>
            </w:tcBorders>
            <w:textDirection w:val="lrTb"/>
            <w:vAlign w:val="center"/>
            <w:hideMark/>
          </w:tcPr>
          <w:p w:rsidR="00CD5972" w:rsidRPr="00924CC2" w:rsidP="00F576BD">
            <w:pPr>
              <w:bidi w:val="0"/>
              <w:rPr>
                <w:rFonts w:ascii="Times New Roman" w:hAnsi="Times New Roman" w:cs="Times New Roman"/>
                <w:color w:val="000000"/>
                <w:sz w:val="14"/>
                <w:szCs w:val="14"/>
                <w:lang w:eastAsia="sk-SK"/>
              </w:rPr>
            </w:pPr>
          </w:p>
        </w:tc>
      </w:tr>
      <w:tr>
        <w:tblPrEx>
          <w:tblW w:w="5000" w:type="pct"/>
          <w:tblCellMar>
            <w:left w:w="70" w:type="dxa"/>
            <w:right w:w="70" w:type="dxa"/>
          </w:tblCellMar>
          <w:tblLook w:val="04A0"/>
        </w:tblPrEx>
        <w:trPr>
          <w:trHeight w:val="315"/>
        </w:trPr>
        <w:tc>
          <w:tcPr>
            <w:tcW w:w="1148"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both"/>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 xml:space="preserve">      </w:t>
            </w:r>
            <w:r>
              <w:rPr>
                <w:rFonts w:ascii="Times New Roman" w:hAnsi="Times New Roman" w:cs="Times New Roman"/>
                <w:color w:val="000000"/>
                <w:sz w:val="14"/>
                <w:szCs w:val="14"/>
                <w:lang w:eastAsia="sk-SK"/>
              </w:rPr>
              <w:t xml:space="preserve">  </w:t>
            </w:r>
            <w:r w:rsidRPr="00924CC2">
              <w:rPr>
                <w:rFonts w:ascii="Times New Roman" w:hAnsi="Times New Roman" w:cs="Times New Roman"/>
                <w:color w:val="000000"/>
                <w:sz w:val="14"/>
                <w:szCs w:val="14"/>
                <w:lang w:eastAsia="sk-SK"/>
              </w:rPr>
              <w:t xml:space="preserve">    puncové poplatky                                     </w:t>
            </w:r>
          </w:p>
        </w:tc>
        <w:tc>
          <w:tcPr>
            <w:tcW w:w="51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c>
          <w:tcPr>
            <w:tcW w:w="51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610</w:t>
            </w:r>
          </w:p>
        </w:tc>
        <w:tc>
          <w:tcPr>
            <w:tcW w:w="51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913</w:t>
            </w:r>
          </w:p>
        </w:tc>
        <w:tc>
          <w:tcPr>
            <w:tcW w:w="536"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920</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700</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809</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828</w:t>
            </w:r>
          </w:p>
        </w:tc>
      </w:tr>
      <w:tr>
        <w:tblPrEx>
          <w:tblW w:w="5000" w:type="pct"/>
          <w:tblCellMar>
            <w:left w:w="70" w:type="dxa"/>
            <w:right w:w="70" w:type="dxa"/>
          </w:tblCellMar>
          <w:tblLook w:val="04A0"/>
        </w:tblPrEx>
        <w:trPr>
          <w:trHeight w:val="315"/>
        </w:trPr>
        <w:tc>
          <w:tcPr>
            <w:tcW w:w="1148"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both"/>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 xml:space="preserve">         </w:t>
            </w:r>
            <w:r>
              <w:rPr>
                <w:rFonts w:ascii="Times New Roman" w:hAnsi="Times New Roman" w:cs="Times New Roman"/>
                <w:color w:val="000000"/>
                <w:sz w:val="14"/>
                <w:szCs w:val="14"/>
                <w:lang w:eastAsia="sk-SK"/>
              </w:rPr>
              <w:t xml:space="preserve"> </w:t>
            </w:r>
            <w:r w:rsidRPr="00924CC2">
              <w:rPr>
                <w:rFonts w:ascii="Times New Roman" w:hAnsi="Times New Roman" w:cs="Times New Roman"/>
                <w:color w:val="000000"/>
                <w:sz w:val="14"/>
                <w:szCs w:val="14"/>
                <w:lang w:eastAsia="sk-SK"/>
              </w:rPr>
              <w:t xml:space="preserve">  ostatné poplatky</w:t>
            </w:r>
          </w:p>
        </w:tc>
        <w:tc>
          <w:tcPr>
            <w:tcW w:w="51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29 249</w:t>
            </w:r>
          </w:p>
        </w:tc>
        <w:tc>
          <w:tcPr>
            <w:tcW w:w="51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32 924</w:t>
            </w:r>
          </w:p>
        </w:tc>
        <w:tc>
          <w:tcPr>
            <w:tcW w:w="51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36 329</w:t>
            </w:r>
          </w:p>
        </w:tc>
        <w:tc>
          <w:tcPr>
            <w:tcW w:w="536"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33 626</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43 525</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88 544</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88 530</w:t>
            </w:r>
          </w:p>
        </w:tc>
      </w:tr>
      <w:tr>
        <w:tblPrEx>
          <w:tblW w:w="5000" w:type="pct"/>
          <w:tblCellMar>
            <w:left w:w="70" w:type="dxa"/>
            <w:right w:w="70" w:type="dxa"/>
          </w:tblCellMar>
          <w:tblLook w:val="04A0"/>
        </w:tblPrEx>
        <w:trPr>
          <w:trHeight w:val="315"/>
        </w:trPr>
        <w:tc>
          <w:tcPr>
            <w:tcW w:w="1148"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both"/>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 xml:space="preserve">        </w:t>
            </w:r>
            <w:r>
              <w:rPr>
                <w:rFonts w:ascii="Times New Roman" w:hAnsi="Times New Roman" w:cs="Times New Roman"/>
                <w:color w:val="000000"/>
                <w:sz w:val="14"/>
                <w:szCs w:val="14"/>
                <w:lang w:eastAsia="sk-SK"/>
              </w:rPr>
              <w:t xml:space="preserve"> </w:t>
            </w:r>
            <w:r w:rsidRPr="00924CC2">
              <w:rPr>
                <w:rFonts w:ascii="Times New Roman" w:hAnsi="Times New Roman" w:cs="Times New Roman"/>
                <w:color w:val="000000"/>
                <w:sz w:val="14"/>
                <w:szCs w:val="14"/>
                <w:lang w:eastAsia="sk-SK"/>
              </w:rPr>
              <w:t xml:space="preserve">   licencie</w:t>
            </w:r>
          </w:p>
        </w:tc>
        <w:tc>
          <w:tcPr>
            <w:tcW w:w="51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c>
          <w:tcPr>
            <w:tcW w:w="51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504</w:t>
            </w:r>
          </w:p>
        </w:tc>
        <w:tc>
          <w:tcPr>
            <w:tcW w:w="51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31</w:t>
            </w:r>
          </w:p>
        </w:tc>
        <w:tc>
          <w:tcPr>
            <w:tcW w:w="536"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43 500</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24 033</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33</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33</w:t>
            </w:r>
          </w:p>
        </w:tc>
      </w:tr>
      <w:tr>
        <w:tblPrEx>
          <w:tblW w:w="5000" w:type="pct"/>
          <w:tblCellMar>
            <w:left w:w="70" w:type="dxa"/>
            <w:right w:w="70" w:type="dxa"/>
          </w:tblCellMar>
          <w:tblLook w:val="04A0"/>
        </w:tblPrEx>
        <w:trPr>
          <w:trHeight w:val="315"/>
        </w:trPr>
        <w:tc>
          <w:tcPr>
            <w:tcW w:w="1148"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both"/>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Pokuty, penále a iné sankcie</w:t>
            </w:r>
          </w:p>
        </w:tc>
        <w:tc>
          <w:tcPr>
            <w:tcW w:w="51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62 960</w:t>
            </w:r>
          </w:p>
        </w:tc>
        <w:tc>
          <w:tcPr>
            <w:tcW w:w="51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64 235</w:t>
            </w:r>
          </w:p>
        </w:tc>
        <w:tc>
          <w:tcPr>
            <w:tcW w:w="51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61 434</w:t>
            </w:r>
          </w:p>
        </w:tc>
        <w:tc>
          <w:tcPr>
            <w:tcW w:w="536"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60 000</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59 258</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60 039</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60 342</w:t>
            </w:r>
          </w:p>
        </w:tc>
      </w:tr>
      <w:tr>
        <w:tblPrEx>
          <w:tblW w:w="5000" w:type="pct"/>
          <w:tblCellMar>
            <w:left w:w="70" w:type="dxa"/>
            <w:right w:w="70" w:type="dxa"/>
          </w:tblCellMar>
          <w:tblLook w:val="04A0"/>
        </w:tblPrEx>
        <w:trPr>
          <w:trHeight w:val="445"/>
        </w:trPr>
        <w:tc>
          <w:tcPr>
            <w:tcW w:w="1148"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both"/>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Poplatky a platby z nepriemyselného a náhodného predaja a služieb</w:t>
            </w:r>
          </w:p>
        </w:tc>
        <w:tc>
          <w:tcPr>
            <w:tcW w:w="51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57 854</w:t>
            </w:r>
          </w:p>
        </w:tc>
        <w:tc>
          <w:tcPr>
            <w:tcW w:w="51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53 223</w:t>
            </w:r>
          </w:p>
        </w:tc>
        <w:tc>
          <w:tcPr>
            <w:tcW w:w="51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52 072</w:t>
            </w:r>
          </w:p>
        </w:tc>
        <w:tc>
          <w:tcPr>
            <w:tcW w:w="536"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52 100</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91 692</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51 795</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51 756</w:t>
            </w:r>
          </w:p>
        </w:tc>
      </w:tr>
    </w:tbl>
    <w:p w:rsidR="00CD5972" w:rsidP="00CD5972">
      <w:pPr>
        <w:bidi w:val="0"/>
        <w:ind w:firstLine="708"/>
        <w:jc w:val="both"/>
        <w:rPr>
          <w:rFonts w:ascii="Times New Roman" w:hAnsi="Times New Roman"/>
          <w:szCs w:val="22"/>
        </w:rPr>
      </w:pPr>
    </w:p>
    <w:p w:rsidR="00CD5972" w:rsidP="00CD5972">
      <w:pPr>
        <w:bidi w:val="0"/>
        <w:ind w:firstLine="708"/>
        <w:jc w:val="both"/>
        <w:rPr>
          <w:rFonts w:ascii="Times New Roman" w:hAnsi="Times New Roman"/>
          <w:szCs w:val="22"/>
        </w:rPr>
      </w:pPr>
      <w:r w:rsidRPr="002C0D88">
        <w:rPr>
          <w:rFonts w:ascii="Times New Roman" w:hAnsi="Times New Roman"/>
          <w:szCs w:val="22"/>
        </w:rPr>
        <w:t>Návrhom zákona o zrušení kolkových známok budú zrušené kolkové známky ako jeden zo spôsobov platenia správnych a súdnych poplatkov. Zároveň bude zavedená povinnosť štátnych orgánov prijímať platby v hotovosti do výšky 300 eur a bude zavedený nový spôsob platenia poplatkov platobnou kartou, ak  poplatok  prevyšuje 100 eur. Zavedie sa aj ďalšia možnosť platenia poplatkov prostredníctvom krátkej textovej správy (SMS).  Zrušením kolkových známok dochádza k zvýšeniu príjmov za súdne poplatky a ostatné poplatky. Účinnosť navrhovaného zákona sa navrhuje od 1. januára 2013.</w:t>
      </w:r>
      <w:r w:rsidR="006124C1">
        <w:rPr>
          <w:rFonts w:ascii="Times New Roman" w:hAnsi="Times New Roman"/>
          <w:szCs w:val="22"/>
        </w:rPr>
        <w:t xml:space="preserve"> </w:t>
      </w:r>
    </w:p>
    <w:p w:rsidR="006124C1" w:rsidP="00CD5972">
      <w:pPr>
        <w:bidi w:val="0"/>
        <w:ind w:firstLine="708"/>
        <w:jc w:val="both"/>
        <w:rPr>
          <w:rFonts w:ascii="Times New Roman" w:hAnsi="Times New Roman"/>
          <w:szCs w:val="22"/>
        </w:rPr>
      </w:pPr>
    </w:p>
    <w:p w:rsidR="006124C1" w:rsidP="00CD5972">
      <w:pPr>
        <w:bidi w:val="0"/>
        <w:ind w:firstLine="708"/>
        <w:jc w:val="both"/>
        <w:rPr>
          <w:rFonts w:ascii="Times New Roman" w:hAnsi="Times New Roman"/>
          <w:szCs w:val="22"/>
        </w:rPr>
      </w:pPr>
      <w:r>
        <w:rPr>
          <w:rFonts w:ascii="Times New Roman" w:hAnsi="Times New Roman"/>
          <w:szCs w:val="22"/>
        </w:rPr>
        <w:t>V rámci príjmov z administratívnych poplatkov sa rozpočtuje doplatok za predĺženie licencie pre mobilného operátora Orange Slovensko, a. s.</w:t>
      </w:r>
    </w:p>
    <w:p w:rsidR="00CD5972" w:rsidP="00CD5972">
      <w:pPr>
        <w:bidi w:val="0"/>
        <w:ind w:firstLine="708"/>
        <w:jc w:val="both"/>
        <w:rPr>
          <w:rFonts w:ascii="Times New Roman" w:hAnsi="Times New Roman"/>
          <w:szCs w:val="22"/>
        </w:rPr>
      </w:pPr>
    </w:p>
    <w:p w:rsidR="00CD5972" w:rsidP="00CD5972">
      <w:pPr>
        <w:bidi w:val="0"/>
        <w:jc w:val="both"/>
        <w:rPr>
          <w:rFonts w:ascii="Times New Roman" w:hAnsi="Times New Roman"/>
          <w:szCs w:val="22"/>
        </w:rPr>
      </w:pPr>
      <w:r>
        <w:rPr>
          <w:rFonts w:ascii="Times New Roman" w:hAnsi="Times New Roman"/>
          <w:szCs w:val="22"/>
        </w:rPr>
        <w:tab/>
      </w:r>
      <w:r w:rsidRPr="002C0D88">
        <w:rPr>
          <w:rFonts w:ascii="Times New Roman" w:hAnsi="Times New Roman"/>
          <w:szCs w:val="22"/>
        </w:rPr>
        <w:t>Výška</w:t>
      </w:r>
      <w:r w:rsidRPr="002C0D88">
        <w:rPr>
          <w:rFonts w:ascii="Times New Roman" w:hAnsi="Times New Roman"/>
          <w:b/>
          <w:szCs w:val="22"/>
        </w:rPr>
        <w:t xml:space="preserve"> kapitálových príjmov </w:t>
      </w:r>
      <w:r w:rsidRPr="002C0D88">
        <w:rPr>
          <w:rFonts w:ascii="Times New Roman" w:hAnsi="Times New Roman"/>
          <w:szCs w:val="22"/>
        </w:rPr>
        <w:t>závisí od objemu nadbytočného hnuteľného a nehnuteľného majetku v správe jednotlivých kapitol štátneho rozpočtu, ktorý bude predmetom predaja v príslušných rozpočtových rokoch. Najvyšší podiel z týchto príjmov sa predpokladá v kapitolách Ministerstva vnútra SR a Ministerstva obrany SR. V návrhu rozpočtu sa  neočakáva mimoriadny príjem z predaja budov, pozemkov a nehmotných aktív.</w:t>
      </w:r>
    </w:p>
    <w:p w:rsidR="0017084C" w:rsidRPr="002C0D88" w:rsidP="00CD5972">
      <w:pPr>
        <w:bidi w:val="0"/>
        <w:jc w:val="both"/>
        <w:rPr>
          <w:rFonts w:ascii="Times New Roman" w:hAnsi="Times New Roman"/>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16"/>
        <w:gridCol w:w="949"/>
        <w:gridCol w:w="949"/>
        <w:gridCol w:w="949"/>
        <w:gridCol w:w="988"/>
        <w:gridCol w:w="1087"/>
        <w:gridCol w:w="1087"/>
        <w:gridCol w:w="108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22"/>
        </w:trPr>
        <w:tc>
          <w:tcPr>
            <w:tcW w:w="1148" w:type="pct"/>
            <w:tcBorders>
              <w:top w:val="single" w:sz="4" w:space="0" w:color="auto"/>
              <w:left w:val="single" w:sz="4" w:space="0" w:color="auto"/>
              <w:bottom w:val="single" w:sz="4" w:space="0" w:color="auto"/>
              <w:right w:val="single" w:sz="4" w:space="0" w:color="auto"/>
            </w:tcBorders>
            <w:shd w:val="clear" w:color="000000" w:fill="A6A6A6"/>
            <w:textDirection w:val="lrTb"/>
            <w:vAlign w:val="bottom"/>
            <w:hideMark/>
          </w:tcPr>
          <w:p w:rsidR="00CD5972" w:rsidRPr="00924CC2" w:rsidP="00F576BD">
            <w:pPr>
              <w:bidi w:val="0"/>
              <w:jc w:val="both"/>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v tis. eur</w:t>
            </w:r>
          </w:p>
        </w:tc>
        <w:tc>
          <w:tcPr>
            <w:tcW w:w="51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2009 S</w:t>
            </w:r>
          </w:p>
        </w:tc>
        <w:tc>
          <w:tcPr>
            <w:tcW w:w="51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2010 S</w:t>
            </w:r>
          </w:p>
        </w:tc>
        <w:tc>
          <w:tcPr>
            <w:tcW w:w="51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2011 R</w:t>
            </w:r>
          </w:p>
        </w:tc>
        <w:tc>
          <w:tcPr>
            <w:tcW w:w="53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2011 OS</w:t>
            </w:r>
          </w:p>
        </w:tc>
        <w:tc>
          <w:tcPr>
            <w:tcW w:w="590"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2012 N</w:t>
            </w:r>
          </w:p>
        </w:tc>
        <w:tc>
          <w:tcPr>
            <w:tcW w:w="590"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2013 N</w:t>
            </w:r>
          </w:p>
        </w:tc>
        <w:tc>
          <w:tcPr>
            <w:tcW w:w="590"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2014 N</w:t>
            </w:r>
          </w:p>
        </w:tc>
      </w:tr>
      <w:tr>
        <w:tblPrEx>
          <w:tblW w:w="5000" w:type="pct"/>
          <w:tblCellMar>
            <w:left w:w="70" w:type="dxa"/>
            <w:right w:w="70" w:type="dxa"/>
          </w:tblCellMar>
          <w:tblLook w:val="04A0"/>
        </w:tblPrEx>
        <w:trPr>
          <w:trHeight w:val="322"/>
        </w:trPr>
        <w:tc>
          <w:tcPr>
            <w:tcW w:w="1148"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both"/>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Kapitálové príjmy</w:t>
            </w:r>
          </w:p>
        </w:tc>
        <w:tc>
          <w:tcPr>
            <w:tcW w:w="515"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17 172</w:t>
            </w:r>
          </w:p>
        </w:tc>
        <w:tc>
          <w:tcPr>
            <w:tcW w:w="515"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16 346</w:t>
            </w:r>
          </w:p>
        </w:tc>
        <w:tc>
          <w:tcPr>
            <w:tcW w:w="515"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16 661</w:t>
            </w:r>
          </w:p>
        </w:tc>
        <w:tc>
          <w:tcPr>
            <w:tcW w:w="536"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16 035</w:t>
            </w:r>
          </w:p>
        </w:tc>
        <w:tc>
          <w:tcPr>
            <w:tcW w:w="590"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9 596</w:t>
            </w:r>
          </w:p>
        </w:tc>
        <w:tc>
          <w:tcPr>
            <w:tcW w:w="590"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8 500</w:t>
            </w:r>
          </w:p>
        </w:tc>
        <w:tc>
          <w:tcPr>
            <w:tcW w:w="590"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9 344</w:t>
            </w:r>
          </w:p>
        </w:tc>
      </w:tr>
      <w:tr>
        <w:tblPrEx>
          <w:tblW w:w="5000" w:type="pct"/>
          <w:tblCellMar>
            <w:left w:w="70" w:type="dxa"/>
            <w:right w:w="70" w:type="dxa"/>
          </w:tblCellMar>
          <w:tblLook w:val="04A0"/>
        </w:tblPrEx>
        <w:trPr>
          <w:trHeight w:val="322"/>
        </w:trPr>
        <w:tc>
          <w:tcPr>
            <w:tcW w:w="1148"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both"/>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v tom:  z predaja              kapitálových aktív</w:t>
            </w:r>
          </w:p>
        </w:tc>
        <w:tc>
          <w:tcPr>
            <w:tcW w:w="51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11 228</w:t>
            </w:r>
          </w:p>
        </w:tc>
        <w:tc>
          <w:tcPr>
            <w:tcW w:w="51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9 495</w:t>
            </w:r>
          </w:p>
        </w:tc>
        <w:tc>
          <w:tcPr>
            <w:tcW w:w="51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10 930</w:t>
            </w:r>
          </w:p>
        </w:tc>
        <w:tc>
          <w:tcPr>
            <w:tcW w:w="536"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11 500</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4 894</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3 804</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4 645</w:t>
            </w:r>
          </w:p>
        </w:tc>
      </w:tr>
      <w:tr>
        <w:tblPrEx>
          <w:tblW w:w="5000" w:type="pct"/>
          <w:tblCellMar>
            <w:left w:w="70" w:type="dxa"/>
            <w:right w:w="70" w:type="dxa"/>
          </w:tblCellMar>
          <w:tblLook w:val="04A0"/>
        </w:tblPrEx>
        <w:trPr>
          <w:trHeight w:val="204"/>
        </w:trPr>
        <w:tc>
          <w:tcPr>
            <w:tcW w:w="1148" w:type="pct"/>
            <w:tcBorders>
              <w:top w:val="single" w:sz="4" w:space="0" w:color="auto"/>
              <w:left w:val="single" w:sz="4" w:space="0" w:color="auto"/>
              <w:bottom w:val="nil"/>
              <w:right w:val="single" w:sz="4" w:space="0" w:color="auto"/>
            </w:tcBorders>
            <w:shd w:val="clear" w:color="000000" w:fill="FFFFFF"/>
            <w:textDirection w:val="lrTb"/>
            <w:vAlign w:val="bottom"/>
            <w:hideMark/>
          </w:tcPr>
          <w:p w:rsidR="00CD5972" w:rsidRPr="00924CC2" w:rsidP="00F576BD">
            <w:pPr>
              <w:bidi w:val="0"/>
              <w:jc w:val="both"/>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 xml:space="preserve">            z predaja pozemkov </w:t>
            </w:r>
          </w:p>
        </w:tc>
        <w:tc>
          <w:tcPr>
            <w:tcW w:w="515" w:type="pct"/>
            <w:vMerge w:val="restar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5 406</w:t>
            </w:r>
          </w:p>
        </w:tc>
        <w:tc>
          <w:tcPr>
            <w:tcW w:w="515" w:type="pct"/>
            <w:vMerge w:val="restar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6 721</w:t>
            </w:r>
          </w:p>
        </w:tc>
        <w:tc>
          <w:tcPr>
            <w:tcW w:w="515" w:type="pct"/>
            <w:vMerge w:val="restar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5 731</w:t>
            </w:r>
          </w:p>
        </w:tc>
        <w:tc>
          <w:tcPr>
            <w:tcW w:w="536" w:type="pct"/>
            <w:vMerge w:val="restar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4 535</w:t>
            </w:r>
          </w:p>
        </w:tc>
        <w:tc>
          <w:tcPr>
            <w:tcW w:w="590" w:type="pct"/>
            <w:vMerge w:val="restar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4 702</w:t>
            </w:r>
          </w:p>
        </w:tc>
        <w:tc>
          <w:tcPr>
            <w:tcW w:w="590" w:type="pct"/>
            <w:vMerge w:val="restar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4 696</w:t>
            </w:r>
          </w:p>
        </w:tc>
        <w:tc>
          <w:tcPr>
            <w:tcW w:w="590" w:type="pct"/>
            <w:vMerge w:val="restar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4 699</w:t>
            </w:r>
          </w:p>
        </w:tc>
      </w:tr>
      <w:tr>
        <w:tblPrEx>
          <w:tblW w:w="5000" w:type="pct"/>
          <w:tblCellMar>
            <w:left w:w="70" w:type="dxa"/>
            <w:right w:w="70" w:type="dxa"/>
          </w:tblCellMar>
          <w:tblLook w:val="04A0"/>
        </w:tblPrEx>
        <w:trPr>
          <w:trHeight w:val="109"/>
        </w:trPr>
        <w:tc>
          <w:tcPr>
            <w:tcW w:w="1148" w:type="pct"/>
            <w:tcBorders>
              <w:top w:val="nil"/>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both"/>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 xml:space="preserve">            a nehmotných aktív</w:t>
            </w:r>
          </w:p>
        </w:tc>
        <w:tc>
          <w:tcPr>
            <w:tcW w:w="515" w:type="pct"/>
            <w:vMerge/>
            <w:tcBorders>
              <w:top w:val="single" w:sz="4" w:space="0" w:color="auto"/>
              <w:left w:val="single" w:sz="4" w:space="0" w:color="auto"/>
              <w:bottom w:val="single" w:sz="4" w:space="0" w:color="auto"/>
              <w:right w:val="single" w:sz="4" w:space="0" w:color="auto"/>
            </w:tcBorders>
            <w:textDirection w:val="lrTb"/>
            <w:vAlign w:val="center"/>
            <w:hideMark/>
          </w:tcPr>
          <w:p w:rsidR="00CD5972" w:rsidRPr="00924CC2" w:rsidP="00F576BD">
            <w:pPr>
              <w:bidi w:val="0"/>
              <w:rPr>
                <w:rFonts w:ascii="Times New Roman" w:hAnsi="Times New Roman" w:cs="Times New Roman"/>
                <w:color w:val="000000"/>
                <w:sz w:val="14"/>
                <w:szCs w:val="14"/>
                <w:lang w:eastAsia="sk-SK"/>
              </w:rPr>
            </w:pPr>
          </w:p>
        </w:tc>
        <w:tc>
          <w:tcPr>
            <w:tcW w:w="515" w:type="pct"/>
            <w:vMerge/>
            <w:tcBorders>
              <w:top w:val="single" w:sz="4" w:space="0" w:color="auto"/>
              <w:left w:val="single" w:sz="4" w:space="0" w:color="auto"/>
              <w:bottom w:val="single" w:sz="4" w:space="0" w:color="auto"/>
              <w:right w:val="single" w:sz="4" w:space="0" w:color="auto"/>
            </w:tcBorders>
            <w:textDirection w:val="lrTb"/>
            <w:vAlign w:val="center"/>
            <w:hideMark/>
          </w:tcPr>
          <w:p w:rsidR="00CD5972" w:rsidRPr="00924CC2" w:rsidP="00F576BD">
            <w:pPr>
              <w:bidi w:val="0"/>
              <w:rPr>
                <w:rFonts w:ascii="Times New Roman" w:hAnsi="Times New Roman" w:cs="Times New Roman"/>
                <w:color w:val="000000"/>
                <w:sz w:val="14"/>
                <w:szCs w:val="14"/>
                <w:lang w:eastAsia="sk-SK"/>
              </w:rPr>
            </w:pPr>
          </w:p>
        </w:tc>
        <w:tc>
          <w:tcPr>
            <w:tcW w:w="515" w:type="pct"/>
            <w:vMerge/>
            <w:tcBorders>
              <w:top w:val="single" w:sz="4" w:space="0" w:color="auto"/>
              <w:left w:val="single" w:sz="4" w:space="0" w:color="auto"/>
              <w:bottom w:val="single" w:sz="4" w:space="0" w:color="auto"/>
              <w:right w:val="single" w:sz="4" w:space="0" w:color="auto"/>
            </w:tcBorders>
            <w:textDirection w:val="lrTb"/>
            <w:vAlign w:val="center"/>
            <w:hideMark/>
          </w:tcPr>
          <w:p w:rsidR="00CD5972" w:rsidRPr="00924CC2" w:rsidP="00F576BD">
            <w:pPr>
              <w:bidi w:val="0"/>
              <w:rPr>
                <w:rFonts w:ascii="Times New Roman" w:hAnsi="Times New Roman" w:cs="Times New Roman"/>
                <w:color w:val="000000"/>
                <w:sz w:val="14"/>
                <w:szCs w:val="14"/>
                <w:lang w:eastAsia="sk-SK"/>
              </w:rPr>
            </w:pPr>
          </w:p>
        </w:tc>
        <w:tc>
          <w:tcPr>
            <w:tcW w:w="536" w:type="pct"/>
            <w:vMerge/>
            <w:tcBorders>
              <w:top w:val="single" w:sz="4" w:space="0" w:color="auto"/>
              <w:left w:val="single" w:sz="4" w:space="0" w:color="auto"/>
              <w:bottom w:val="single" w:sz="4" w:space="0" w:color="auto"/>
              <w:right w:val="single" w:sz="4" w:space="0" w:color="auto"/>
            </w:tcBorders>
            <w:textDirection w:val="lrTb"/>
            <w:vAlign w:val="center"/>
            <w:hideMark/>
          </w:tcPr>
          <w:p w:rsidR="00CD5972" w:rsidRPr="00924CC2" w:rsidP="00F576BD">
            <w:pPr>
              <w:bidi w:val="0"/>
              <w:rPr>
                <w:rFonts w:ascii="Times New Roman" w:hAnsi="Times New Roman" w:cs="Times New Roman"/>
                <w:color w:val="000000"/>
                <w:sz w:val="14"/>
                <w:szCs w:val="14"/>
                <w:lang w:eastAsia="sk-SK"/>
              </w:rPr>
            </w:pPr>
          </w:p>
        </w:tc>
        <w:tc>
          <w:tcPr>
            <w:tcW w:w="590" w:type="pct"/>
            <w:vMerge/>
            <w:tcBorders>
              <w:top w:val="single" w:sz="4" w:space="0" w:color="auto"/>
              <w:left w:val="single" w:sz="4" w:space="0" w:color="auto"/>
              <w:bottom w:val="single" w:sz="4" w:space="0" w:color="auto"/>
              <w:right w:val="single" w:sz="4" w:space="0" w:color="auto"/>
            </w:tcBorders>
            <w:textDirection w:val="lrTb"/>
            <w:vAlign w:val="center"/>
            <w:hideMark/>
          </w:tcPr>
          <w:p w:rsidR="00CD5972" w:rsidRPr="00924CC2" w:rsidP="00F576BD">
            <w:pPr>
              <w:bidi w:val="0"/>
              <w:rPr>
                <w:rFonts w:ascii="Times New Roman" w:hAnsi="Times New Roman" w:cs="Times New Roman"/>
                <w:color w:val="000000"/>
                <w:sz w:val="14"/>
                <w:szCs w:val="14"/>
                <w:lang w:eastAsia="sk-SK"/>
              </w:rPr>
            </w:pPr>
          </w:p>
        </w:tc>
        <w:tc>
          <w:tcPr>
            <w:tcW w:w="590" w:type="pct"/>
            <w:vMerge/>
            <w:tcBorders>
              <w:top w:val="single" w:sz="4" w:space="0" w:color="auto"/>
              <w:left w:val="single" w:sz="4" w:space="0" w:color="auto"/>
              <w:bottom w:val="single" w:sz="4" w:space="0" w:color="auto"/>
              <w:right w:val="single" w:sz="4" w:space="0" w:color="auto"/>
            </w:tcBorders>
            <w:textDirection w:val="lrTb"/>
            <w:vAlign w:val="center"/>
            <w:hideMark/>
          </w:tcPr>
          <w:p w:rsidR="00CD5972" w:rsidRPr="00924CC2" w:rsidP="00F576BD">
            <w:pPr>
              <w:bidi w:val="0"/>
              <w:rPr>
                <w:rFonts w:ascii="Times New Roman" w:hAnsi="Times New Roman" w:cs="Times New Roman"/>
                <w:color w:val="000000"/>
                <w:sz w:val="14"/>
                <w:szCs w:val="14"/>
                <w:lang w:eastAsia="sk-SK"/>
              </w:rPr>
            </w:pPr>
          </w:p>
        </w:tc>
        <w:tc>
          <w:tcPr>
            <w:tcW w:w="590" w:type="pct"/>
            <w:vMerge/>
            <w:tcBorders>
              <w:top w:val="single" w:sz="4" w:space="0" w:color="auto"/>
              <w:left w:val="single" w:sz="4" w:space="0" w:color="auto"/>
              <w:bottom w:val="single" w:sz="4" w:space="0" w:color="auto"/>
              <w:right w:val="single" w:sz="4" w:space="0" w:color="auto"/>
            </w:tcBorders>
            <w:textDirection w:val="lrTb"/>
            <w:vAlign w:val="center"/>
            <w:hideMark/>
          </w:tcPr>
          <w:p w:rsidR="00CD5972" w:rsidRPr="00924CC2" w:rsidP="00F576BD">
            <w:pPr>
              <w:bidi w:val="0"/>
              <w:rPr>
                <w:rFonts w:ascii="Times New Roman" w:hAnsi="Times New Roman" w:cs="Times New Roman"/>
                <w:color w:val="000000"/>
                <w:sz w:val="14"/>
                <w:szCs w:val="14"/>
                <w:lang w:eastAsia="sk-SK"/>
              </w:rPr>
            </w:pPr>
          </w:p>
        </w:tc>
      </w:tr>
      <w:tr>
        <w:tblPrEx>
          <w:tblW w:w="5000" w:type="pct"/>
          <w:tblCellMar>
            <w:left w:w="70" w:type="dxa"/>
            <w:right w:w="70" w:type="dxa"/>
          </w:tblCellMar>
          <w:tblLook w:val="04A0"/>
        </w:tblPrEx>
        <w:trPr>
          <w:trHeight w:val="366"/>
        </w:trPr>
        <w:tc>
          <w:tcPr>
            <w:tcW w:w="1148"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both"/>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 xml:space="preserve">       </w:t>
            </w:r>
            <w:r>
              <w:rPr>
                <w:rFonts w:ascii="Times New Roman" w:hAnsi="Times New Roman" w:cs="Times New Roman"/>
                <w:color w:val="000000"/>
                <w:sz w:val="14"/>
                <w:szCs w:val="14"/>
                <w:lang w:eastAsia="sk-SK"/>
              </w:rPr>
              <w:t xml:space="preserve"> </w:t>
            </w:r>
            <w:r w:rsidRPr="00924CC2">
              <w:rPr>
                <w:rFonts w:ascii="Times New Roman" w:hAnsi="Times New Roman" w:cs="Times New Roman"/>
                <w:color w:val="000000"/>
                <w:sz w:val="14"/>
                <w:szCs w:val="14"/>
                <w:lang w:eastAsia="sk-SK"/>
              </w:rPr>
              <w:t xml:space="preserve">     ďalšie kapitálové príjmy</w:t>
            </w:r>
          </w:p>
        </w:tc>
        <w:tc>
          <w:tcPr>
            <w:tcW w:w="51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538</w:t>
            </w:r>
          </w:p>
        </w:tc>
        <w:tc>
          <w:tcPr>
            <w:tcW w:w="51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130</w:t>
            </w:r>
          </w:p>
        </w:tc>
        <w:tc>
          <w:tcPr>
            <w:tcW w:w="515"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c>
          <w:tcPr>
            <w:tcW w:w="536"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c>
          <w:tcPr>
            <w:tcW w:w="590"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r>
    </w:tbl>
    <w:p w:rsidR="00CD5972" w:rsidP="00CD5972">
      <w:pPr>
        <w:bidi w:val="0"/>
        <w:ind w:firstLine="708"/>
        <w:jc w:val="both"/>
        <w:rPr>
          <w:rFonts w:ascii="Times New Roman" w:hAnsi="Times New Roman"/>
          <w:b/>
          <w:szCs w:val="22"/>
        </w:rPr>
      </w:pPr>
    </w:p>
    <w:p w:rsidR="00CD5972" w:rsidRPr="002C0D88" w:rsidP="00CD5972">
      <w:pPr>
        <w:bidi w:val="0"/>
        <w:ind w:firstLine="708"/>
        <w:jc w:val="both"/>
        <w:rPr>
          <w:rFonts w:ascii="Times New Roman" w:hAnsi="Times New Roman"/>
          <w:szCs w:val="22"/>
        </w:rPr>
      </w:pPr>
      <w:r w:rsidRPr="00CC58F4">
        <w:rPr>
          <w:rFonts w:ascii="Times New Roman" w:hAnsi="Times New Roman"/>
          <w:szCs w:val="22"/>
        </w:rPr>
        <w:t>V rámci</w:t>
      </w:r>
      <w:r>
        <w:rPr>
          <w:rFonts w:ascii="Times New Roman" w:hAnsi="Times New Roman"/>
          <w:b/>
          <w:szCs w:val="22"/>
        </w:rPr>
        <w:t xml:space="preserve"> ú</w:t>
      </w:r>
      <w:r w:rsidRPr="002C0D88">
        <w:rPr>
          <w:rFonts w:ascii="Times New Roman" w:hAnsi="Times New Roman"/>
          <w:b/>
          <w:szCs w:val="22"/>
        </w:rPr>
        <w:t>rok</w:t>
      </w:r>
      <w:r>
        <w:rPr>
          <w:rFonts w:ascii="Times New Roman" w:hAnsi="Times New Roman"/>
          <w:b/>
          <w:szCs w:val="22"/>
        </w:rPr>
        <w:t>ov</w:t>
      </w:r>
      <w:r w:rsidRPr="002C0D88">
        <w:rPr>
          <w:rFonts w:ascii="Times New Roman" w:hAnsi="Times New Roman"/>
          <w:b/>
          <w:szCs w:val="22"/>
        </w:rPr>
        <w:t xml:space="preserve"> z tuzemských a zahraničných úverov, pôžičiek, návratných finančných výpomocí a vkladov </w:t>
      </w:r>
      <w:r w:rsidRPr="002C0D88">
        <w:rPr>
          <w:rFonts w:ascii="Times New Roman" w:hAnsi="Times New Roman"/>
          <w:szCs w:val="22"/>
        </w:rPr>
        <w:t xml:space="preserve">dochádza </w:t>
      </w:r>
      <w:r>
        <w:rPr>
          <w:rFonts w:ascii="Times New Roman" w:hAnsi="Times New Roman"/>
          <w:szCs w:val="22"/>
        </w:rPr>
        <w:t>v</w:t>
      </w:r>
      <w:r w:rsidRPr="002C0D88">
        <w:rPr>
          <w:rFonts w:ascii="Times New Roman" w:hAnsi="Times New Roman"/>
          <w:szCs w:val="22"/>
        </w:rPr>
        <w:t> roku 2012 v porovnaní s očakávanou skutočnosťou roku 2011 k poklesu uvedených príjmov o 24,</w:t>
      </w:r>
      <w:r>
        <w:rPr>
          <w:rFonts w:ascii="Times New Roman" w:hAnsi="Times New Roman"/>
          <w:szCs w:val="22"/>
        </w:rPr>
        <w:t>2</w:t>
      </w:r>
      <w:r w:rsidRPr="002C0D88">
        <w:rPr>
          <w:rFonts w:ascii="Times New Roman" w:hAnsi="Times New Roman"/>
          <w:szCs w:val="22"/>
        </w:rPr>
        <w:t> % z dôvodu, že sa od roku 2012 nerozpočtujú úrokové príjmy štátneho dlhu zo zhodnocovania dočasne voľných finančných  prostriedkov na peňažnom trhu. Z dôvodu zjednodušenia sledovania a sprehľadnenia  nákladov štátu na obsluhu finančných potrieb bolo rozhodnuté v zmysle zákona o Štátnej pokladnici zriadiť saldo</w:t>
      </w:r>
      <w:r>
        <w:rPr>
          <w:rFonts w:ascii="Times New Roman" w:hAnsi="Times New Roman"/>
          <w:szCs w:val="22"/>
        </w:rPr>
        <w:t xml:space="preserve"> účet finančných operácií ARDAL, takže príjmy zo zhodnocovania dočasne voľných finančných prostriedkov sa použijú na obsluhu štátneho dlhu.</w:t>
      </w:r>
    </w:p>
    <w:p w:rsidR="00CD5972" w:rsidRPr="002C0D88" w:rsidP="00CD5972">
      <w:pPr>
        <w:bidi w:val="0"/>
        <w:ind w:firstLine="708"/>
        <w:jc w:val="both"/>
        <w:rPr>
          <w:rFonts w:ascii="Times New Roman" w:hAnsi="Times New Roman"/>
          <w:szCs w:val="22"/>
        </w:rPr>
      </w:pPr>
      <w:r w:rsidRPr="002C0D88">
        <w:rPr>
          <w:rFonts w:ascii="Times New Roman" w:hAnsi="Times New Roman"/>
          <w:szCs w:val="22"/>
        </w:rPr>
        <w:t xml:space="preserve"> </w:t>
      </w:r>
    </w:p>
    <w:p w:rsidR="00CD5972" w:rsidRPr="002C0D88" w:rsidP="00CD5972">
      <w:pPr>
        <w:bidi w:val="0"/>
        <w:spacing w:after="120"/>
        <w:ind w:firstLine="709"/>
        <w:jc w:val="both"/>
        <w:rPr>
          <w:rFonts w:ascii="Times New Roman" w:hAnsi="Times New Roman"/>
          <w:szCs w:val="22"/>
        </w:rPr>
      </w:pPr>
      <w:r w:rsidRPr="002C0D88">
        <w:rPr>
          <w:rFonts w:ascii="Times New Roman" w:hAnsi="Times New Roman"/>
          <w:szCs w:val="22"/>
        </w:rPr>
        <w:t xml:space="preserve">V rámci úrokov najväčší podiel tvoria úroky z kreditných zostatkov peňažných prostriedkov vedených na účtoch Štátnej pokladnice v Národnej banke Slovenska, banke alebo pobočke zahraničnej banky vrátane úrokov z finančných operácií vykonaných Štátnou pokladnicou s klientom Štátny dlh znížené o úroky platené Štátnou pokladnicou a výnosy z finančných operácií zabezpečovaných Štátnou pokladnicou znížené o úroky platené Štátnou pokladnicou a príjmy z poplatkov za služby poskytované Štátnou pokladnicou znížené o náklady súvisiace s ich poskytnutím. </w:t>
      </w:r>
    </w:p>
    <w:p w:rsidR="00CD5972" w:rsidRPr="002C0D88" w:rsidP="00CD5972">
      <w:pPr>
        <w:bidi w:val="0"/>
        <w:jc w:val="both"/>
        <w:rPr>
          <w:rFonts w:ascii="Times New Roman" w:hAnsi="Times New Roman"/>
          <w:szCs w:val="22"/>
        </w:rPr>
      </w:pPr>
      <w:r w:rsidRPr="002C0D88">
        <w:rPr>
          <w:rFonts w:ascii="Times New Roman" w:hAnsi="Times New Roman"/>
          <w:szCs w:val="22"/>
        </w:rPr>
        <w:tab/>
        <w:t>Ďalej sem patria úroky z</w:t>
      </w:r>
      <w:r w:rsidR="00C475F7">
        <w:rPr>
          <w:rFonts w:ascii="Times New Roman" w:hAnsi="Times New Roman"/>
          <w:szCs w:val="22"/>
        </w:rPr>
        <w:t xml:space="preserve"> návratných finančných výpomocí </w:t>
      </w:r>
      <w:r w:rsidRPr="002C0D88">
        <w:rPr>
          <w:rFonts w:ascii="Times New Roman" w:hAnsi="Times New Roman"/>
          <w:szCs w:val="22"/>
        </w:rPr>
        <w:t>poskytnutých Bratislavskému samosprávnemu kraju a z realizovaných štátnych záruk</w:t>
      </w:r>
      <w:r>
        <w:rPr>
          <w:rFonts w:ascii="Times New Roman" w:hAnsi="Times New Roman"/>
          <w:szCs w:val="22"/>
        </w:rPr>
        <w:t xml:space="preserve"> za</w:t>
      </w:r>
      <w:r w:rsidRPr="002C0D88">
        <w:rPr>
          <w:rFonts w:ascii="Times New Roman" w:hAnsi="Times New Roman"/>
          <w:szCs w:val="22"/>
        </w:rPr>
        <w:t xml:space="preserve"> Vodohospodársk</w:t>
      </w:r>
      <w:r>
        <w:rPr>
          <w:rFonts w:ascii="Times New Roman" w:hAnsi="Times New Roman"/>
          <w:szCs w:val="22"/>
        </w:rPr>
        <w:t>u</w:t>
      </w:r>
      <w:r w:rsidRPr="002C0D88">
        <w:rPr>
          <w:rFonts w:ascii="Times New Roman" w:hAnsi="Times New Roman"/>
          <w:szCs w:val="22"/>
        </w:rPr>
        <w:t xml:space="preserve"> výstavb</w:t>
      </w:r>
      <w:r>
        <w:rPr>
          <w:rFonts w:ascii="Times New Roman" w:hAnsi="Times New Roman"/>
          <w:szCs w:val="22"/>
        </w:rPr>
        <w:t>u</w:t>
      </w:r>
      <w:r w:rsidRPr="002C0D88">
        <w:rPr>
          <w:rFonts w:ascii="Times New Roman" w:hAnsi="Times New Roman"/>
          <w:szCs w:val="22"/>
        </w:rPr>
        <w:t xml:space="preserve">, š. p., v zmysle platných splátkových kalendárov.  </w:t>
      </w:r>
    </w:p>
    <w:p w:rsidR="00CD5972" w:rsidRPr="002C0D88" w:rsidP="00CD5972">
      <w:pPr>
        <w:bidi w:val="0"/>
        <w:jc w:val="both"/>
        <w:rPr>
          <w:rFonts w:ascii="Times New Roman" w:hAnsi="Times New Roman"/>
          <w:szCs w:val="22"/>
        </w:rPr>
      </w:pPr>
    </w:p>
    <w:p w:rsidR="00CD5972" w:rsidP="00CD5972">
      <w:pPr>
        <w:tabs>
          <w:tab w:val="left" w:pos="1620"/>
        </w:tabs>
        <w:bidi w:val="0"/>
        <w:ind w:firstLine="708"/>
        <w:jc w:val="both"/>
        <w:rPr>
          <w:rFonts w:ascii="Times New Roman" w:hAnsi="Times New Roman"/>
          <w:szCs w:val="22"/>
        </w:rPr>
      </w:pPr>
      <w:r w:rsidRPr="002C0D88">
        <w:rPr>
          <w:rFonts w:ascii="Times New Roman" w:hAnsi="Times New Roman"/>
          <w:szCs w:val="22"/>
        </w:rPr>
        <w:t xml:space="preserve">Úroky zo zahraničných úverov, pôžičiek, návratných finančných výpomocí a vkladov tvoria najmä úroky z vládnych úverov poskytnutých do zahraničia. Sú príjmami kapitoly Všeobecná pokladničná správa. V rámci kapitoly Ministerstva zahraničných vecí SR a Ministerstva obrany SR ide o kreditné úroky účtov zastupiteľských úradov Slovenskej republiky v zahraničí. </w:t>
      </w:r>
    </w:p>
    <w:p w:rsidR="00CD5972" w:rsidRPr="002C0D88" w:rsidP="00CD5972">
      <w:pPr>
        <w:tabs>
          <w:tab w:val="left" w:pos="1620"/>
        </w:tabs>
        <w:bidi w:val="0"/>
        <w:ind w:firstLine="708"/>
        <w:jc w:val="both"/>
        <w:rPr>
          <w:rFonts w:ascii="Times New Roman" w:hAnsi="Times New Roman"/>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36"/>
        <w:gridCol w:w="982"/>
        <w:gridCol w:w="982"/>
        <w:gridCol w:w="982"/>
        <w:gridCol w:w="982"/>
        <w:gridCol w:w="982"/>
        <w:gridCol w:w="982"/>
        <w:gridCol w:w="98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72"/>
        </w:trPr>
        <w:tc>
          <w:tcPr>
            <w:tcW w:w="1268" w:type="pct"/>
            <w:tcBorders>
              <w:top w:val="single" w:sz="4" w:space="0" w:color="auto"/>
              <w:left w:val="single" w:sz="4" w:space="0" w:color="auto"/>
              <w:bottom w:val="single" w:sz="4" w:space="0" w:color="auto"/>
              <w:right w:val="single" w:sz="4" w:space="0" w:color="auto"/>
            </w:tcBorders>
            <w:shd w:val="clear" w:color="000000" w:fill="A6A6A6"/>
            <w:textDirection w:val="lrTb"/>
            <w:vAlign w:val="bottom"/>
            <w:hideMark/>
          </w:tcPr>
          <w:p w:rsidR="00CD5972" w:rsidRPr="00924CC2" w:rsidP="00F576BD">
            <w:pPr>
              <w:bidi w:val="0"/>
              <w:jc w:val="both"/>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v tis. eur</w:t>
            </w:r>
          </w:p>
        </w:tc>
        <w:tc>
          <w:tcPr>
            <w:tcW w:w="53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2009 S</w:t>
            </w:r>
          </w:p>
        </w:tc>
        <w:tc>
          <w:tcPr>
            <w:tcW w:w="53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2010 S</w:t>
            </w:r>
          </w:p>
        </w:tc>
        <w:tc>
          <w:tcPr>
            <w:tcW w:w="53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2011 R</w:t>
            </w:r>
          </w:p>
        </w:tc>
        <w:tc>
          <w:tcPr>
            <w:tcW w:w="53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2011 OS</w:t>
            </w:r>
          </w:p>
        </w:tc>
        <w:tc>
          <w:tcPr>
            <w:tcW w:w="53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2012 N</w:t>
            </w:r>
          </w:p>
        </w:tc>
        <w:tc>
          <w:tcPr>
            <w:tcW w:w="53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2013 N</w:t>
            </w:r>
          </w:p>
        </w:tc>
        <w:tc>
          <w:tcPr>
            <w:tcW w:w="534"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2014 N</w:t>
            </w:r>
          </w:p>
        </w:tc>
      </w:tr>
      <w:tr>
        <w:tblPrEx>
          <w:tblW w:w="5000" w:type="pct"/>
          <w:tblCellMar>
            <w:left w:w="70" w:type="dxa"/>
            <w:right w:w="70" w:type="dxa"/>
          </w:tblCellMar>
          <w:tblLook w:val="04A0"/>
        </w:tblPrEx>
        <w:trPr>
          <w:trHeight w:val="372"/>
        </w:trPr>
        <w:tc>
          <w:tcPr>
            <w:tcW w:w="1268"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both"/>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Spolu</w:t>
            </w:r>
          </w:p>
        </w:tc>
        <w:tc>
          <w:tcPr>
            <w:tcW w:w="533"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94 725</w:t>
            </w:r>
          </w:p>
        </w:tc>
        <w:tc>
          <w:tcPr>
            <w:tcW w:w="533"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79 011</w:t>
            </w:r>
          </w:p>
        </w:tc>
        <w:tc>
          <w:tcPr>
            <w:tcW w:w="533"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79 803</w:t>
            </w:r>
          </w:p>
        </w:tc>
        <w:tc>
          <w:tcPr>
            <w:tcW w:w="533"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60 328</w:t>
            </w:r>
          </w:p>
        </w:tc>
        <w:tc>
          <w:tcPr>
            <w:tcW w:w="533"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 45 748</w:t>
            </w:r>
          </w:p>
        </w:tc>
        <w:tc>
          <w:tcPr>
            <w:tcW w:w="533"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 58 602</w:t>
            </w:r>
          </w:p>
        </w:tc>
        <w:tc>
          <w:tcPr>
            <w:tcW w:w="534"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 68 777</w:t>
            </w:r>
          </w:p>
        </w:tc>
      </w:tr>
      <w:tr>
        <w:tblPrEx>
          <w:tblW w:w="5000" w:type="pct"/>
          <w:tblCellMar>
            <w:left w:w="70" w:type="dxa"/>
            <w:right w:w="70" w:type="dxa"/>
          </w:tblCellMar>
          <w:tblLook w:val="04A0"/>
        </w:tblPrEx>
        <w:trPr>
          <w:trHeight w:val="372"/>
        </w:trPr>
        <w:tc>
          <w:tcPr>
            <w:tcW w:w="1268"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both"/>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Úroky z účtov fin. hospodárenia zo ŠP</w:t>
            </w:r>
          </w:p>
        </w:tc>
        <w:tc>
          <w:tcPr>
            <w:tcW w:w="53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18 347</w:t>
            </w:r>
          </w:p>
        </w:tc>
        <w:tc>
          <w:tcPr>
            <w:tcW w:w="53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5 264</w:t>
            </w:r>
          </w:p>
        </w:tc>
        <w:tc>
          <w:tcPr>
            <w:tcW w:w="53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19 965</w:t>
            </w:r>
          </w:p>
        </w:tc>
        <w:tc>
          <w:tcPr>
            <w:tcW w:w="53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12 500</w:t>
            </w:r>
          </w:p>
        </w:tc>
        <w:tc>
          <w:tcPr>
            <w:tcW w:w="53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35 220</w:t>
            </w:r>
          </w:p>
        </w:tc>
        <w:tc>
          <w:tcPr>
            <w:tcW w:w="53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48 779</w:t>
            </w:r>
          </w:p>
        </w:tc>
        <w:tc>
          <w:tcPr>
            <w:tcW w:w="534"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59 865</w:t>
            </w:r>
          </w:p>
        </w:tc>
      </w:tr>
      <w:tr>
        <w:tblPrEx>
          <w:tblW w:w="5000" w:type="pct"/>
          <w:tblCellMar>
            <w:left w:w="70" w:type="dxa"/>
            <w:right w:w="70" w:type="dxa"/>
          </w:tblCellMar>
          <w:tblLook w:val="04A0"/>
        </w:tblPrEx>
        <w:trPr>
          <w:trHeight w:val="372"/>
        </w:trPr>
        <w:tc>
          <w:tcPr>
            <w:tcW w:w="1268"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both"/>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Úroky z návratných fin.</w:t>
            </w:r>
            <w:r>
              <w:rPr>
                <w:rFonts w:ascii="Times New Roman" w:hAnsi="Times New Roman" w:cs="Times New Roman"/>
                <w:color w:val="000000"/>
                <w:sz w:val="14"/>
                <w:szCs w:val="14"/>
                <w:lang w:eastAsia="sk-SK"/>
              </w:rPr>
              <w:t> </w:t>
            </w:r>
            <w:r w:rsidRPr="00924CC2">
              <w:rPr>
                <w:rFonts w:ascii="Times New Roman" w:hAnsi="Times New Roman" w:cs="Times New Roman"/>
                <w:color w:val="000000"/>
                <w:sz w:val="14"/>
                <w:szCs w:val="14"/>
                <w:lang w:eastAsia="sk-SK"/>
              </w:rPr>
              <w:t>výpomocí a štátnych záruk</w:t>
            </w:r>
          </w:p>
        </w:tc>
        <w:tc>
          <w:tcPr>
            <w:tcW w:w="53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17 883</w:t>
            </w:r>
          </w:p>
        </w:tc>
        <w:tc>
          <w:tcPr>
            <w:tcW w:w="53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24 834</w:t>
            </w:r>
          </w:p>
        </w:tc>
        <w:tc>
          <w:tcPr>
            <w:tcW w:w="53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11 393</w:t>
            </w:r>
          </w:p>
        </w:tc>
        <w:tc>
          <w:tcPr>
            <w:tcW w:w="53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11 151</w:t>
            </w:r>
          </w:p>
        </w:tc>
        <w:tc>
          <w:tcPr>
            <w:tcW w:w="53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10 401</w:t>
            </w:r>
          </w:p>
        </w:tc>
        <w:tc>
          <w:tcPr>
            <w:tcW w:w="53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9 738</w:t>
            </w:r>
          </w:p>
        </w:tc>
        <w:tc>
          <w:tcPr>
            <w:tcW w:w="534"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8 899</w:t>
            </w:r>
          </w:p>
        </w:tc>
      </w:tr>
      <w:tr>
        <w:tblPrEx>
          <w:tblW w:w="5000" w:type="pct"/>
          <w:tblCellMar>
            <w:left w:w="70" w:type="dxa"/>
            <w:right w:w="70" w:type="dxa"/>
          </w:tblCellMar>
          <w:tblLook w:val="04A0"/>
        </w:tblPrEx>
        <w:trPr>
          <w:trHeight w:val="372"/>
        </w:trPr>
        <w:tc>
          <w:tcPr>
            <w:tcW w:w="1268"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both"/>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Z úverov a</w:t>
            </w:r>
            <w:r>
              <w:rPr>
                <w:rFonts w:ascii="Times New Roman" w:hAnsi="Times New Roman" w:cs="Times New Roman"/>
                <w:color w:val="000000"/>
                <w:sz w:val="14"/>
                <w:szCs w:val="14"/>
                <w:lang w:eastAsia="sk-SK"/>
              </w:rPr>
              <w:t> </w:t>
            </w:r>
            <w:r w:rsidRPr="00924CC2">
              <w:rPr>
                <w:rFonts w:ascii="Times New Roman" w:hAnsi="Times New Roman" w:cs="Times New Roman"/>
                <w:color w:val="000000"/>
                <w:sz w:val="14"/>
                <w:szCs w:val="14"/>
                <w:lang w:eastAsia="sk-SK"/>
              </w:rPr>
              <w:t>pôžičiek</w:t>
            </w:r>
          </w:p>
        </w:tc>
        <w:tc>
          <w:tcPr>
            <w:tcW w:w="53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192</w:t>
            </w:r>
          </w:p>
        </w:tc>
        <w:tc>
          <w:tcPr>
            <w:tcW w:w="53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251</w:t>
            </w:r>
          </w:p>
        </w:tc>
        <w:tc>
          <w:tcPr>
            <w:tcW w:w="53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498</w:t>
            </w:r>
          </w:p>
        </w:tc>
        <w:tc>
          <w:tcPr>
            <w:tcW w:w="53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c>
          <w:tcPr>
            <w:tcW w:w="53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100</w:t>
            </w:r>
          </w:p>
        </w:tc>
        <w:tc>
          <w:tcPr>
            <w:tcW w:w="53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66</w:t>
            </w:r>
          </w:p>
        </w:tc>
        <w:tc>
          <w:tcPr>
            <w:tcW w:w="534"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val="372"/>
        </w:trPr>
        <w:tc>
          <w:tcPr>
            <w:tcW w:w="1268"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both"/>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 xml:space="preserve">Úroky z finančných operácií </w:t>
            </w:r>
          </w:p>
        </w:tc>
        <w:tc>
          <w:tcPr>
            <w:tcW w:w="53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53 719</w:t>
            </w:r>
          </w:p>
        </w:tc>
        <w:tc>
          <w:tcPr>
            <w:tcW w:w="53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47 258</w:t>
            </w:r>
          </w:p>
        </w:tc>
        <w:tc>
          <w:tcPr>
            <w:tcW w:w="53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47 910</w:t>
            </w:r>
          </w:p>
        </w:tc>
        <w:tc>
          <w:tcPr>
            <w:tcW w:w="53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36 642</w:t>
            </w:r>
          </w:p>
        </w:tc>
        <w:tc>
          <w:tcPr>
            <w:tcW w:w="53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c>
          <w:tcPr>
            <w:tcW w:w="53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c>
          <w:tcPr>
            <w:tcW w:w="534"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val="372"/>
        </w:trPr>
        <w:tc>
          <w:tcPr>
            <w:tcW w:w="1268"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both"/>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Úroky z vládnych úverov poskytnutých do zahraničia</w:t>
            </w:r>
          </w:p>
        </w:tc>
        <w:tc>
          <w:tcPr>
            <w:tcW w:w="53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4 584</w:t>
            </w:r>
          </w:p>
        </w:tc>
        <w:tc>
          <w:tcPr>
            <w:tcW w:w="53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1 404</w:t>
            </w:r>
          </w:p>
        </w:tc>
        <w:tc>
          <w:tcPr>
            <w:tcW w:w="53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37</w:t>
            </w:r>
          </w:p>
        </w:tc>
        <w:tc>
          <w:tcPr>
            <w:tcW w:w="53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35</w:t>
            </w:r>
          </w:p>
        </w:tc>
        <w:tc>
          <w:tcPr>
            <w:tcW w:w="53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27</w:t>
            </w:r>
          </w:p>
        </w:tc>
        <w:tc>
          <w:tcPr>
            <w:tcW w:w="53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19</w:t>
            </w:r>
          </w:p>
        </w:tc>
        <w:tc>
          <w:tcPr>
            <w:tcW w:w="534"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13</w:t>
            </w:r>
          </w:p>
        </w:tc>
      </w:tr>
    </w:tbl>
    <w:p w:rsidR="00CD5972" w:rsidRPr="002C0D88" w:rsidP="00CD5972">
      <w:pPr>
        <w:tabs>
          <w:tab w:val="left" w:pos="1620"/>
        </w:tabs>
        <w:bidi w:val="0"/>
        <w:ind w:firstLine="708"/>
        <w:jc w:val="both"/>
        <w:rPr>
          <w:rFonts w:ascii="Times New Roman" w:hAnsi="Times New Roman"/>
          <w:szCs w:val="22"/>
        </w:rPr>
      </w:pPr>
    </w:p>
    <w:p w:rsidR="00CD5972" w:rsidP="00CD5972">
      <w:pPr>
        <w:bidi w:val="0"/>
        <w:ind w:firstLine="708"/>
        <w:jc w:val="both"/>
        <w:rPr>
          <w:rFonts w:ascii="Times New Roman" w:hAnsi="Times New Roman"/>
          <w:szCs w:val="22"/>
        </w:rPr>
      </w:pPr>
      <w:r w:rsidRPr="002C0D88">
        <w:rPr>
          <w:rFonts w:ascii="Times New Roman" w:hAnsi="Times New Roman"/>
          <w:b/>
          <w:szCs w:val="22"/>
        </w:rPr>
        <w:t>Iné nedaňové príjmy</w:t>
      </w:r>
      <w:r w:rsidRPr="002C0D88">
        <w:rPr>
          <w:rFonts w:ascii="Times New Roman" w:hAnsi="Times New Roman"/>
          <w:szCs w:val="22"/>
        </w:rPr>
        <w:t xml:space="preserve"> tvoria vrátené neoprávnene použité alebo zadržané finančné prostriedky a ostatné príjmy. Výška týchto príjmov je v priebehu rozpočtového roka ovplyvnená najmä objemom vrátených neoprávnene použitých finančných prostriedkov od neziskových organizácií, rozpočtových organizácií, obcí a ostatných príjmov, medzi ktoré patria najmä odvody a vratky. </w:t>
      </w:r>
    </w:p>
    <w:p w:rsidR="00CD5972" w:rsidP="00CD5972">
      <w:pPr>
        <w:bidi w:val="0"/>
        <w:ind w:firstLine="708"/>
        <w:jc w:val="both"/>
        <w:rPr>
          <w:rFonts w:ascii="Times New Roman" w:hAnsi="Times New Roman" w:cs="Times New Roman"/>
        </w:rPr>
      </w:pPr>
      <w:r w:rsidRPr="007448ED">
        <w:rPr>
          <w:rFonts w:ascii="Times New Roman" w:hAnsi="Times New Roman" w:cs="Times New Roman"/>
          <w:szCs w:val="22"/>
        </w:rPr>
        <w:t xml:space="preserve">Najväčší objem z týchto príjmov predstavujú príjmy z hazardných hier, ktoré sú rozpočtované v kapitole Všeobecná pokladničná správa. Vládnou novelou zákona o hazardných hrách, ktorou sa zvyšujú sadzby odvodov od septembra 2011, dochádza k zvýšeniu príjmov z odvodu z hazardných hier v roku 2012, </w:t>
      </w:r>
      <w:r>
        <w:rPr>
          <w:rFonts w:ascii="Times New Roman" w:hAnsi="Times New Roman" w:cs="Times New Roman"/>
          <w:szCs w:val="22"/>
        </w:rPr>
        <w:t xml:space="preserve">ktoré však </w:t>
      </w:r>
      <w:r w:rsidRPr="007448ED">
        <w:rPr>
          <w:rFonts w:ascii="Times New Roman" w:hAnsi="Times New Roman" w:cs="Times New Roman"/>
        </w:rPr>
        <w:t>nedosahujú úroveň plnenia </w:t>
      </w:r>
      <w:r>
        <w:rPr>
          <w:rFonts w:ascii="Times New Roman" w:hAnsi="Times New Roman" w:cs="Times New Roman"/>
        </w:rPr>
        <w:t xml:space="preserve">týchto príjmov v roku 2010 </w:t>
      </w:r>
      <w:r w:rsidRPr="007448ED">
        <w:rPr>
          <w:rFonts w:ascii="Times New Roman" w:hAnsi="Times New Roman" w:cs="Times New Roman"/>
        </w:rPr>
        <w:t>z dôvodu uloženia mimoriadneho odvodu do štátneho rozpočtu spoločnosti TIPOS, národná lotériová spoločnosť, a. s., vo výške 40</w:t>
      </w:r>
      <w:r>
        <w:rPr>
          <w:rFonts w:ascii="Times New Roman" w:hAnsi="Times New Roman" w:cs="Times New Roman"/>
        </w:rPr>
        <w:t> </w:t>
      </w:r>
      <w:r w:rsidRPr="007448ED">
        <w:rPr>
          <w:rFonts w:ascii="Times New Roman" w:hAnsi="Times New Roman" w:cs="Times New Roman"/>
        </w:rPr>
        <w:t>mil.</w:t>
      </w:r>
      <w:r>
        <w:rPr>
          <w:rFonts w:ascii="Times New Roman" w:hAnsi="Times New Roman" w:cs="Times New Roman"/>
        </w:rPr>
        <w:t> </w:t>
      </w:r>
      <w:r w:rsidRPr="007448ED">
        <w:rPr>
          <w:rFonts w:ascii="Times New Roman" w:hAnsi="Times New Roman" w:cs="Times New Roman"/>
        </w:rPr>
        <w:t>eur. V roku 2010 uhradila spoločnosť TIPOS, národná lotériová spoločnosť, a. s., </w:t>
      </w:r>
      <w:r>
        <w:rPr>
          <w:rFonts w:ascii="Times New Roman" w:hAnsi="Times New Roman" w:cs="Times New Roman"/>
        </w:rPr>
        <w:t>jednorazovú splátku</w:t>
      </w:r>
      <w:r w:rsidRPr="007448ED">
        <w:rPr>
          <w:rFonts w:ascii="Times New Roman" w:hAnsi="Times New Roman" w:cs="Times New Roman"/>
        </w:rPr>
        <w:t xml:space="preserve"> vo výške 20 mil. eur a ďalších 20 mil. eur bude uhrád</w:t>
      </w:r>
      <w:r>
        <w:rPr>
          <w:rFonts w:ascii="Times New Roman" w:hAnsi="Times New Roman" w:cs="Times New Roman"/>
        </w:rPr>
        <w:t>zať v splátkach až do roku 2020, ročne v sume 2 004 tis. eur.</w:t>
      </w:r>
    </w:p>
    <w:p w:rsidR="00CD5972" w:rsidRPr="007448ED" w:rsidP="00CD5972">
      <w:pPr>
        <w:bidi w:val="0"/>
        <w:ind w:firstLine="708"/>
        <w:jc w:val="both"/>
        <w:rPr>
          <w:rFonts w:ascii="Times New Roman" w:hAnsi="Times New Roman" w:cs="Times New Roman"/>
        </w:rPr>
      </w:pPr>
    </w:p>
    <w:p w:rsidR="00CD5972" w:rsidRPr="007448ED" w:rsidP="00CD5972">
      <w:pPr>
        <w:bidi w:val="0"/>
        <w:ind w:firstLine="708"/>
        <w:jc w:val="both"/>
        <w:rPr>
          <w:rFonts w:ascii="Times New Roman" w:hAnsi="Times New Roman" w:cs="Times New Roman"/>
          <w:szCs w:val="22"/>
        </w:rPr>
      </w:pPr>
      <w:r w:rsidRPr="007448ED">
        <w:rPr>
          <w:rFonts w:ascii="Times New Roman" w:hAnsi="Times New Roman" w:cs="Times New Roman"/>
          <w:szCs w:val="22"/>
        </w:rPr>
        <w:t xml:space="preserve">Zároveň ďalšou novelou zákona, ktorá nadobúda účinnosť od  1. 1. 2013 dochádza k zníženiu uvedených príjmov, nakoľko sa stanovujú presnejšie a prísnejšie podmienky na  prevádzku výherných automatov. </w:t>
      </w:r>
    </w:p>
    <w:p w:rsidR="00CD5972" w:rsidRPr="007448ED" w:rsidP="00CD5972">
      <w:pPr>
        <w:bidi w:val="0"/>
        <w:jc w:val="both"/>
        <w:rPr>
          <w:rFonts w:ascii="Times New Roman" w:hAnsi="Times New Roman" w:cs="Times New Roman"/>
          <w:szCs w:val="22"/>
        </w:rPr>
      </w:pPr>
    </w:p>
    <w:p w:rsidR="00CD5972" w:rsidP="00CD5972">
      <w:pPr>
        <w:bidi w:val="0"/>
        <w:jc w:val="both"/>
        <w:rPr>
          <w:rFonts w:ascii="Times New Roman" w:hAnsi="Times New Roman"/>
          <w:szCs w:val="22"/>
        </w:rPr>
      </w:pPr>
      <w:r>
        <w:rPr>
          <w:rFonts w:ascii="Times New Roman" w:hAnsi="Times New Roman"/>
          <w:szCs w:val="22"/>
        </w:rPr>
        <w:tab/>
        <w:t xml:space="preserve">V rámci kapitoly Správa štátnych hmotných rezerv sa rozpočtuje príspevok na tvorbu, obmenu, zámenu, skladovanie a financovanie núdzových zásob. </w:t>
      </w:r>
    </w:p>
    <w:p w:rsidR="00CD5972" w:rsidP="00CD5972">
      <w:pPr>
        <w:bidi w:val="0"/>
        <w:jc w:val="both"/>
        <w:rPr>
          <w:rFonts w:ascii="Times New Roman" w:hAnsi="Times New Roman"/>
          <w:szCs w:val="22"/>
        </w:rPr>
      </w:pPr>
    </w:p>
    <w:p w:rsidR="00CD5972" w:rsidP="00CD5972">
      <w:pPr>
        <w:bidi w:val="0"/>
        <w:jc w:val="both"/>
        <w:rPr>
          <w:rFonts w:ascii="Times New Roman" w:hAnsi="Times New Roman"/>
          <w:szCs w:val="22"/>
        </w:rPr>
      </w:pPr>
      <w:r>
        <w:rPr>
          <w:rFonts w:ascii="Times New Roman" w:hAnsi="Times New Roman"/>
          <w:szCs w:val="22"/>
        </w:rPr>
        <w:tab/>
        <w:t xml:space="preserve">Z dôvodu zavedenia garančnej dávky ako štátnej sociálnej dávky sa štátu ukladá povinnosť uhrádzať finančné náklady spojené s jej poskytovaním. V súvislosti s tým, že garančná dávka má byť financovaná z prostriedkov štátneho rozpočtu, suma vrátenej alebo vymoženej garančnej dávky sa rozpočtuje v rámci príjmov „Iné spolu“. Z uvedeného dôvodu dochádza k nárastu týchto príjmov v rokoch 2012 až 2014. </w:t>
      </w:r>
    </w:p>
    <w:p w:rsidR="00CD5972" w:rsidP="00CD5972">
      <w:pPr>
        <w:bidi w:val="0"/>
        <w:jc w:val="both"/>
        <w:rPr>
          <w:rFonts w:ascii="Times New Roman" w:hAnsi="Times New Roman"/>
          <w:szCs w:val="22"/>
        </w:rPr>
      </w:pPr>
      <w:r w:rsidRPr="002C0D88">
        <w:rPr>
          <w:rFonts w:ascii="Times New Roman" w:hAnsi="Times New Roman"/>
          <w:szCs w:val="22"/>
        </w:rPr>
        <w:tab/>
      </w:r>
    </w:p>
    <w:p w:rsidR="00CD5972" w:rsidP="00CD5972">
      <w:pPr>
        <w:bidi w:val="0"/>
        <w:ind w:firstLine="708"/>
        <w:jc w:val="both"/>
        <w:rPr>
          <w:rFonts w:ascii="Times New Roman" w:hAnsi="Times New Roman"/>
          <w:szCs w:val="22"/>
        </w:rPr>
      </w:pPr>
      <w:r w:rsidRPr="002C0D88">
        <w:rPr>
          <w:rFonts w:ascii="Times New Roman" w:hAnsi="Times New Roman"/>
          <w:szCs w:val="22"/>
        </w:rPr>
        <w:t xml:space="preserve">V rozpočtovom období 2012 až 2014 sa predpokladajú tieto príjmy vo výške: </w:t>
      </w:r>
    </w:p>
    <w:p w:rsidR="00CD5972" w:rsidRPr="002C0D88" w:rsidP="00CD5972">
      <w:pPr>
        <w:bidi w:val="0"/>
        <w:jc w:val="both"/>
        <w:rPr>
          <w:rFonts w:ascii="Times New Roman" w:hAnsi="Times New Roman"/>
          <w:szCs w:val="22"/>
        </w:rPr>
      </w:pPr>
    </w:p>
    <w:tbl>
      <w:tblPr>
        <w:tblStyle w:val="TableNormal"/>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998"/>
        <w:gridCol w:w="992"/>
        <w:gridCol w:w="992"/>
        <w:gridCol w:w="993"/>
        <w:gridCol w:w="992"/>
        <w:gridCol w:w="992"/>
        <w:gridCol w:w="1134"/>
        <w:gridCol w:w="992"/>
      </w:tblGrid>
      <w:tr>
        <w:tblPrEx>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22"/>
        </w:trPr>
        <w:tc>
          <w:tcPr>
            <w:tcW w:w="1998"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CD5972" w:rsidRPr="00077921" w:rsidP="00F576BD">
            <w:pPr>
              <w:bidi w:val="0"/>
              <w:jc w:val="both"/>
              <w:rPr>
                <w:rFonts w:ascii="Times New Roman" w:hAnsi="Times New Roman"/>
                <w:b/>
                <w:color w:val="000000"/>
                <w:sz w:val="14"/>
                <w:szCs w:val="16"/>
                <w:lang w:eastAsia="sk-SK"/>
              </w:rPr>
            </w:pPr>
            <w:r w:rsidRPr="00077921">
              <w:rPr>
                <w:rFonts w:ascii="Times New Roman" w:hAnsi="Times New Roman"/>
                <w:b/>
                <w:color w:val="000000"/>
                <w:sz w:val="14"/>
                <w:szCs w:val="16"/>
                <w:lang w:eastAsia="sk-SK"/>
              </w:rPr>
              <w:t>v tis. eur</w:t>
            </w:r>
          </w:p>
        </w:tc>
        <w:tc>
          <w:tcPr>
            <w:tcW w:w="992"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CD5972" w:rsidRPr="00077921" w:rsidP="00F576BD">
            <w:pPr>
              <w:bidi w:val="0"/>
              <w:jc w:val="center"/>
              <w:rPr>
                <w:rFonts w:ascii="Times New Roman" w:hAnsi="Times New Roman"/>
                <w:b/>
                <w:bCs/>
                <w:sz w:val="14"/>
                <w:szCs w:val="16"/>
                <w:lang w:eastAsia="sk-SK"/>
              </w:rPr>
            </w:pPr>
            <w:r w:rsidRPr="00077921">
              <w:rPr>
                <w:rFonts w:ascii="Times New Roman" w:hAnsi="Times New Roman"/>
                <w:b/>
                <w:bCs/>
                <w:sz w:val="14"/>
                <w:szCs w:val="16"/>
                <w:lang w:eastAsia="sk-SK"/>
              </w:rPr>
              <w:t>2009 S</w:t>
            </w:r>
          </w:p>
        </w:tc>
        <w:tc>
          <w:tcPr>
            <w:tcW w:w="992"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CD5972" w:rsidRPr="00077921" w:rsidP="00F576BD">
            <w:pPr>
              <w:bidi w:val="0"/>
              <w:jc w:val="center"/>
              <w:rPr>
                <w:rFonts w:ascii="Times New Roman" w:hAnsi="Times New Roman"/>
                <w:b/>
                <w:bCs/>
                <w:sz w:val="14"/>
                <w:szCs w:val="16"/>
                <w:lang w:eastAsia="sk-SK"/>
              </w:rPr>
            </w:pPr>
            <w:r w:rsidRPr="00077921">
              <w:rPr>
                <w:rFonts w:ascii="Times New Roman" w:hAnsi="Times New Roman"/>
                <w:b/>
                <w:bCs/>
                <w:sz w:val="14"/>
                <w:szCs w:val="16"/>
                <w:lang w:eastAsia="sk-SK"/>
              </w:rPr>
              <w:t>2010 S</w:t>
            </w:r>
          </w:p>
        </w:tc>
        <w:tc>
          <w:tcPr>
            <w:tcW w:w="993"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CD5972" w:rsidRPr="00077921" w:rsidP="00F576BD">
            <w:pPr>
              <w:bidi w:val="0"/>
              <w:jc w:val="center"/>
              <w:rPr>
                <w:rFonts w:ascii="Times New Roman" w:hAnsi="Times New Roman"/>
                <w:b/>
                <w:bCs/>
                <w:sz w:val="14"/>
                <w:szCs w:val="16"/>
                <w:lang w:eastAsia="sk-SK"/>
              </w:rPr>
            </w:pPr>
            <w:r w:rsidRPr="00077921">
              <w:rPr>
                <w:rFonts w:ascii="Times New Roman" w:hAnsi="Times New Roman"/>
                <w:b/>
                <w:bCs/>
                <w:sz w:val="14"/>
                <w:szCs w:val="16"/>
                <w:lang w:eastAsia="sk-SK"/>
              </w:rPr>
              <w:t>2011 R</w:t>
            </w:r>
          </w:p>
        </w:tc>
        <w:tc>
          <w:tcPr>
            <w:tcW w:w="992"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CD5972" w:rsidRPr="00077921" w:rsidP="00F576BD">
            <w:pPr>
              <w:bidi w:val="0"/>
              <w:jc w:val="center"/>
              <w:rPr>
                <w:rFonts w:ascii="Times New Roman" w:hAnsi="Times New Roman"/>
                <w:b/>
                <w:bCs/>
                <w:sz w:val="14"/>
                <w:szCs w:val="16"/>
                <w:lang w:eastAsia="sk-SK"/>
              </w:rPr>
            </w:pPr>
            <w:r w:rsidRPr="00077921">
              <w:rPr>
                <w:rFonts w:ascii="Times New Roman" w:hAnsi="Times New Roman"/>
                <w:b/>
                <w:bCs/>
                <w:sz w:val="14"/>
                <w:szCs w:val="16"/>
                <w:lang w:eastAsia="sk-SK"/>
              </w:rPr>
              <w:t>2011 OS</w:t>
            </w:r>
          </w:p>
        </w:tc>
        <w:tc>
          <w:tcPr>
            <w:tcW w:w="992"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CD5972" w:rsidRPr="00077921" w:rsidP="00F576BD">
            <w:pPr>
              <w:bidi w:val="0"/>
              <w:jc w:val="center"/>
              <w:rPr>
                <w:rFonts w:ascii="Times New Roman" w:hAnsi="Times New Roman"/>
                <w:b/>
                <w:bCs/>
                <w:sz w:val="14"/>
                <w:szCs w:val="16"/>
                <w:lang w:eastAsia="sk-SK"/>
              </w:rPr>
            </w:pPr>
            <w:r w:rsidRPr="00077921">
              <w:rPr>
                <w:rFonts w:ascii="Times New Roman" w:hAnsi="Times New Roman"/>
                <w:b/>
                <w:bCs/>
                <w:sz w:val="14"/>
                <w:szCs w:val="16"/>
                <w:lang w:eastAsia="sk-SK"/>
              </w:rPr>
              <w:t>2012 N</w:t>
            </w:r>
          </w:p>
        </w:tc>
        <w:tc>
          <w:tcPr>
            <w:tcW w:w="1134"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CD5972" w:rsidRPr="00077921" w:rsidP="00F576BD">
            <w:pPr>
              <w:bidi w:val="0"/>
              <w:jc w:val="center"/>
              <w:rPr>
                <w:rFonts w:ascii="Times New Roman" w:hAnsi="Times New Roman"/>
                <w:b/>
                <w:bCs/>
                <w:sz w:val="14"/>
                <w:szCs w:val="16"/>
                <w:lang w:eastAsia="sk-SK"/>
              </w:rPr>
            </w:pPr>
            <w:r w:rsidRPr="00077921">
              <w:rPr>
                <w:rFonts w:ascii="Times New Roman" w:hAnsi="Times New Roman"/>
                <w:b/>
                <w:bCs/>
                <w:sz w:val="14"/>
                <w:szCs w:val="16"/>
                <w:lang w:eastAsia="sk-SK"/>
              </w:rPr>
              <w:t>2013 N</w:t>
            </w:r>
          </w:p>
        </w:tc>
        <w:tc>
          <w:tcPr>
            <w:tcW w:w="992"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CD5972" w:rsidRPr="00077921" w:rsidP="00F576BD">
            <w:pPr>
              <w:bidi w:val="0"/>
              <w:jc w:val="center"/>
              <w:rPr>
                <w:rFonts w:ascii="Times New Roman" w:hAnsi="Times New Roman"/>
                <w:b/>
                <w:bCs/>
                <w:sz w:val="14"/>
                <w:szCs w:val="16"/>
                <w:lang w:eastAsia="sk-SK"/>
              </w:rPr>
            </w:pPr>
            <w:r w:rsidRPr="00077921">
              <w:rPr>
                <w:rFonts w:ascii="Times New Roman" w:hAnsi="Times New Roman"/>
                <w:b/>
                <w:bCs/>
                <w:sz w:val="14"/>
                <w:szCs w:val="16"/>
                <w:lang w:eastAsia="sk-SK"/>
              </w:rPr>
              <w:t>2014 N</w:t>
            </w:r>
          </w:p>
        </w:tc>
      </w:tr>
      <w:tr>
        <w:tblPrEx>
          <w:tblW w:w="9085" w:type="dxa"/>
          <w:tblInd w:w="57" w:type="dxa"/>
          <w:tblCellMar>
            <w:left w:w="70" w:type="dxa"/>
            <w:right w:w="70" w:type="dxa"/>
          </w:tblCellMar>
          <w:tblLook w:val="04A0"/>
        </w:tblPrEx>
        <w:trPr>
          <w:trHeight w:val="322"/>
        </w:trPr>
        <w:tc>
          <w:tcPr>
            <w:tcW w:w="1998"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CD5972" w:rsidRPr="00077921" w:rsidP="00F576BD">
            <w:pPr>
              <w:bidi w:val="0"/>
              <w:jc w:val="both"/>
              <w:rPr>
                <w:rFonts w:ascii="Times New Roman" w:hAnsi="Times New Roman"/>
                <w:b/>
                <w:bCs/>
                <w:color w:val="000000"/>
                <w:sz w:val="14"/>
                <w:szCs w:val="16"/>
                <w:lang w:eastAsia="sk-SK"/>
              </w:rPr>
            </w:pPr>
            <w:r w:rsidRPr="00077921">
              <w:rPr>
                <w:rFonts w:ascii="Times New Roman" w:hAnsi="Times New Roman"/>
                <w:b/>
                <w:bCs/>
                <w:color w:val="000000"/>
                <w:sz w:val="14"/>
                <w:szCs w:val="16"/>
                <w:lang w:eastAsia="sk-SK"/>
              </w:rPr>
              <w:t>Iné nedaňové príjmy</w:t>
            </w:r>
          </w:p>
        </w:tc>
        <w:tc>
          <w:tcPr>
            <w:tcW w:w="992"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CD5972" w:rsidRPr="00077921" w:rsidP="00F576BD">
            <w:pPr>
              <w:bidi w:val="0"/>
              <w:jc w:val="right"/>
              <w:rPr>
                <w:rFonts w:ascii="Times New Roman" w:hAnsi="Times New Roman"/>
                <w:b/>
                <w:bCs/>
                <w:color w:val="000000"/>
                <w:sz w:val="14"/>
                <w:szCs w:val="16"/>
                <w:lang w:eastAsia="sk-SK"/>
              </w:rPr>
            </w:pPr>
            <w:r w:rsidRPr="00077921">
              <w:rPr>
                <w:rFonts w:ascii="Times New Roman" w:hAnsi="Times New Roman"/>
                <w:b/>
                <w:bCs/>
                <w:color w:val="000000"/>
                <w:sz w:val="14"/>
                <w:szCs w:val="16"/>
                <w:lang w:eastAsia="sk-SK"/>
              </w:rPr>
              <w:t xml:space="preserve">       298 480    </w:t>
            </w:r>
          </w:p>
        </w:tc>
        <w:tc>
          <w:tcPr>
            <w:tcW w:w="992"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CD5972" w:rsidRPr="00077921" w:rsidP="00F576BD">
            <w:pPr>
              <w:bidi w:val="0"/>
              <w:jc w:val="right"/>
              <w:rPr>
                <w:rFonts w:ascii="Times New Roman" w:hAnsi="Times New Roman"/>
                <w:b/>
                <w:bCs/>
                <w:color w:val="000000"/>
                <w:sz w:val="14"/>
                <w:szCs w:val="16"/>
                <w:lang w:eastAsia="sk-SK"/>
              </w:rPr>
            </w:pPr>
            <w:r w:rsidRPr="00077921">
              <w:rPr>
                <w:rFonts w:ascii="Times New Roman" w:hAnsi="Times New Roman"/>
                <w:b/>
                <w:bCs/>
                <w:color w:val="000000"/>
                <w:sz w:val="14"/>
                <w:szCs w:val="16"/>
                <w:lang w:eastAsia="sk-SK"/>
              </w:rPr>
              <w:t xml:space="preserve">       239 580    </w:t>
            </w:r>
          </w:p>
        </w:tc>
        <w:tc>
          <w:tcPr>
            <w:tcW w:w="993"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CD5972" w:rsidRPr="00077921" w:rsidP="00F576BD">
            <w:pPr>
              <w:bidi w:val="0"/>
              <w:jc w:val="right"/>
              <w:rPr>
                <w:rFonts w:ascii="Times New Roman" w:hAnsi="Times New Roman"/>
                <w:b/>
                <w:bCs/>
                <w:color w:val="000000"/>
                <w:sz w:val="14"/>
                <w:szCs w:val="16"/>
                <w:lang w:eastAsia="sk-SK"/>
              </w:rPr>
            </w:pPr>
            <w:r w:rsidRPr="00077921">
              <w:rPr>
                <w:rFonts w:ascii="Times New Roman" w:hAnsi="Times New Roman"/>
                <w:b/>
                <w:bCs/>
                <w:color w:val="000000"/>
                <w:sz w:val="14"/>
                <w:szCs w:val="16"/>
                <w:lang w:eastAsia="sk-SK"/>
              </w:rPr>
              <w:t xml:space="preserve">       215 946    </w:t>
            </w:r>
          </w:p>
        </w:tc>
        <w:tc>
          <w:tcPr>
            <w:tcW w:w="992"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CD5972" w:rsidRPr="00077921" w:rsidP="00F576BD">
            <w:pPr>
              <w:bidi w:val="0"/>
              <w:jc w:val="right"/>
              <w:rPr>
                <w:rFonts w:ascii="Times New Roman" w:hAnsi="Times New Roman"/>
                <w:b/>
                <w:bCs/>
                <w:color w:val="000000"/>
                <w:sz w:val="14"/>
                <w:szCs w:val="16"/>
                <w:lang w:eastAsia="sk-SK"/>
              </w:rPr>
            </w:pPr>
            <w:r w:rsidRPr="00077921">
              <w:rPr>
                <w:rFonts w:ascii="Times New Roman" w:hAnsi="Times New Roman"/>
                <w:b/>
                <w:bCs/>
                <w:color w:val="000000"/>
                <w:sz w:val="14"/>
                <w:szCs w:val="16"/>
                <w:lang w:eastAsia="sk-SK"/>
              </w:rPr>
              <w:t xml:space="preserve">278 087    </w:t>
            </w:r>
          </w:p>
        </w:tc>
        <w:tc>
          <w:tcPr>
            <w:tcW w:w="992"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CD5972" w:rsidRPr="00077921" w:rsidP="00F576BD">
            <w:pPr>
              <w:bidi w:val="0"/>
              <w:jc w:val="right"/>
              <w:rPr>
                <w:rFonts w:ascii="Times New Roman" w:hAnsi="Times New Roman"/>
                <w:b/>
                <w:bCs/>
                <w:color w:val="000000"/>
                <w:sz w:val="14"/>
                <w:szCs w:val="16"/>
                <w:lang w:eastAsia="sk-SK"/>
              </w:rPr>
            </w:pPr>
            <w:r w:rsidRPr="00077921">
              <w:rPr>
                <w:rFonts w:ascii="Times New Roman" w:hAnsi="Times New Roman"/>
                <w:b/>
                <w:bCs/>
                <w:color w:val="000000"/>
                <w:sz w:val="14"/>
                <w:szCs w:val="16"/>
                <w:lang w:eastAsia="sk-SK"/>
              </w:rPr>
              <w:t xml:space="preserve">       290 584    </w:t>
            </w:r>
          </w:p>
        </w:tc>
        <w:tc>
          <w:tcPr>
            <w:tcW w:w="1134"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CD5972" w:rsidRPr="00077921" w:rsidP="00F576BD">
            <w:pPr>
              <w:bidi w:val="0"/>
              <w:jc w:val="right"/>
              <w:rPr>
                <w:rFonts w:ascii="Times New Roman" w:hAnsi="Times New Roman"/>
                <w:b/>
                <w:bCs/>
                <w:color w:val="000000"/>
                <w:sz w:val="14"/>
                <w:szCs w:val="16"/>
                <w:lang w:eastAsia="sk-SK"/>
              </w:rPr>
            </w:pPr>
            <w:r w:rsidRPr="00077921">
              <w:rPr>
                <w:rFonts w:ascii="Times New Roman" w:hAnsi="Times New Roman"/>
                <w:b/>
                <w:bCs/>
                <w:color w:val="000000"/>
                <w:sz w:val="14"/>
                <w:szCs w:val="16"/>
                <w:lang w:eastAsia="sk-SK"/>
              </w:rPr>
              <w:t xml:space="preserve">       279 080    </w:t>
            </w:r>
          </w:p>
        </w:tc>
        <w:tc>
          <w:tcPr>
            <w:tcW w:w="992"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CD5972" w:rsidRPr="00077921" w:rsidP="00F576BD">
            <w:pPr>
              <w:bidi w:val="0"/>
              <w:jc w:val="right"/>
              <w:rPr>
                <w:rFonts w:ascii="Times New Roman" w:hAnsi="Times New Roman"/>
                <w:b/>
                <w:bCs/>
                <w:color w:val="000000"/>
                <w:sz w:val="14"/>
                <w:szCs w:val="16"/>
                <w:lang w:eastAsia="sk-SK"/>
              </w:rPr>
            </w:pPr>
            <w:r w:rsidRPr="00077921">
              <w:rPr>
                <w:rFonts w:ascii="Times New Roman" w:hAnsi="Times New Roman"/>
                <w:b/>
                <w:bCs/>
                <w:color w:val="000000"/>
                <w:sz w:val="14"/>
                <w:szCs w:val="16"/>
                <w:lang w:eastAsia="sk-SK"/>
              </w:rPr>
              <w:t xml:space="preserve">       277 879    </w:t>
            </w:r>
          </w:p>
        </w:tc>
      </w:tr>
      <w:tr>
        <w:tblPrEx>
          <w:tblW w:w="9085" w:type="dxa"/>
          <w:tblInd w:w="57" w:type="dxa"/>
          <w:tblCellMar>
            <w:left w:w="70" w:type="dxa"/>
            <w:right w:w="70" w:type="dxa"/>
          </w:tblCellMar>
          <w:tblLook w:val="04A0"/>
        </w:tblPrEx>
        <w:trPr>
          <w:trHeight w:val="322"/>
        </w:trPr>
        <w:tc>
          <w:tcPr>
            <w:tcW w:w="1998"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CD5972" w:rsidRPr="00077921" w:rsidP="00F576BD">
            <w:pPr>
              <w:bidi w:val="0"/>
              <w:rPr>
                <w:rFonts w:ascii="Times New Roman" w:hAnsi="Times New Roman"/>
                <w:color w:val="000000"/>
                <w:sz w:val="14"/>
                <w:szCs w:val="16"/>
                <w:lang w:eastAsia="sk-SK"/>
              </w:rPr>
            </w:pPr>
            <w:r w:rsidRPr="00077921">
              <w:rPr>
                <w:rFonts w:ascii="Times New Roman" w:hAnsi="Times New Roman"/>
                <w:color w:val="000000"/>
                <w:sz w:val="14"/>
                <w:szCs w:val="16"/>
                <w:lang w:eastAsia="sk-SK"/>
              </w:rPr>
              <w:t xml:space="preserve">v tom:  z odvodu z </w:t>
            </w:r>
          </w:p>
          <w:p w:rsidR="00CD5972" w:rsidRPr="00077921" w:rsidP="00F576BD">
            <w:pPr>
              <w:bidi w:val="0"/>
              <w:rPr>
                <w:rFonts w:ascii="Times New Roman" w:hAnsi="Times New Roman"/>
                <w:color w:val="000000"/>
                <w:sz w:val="14"/>
                <w:szCs w:val="16"/>
                <w:lang w:eastAsia="sk-SK"/>
              </w:rPr>
            </w:pPr>
            <w:r w:rsidRPr="00077921">
              <w:rPr>
                <w:rFonts w:ascii="Times New Roman" w:hAnsi="Times New Roman"/>
                <w:color w:val="000000"/>
                <w:sz w:val="14"/>
                <w:szCs w:val="16"/>
                <w:lang w:eastAsia="sk-SK"/>
              </w:rPr>
              <w:t xml:space="preserve">             hazardných hier</w:t>
            </w:r>
          </w:p>
        </w:tc>
        <w:tc>
          <w:tcPr>
            <w:tcW w:w="992"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CD5972" w:rsidRPr="00077921" w:rsidP="00F576BD">
            <w:pPr>
              <w:bidi w:val="0"/>
              <w:jc w:val="right"/>
              <w:rPr>
                <w:rFonts w:ascii="Times New Roman" w:hAnsi="Times New Roman"/>
                <w:color w:val="000000"/>
                <w:sz w:val="14"/>
                <w:szCs w:val="16"/>
                <w:lang w:eastAsia="sk-SK"/>
              </w:rPr>
            </w:pPr>
            <w:r w:rsidRPr="00077921">
              <w:rPr>
                <w:rFonts w:ascii="Times New Roman" w:hAnsi="Times New Roman"/>
                <w:color w:val="000000"/>
                <w:sz w:val="14"/>
                <w:szCs w:val="16"/>
                <w:lang w:eastAsia="sk-SK"/>
              </w:rPr>
              <w:t xml:space="preserve">       112 955    </w:t>
            </w:r>
          </w:p>
        </w:tc>
        <w:tc>
          <w:tcPr>
            <w:tcW w:w="992"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CD5972" w:rsidRPr="00077921" w:rsidP="00F576BD">
            <w:pPr>
              <w:bidi w:val="0"/>
              <w:jc w:val="right"/>
              <w:rPr>
                <w:rFonts w:ascii="Times New Roman" w:hAnsi="Times New Roman"/>
                <w:color w:val="000000"/>
                <w:sz w:val="14"/>
                <w:szCs w:val="16"/>
                <w:lang w:eastAsia="sk-SK"/>
              </w:rPr>
            </w:pPr>
            <w:r w:rsidRPr="00077921">
              <w:rPr>
                <w:rFonts w:ascii="Times New Roman" w:hAnsi="Times New Roman"/>
                <w:color w:val="000000"/>
                <w:sz w:val="14"/>
                <w:szCs w:val="16"/>
                <w:lang w:eastAsia="sk-SK"/>
              </w:rPr>
              <w:t xml:space="preserve">       123 321    </w:t>
            </w:r>
          </w:p>
        </w:tc>
        <w:tc>
          <w:tcPr>
            <w:tcW w:w="993"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CD5972" w:rsidRPr="00077921" w:rsidP="00F576BD">
            <w:pPr>
              <w:bidi w:val="0"/>
              <w:jc w:val="right"/>
              <w:rPr>
                <w:rFonts w:ascii="Times New Roman" w:hAnsi="Times New Roman"/>
                <w:color w:val="000000"/>
                <w:sz w:val="14"/>
                <w:szCs w:val="16"/>
                <w:lang w:eastAsia="sk-SK"/>
              </w:rPr>
            </w:pPr>
            <w:r w:rsidRPr="00077921">
              <w:rPr>
                <w:rFonts w:ascii="Times New Roman" w:hAnsi="Times New Roman"/>
                <w:color w:val="000000"/>
                <w:sz w:val="14"/>
                <w:szCs w:val="16"/>
                <w:lang w:eastAsia="sk-SK"/>
              </w:rPr>
              <w:t xml:space="preserve">       106 845    </w:t>
            </w:r>
          </w:p>
        </w:tc>
        <w:tc>
          <w:tcPr>
            <w:tcW w:w="992"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CD5972" w:rsidRPr="00077921" w:rsidP="00F576BD">
            <w:pPr>
              <w:bidi w:val="0"/>
              <w:jc w:val="right"/>
              <w:rPr>
                <w:rFonts w:ascii="Times New Roman" w:hAnsi="Times New Roman"/>
                <w:color w:val="000000"/>
                <w:sz w:val="14"/>
                <w:szCs w:val="16"/>
                <w:lang w:eastAsia="sk-SK"/>
              </w:rPr>
            </w:pPr>
            <w:r w:rsidRPr="00077921">
              <w:rPr>
                <w:rFonts w:ascii="Times New Roman" w:hAnsi="Times New Roman"/>
                <w:color w:val="000000"/>
                <w:sz w:val="14"/>
                <w:szCs w:val="16"/>
                <w:lang w:eastAsia="sk-SK"/>
              </w:rPr>
              <w:t xml:space="preserve">       114 845    </w:t>
            </w:r>
          </w:p>
        </w:tc>
        <w:tc>
          <w:tcPr>
            <w:tcW w:w="992"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CD5972" w:rsidRPr="00077921" w:rsidP="00F576BD">
            <w:pPr>
              <w:bidi w:val="0"/>
              <w:jc w:val="right"/>
              <w:rPr>
                <w:rFonts w:ascii="Times New Roman" w:hAnsi="Times New Roman"/>
                <w:color w:val="000000"/>
                <w:sz w:val="14"/>
                <w:szCs w:val="16"/>
                <w:lang w:eastAsia="sk-SK"/>
              </w:rPr>
            </w:pPr>
            <w:r w:rsidRPr="00077921">
              <w:rPr>
                <w:rFonts w:ascii="Times New Roman" w:hAnsi="Times New Roman"/>
                <w:color w:val="000000"/>
                <w:sz w:val="14"/>
                <w:szCs w:val="16"/>
                <w:lang w:eastAsia="sk-SK"/>
              </w:rPr>
              <w:t xml:space="preserve">       117 000    </w:t>
            </w:r>
          </w:p>
        </w:tc>
        <w:tc>
          <w:tcPr>
            <w:tcW w:w="1134"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CD5972" w:rsidRPr="00077921" w:rsidP="00F576BD">
            <w:pPr>
              <w:bidi w:val="0"/>
              <w:jc w:val="right"/>
              <w:rPr>
                <w:rFonts w:ascii="Times New Roman" w:hAnsi="Times New Roman"/>
                <w:color w:val="000000"/>
                <w:sz w:val="14"/>
                <w:szCs w:val="16"/>
                <w:lang w:eastAsia="sk-SK"/>
              </w:rPr>
            </w:pPr>
            <w:r w:rsidRPr="00077921">
              <w:rPr>
                <w:rFonts w:ascii="Times New Roman" w:hAnsi="Times New Roman"/>
                <w:color w:val="000000"/>
                <w:sz w:val="14"/>
                <w:szCs w:val="16"/>
                <w:lang w:eastAsia="sk-SK"/>
              </w:rPr>
              <w:t xml:space="preserve">       107 000    </w:t>
            </w:r>
          </w:p>
        </w:tc>
        <w:tc>
          <w:tcPr>
            <w:tcW w:w="992"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CD5972" w:rsidRPr="00077921" w:rsidP="00F576BD">
            <w:pPr>
              <w:bidi w:val="0"/>
              <w:jc w:val="right"/>
              <w:rPr>
                <w:rFonts w:ascii="Times New Roman" w:hAnsi="Times New Roman"/>
                <w:color w:val="000000"/>
                <w:sz w:val="14"/>
                <w:szCs w:val="16"/>
                <w:lang w:eastAsia="sk-SK"/>
              </w:rPr>
            </w:pPr>
            <w:r w:rsidRPr="00077921">
              <w:rPr>
                <w:rFonts w:ascii="Times New Roman" w:hAnsi="Times New Roman"/>
                <w:color w:val="000000"/>
                <w:sz w:val="14"/>
                <w:szCs w:val="16"/>
                <w:lang w:eastAsia="sk-SK"/>
              </w:rPr>
              <w:t xml:space="preserve">       107 000    </w:t>
            </w:r>
          </w:p>
        </w:tc>
      </w:tr>
      <w:tr>
        <w:tblPrEx>
          <w:tblW w:w="9085" w:type="dxa"/>
          <w:tblInd w:w="57" w:type="dxa"/>
          <w:tblCellMar>
            <w:left w:w="70" w:type="dxa"/>
            <w:right w:w="70" w:type="dxa"/>
          </w:tblCellMar>
          <w:tblLook w:val="04A0"/>
        </w:tblPrEx>
        <w:trPr>
          <w:trHeight w:val="322"/>
        </w:trPr>
        <w:tc>
          <w:tcPr>
            <w:tcW w:w="1998"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CD5972" w:rsidRPr="00077921" w:rsidP="00F576BD">
            <w:pPr>
              <w:bidi w:val="0"/>
              <w:ind w:left="510"/>
              <w:rPr>
                <w:rFonts w:ascii="Times New Roman" w:hAnsi="Times New Roman"/>
                <w:color w:val="000000"/>
                <w:sz w:val="14"/>
                <w:szCs w:val="16"/>
                <w:lang w:eastAsia="sk-SK"/>
              </w:rPr>
            </w:pPr>
            <w:r w:rsidRPr="00077921">
              <w:rPr>
                <w:rFonts w:ascii="Times New Roman" w:hAnsi="Times New Roman"/>
                <w:color w:val="000000"/>
                <w:sz w:val="14"/>
                <w:szCs w:val="16"/>
                <w:lang w:eastAsia="sk-SK"/>
              </w:rPr>
              <w:t>SŠHR</w:t>
            </w:r>
          </w:p>
        </w:tc>
        <w:tc>
          <w:tcPr>
            <w:tcW w:w="992"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CD5972" w:rsidRPr="00077921" w:rsidP="00F576BD">
            <w:pPr>
              <w:bidi w:val="0"/>
              <w:jc w:val="right"/>
              <w:rPr>
                <w:rFonts w:ascii="Times New Roman" w:hAnsi="Times New Roman"/>
                <w:color w:val="000000"/>
                <w:sz w:val="14"/>
                <w:szCs w:val="16"/>
                <w:lang w:eastAsia="sk-SK"/>
              </w:rPr>
            </w:pPr>
            <w:r w:rsidRPr="00077921">
              <w:rPr>
                <w:rFonts w:ascii="Times New Roman" w:hAnsi="Times New Roman"/>
                <w:color w:val="000000"/>
                <w:sz w:val="14"/>
                <w:szCs w:val="16"/>
                <w:lang w:eastAsia="sk-SK"/>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CD5972" w:rsidRPr="00077921" w:rsidP="00F576BD">
            <w:pPr>
              <w:bidi w:val="0"/>
              <w:jc w:val="right"/>
              <w:rPr>
                <w:rFonts w:ascii="Times New Roman" w:hAnsi="Times New Roman"/>
                <w:color w:val="000000"/>
                <w:sz w:val="14"/>
                <w:szCs w:val="16"/>
                <w:lang w:eastAsia="sk-SK"/>
              </w:rPr>
            </w:pPr>
            <w:r w:rsidRPr="00077921">
              <w:rPr>
                <w:rFonts w:ascii="Times New Roman" w:hAnsi="Times New Roman"/>
                <w:color w:val="000000"/>
                <w:sz w:val="14"/>
                <w:szCs w:val="16"/>
                <w:lang w:eastAsia="sk-SK"/>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CD5972" w:rsidRPr="00077921" w:rsidP="00F576BD">
            <w:pPr>
              <w:bidi w:val="0"/>
              <w:jc w:val="right"/>
              <w:rPr>
                <w:rFonts w:ascii="Times New Roman" w:hAnsi="Times New Roman"/>
                <w:color w:val="000000"/>
                <w:sz w:val="14"/>
                <w:szCs w:val="16"/>
                <w:lang w:eastAsia="sk-SK"/>
              </w:rPr>
            </w:pPr>
            <w:r w:rsidRPr="00077921">
              <w:rPr>
                <w:rFonts w:ascii="Times New Roman" w:hAnsi="Times New Roman"/>
                <w:color w:val="000000"/>
                <w:sz w:val="14"/>
                <w:szCs w:val="16"/>
                <w:lang w:eastAsia="sk-SK"/>
              </w:rPr>
              <w:t>50 000</w:t>
            </w:r>
          </w:p>
        </w:tc>
        <w:tc>
          <w:tcPr>
            <w:tcW w:w="992"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CD5972" w:rsidRPr="00077921" w:rsidP="00F576BD">
            <w:pPr>
              <w:bidi w:val="0"/>
              <w:jc w:val="right"/>
              <w:rPr>
                <w:rFonts w:ascii="Times New Roman" w:hAnsi="Times New Roman"/>
                <w:color w:val="000000"/>
                <w:sz w:val="14"/>
                <w:szCs w:val="16"/>
                <w:lang w:eastAsia="sk-SK"/>
              </w:rPr>
            </w:pPr>
            <w:r w:rsidRPr="00077921">
              <w:rPr>
                <w:rFonts w:ascii="Times New Roman" w:hAnsi="Times New Roman"/>
                <w:color w:val="000000"/>
                <w:sz w:val="14"/>
                <w:szCs w:val="16"/>
                <w:lang w:eastAsia="sk-SK"/>
              </w:rPr>
              <w:t>50 000</w:t>
            </w:r>
          </w:p>
        </w:tc>
        <w:tc>
          <w:tcPr>
            <w:tcW w:w="992"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CD5972" w:rsidRPr="00077921" w:rsidP="00F576BD">
            <w:pPr>
              <w:bidi w:val="0"/>
              <w:jc w:val="right"/>
              <w:rPr>
                <w:rFonts w:ascii="Times New Roman" w:hAnsi="Times New Roman"/>
                <w:color w:val="000000"/>
                <w:sz w:val="14"/>
                <w:szCs w:val="16"/>
                <w:lang w:eastAsia="sk-SK"/>
              </w:rPr>
            </w:pPr>
            <w:r w:rsidRPr="00077921">
              <w:rPr>
                <w:rFonts w:ascii="Times New Roman" w:hAnsi="Times New Roman"/>
                <w:color w:val="000000"/>
                <w:sz w:val="14"/>
                <w:szCs w:val="16"/>
                <w:lang w:eastAsia="sk-SK"/>
              </w:rPr>
              <w:t>50 000</w:t>
            </w:r>
          </w:p>
        </w:tc>
        <w:tc>
          <w:tcPr>
            <w:tcW w:w="1134"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CD5972" w:rsidRPr="00077921" w:rsidP="00F576BD">
            <w:pPr>
              <w:bidi w:val="0"/>
              <w:jc w:val="right"/>
              <w:rPr>
                <w:rFonts w:ascii="Times New Roman" w:hAnsi="Times New Roman"/>
                <w:color w:val="000000"/>
                <w:sz w:val="14"/>
                <w:szCs w:val="16"/>
                <w:lang w:eastAsia="sk-SK"/>
              </w:rPr>
            </w:pPr>
            <w:r w:rsidRPr="00077921">
              <w:rPr>
                <w:rFonts w:ascii="Times New Roman" w:hAnsi="Times New Roman"/>
                <w:color w:val="000000"/>
                <w:sz w:val="14"/>
                <w:szCs w:val="16"/>
                <w:lang w:eastAsia="sk-SK"/>
              </w:rPr>
              <w:t>50 000</w:t>
            </w:r>
          </w:p>
        </w:tc>
        <w:tc>
          <w:tcPr>
            <w:tcW w:w="992"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CD5972" w:rsidRPr="00077921" w:rsidP="00F576BD">
            <w:pPr>
              <w:bidi w:val="0"/>
              <w:jc w:val="right"/>
              <w:rPr>
                <w:rFonts w:ascii="Times New Roman" w:hAnsi="Times New Roman"/>
                <w:color w:val="000000"/>
                <w:sz w:val="14"/>
                <w:szCs w:val="16"/>
                <w:lang w:eastAsia="sk-SK"/>
              </w:rPr>
            </w:pPr>
            <w:r w:rsidRPr="00077921">
              <w:rPr>
                <w:rFonts w:ascii="Times New Roman" w:hAnsi="Times New Roman"/>
                <w:color w:val="000000"/>
                <w:sz w:val="14"/>
                <w:szCs w:val="16"/>
                <w:lang w:eastAsia="sk-SK"/>
              </w:rPr>
              <w:t>50 000</w:t>
            </w:r>
          </w:p>
        </w:tc>
      </w:tr>
      <w:tr>
        <w:tblPrEx>
          <w:tblW w:w="9085" w:type="dxa"/>
          <w:tblInd w:w="57" w:type="dxa"/>
          <w:tblCellMar>
            <w:left w:w="70" w:type="dxa"/>
            <w:right w:w="70" w:type="dxa"/>
          </w:tblCellMar>
          <w:tblLook w:val="04A0"/>
        </w:tblPrEx>
        <w:trPr>
          <w:trHeight w:val="322"/>
        </w:trPr>
        <w:tc>
          <w:tcPr>
            <w:tcW w:w="1998"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CD5972" w:rsidRPr="00077921" w:rsidP="00F576BD">
            <w:pPr>
              <w:bidi w:val="0"/>
              <w:ind w:firstLine="510"/>
              <w:rPr>
                <w:rFonts w:ascii="Times New Roman" w:hAnsi="Times New Roman"/>
                <w:color w:val="000000"/>
                <w:sz w:val="14"/>
                <w:szCs w:val="16"/>
                <w:lang w:eastAsia="sk-SK"/>
              </w:rPr>
            </w:pPr>
            <w:r w:rsidRPr="00077921">
              <w:rPr>
                <w:rFonts w:ascii="Times New Roman" w:hAnsi="Times New Roman"/>
                <w:color w:val="000000"/>
                <w:sz w:val="14"/>
                <w:szCs w:val="16"/>
                <w:lang w:eastAsia="sk-SK"/>
              </w:rPr>
              <w:t>Iné spolu</w:t>
            </w:r>
          </w:p>
        </w:tc>
        <w:tc>
          <w:tcPr>
            <w:tcW w:w="992"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CD5972" w:rsidRPr="00077921" w:rsidP="00F576BD">
            <w:pPr>
              <w:bidi w:val="0"/>
              <w:jc w:val="right"/>
              <w:rPr>
                <w:rFonts w:ascii="Times New Roman" w:hAnsi="Times New Roman"/>
                <w:color w:val="000000"/>
                <w:sz w:val="14"/>
                <w:szCs w:val="16"/>
                <w:lang w:eastAsia="sk-SK"/>
              </w:rPr>
            </w:pPr>
            <w:r w:rsidRPr="00077921">
              <w:rPr>
                <w:rFonts w:ascii="Times New Roman" w:hAnsi="Times New Roman"/>
                <w:color w:val="000000"/>
                <w:sz w:val="14"/>
                <w:szCs w:val="16"/>
                <w:lang w:eastAsia="sk-SK"/>
              </w:rPr>
              <w:t>185 525</w:t>
            </w:r>
          </w:p>
        </w:tc>
        <w:tc>
          <w:tcPr>
            <w:tcW w:w="992"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CD5972" w:rsidRPr="00077921" w:rsidP="00F576BD">
            <w:pPr>
              <w:bidi w:val="0"/>
              <w:jc w:val="right"/>
              <w:rPr>
                <w:rFonts w:ascii="Times New Roman" w:hAnsi="Times New Roman"/>
                <w:color w:val="000000"/>
                <w:sz w:val="14"/>
                <w:szCs w:val="16"/>
                <w:lang w:eastAsia="sk-SK"/>
              </w:rPr>
            </w:pPr>
            <w:r w:rsidRPr="00077921">
              <w:rPr>
                <w:rFonts w:ascii="Times New Roman" w:hAnsi="Times New Roman"/>
                <w:color w:val="000000"/>
                <w:sz w:val="14"/>
                <w:szCs w:val="16"/>
                <w:lang w:eastAsia="sk-SK"/>
              </w:rPr>
              <w:t>116 259</w:t>
            </w:r>
          </w:p>
        </w:tc>
        <w:tc>
          <w:tcPr>
            <w:tcW w:w="993"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CD5972" w:rsidRPr="00077921" w:rsidP="00F576BD">
            <w:pPr>
              <w:bidi w:val="0"/>
              <w:jc w:val="right"/>
              <w:rPr>
                <w:rFonts w:ascii="Times New Roman" w:hAnsi="Times New Roman"/>
                <w:color w:val="000000"/>
                <w:sz w:val="14"/>
                <w:szCs w:val="16"/>
                <w:lang w:eastAsia="sk-SK"/>
              </w:rPr>
            </w:pPr>
            <w:r w:rsidRPr="00077921">
              <w:rPr>
                <w:rFonts w:ascii="Times New Roman" w:hAnsi="Times New Roman"/>
                <w:color w:val="000000"/>
                <w:sz w:val="14"/>
                <w:szCs w:val="16"/>
                <w:lang w:eastAsia="sk-SK"/>
              </w:rPr>
              <w:t>59 101</w:t>
            </w:r>
          </w:p>
        </w:tc>
        <w:tc>
          <w:tcPr>
            <w:tcW w:w="992"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CD5972" w:rsidRPr="00077921" w:rsidP="00F576BD">
            <w:pPr>
              <w:bidi w:val="0"/>
              <w:jc w:val="right"/>
              <w:rPr>
                <w:rFonts w:ascii="Times New Roman" w:hAnsi="Times New Roman"/>
                <w:color w:val="000000"/>
                <w:sz w:val="14"/>
                <w:szCs w:val="16"/>
                <w:lang w:eastAsia="sk-SK"/>
              </w:rPr>
            </w:pPr>
            <w:r w:rsidRPr="00077921">
              <w:rPr>
                <w:rFonts w:ascii="Times New Roman" w:hAnsi="Times New Roman"/>
                <w:color w:val="000000"/>
                <w:sz w:val="14"/>
                <w:szCs w:val="16"/>
                <w:lang w:eastAsia="sk-SK"/>
              </w:rPr>
              <w:t>113 242</w:t>
            </w:r>
          </w:p>
        </w:tc>
        <w:tc>
          <w:tcPr>
            <w:tcW w:w="992"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CD5972" w:rsidRPr="00077921" w:rsidP="00F576BD">
            <w:pPr>
              <w:bidi w:val="0"/>
              <w:jc w:val="right"/>
              <w:rPr>
                <w:rFonts w:ascii="Times New Roman" w:hAnsi="Times New Roman"/>
                <w:color w:val="000000"/>
                <w:sz w:val="14"/>
                <w:szCs w:val="16"/>
                <w:lang w:eastAsia="sk-SK"/>
              </w:rPr>
            </w:pPr>
            <w:r w:rsidRPr="00077921">
              <w:rPr>
                <w:rFonts w:ascii="Times New Roman" w:hAnsi="Times New Roman"/>
                <w:color w:val="000000"/>
                <w:sz w:val="14"/>
                <w:szCs w:val="16"/>
                <w:lang w:eastAsia="sk-SK"/>
              </w:rPr>
              <w:t>123 584</w:t>
            </w:r>
          </w:p>
        </w:tc>
        <w:tc>
          <w:tcPr>
            <w:tcW w:w="1134"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CD5972" w:rsidRPr="00077921" w:rsidP="00F576BD">
            <w:pPr>
              <w:bidi w:val="0"/>
              <w:jc w:val="right"/>
              <w:rPr>
                <w:rFonts w:ascii="Times New Roman" w:hAnsi="Times New Roman"/>
                <w:color w:val="000000"/>
                <w:sz w:val="14"/>
                <w:szCs w:val="16"/>
                <w:lang w:eastAsia="sk-SK"/>
              </w:rPr>
            </w:pPr>
            <w:r w:rsidRPr="00077921">
              <w:rPr>
                <w:rFonts w:ascii="Times New Roman" w:hAnsi="Times New Roman"/>
                <w:color w:val="000000"/>
                <w:sz w:val="14"/>
                <w:szCs w:val="16"/>
                <w:lang w:eastAsia="sk-SK"/>
              </w:rPr>
              <w:t>122 080</w:t>
            </w:r>
          </w:p>
        </w:tc>
        <w:tc>
          <w:tcPr>
            <w:tcW w:w="992"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CD5972" w:rsidRPr="00077921" w:rsidP="00F576BD">
            <w:pPr>
              <w:bidi w:val="0"/>
              <w:jc w:val="right"/>
              <w:rPr>
                <w:rFonts w:ascii="Times New Roman" w:hAnsi="Times New Roman"/>
                <w:color w:val="000000"/>
                <w:sz w:val="14"/>
                <w:szCs w:val="16"/>
                <w:lang w:eastAsia="sk-SK"/>
              </w:rPr>
            </w:pPr>
            <w:r w:rsidRPr="00077921">
              <w:rPr>
                <w:rFonts w:ascii="Times New Roman" w:hAnsi="Times New Roman"/>
                <w:color w:val="000000"/>
                <w:sz w:val="14"/>
                <w:szCs w:val="16"/>
                <w:lang w:eastAsia="sk-SK"/>
              </w:rPr>
              <w:t>120 879</w:t>
            </w:r>
          </w:p>
        </w:tc>
      </w:tr>
    </w:tbl>
    <w:p w:rsidR="00CD5972" w:rsidRPr="002C0D88" w:rsidP="00CD5972">
      <w:pPr>
        <w:bidi w:val="0"/>
        <w:jc w:val="both"/>
        <w:rPr>
          <w:rFonts w:ascii="Times New Roman" w:hAnsi="Times New Roman"/>
          <w:b/>
          <w:szCs w:val="22"/>
        </w:rPr>
      </w:pPr>
    </w:p>
    <w:p w:rsidR="00CD5972" w:rsidRPr="002C0D88" w:rsidP="00CD5972">
      <w:pPr>
        <w:bidi w:val="0"/>
        <w:jc w:val="both"/>
        <w:rPr>
          <w:rFonts w:ascii="Times New Roman" w:hAnsi="Times New Roman"/>
          <w:b/>
          <w:szCs w:val="22"/>
        </w:rPr>
      </w:pPr>
      <w:r w:rsidRPr="002C0D88">
        <w:rPr>
          <w:rFonts w:ascii="Times New Roman" w:hAnsi="Times New Roman"/>
          <w:b/>
          <w:szCs w:val="22"/>
        </w:rPr>
        <w:t xml:space="preserve">Tuzemské transfery </w:t>
      </w:r>
    </w:p>
    <w:p w:rsidR="00CD5972" w:rsidRPr="002C0D88" w:rsidP="00CD5972">
      <w:pPr>
        <w:bidi w:val="0"/>
        <w:jc w:val="both"/>
        <w:rPr>
          <w:rFonts w:ascii="Times New Roman" w:hAnsi="Times New Roman"/>
          <w:b/>
          <w:szCs w:val="22"/>
        </w:rPr>
      </w:pPr>
    </w:p>
    <w:p w:rsidR="00CD5972" w:rsidP="00CD5972">
      <w:pPr>
        <w:bidi w:val="0"/>
        <w:ind w:firstLine="708"/>
        <w:jc w:val="both"/>
        <w:rPr>
          <w:rFonts w:ascii="Times New Roman" w:hAnsi="Times New Roman"/>
          <w:szCs w:val="22"/>
        </w:rPr>
      </w:pPr>
      <w:r>
        <w:rPr>
          <w:rFonts w:ascii="Times New Roman" w:hAnsi="Times New Roman"/>
          <w:szCs w:val="22"/>
        </w:rPr>
        <w:t>V rámci tuzemských transferov sa rozpočtuje</w:t>
      </w:r>
      <w:r w:rsidRPr="002C0D88">
        <w:rPr>
          <w:rFonts w:ascii="Times New Roman" w:hAnsi="Times New Roman"/>
          <w:szCs w:val="22"/>
        </w:rPr>
        <w:t xml:space="preserve"> príspevok zdravotných poisťovní na činnosť operačných stredísk záchrannej zdravotnej služby a multilicenčné poplatky v kapitole Ministerstva financií SR.</w:t>
      </w:r>
    </w:p>
    <w:p w:rsidR="00CD5972" w:rsidP="00CD5972">
      <w:pPr>
        <w:bidi w:val="0"/>
        <w:ind w:firstLine="708"/>
        <w:jc w:val="both"/>
        <w:rPr>
          <w:rFonts w:ascii="Times New Roman" w:hAnsi="Times New Roman"/>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16"/>
        <w:gridCol w:w="949"/>
        <w:gridCol w:w="949"/>
        <w:gridCol w:w="949"/>
        <w:gridCol w:w="988"/>
        <w:gridCol w:w="1087"/>
        <w:gridCol w:w="1087"/>
        <w:gridCol w:w="108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12"/>
        </w:trPr>
        <w:tc>
          <w:tcPr>
            <w:tcW w:w="1148" w:type="pct"/>
            <w:tcBorders>
              <w:top w:val="single" w:sz="4" w:space="0" w:color="auto"/>
              <w:left w:val="single" w:sz="4" w:space="0" w:color="auto"/>
              <w:bottom w:val="single" w:sz="4" w:space="0" w:color="auto"/>
              <w:right w:val="single" w:sz="4" w:space="0" w:color="auto"/>
            </w:tcBorders>
            <w:shd w:val="clear" w:color="000000" w:fill="A6A6A6"/>
            <w:textDirection w:val="lrTb"/>
            <w:vAlign w:val="bottom"/>
            <w:hideMark/>
          </w:tcPr>
          <w:p w:rsidR="00CD5972" w:rsidRPr="00924CC2" w:rsidP="00F576BD">
            <w:pPr>
              <w:bidi w:val="0"/>
              <w:jc w:val="both"/>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v tis. eur</w:t>
            </w:r>
          </w:p>
        </w:tc>
        <w:tc>
          <w:tcPr>
            <w:tcW w:w="51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2009 S</w:t>
            </w:r>
          </w:p>
        </w:tc>
        <w:tc>
          <w:tcPr>
            <w:tcW w:w="51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2010 S</w:t>
            </w:r>
          </w:p>
        </w:tc>
        <w:tc>
          <w:tcPr>
            <w:tcW w:w="51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2011 R</w:t>
            </w:r>
          </w:p>
        </w:tc>
        <w:tc>
          <w:tcPr>
            <w:tcW w:w="53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2011 OS</w:t>
            </w:r>
          </w:p>
        </w:tc>
        <w:tc>
          <w:tcPr>
            <w:tcW w:w="590"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2012 N</w:t>
            </w:r>
          </w:p>
        </w:tc>
        <w:tc>
          <w:tcPr>
            <w:tcW w:w="590"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2013 N</w:t>
            </w:r>
          </w:p>
        </w:tc>
        <w:tc>
          <w:tcPr>
            <w:tcW w:w="590"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D5972" w:rsidRPr="00924CC2" w:rsidP="00F576BD">
            <w:pPr>
              <w:bidi w:val="0"/>
              <w:jc w:val="center"/>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2014 N</w:t>
            </w:r>
          </w:p>
        </w:tc>
      </w:tr>
      <w:tr>
        <w:tblPrEx>
          <w:tblW w:w="5000" w:type="pct"/>
          <w:tblCellMar>
            <w:left w:w="70" w:type="dxa"/>
            <w:right w:w="70" w:type="dxa"/>
          </w:tblCellMar>
          <w:tblLook w:val="04A0"/>
        </w:tblPrEx>
        <w:trPr>
          <w:trHeight w:val="312"/>
        </w:trPr>
        <w:tc>
          <w:tcPr>
            <w:tcW w:w="1148"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 xml:space="preserve">Tuzemské transfery </w:t>
            </w:r>
          </w:p>
        </w:tc>
        <w:tc>
          <w:tcPr>
            <w:tcW w:w="515"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19 765</w:t>
            </w:r>
          </w:p>
        </w:tc>
        <w:tc>
          <w:tcPr>
            <w:tcW w:w="515"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20 243</w:t>
            </w:r>
          </w:p>
        </w:tc>
        <w:tc>
          <w:tcPr>
            <w:tcW w:w="515"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15 828</w:t>
            </w:r>
          </w:p>
        </w:tc>
        <w:tc>
          <w:tcPr>
            <w:tcW w:w="536"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15 132</w:t>
            </w:r>
          </w:p>
        </w:tc>
        <w:tc>
          <w:tcPr>
            <w:tcW w:w="590"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12 012</w:t>
            </w:r>
          </w:p>
        </w:tc>
        <w:tc>
          <w:tcPr>
            <w:tcW w:w="590"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12 343</w:t>
            </w:r>
          </w:p>
        </w:tc>
        <w:tc>
          <w:tcPr>
            <w:tcW w:w="590" w:type="pct"/>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CD5972" w:rsidRPr="00924CC2" w:rsidP="00F576BD">
            <w:pPr>
              <w:bidi w:val="0"/>
              <w:jc w:val="right"/>
              <w:rPr>
                <w:rFonts w:ascii="Times New Roman" w:hAnsi="Times New Roman" w:cs="Times New Roman"/>
                <w:b/>
                <w:bCs/>
                <w:color w:val="000000"/>
                <w:sz w:val="14"/>
                <w:szCs w:val="14"/>
                <w:lang w:eastAsia="sk-SK"/>
              </w:rPr>
            </w:pPr>
            <w:r w:rsidRPr="00924CC2">
              <w:rPr>
                <w:rFonts w:ascii="Times New Roman" w:hAnsi="Times New Roman" w:cs="Times New Roman"/>
                <w:b/>
                <w:bCs/>
                <w:color w:val="000000"/>
                <w:sz w:val="14"/>
                <w:szCs w:val="14"/>
                <w:lang w:eastAsia="sk-SK"/>
              </w:rPr>
              <w:t>12 669</w:t>
            </w:r>
          </w:p>
        </w:tc>
      </w:tr>
      <w:tr>
        <w:tblPrEx>
          <w:tblW w:w="5000" w:type="pct"/>
          <w:tblCellMar>
            <w:left w:w="70" w:type="dxa"/>
            <w:right w:w="70" w:type="dxa"/>
          </w:tblCellMar>
          <w:tblLook w:val="04A0"/>
        </w:tblPrEx>
        <w:trPr>
          <w:trHeight w:val="312"/>
        </w:trPr>
        <w:tc>
          <w:tcPr>
            <w:tcW w:w="1148" w:type="pct"/>
            <w:tcBorders>
              <w:top w:val="single" w:sz="4" w:space="0" w:color="auto"/>
              <w:left w:val="single" w:sz="4" w:space="0" w:color="auto"/>
              <w:bottom w:val="single" w:sz="4" w:space="0" w:color="auto"/>
              <w:right w:val="single" w:sz="4" w:space="0" w:color="auto"/>
            </w:tcBorders>
            <w:textDirection w:val="lrTb"/>
            <w:vAlign w:val="bottom"/>
            <w:hideMark/>
          </w:tcPr>
          <w:p w:rsidR="007D1FDF" w:rsidRPr="00077921" w:rsidP="007D1FDF">
            <w:pPr>
              <w:bidi w:val="0"/>
              <w:jc w:val="both"/>
              <w:rPr>
                <w:rFonts w:ascii="Times New Roman" w:hAnsi="Times New Roman"/>
                <w:color w:val="000000"/>
                <w:sz w:val="14"/>
                <w:szCs w:val="16"/>
                <w:lang w:eastAsia="sk-SK"/>
              </w:rPr>
            </w:pPr>
            <w:r w:rsidRPr="00077921">
              <w:rPr>
                <w:rFonts w:ascii="Times New Roman" w:hAnsi="Times New Roman"/>
                <w:color w:val="000000"/>
                <w:sz w:val="14"/>
                <w:szCs w:val="16"/>
                <w:lang w:eastAsia="sk-SK"/>
              </w:rPr>
              <w:t>z  toho:</w:t>
            </w:r>
          </w:p>
          <w:p w:rsidR="007D1FDF" w:rsidRPr="00077921" w:rsidP="007D1FDF">
            <w:pPr>
              <w:bidi w:val="0"/>
              <w:jc w:val="both"/>
              <w:rPr>
                <w:rFonts w:ascii="Times New Roman" w:hAnsi="Times New Roman"/>
                <w:color w:val="000000"/>
                <w:sz w:val="14"/>
                <w:szCs w:val="16"/>
                <w:lang w:eastAsia="sk-SK"/>
              </w:rPr>
            </w:pPr>
            <w:r w:rsidRPr="00077921">
              <w:rPr>
                <w:rFonts w:ascii="Times New Roman" w:hAnsi="Times New Roman"/>
                <w:color w:val="000000"/>
                <w:sz w:val="14"/>
                <w:szCs w:val="16"/>
                <w:lang w:eastAsia="sk-SK"/>
              </w:rPr>
              <w:t xml:space="preserve">Príspevky zdravotných poisťovní     </w:t>
            </w:r>
          </w:p>
          <w:p w:rsidR="007D1FDF" w:rsidRPr="00077921" w:rsidP="007D1FDF">
            <w:pPr>
              <w:bidi w:val="0"/>
              <w:jc w:val="both"/>
              <w:rPr>
                <w:rFonts w:ascii="Times New Roman" w:hAnsi="Times New Roman"/>
                <w:color w:val="000000"/>
                <w:sz w:val="14"/>
                <w:szCs w:val="16"/>
                <w:lang w:eastAsia="sk-SK"/>
              </w:rPr>
            </w:pPr>
            <w:r w:rsidRPr="00077921">
              <w:rPr>
                <w:rFonts w:ascii="Times New Roman" w:hAnsi="Times New Roman"/>
                <w:color w:val="000000"/>
                <w:sz w:val="14"/>
                <w:szCs w:val="16"/>
                <w:lang w:eastAsia="sk-SK"/>
              </w:rPr>
              <w:t xml:space="preserve">na  činnosť operačných  stredísk </w:t>
            </w:r>
          </w:p>
          <w:p w:rsidR="00CD5972" w:rsidRPr="00924CC2" w:rsidP="007D1FDF">
            <w:pPr>
              <w:bidi w:val="0"/>
              <w:jc w:val="both"/>
              <w:rPr>
                <w:rFonts w:ascii="Times New Roman" w:hAnsi="Times New Roman" w:cs="Times New Roman"/>
                <w:color w:val="000000"/>
                <w:sz w:val="14"/>
                <w:szCs w:val="14"/>
                <w:lang w:eastAsia="sk-SK"/>
              </w:rPr>
            </w:pPr>
            <w:r w:rsidRPr="00077921" w:rsidR="007D1FDF">
              <w:rPr>
                <w:rFonts w:ascii="Times New Roman" w:hAnsi="Times New Roman"/>
                <w:color w:val="000000"/>
                <w:sz w:val="14"/>
                <w:szCs w:val="16"/>
                <w:lang w:eastAsia="sk-SK"/>
              </w:rPr>
              <w:t>záchrannej zdravotnej služby</w:t>
            </w:r>
          </w:p>
        </w:tc>
        <w:tc>
          <w:tcPr>
            <w:tcW w:w="515"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10 990</w:t>
            </w:r>
          </w:p>
        </w:tc>
        <w:tc>
          <w:tcPr>
            <w:tcW w:w="515"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11 193</w:t>
            </w:r>
          </w:p>
        </w:tc>
        <w:tc>
          <w:tcPr>
            <w:tcW w:w="515"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12 443</w:t>
            </w:r>
          </w:p>
        </w:tc>
        <w:tc>
          <w:tcPr>
            <w:tcW w:w="536"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11 747</w:t>
            </w:r>
          </w:p>
        </w:tc>
        <w:tc>
          <w:tcPr>
            <w:tcW w:w="59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11 927</w:t>
            </w:r>
          </w:p>
        </w:tc>
        <w:tc>
          <w:tcPr>
            <w:tcW w:w="59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12 258</w:t>
            </w:r>
          </w:p>
        </w:tc>
        <w:tc>
          <w:tcPr>
            <w:tcW w:w="590" w:type="pct"/>
            <w:tcBorders>
              <w:top w:val="single" w:sz="4" w:space="0" w:color="auto"/>
              <w:left w:val="single" w:sz="4" w:space="0" w:color="auto"/>
              <w:bottom w:val="single" w:sz="4" w:space="0" w:color="auto"/>
              <w:right w:val="single" w:sz="4" w:space="0" w:color="auto"/>
            </w:tcBorders>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12 584</w:t>
            </w:r>
          </w:p>
        </w:tc>
      </w:tr>
      <w:tr>
        <w:tblPrEx>
          <w:tblW w:w="5000" w:type="pct"/>
          <w:tblCellMar>
            <w:left w:w="70" w:type="dxa"/>
            <w:right w:w="70" w:type="dxa"/>
          </w:tblCellMar>
          <w:tblLook w:val="04A0"/>
        </w:tblPrEx>
        <w:trPr>
          <w:trHeight w:val="172"/>
        </w:trPr>
        <w:tc>
          <w:tcPr>
            <w:tcW w:w="1148" w:type="pct"/>
            <w:tcBorders>
              <w:top w:val="single" w:sz="4" w:space="0" w:color="auto"/>
              <w:left w:val="single" w:sz="4" w:space="0" w:color="auto"/>
              <w:bottom w:val="nil"/>
              <w:right w:val="single" w:sz="4" w:space="0" w:color="auto"/>
            </w:tcBorders>
            <w:shd w:val="clear" w:color="000000" w:fill="FFFFFF"/>
            <w:textDirection w:val="lrTb"/>
            <w:vAlign w:val="bottom"/>
            <w:hideMark/>
          </w:tcPr>
          <w:p w:rsidR="00CD5972" w:rsidRPr="00924CC2" w:rsidP="00F576BD">
            <w:pPr>
              <w:bidi w:val="0"/>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 xml:space="preserve">Transfery  ostatných subjektov </w:t>
            </w:r>
          </w:p>
        </w:tc>
        <w:tc>
          <w:tcPr>
            <w:tcW w:w="515" w:type="pct"/>
            <w:vMerge w:val="restar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8 775</w:t>
            </w:r>
          </w:p>
        </w:tc>
        <w:tc>
          <w:tcPr>
            <w:tcW w:w="515" w:type="pct"/>
            <w:vMerge w:val="restar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9 050</w:t>
            </w:r>
          </w:p>
        </w:tc>
        <w:tc>
          <w:tcPr>
            <w:tcW w:w="515" w:type="pct"/>
            <w:vMerge w:val="restar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3 385</w:t>
            </w:r>
          </w:p>
        </w:tc>
        <w:tc>
          <w:tcPr>
            <w:tcW w:w="536" w:type="pct"/>
            <w:vMerge w:val="restar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3 385</w:t>
            </w:r>
          </w:p>
        </w:tc>
        <w:tc>
          <w:tcPr>
            <w:tcW w:w="590" w:type="pct"/>
            <w:vMerge w:val="restar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85</w:t>
            </w:r>
          </w:p>
        </w:tc>
        <w:tc>
          <w:tcPr>
            <w:tcW w:w="590" w:type="pct"/>
            <w:vMerge w:val="restar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85</w:t>
            </w:r>
          </w:p>
        </w:tc>
        <w:tc>
          <w:tcPr>
            <w:tcW w:w="590" w:type="pct"/>
            <w:vMerge w:val="restar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jc w:val="right"/>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85</w:t>
            </w:r>
          </w:p>
        </w:tc>
      </w:tr>
      <w:tr>
        <w:tblPrEx>
          <w:tblW w:w="5000" w:type="pct"/>
          <w:tblCellMar>
            <w:left w:w="70" w:type="dxa"/>
            <w:right w:w="70" w:type="dxa"/>
          </w:tblCellMar>
          <w:tblLook w:val="04A0"/>
        </w:tblPrEx>
        <w:trPr>
          <w:trHeight w:val="132"/>
        </w:trPr>
        <w:tc>
          <w:tcPr>
            <w:tcW w:w="1148" w:type="pct"/>
            <w:tcBorders>
              <w:top w:val="nil"/>
              <w:left w:val="single" w:sz="4" w:space="0" w:color="auto"/>
              <w:bottom w:val="single" w:sz="4" w:space="0" w:color="auto"/>
              <w:right w:val="single" w:sz="4" w:space="0" w:color="auto"/>
            </w:tcBorders>
            <w:shd w:val="clear" w:color="000000" w:fill="FFFFFF"/>
            <w:textDirection w:val="lrTb"/>
            <w:vAlign w:val="bottom"/>
            <w:hideMark/>
          </w:tcPr>
          <w:p w:rsidR="00CD5972" w:rsidRPr="00924CC2" w:rsidP="00F576BD">
            <w:pPr>
              <w:bidi w:val="0"/>
              <w:rPr>
                <w:rFonts w:ascii="Times New Roman" w:hAnsi="Times New Roman" w:cs="Times New Roman"/>
                <w:color w:val="000000"/>
                <w:sz w:val="14"/>
                <w:szCs w:val="14"/>
                <w:lang w:eastAsia="sk-SK"/>
              </w:rPr>
            </w:pPr>
            <w:r w:rsidRPr="00924CC2">
              <w:rPr>
                <w:rFonts w:ascii="Times New Roman" w:hAnsi="Times New Roman" w:cs="Times New Roman"/>
                <w:color w:val="000000"/>
                <w:sz w:val="14"/>
                <w:szCs w:val="14"/>
                <w:lang w:eastAsia="sk-SK"/>
              </w:rPr>
              <w:t xml:space="preserve"> verejnej správy</w:t>
            </w:r>
          </w:p>
        </w:tc>
        <w:tc>
          <w:tcPr>
            <w:tcW w:w="515" w:type="pct"/>
            <w:vMerge/>
            <w:tcBorders>
              <w:top w:val="single" w:sz="4" w:space="0" w:color="auto"/>
              <w:left w:val="single" w:sz="4" w:space="0" w:color="auto"/>
              <w:bottom w:val="single" w:sz="4" w:space="0" w:color="auto"/>
              <w:right w:val="single" w:sz="4" w:space="0" w:color="auto"/>
            </w:tcBorders>
            <w:textDirection w:val="lrTb"/>
            <w:vAlign w:val="center"/>
            <w:hideMark/>
          </w:tcPr>
          <w:p w:rsidR="00CD5972" w:rsidRPr="00924CC2" w:rsidP="00F576BD">
            <w:pPr>
              <w:bidi w:val="0"/>
              <w:rPr>
                <w:rFonts w:ascii="Times New Roman" w:hAnsi="Times New Roman" w:cs="Times New Roman"/>
                <w:color w:val="000000"/>
                <w:sz w:val="14"/>
                <w:szCs w:val="14"/>
                <w:lang w:eastAsia="sk-SK"/>
              </w:rPr>
            </w:pPr>
          </w:p>
        </w:tc>
        <w:tc>
          <w:tcPr>
            <w:tcW w:w="515" w:type="pct"/>
            <w:vMerge/>
            <w:tcBorders>
              <w:top w:val="single" w:sz="4" w:space="0" w:color="auto"/>
              <w:left w:val="single" w:sz="4" w:space="0" w:color="auto"/>
              <w:bottom w:val="single" w:sz="4" w:space="0" w:color="auto"/>
              <w:right w:val="single" w:sz="4" w:space="0" w:color="auto"/>
            </w:tcBorders>
            <w:textDirection w:val="lrTb"/>
            <w:vAlign w:val="center"/>
            <w:hideMark/>
          </w:tcPr>
          <w:p w:rsidR="00CD5972" w:rsidRPr="00924CC2" w:rsidP="00F576BD">
            <w:pPr>
              <w:bidi w:val="0"/>
              <w:rPr>
                <w:rFonts w:ascii="Times New Roman" w:hAnsi="Times New Roman" w:cs="Times New Roman"/>
                <w:color w:val="000000"/>
                <w:sz w:val="14"/>
                <w:szCs w:val="14"/>
                <w:lang w:eastAsia="sk-SK"/>
              </w:rPr>
            </w:pPr>
          </w:p>
        </w:tc>
        <w:tc>
          <w:tcPr>
            <w:tcW w:w="515" w:type="pct"/>
            <w:vMerge/>
            <w:tcBorders>
              <w:top w:val="single" w:sz="4" w:space="0" w:color="auto"/>
              <w:left w:val="single" w:sz="4" w:space="0" w:color="auto"/>
              <w:bottom w:val="single" w:sz="4" w:space="0" w:color="auto"/>
              <w:right w:val="single" w:sz="4" w:space="0" w:color="auto"/>
            </w:tcBorders>
            <w:textDirection w:val="lrTb"/>
            <w:vAlign w:val="center"/>
            <w:hideMark/>
          </w:tcPr>
          <w:p w:rsidR="00CD5972" w:rsidRPr="00924CC2" w:rsidP="00F576BD">
            <w:pPr>
              <w:bidi w:val="0"/>
              <w:rPr>
                <w:rFonts w:ascii="Times New Roman" w:hAnsi="Times New Roman" w:cs="Times New Roman"/>
                <w:color w:val="000000"/>
                <w:sz w:val="14"/>
                <w:szCs w:val="14"/>
                <w:lang w:eastAsia="sk-SK"/>
              </w:rPr>
            </w:pPr>
          </w:p>
        </w:tc>
        <w:tc>
          <w:tcPr>
            <w:tcW w:w="536" w:type="pct"/>
            <w:vMerge/>
            <w:tcBorders>
              <w:top w:val="single" w:sz="4" w:space="0" w:color="auto"/>
              <w:left w:val="single" w:sz="4" w:space="0" w:color="auto"/>
              <w:bottom w:val="single" w:sz="4" w:space="0" w:color="auto"/>
              <w:right w:val="single" w:sz="4" w:space="0" w:color="auto"/>
            </w:tcBorders>
            <w:textDirection w:val="lrTb"/>
            <w:vAlign w:val="center"/>
            <w:hideMark/>
          </w:tcPr>
          <w:p w:rsidR="00CD5972" w:rsidRPr="00924CC2" w:rsidP="00F576BD">
            <w:pPr>
              <w:bidi w:val="0"/>
              <w:rPr>
                <w:rFonts w:ascii="Times New Roman" w:hAnsi="Times New Roman" w:cs="Times New Roman"/>
                <w:color w:val="000000"/>
                <w:sz w:val="14"/>
                <w:szCs w:val="14"/>
                <w:lang w:eastAsia="sk-SK"/>
              </w:rPr>
            </w:pPr>
          </w:p>
        </w:tc>
        <w:tc>
          <w:tcPr>
            <w:tcW w:w="590" w:type="pct"/>
            <w:vMerge/>
            <w:tcBorders>
              <w:top w:val="single" w:sz="4" w:space="0" w:color="auto"/>
              <w:left w:val="single" w:sz="4" w:space="0" w:color="auto"/>
              <w:bottom w:val="single" w:sz="4" w:space="0" w:color="auto"/>
              <w:right w:val="single" w:sz="4" w:space="0" w:color="auto"/>
            </w:tcBorders>
            <w:textDirection w:val="lrTb"/>
            <w:vAlign w:val="center"/>
            <w:hideMark/>
          </w:tcPr>
          <w:p w:rsidR="00CD5972" w:rsidRPr="00924CC2" w:rsidP="00F576BD">
            <w:pPr>
              <w:bidi w:val="0"/>
              <w:rPr>
                <w:rFonts w:ascii="Times New Roman" w:hAnsi="Times New Roman" w:cs="Times New Roman"/>
                <w:color w:val="000000"/>
                <w:sz w:val="14"/>
                <w:szCs w:val="14"/>
                <w:lang w:eastAsia="sk-SK"/>
              </w:rPr>
            </w:pPr>
          </w:p>
        </w:tc>
        <w:tc>
          <w:tcPr>
            <w:tcW w:w="590" w:type="pct"/>
            <w:vMerge/>
            <w:tcBorders>
              <w:top w:val="single" w:sz="4" w:space="0" w:color="auto"/>
              <w:left w:val="single" w:sz="4" w:space="0" w:color="auto"/>
              <w:bottom w:val="single" w:sz="4" w:space="0" w:color="auto"/>
              <w:right w:val="single" w:sz="4" w:space="0" w:color="auto"/>
            </w:tcBorders>
            <w:textDirection w:val="lrTb"/>
            <w:vAlign w:val="center"/>
            <w:hideMark/>
          </w:tcPr>
          <w:p w:rsidR="00CD5972" w:rsidRPr="00924CC2" w:rsidP="00F576BD">
            <w:pPr>
              <w:bidi w:val="0"/>
              <w:rPr>
                <w:rFonts w:ascii="Times New Roman" w:hAnsi="Times New Roman" w:cs="Times New Roman"/>
                <w:color w:val="000000"/>
                <w:sz w:val="14"/>
                <w:szCs w:val="14"/>
                <w:lang w:eastAsia="sk-SK"/>
              </w:rPr>
            </w:pPr>
          </w:p>
        </w:tc>
        <w:tc>
          <w:tcPr>
            <w:tcW w:w="590" w:type="pct"/>
            <w:vMerge/>
            <w:tcBorders>
              <w:top w:val="single" w:sz="4" w:space="0" w:color="auto"/>
              <w:left w:val="single" w:sz="4" w:space="0" w:color="auto"/>
              <w:bottom w:val="single" w:sz="4" w:space="0" w:color="auto"/>
              <w:right w:val="single" w:sz="4" w:space="0" w:color="auto"/>
            </w:tcBorders>
            <w:textDirection w:val="lrTb"/>
            <w:vAlign w:val="center"/>
            <w:hideMark/>
          </w:tcPr>
          <w:p w:rsidR="00CD5972" w:rsidRPr="00924CC2" w:rsidP="00F576BD">
            <w:pPr>
              <w:bidi w:val="0"/>
              <w:rPr>
                <w:rFonts w:ascii="Times New Roman" w:hAnsi="Times New Roman" w:cs="Times New Roman"/>
                <w:color w:val="000000"/>
                <w:sz w:val="14"/>
                <w:szCs w:val="14"/>
                <w:lang w:eastAsia="sk-SK"/>
              </w:rPr>
            </w:pPr>
          </w:p>
        </w:tc>
      </w:tr>
    </w:tbl>
    <w:p w:rsidR="00CD5972" w:rsidRPr="002C0D88" w:rsidP="00CD5972">
      <w:pPr>
        <w:bidi w:val="0"/>
        <w:ind w:firstLine="708"/>
        <w:jc w:val="both"/>
        <w:rPr>
          <w:rFonts w:ascii="Times New Roman" w:hAnsi="Times New Roman"/>
          <w:szCs w:val="22"/>
        </w:rPr>
      </w:pPr>
    </w:p>
    <w:p w:rsidR="00CD5972" w:rsidRPr="002C0D88" w:rsidP="00CD5972">
      <w:pPr>
        <w:bidi w:val="0"/>
        <w:ind w:firstLine="708"/>
        <w:jc w:val="both"/>
        <w:rPr>
          <w:rFonts w:ascii="Times New Roman" w:hAnsi="Times New Roman"/>
          <w:szCs w:val="22"/>
        </w:rPr>
      </w:pPr>
      <w:r w:rsidRPr="002C0D88">
        <w:rPr>
          <w:rFonts w:ascii="Times New Roman" w:hAnsi="Times New Roman"/>
          <w:szCs w:val="22"/>
        </w:rPr>
        <w:t>Príspevok na činnosť operačných stredísk záchrannej zdravotnej služby poukazujú zdravotné poisťovne v súlade so zákonom č. 581/2004 Z. z. o zdravotných poisťovniach</w:t>
      </w:r>
      <w:r>
        <w:rPr>
          <w:rFonts w:ascii="Times New Roman" w:hAnsi="Times New Roman"/>
          <w:szCs w:val="22"/>
        </w:rPr>
        <w:t xml:space="preserve">, </w:t>
      </w:r>
      <w:r w:rsidRPr="002C0D88">
        <w:rPr>
          <w:rFonts w:ascii="Times New Roman" w:hAnsi="Times New Roman"/>
          <w:szCs w:val="22"/>
        </w:rPr>
        <w:t xml:space="preserve"> dohľade</w:t>
      </w:r>
      <w:r>
        <w:rPr>
          <w:rFonts w:ascii="Times New Roman" w:hAnsi="Times New Roman"/>
          <w:szCs w:val="22"/>
        </w:rPr>
        <w:t xml:space="preserve"> nad zdravotnou starostlivosťou a o zmene a doplnení niektorých zákonov. Z dôvodu zmeny vymeriavacieho základu dochádza k </w:t>
      </w:r>
      <w:r w:rsidRPr="002C0D88">
        <w:rPr>
          <w:rFonts w:ascii="Times New Roman" w:hAnsi="Times New Roman"/>
          <w:szCs w:val="22"/>
        </w:rPr>
        <w:t xml:space="preserve">poklesu príspevku </w:t>
      </w:r>
      <w:r>
        <w:rPr>
          <w:rFonts w:ascii="Times New Roman" w:hAnsi="Times New Roman"/>
          <w:szCs w:val="22"/>
        </w:rPr>
        <w:t>na</w:t>
      </w:r>
      <w:r w:rsidRPr="002C0D88">
        <w:rPr>
          <w:rFonts w:ascii="Times New Roman" w:hAnsi="Times New Roman"/>
          <w:szCs w:val="22"/>
        </w:rPr>
        <w:t xml:space="preserve"> rok 2012 oproti schválenému rozpočtu na rok 2011.</w:t>
      </w:r>
    </w:p>
    <w:p w:rsidR="00810B1B" w:rsidRPr="0017084C" w:rsidP="0072154C">
      <w:pPr>
        <w:pStyle w:val="Heading1"/>
        <w:numPr>
          <w:numId w:val="40"/>
        </w:numPr>
        <w:bidi w:val="0"/>
        <w:spacing w:before="0" w:after="0"/>
        <w:ind w:left="284" w:hanging="284"/>
        <w:rPr>
          <w:rFonts w:ascii="Times New Roman" w:hAnsi="Times New Roman" w:cs="Times New Roman"/>
          <w:sz w:val="28"/>
          <w:szCs w:val="24"/>
        </w:rPr>
      </w:pPr>
      <w:bookmarkStart w:id="49" w:name="_Toc116476495"/>
      <w:bookmarkStart w:id="50" w:name="_Toc141529498"/>
      <w:bookmarkStart w:id="51" w:name="_Toc219860187"/>
      <w:bookmarkStart w:id="52" w:name="_Toc282686543"/>
      <w:bookmarkStart w:id="53" w:name="_Toc306089065"/>
      <w:r w:rsidRPr="0017084C">
        <w:rPr>
          <w:rFonts w:ascii="Times New Roman" w:hAnsi="Times New Roman" w:cs="Times New Roman"/>
          <w:sz w:val="28"/>
          <w:szCs w:val="24"/>
        </w:rPr>
        <w:t>Rozpočtovanie výdavkov štátneho rozpočtu</w:t>
      </w:r>
      <w:bookmarkEnd w:id="49"/>
      <w:bookmarkEnd w:id="50"/>
      <w:bookmarkEnd w:id="51"/>
      <w:bookmarkEnd w:id="52"/>
      <w:bookmarkEnd w:id="53"/>
    </w:p>
    <w:p w:rsidR="00173DBD" w:rsidRPr="000B4441" w:rsidP="00173DBD">
      <w:pPr>
        <w:bidi w:val="0"/>
        <w:ind w:left="720"/>
        <w:rPr>
          <w:rFonts w:ascii="Times New Roman" w:hAnsi="Times New Roman" w:cs="Times New Roman"/>
          <w:color w:val="0070C0"/>
        </w:rPr>
      </w:pPr>
    </w:p>
    <w:p w:rsidR="00810B1B" w:rsidRPr="005D6A8D" w:rsidP="00173DBD">
      <w:pPr>
        <w:pStyle w:val="Heading2"/>
        <w:bidi w:val="0"/>
        <w:spacing w:before="0" w:after="0"/>
        <w:rPr>
          <w:rFonts w:ascii="Times New Roman" w:hAnsi="Times New Roman"/>
          <w:i w:val="0"/>
          <w:iCs w:val="0"/>
          <w:sz w:val="24"/>
          <w:szCs w:val="24"/>
        </w:rPr>
      </w:pPr>
      <w:bookmarkStart w:id="54" w:name="_Toc219860188"/>
      <w:bookmarkStart w:id="55" w:name="_Toc282686544"/>
      <w:bookmarkStart w:id="56" w:name="_Toc306089066"/>
      <w:r w:rsidRPr="005D6A8D" w:rsidR="00260649">
        <w:rPr>
          <w:rFonts w:ascii="Times New Roman" w:hAnsi="Times New Roman"/>
          <w:i w:val="0"/>
          <w:iCs w:val="0"/>
          <w:sz w:val="24"/>
          <w:szCs w:val="24"/>
        </w:rPr>
        <w:t>5</w:t>
      </w:r>
      <w:r w:rsidRPr="005D6A8D">
        <w:rPr>
          <w:rFonts w:ascii="Times New Roman" w:hAnsi="Times New Roman"/>
          <w:i w:val="0"/>
          <w:iCs w:val="0"/>
          <w:sz w:val="24"/>
          <w:szCs w:val="24"/>
        </w:rPr>
        <w:t>.1. Kvantifikácia výdavkov štátneho rozpočtu</w:t>
      </w:r>
      <w:bookmarkEnd w:id="54"/>
      <w:bookmarkEnd w:id="55"/>
      <w:bookmarkEnd w:id="56"/>
    </w:p>
    <w:p w:rsidR="004A1A75" w:rsidP="004A1A75">
      <w:pPr>
        <w:bidi w:val="0"/>
        <w:rPr>
          <w:rFonts w:ascii="Times New Roman" w:hAnsi="Times New Roman" w:cs="Times New Roman"/>
        </w:rPr>
      </w:pPr>
    </w:p>
    <w:p w:rsidR="006429AA" w:rsidRPr="006429AA" w:rsidP="006429AA">
      <w:pPr>
        <w:bidi w:val="0"/>
        <w:ind w:firstLine="708"/>
        <w:jc w:val="both"/>
        <w:rPr>
          <w:rFonts w:ascii="Times New Roman" w:hAnsi="Times New Roman" w:cs="Times New Roman"/>
          <w:szCs w:val="22"/>
        </w:rPr>
      </w:pPr>
      <w:r w:rsidRPr="006429AA">
        <w:rPr>
          <w:rFonts w:ascii="Times New Roman" w:hAnsi="Times New Roman" w:cs="Times New Roman"/>
          <w:szCs w:val="22"/>
        </w:rPr>
        <w:t xml:space="preserve">Výdavky štátneho rozpočtu je potrebné porovnávať bez troch položiek, na ktoré nemá rozpočtová politika priamy vplyv. Ide o úroky zo štátneho dlhu, transfer do Sociálnej poisťovne a výdavky súvisiace s členstvom Slovenskej republiky v EÚ. Takto určené základné výdavky na chod štátu (ďalej len „základné výdavky“) slúžia na mzdy, prevádzku a investície a v roku 2012 sa rozpočtujú vo výške 9 976,9 mil. eur. </w:t>
      </w:r>
    </w:p>
    <w:p w:rsidR="006429AA" w:rsidRPr="006429AA" w:rsidP="006429AA">
      <w:pPr>
        <w:bidi w:val="0"/>
        <w:ind w:firstLine="708"/>
        <w:jc w:val="both"/>
        <w:rPr>
          <w:rFonts w:ascii="Times New Roman" w:hAnsi="Times New Roman" w:cs="Times New Roman"/>
          <w:sz w:val="22"/>
          <w:szCs w:val="22"/>
        </w:rPr>
      </w:pPr>
    </w:p>
    <w:tbl>
      <w:tblPr>
        <w:tblStyle w:val="TableNormal"/>
        <w:tblW w:w="8565"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985"/>
        <w:gridCol w:w="940"/>
        <w:gridCol w:w="940"/>
        <w:gridCol w:w="940"/>
        <w:gridCol w:w="940"/>
        <w:gridCol w:w="940"/>
        <w:gridCol w:w="940"/>
        <w:gridCol w:w="940"/>
      </w:tblGrid>
      <w:tr>
        <w:tblPrEx>
          <w:tblW w:w="8565"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66"/>
        </w:trPr>
        <w:tc>
          <w:tcPr>
            <w:tcW w:w="1985" w:type="dxa"/>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6429AA" w:rsidRPr="006429AA" w:rsidP="007F2C8A">
            <w:pPr>
              <w:bidi w:val="0"/>
              <w:spacing w:line="276" w:lineRule="auto"/>
              <w:rPr>
                <w:rFonts w:ascii="Times New Roman" w:hAnsi="Times New Roman" w:cs="Times New Roman"/>
                <w:b/>
                <w:bCs/>
                <w:sz w:val="14"/>
                <w:szCs w:val="14"/>
              </w:rPr>
            </w:pPr>
            <w:r w:rsidRPr="006429AA">
              <w:rPr>
                <w:rFonts w:ascii="Times New Roman" w:hAnsi="Times New Roman" w:cs="Times New Roman"/>
                <w:b/>
                <w:bCs/>
                <w:sz w:val="14"/>
                <w:szCs w:val="14"/>
              </w:rPr>
              <w:t xml:space="preserve">v tis. </w:t>
            </w:r>
            <w:r w:rsidR="007F2C8A">
              <w:rPr>
                <w:rFonts w:ascii="Times New Roman" w:hAnsi="Times New Roman" w:cs="Times New Roman"/>
                <w:b/>
                <w:bCs/>
                <w:sz w:val="14"/>
                <w:szCs w:val="14"/>
              </w:rPr>
              <w:t>e</w:t>
            </w:r>
            <w:r w:rsidRPr="006429AA">
              <w:rPr>
                <w:rFonts w:ascii="Times New Roman" w:hAnsi="Times New Roman" w:cs="Times New Roman"/>
                <w:b/>
                <w:bCs/>
                <w:sz w:val="14"/>
                <w:szCs w:val="14"/>
              </w:rPr>
              <w:t>ur</w:t>
            </w:r>
          </w:p>
        </w:tc>
        <w:tc>
          <w:tcPr>
            <w:tcW w:w="940" w:type="dxa"/>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6429AA" w:rsidRPr="006429AA">
            <w:pPr>
              <w:bidi w:val="0"/>
              <w:spacing w:line="276" w:lineRule="auto"/>
              <w:jc w:val="center"/>
              <w:rPr>
                <w:rFonts w:ascii="Times New Roman" w:hAnsi="Times New Roman" w:cs="Times New Roman"/>
                <w:b/>
                <w:bCs/>
                <w:sz w:val="14"/>
                <w:szCs w:val="14"/>
              </w:rPr>
            </w:pPr>
            <w:r w:rsidRPr="006429AA">
              <w:rPr>
                <w:rFonts w:ascii="Times New Roman" w:hAnsi="Times New Roman" w:cs="Times New Roman"/>
                <w:b/>
                <w:bCs/>
                <w:sz w:val="14"/>
                <w:szCs w:val="14"/>
              </w:rPr>
              <w:t>2009 S</w:t>
            </w:r>
          </w:p>
        </w:tc>
        <w:tc>
          <w:tcPr>
            <w:tcW w:w="940" w:type="dxa"/>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6429AA" w:rsidRPr="006429AA">
            <w:pPr>
              <w:bidi w:val="0"/>
              <w:spacing w:line="276" w:lineRule="auto"/>
              <w:jc w:val="center"/>
              <w:rPr>
                <w:rFonts w:ascii="Times New Roman" w:hAnsi="Times New Roman" w:cs="Times New Roman"/>
                <w:b/>
                <w:bCs/>
                <w:sz w:val="14"/>
                <w:szCs w:val="14"/>
              </w:rPr>
            </w:pPr>
            <w:r w:rsidRPr="006429AA">
              <w:rPr>
                <w:rFonts w:ascii="Times New Roman" w:hAnsi="Times New Roman" w:cs="Times New Roman"/>
                <w:b/>
                <w:bCs/>
                <w:sz w:val="14"/>
                <w:szCs w:val="14"/>
              </w:rPr>
              <w:t>2010 S</w:t>
            </w:r>
          </w:p>
        </w:tc>
        <w:tc>
          <w:tcPr>
            <w:tcW w:w="940" w:type="dxa"/>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6429AA" w:rsidRPr="006429AA">
            <w:pPr>
              <w:bidi w:val="0"/>
              <w:spacing w:line="276" w:lineRule="auto"/>
              <w:jc w:val="center"/>
              <w:rPr>
                <w:rFonts w:ascii="Times New Roman" w:hAnsi="Times New Roman" w:cs="Times New Roman"/>
                <w:b/>
                <w:bCs/>
                <w:sz w:val="14"/>
                <w:szCs w:val="14"/>
              </w:rPr>
            </w:pPr>
            <w:r w:rsidRPr="006429AA">
              <w:rPr>
                <w:rFonts w:ascii="Times New Roman" w:hAnsi="Times New Roman" w:cs="Times New Roman"/>
                <w:b/>
                <w:bCs/>
                <w:sz w:val="14"/>
                <w:szCs w:val="14"/>
              </w:rPr>
              <w:t>2011 R</w:t>
            </w:r>
          </w:p>
        </w:tc>
        <w:tc>
          <w:tcPr>
            <w:tcW w:w="940" w:type="dxa"/>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6429AA" w:rsidRPr="006429AA">
            <w:pPr>
              <w:bidi w:val="0"/>
              <w:spacing w:line="276" w:lineRule="auto"/>
              <w:jc w:val="center"/>
              <w:rPr>
                <w:rFonts w:ascii="Times New Roman" w:hAnsi="Times New Roman" w:cs="Times New Roman"/>
                <w:b/>
                <w:bCs/>
                <w:sz w:val="14"/>
                <w:szCs w:val="14"/>
              </w:rPr>
            </w:pPr>
            <w:r w:rsidRPr="006429AA">
              <w:rPr>
                <w:rFonts w:ascii="Times New Roman" w:hAnsi="Times New Roman" w:cs="Times New Roman"/>
                <w:b/>
                <w:bCs/>
                <w:sz w:val="14"/>
                <w:szCs w:val="14"/>
              </w:rPr>
              <w:t>2011 OS</w:t>
            </w:r>
          </w:p>
        </w:tc>
        <w:tc>
          <w:tcPr>
            <w:tcW w:w="940" w:type="dxa"/>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6429AA" w:rsidRPr="006429AA">
            <w:pPr>
              <w:bidi w:val="0"/>
              <w:spacing w:line="276" w:lineRule="auto"/>
              <w:jc w:val="center"/>
              <w:rPr>
                <w:rFonts w:ascii="Times New Roman" w:hAnsi="Times New Roman" w:cs="Times New Roman"/>
                <w:b/>
                <w:bCs/>
                <w:sz w:val="14"/>
                <w:szCs w:val="14"/>
              </w:rPr>
            </w:pPr>
            <w:r w:rsidRPr="006429AA">
              <w:rPr>
                <w:rFonts w:ascii="Times New Roman" w:hAnsi="Times New Roman" w:cs="Times New Roman"/>
                <w:b/>
                <w:bCs/>
                <w:sz w:val="14"/>
                <w:szCs w:val="14"/>
              </w:rPr>
              <w:t>2012 N</w:t>
            </w:r>
          </w:p>
        </w:tc>
        <w:tc>
          <w:tcPr>
            <w:tcW w:w="940" w:type="dxa"/>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6429AA" w:rsidRPr="006429AA">
            <w:pPr>
              <w:bidi w:val="0"/>
              <w:spacing w:line="276" w:lineRule="auto"/>
              <w:jc w:val="center"/>
              <w:rPr>
                <w:rFonts w:ascii="Times New Roman" w:hAnsi="Times New Roman" w:cs="Times New Roman"/>
                <w:b/>
                <w:bCs/>
                <w:sz w:val="14"/>
                <w:szCs w:val="14"/>
              </w:rPr>
            </w:pPr>
            <w:r w:rsidRPr="006429AA">
              <w:rPr>
                <w:rFonts w:ascii="Times New Roman" w:hAnsi="Times New Roman" w:cs="Times New Roman"/>
                <w:b/>
                <w:bCs/>
                <w:sz w:val="14"/>
                <w:szCs w:val="14"/>
              </w:rPr>
              <w:t>2013 N</w:t>
            </w:r>
          </w:p>
        </w:tc>
        <w:tc>
          <w:tcPr>
            <w:tcW w:w="940" w:type="dxa"/>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6429AA" w:rsidRPr="006429AA">
            <w:pPr>
              <w:bidi w:val="0"/>
              <w:spacing w:line="276" w:lineRule="auto"/>
              <w:jc w:val="center"/>
              <w:rPr>
                <w:rFonts w:ascii="Times New Roman" w:hAnsi="Times New Roman" w:cs="Times New Roman"/>
                <w:b/>
                <w:bCs/>
                <w:sz w:val="14"/>
                <w:szCs w:val="14"/>
              </w:rPr>
            </w:pPr>
            <w:r w:rsidRPr="006429AA">
              <w:rPr>
                <w:rFonts w:ascii="Times New Roman" w:hAnsi="Times New Roman" w:cs="Times New Roman"/>
                <w:b/>
                <w:bCs/>
                <w:sz w:val="14"/>
                <w:szCs w:val="14"/>
              </w:rPr>
              <w:t>2014 N</w:t>
            </w:r>
          </w:p>
        </w:tc>
      </w:tr>
      <w:tr>
        <w:tblPrEx>
          <w:tblW w:w="8565" w:type="dxa"/>
          <w:tblInd w:w="261" w:type="dxa"/>
          <w:tblCellMar>
            <w:left w:w="0" w:type="dxa"/>
            <w:right w:w="0" w:type="dxa"/>
          </w:tblCellMar>
          <w:tblLook w:val="04A0"/>
        </w:tblPrEx>
        <w:trPr>
          <w:trHeight w:val="266"/>
        </w:trPr>
        <w:tc>
          <w:tcPr>
            <w:tcW w:w="1985"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center"/>
            <w:hideMark/>
          </w:tcPr>
          <w:p w:rsidR="006429AA" w:rsidRPr="006429AA">
            <w:pPr>
              <w:bidi w:val="0"/>
              <w:spacing w:line="276" w:lineRule="auto"/>
              <w:rPr>
                <w:rFonts w:ascii="Times New Roman" w:hAnsi="Times New Roman" w:cs="Times New Roman"/>
                <w:b/>
                <w:bCs/>
                <w:sz w:val="14"/>
                <w:szCs w:val="14"/>
              </w:rPr>
            </w:pPr>
            <w:r w:rsidRPr="006429AA">
              <w:rPr>
                <w:rFonts w:ascii="Times New Roman" w:hAnsi="Times New Roman" w:cs="Times New Roman"/>
                <w:b/>
                <w:bCs/>
                <w:sz w:val="14"/>
                <w:szCs w:val="14"/>
              </w:rPr>
              <w:t>Výdavky štátneho rozpočtu</w:t>
            </w:r>
          </w:p>
        </w:tc>
        <w:tc>
          <w:tcPr>
            <w:tcW w:w="940"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b/>
                <w:bCs/>
                <w:sz w:val="14"/>
                <w:szCs w:val="14"/>
              </w:rPr>
            </w:pPr>
            <w:r w:rsidRPr="006429AA">
              <w:rPr>
                <w:rFonts w:ascii="Times New Roman" w:hAnsi="Times New Roman" w:cs="Times New Roman"/>
                <w:b/>
                <w:bCs/>
                <w:sz w:val="14"/>
                <w:szCs w:val="14"/>
              </w:rPr>
              <w:t>13 332 047</w:t>
            </w:r>
          </w:p>
        </w:tc>
        <w:tc>
          <w:tcPr>
            <w:tcW w:w="940"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b/>
                <w:bCs/>
                <w:sz w:val="14"/>
                <w:szCs w:val="14"/>
              </w:rPr>
            </w:pPr>
            <w:r w:rsidRPr="006429AA">
              <w:rPr>
                <w:rFonts w:ascii="Times New Roman" w:hAnsi="Times New Roman" w:cs="Times New Roman"/>
                <w:b/>
                <w:bCs/>
                <w:sz w:val="14"/>
                <w:szCs w:val="14"/>
              </w:rPr>
              <w:t>15 337 011</w:t>
            </w:r>
          </w:p>
        </w:tc>
        <w:tc>
          <w:tcPr>
            <w:tcW w:w="940"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b/>
                <w:bCs/>
                <w:sz w:val="14"/>
                <w:szCs w:val="14"/>
              </w:rPr>
            </w:pPr>
            <w:r w:rsidRPr="006429AA">
              <w:rPr>
                <w:rFonts w:ascii="Times New Roman" w:hAnsi="Times New Roman" w:cs="Times New Roman"/>
                <w:b/>
                <w:bCs/>
                <w:sz w:val="14"/>
                <w:szCs w:val="14"/>
              </w:rPr>
              <w:t>16 957 773</w:t>
            </w:r>
          </w:p>
        </w:tc>
        <w:tc>
          <w:tcPr>
            <w:tcW w:w="940"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b/>
                <w:bCs/>
                <w:sz w:val="14"/>
                <w:szCs w:val="14"/>
              </w:rPr>
            </w:pPr>
            <w:r w:rsidRPr="006429AA">
              <w:rPr>
                <w:rFonts w:ascii="Times New Roman" w:hAnsi="Times New Roman" w:cs="Times New Roman"/>
                <w:b/>
                <w:bCs/>
                <w:sz w:val="14"/>
                <w:szCs w:val="14"/>
              </w:rPr>
              <w:t>15 561 516</w:t>
            </w:r>
          </w:p>
        </w:tc>
        <w:tc>
          <w:tcPr>
            <w:tcW w:w="940"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b/>
                <w:bCs/>
                <w:sz w:val="14"/>
                <w:szCs w:val="14"/>
              </w:rPr>
            </w:pPr>
            <w:r w:rsidRPr="006429AA">
              <w:rPr>
                <w:rFonts w:ascii="Times New Roman" w:hAnsi="Times New Roman" w:cs="Times New Roman"/>
                <w:b/>
                <w:bCs/>
                <w:sz w:val="14"/>
                <w:szCs w:val="14"/>
              </w:rPr>
              <w:t>18 680 908</w:t>
            </w:r>
          </w:p>
        </w:tc>
        <w:tc>
          <w:tcPr>
            <w:tcW w:w="940"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b/>
                <w:bCs/>
                <w:sz w:val="14"/>
                <w:szCs w:val="14"/>
              </w:rPr>
            </w:pPr>
            <w:r w:rsidRPr="006429AA">
              <w:rPr>
                <w:rFonts w:ascii="Times New Roman" w:hAnsi="Times New Roman" w:cs="Times New Roman"/>
                <w:b/>
                <w:bCs/>
                <w:sz w:val="14"/>
                <w:szCs w:val="14"/>
              </w:rPr>
              <w:t>18 375 753</w:t>
            </w:r>
          </w:p>
        </w:tc>
        <w:tc>
          <w:tcPr>
            <w:tcW w:w="940"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b/>
                <w:bCs/>
                <w:sz w:val="14"/>
                <w:szCs w:val="14"/>
              </w:rPr>
            </w:pPr>
            <w:r w:rsidRPr="006429AA">
              <w:rPr>
                <w:rFonts w:ascii="Times New Roman" w:hAnsi="Times New Roman" w:cs="Times New Roman"/>
                <w:b/>
                <w:bCs/>
                <w:sz w:val="14"/>
                <w:szCs w:val="14"/>
              </w:rPr>
              <w:t>19 087 077</w:t>
            </w:r>
          </w:p>
        </w:tc>
      </w:tr>
      <w:tr>
        <w:tblPrEx>
          <w:tblW w:w="8565" w:type="dxa"/>
          <w:tblInd w:w="261" w:type="dxa"/>
          <w:tblCellMar>
            <w:left w:w="0" w:type="dxa"/>
            <w:right w:w="0" w:type="dxa"/>
          </w:tblCellMar>
          <w:tblLook w:val="04A0"/>
        </w:tblPrEx>
        <w:trPr>
          <w:trHeight w:val="266"/>
        </w:trPr>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6429AA" w:rsidRPr="006429AA">
            <w:pPr>
              <w:bidi w:val="0"/>
              <w:spacing w:line="276" w:lineRule="auto"/>
              <w:rPr>
                <w:rFonts w:ascii="Times New Roman" w:hAnsi="Times New Roman" w:cs="Times New Roman"/>
                <w:sz w:val="14"/>
                <w:szCs w:val="14"/>
              </w:rPr>
            </w:pPr>
            <w:r w:rsidRPr="006429AA">
              <w:rPr>
                <w:rFonts w:ascii="Times New Roman" w:hAnsi="Times New Roman" w:cs="Times New Roman"/>
                <w:sz w:val="14"/>
                <w:szCs w:val="14"/>
              </w:rPr>
              <w:t>Výdavky na obsluhu štátneho dlhu</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762 713</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864 075</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1 163 188</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1 030 124</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1 454 901</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1 408 828</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1 558 668</w:t>
            </w:r>
          </w:p>
        </w:tc>
      </w:tr>
      <w:tr>
        <w:tblPrEx>
          <w:tblW w:w="8565" w:type="dxa"/>
          <w:tblInd w:w="261" w:type="dxa"/>
          <w:tblCellMar>
            <w:left w:w="0" w:type="dxa"/>
            <w:right w:w="0" w:type="dxa"/>
          </w:tblCellMar>
          <w:tblLook w:val="04A0"/>
        </w:tblPrEx>
        <w:trPr>
          <w:trHeight w:val="266"/>
        </w:trPr>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6429AA" w:rsidRPr="006429AA">
            <w:pPr>
              <w:bidi w:val="0"/>
              <w:spacing w:line="276" w:lineRule="auto"/>
              <w:rPr>
                <w:rFonts w:ascii="Times New Roman" w:hAnsi="Times New Roman" w:cs="Times New Roman"/>
                <w:sz w:val="14"/>
                <w:szCs w:val="14"/>
              </w:rPr>
            </w:pPr>
            <w:r w:rsidRPr="006429AA">
              <w:rPr>
                <w:rFonts w:ascii="Times New Roman" w:hAnsi="Times New Roman" w:cs="Times New Roman"/>
                <w:sz w:val="14"/>
                <w:szCs w:val="14"/>
              </w:rPr>
              <w:t>EÚ výdavky</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2 514 239</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2 822 877</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4 695 238</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3 259 896</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4 384 114</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3 936 015</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3 972 758</w:t>
            </w:r>
          </w:p>
        </w:tc>
      </w:tr>
      <w:tr>
        <w:tblPrEx>
          <w:tblW w:w="8565" w:type="dxa"/>
          <w:tblInd w:w="261" w:type="dxa"/>
          <w:tblCellMar>
            <w:left w:w="0" w:type="dxa"/>
            <w:right w:w="0" w:type="dxa"/>
          </w:tblCellMar>
          <w:tblLook w:val="04A0"/>
        </w:tblPrEx>
        <w:trPr>
          <w:trHeight w:val="266"/>
        </w:trPr>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6429AA" w:rsidRPr="006429AA">
            <w:pPr>
              <w:bidi w:val="0"/>
              <w:spacing w:line="276" w:lineRule="auto"/>
              <w:ind w:firstLine="63"/>
              <w:rPr>
                <w:rFonts w:ascii="Times New Roman" w:hAnsi="Times New Roman" w:cs="Times New Roman"/>
                <w:sz w:val="14"/>
                <w:szCs w:val="14"/>
              </w:rPr>
            </w:pPr>
            <w:r w:rsidRPr="006429AA">
              <w:rPr>
                <w:rFonts w:ascii="Times New Roman" w:hAnsi="Times New Roman" w:cs="Times New Roman"/>
                <w:sz w:val="14"/>
                <w:szCs w:val="14"/>
              </w:rPr>
              <w:t>z toho:  EÚ fondy</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1 469 472</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1 892 656</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3 343 890</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2 127 953</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3 082 986</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2 706 894</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2 818 621</w:t>
            </w:r>
          </w:p>
        </w:tc>
      </w:tr>
      <w:tr>
        <w:tblPrEx>
          <w:tblW w:w="8565" w:type="dxa"/>
          <w:tblInd w:w="261" w:type="dxa"/>
          <w:tblCellMar>
            <w:left w:w="0" w:type="dxa"/>
            <w:right w:w="0" w:type="dxa"/>
          </w:tblCellMar>
          <w:tblLook w:val="04A0"/>
        </w:tblPrEx>
        <w:trPr>
          <w:trHeight w:val="266"/>
        </w:trPr>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center"/>
            <w:hideMark/>
          </w:tcPr>
          <w:p w:rsidR="006429AA" w:rsidRPr="006429AA">
            <w:pPr>
              <w:bidi w:val="0"/>
              <w:spacing w:line="276" w:lineRule="auto"/>
              <w:ind w:firstLine="140"/>
              <w:rPr>
                <w:rFonts w:ascii="Times New Roman" w:hAnsi="Times New Roman" w:cs="Times New Roman"/>
                <w:sz w:val="14"/>
                <w:szCs w:val="14"/>
              </w:rPr>
            </w:pPr>
            <w:r w:rsidRPr="006429AA">
              <w:rPr>
                <w:rFonts w:ascii="Times New Roman" w:hAnsi="Times New Roman" w:cs="Times New Roman"/>
                <w:sz w:val="14"/>
                <w:szCs w:val="14"/>
              </w:rPr>
              <w:t>            spolufinancovanie</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432 651</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409 951</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688 812</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506 666</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636 839</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490 222</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456 946</w:t>
            </w:r>
          </w:p>
        </w:tc>
      </w:tr>
      <w:tr>
        <w:tblPrEx>
          <w:tblW w:w="8565" w:type="dxa"/>
          <w:tblInd w:w="261" w:type="dxa"/>
          <w:tblCellMar>
            <w:left w:w="0" w:type="dxa"/>
            <w:right w:w="0" w:type="dxa"/>
          </w:tblCellMar>
          <w:tblLook w:val="04A0"/>
        </w:tblPrEx>
        <w:trPr>
          <w:trHeight w:val="266"/>
        </w:trPr>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6429AA" w:rsidRPr="006429AA">
            <w:pPr>
              <w:bidi w:val="0"/>
              <w:spacing w:line="276" w:lineRule="auto"/>
              <w:ind w:firstLine="140"/>
              <w:rPr>
                <w:rFonts w:ascii="Times New Roman" w:hAnsi="Times New Roman" w:cs="Times New Roman"/>
                <w:sz w:val="14"/>
                <w:szCs w:val="14"/>
              </w:rPr>
            </w:pPr>
            <w:r w:rsidRPr="006429AA">
              <w:rPr>
                <w:rFonts w:ascii="Times New Roman" w:hAnsi="Times New Roman" w:cs="Times New Roman"/>
                <w:sz w:val="14"/>
                <w:szCs w:val="14"/>
              </w:rPr>
              <w:t>            odvod do EÚ</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612 116</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520 270</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662 536</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625 277</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664 289</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738 899</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697 191</w:t>
            </w:r>
          </w:p>
        </w:tc>
      </w:tr>
      <w:tr>
        <w:tblPrEx>
          <w:tblW w:w="8565" w:type="dxa"/>
          <w:tblInd w:w="261" w:type="dxa"/>
          <w:tblCellMar>
            <w:left w:w="0" w:type="dxa"/>
            <w:right w:w="0" w:type="dxa"/>
          </w:tblCellMar>
          <w:tblLook w:val="04A0"/>
        </w:tblPrEx>
        <w:trPr>
          <w:trHeight w:val="266"/>
        </w:trPr>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6429AA" w:rsidRPr="006429AA">
            <w:pPr>
              <w:bidi w:val="0"/>
              <w:spacing w:line="276" w:lineRule="auto"/>
              <w:rPr>
                <w:rFonts w:ascii="Times New Roman" w:hAnsi="Times New Roman" w:cs="Times New Roman"/>
                <w:sz w:val="14"/>
                <w:szCs w:val="14"/>
              </w:rPr>
            </w:pPr>
            <w:r w:rsidRPr="006429AA">
              <w:rPr>
                <w:rFonts w:ascii="Times New Roman" w:hAnsi="Times New Roman" w:cs="Times New Roman"/>
                <w:sz w:val="14"/>
                <w:szCs w:val="14"/>
              </w:rPr>
              <w:t>Transfer Sociálnej poisťovni</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0</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1 441 709</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1 608 733</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1 508 733</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2 865 000</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3 127 000</w:t>
            </w:r>
          </w:p>
        </w:tc>
        <w:tc>
          <w:tcPr>
            <w:tcW w:w="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3 248 000</w:t>
            </w:r>
          </w:p>
        </w:tc>
      </w:tr>
      <w:tr>
        <w:tblPrEx>
          <w:tblW w:w="8565" w:type="dxa"/>
          <w:tblInd w:w="261" w:type="dxa"/>
          <w:tblCellMar>
            <w:left w:w="0" w:type="dxa"/>
            <w:right w:w="0" w:type="dxa"/>
          </w:tblCellMar>
          <w:tblLook w:val="04A0"/>
        </w:tblPrEx>
        <w:trPr>
          <w:trHeight w:val="266"/>
        </w:trPr>
        <w:tc>
          <w:tcPr>
            <w:tcW w:w="1985"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center"/>
            <w:hideMark/>
          </w:tcPr>
          <w:p w:rsidR="006429AA" w:rsidRPr="006429AA">
            <w:pPr>
              <w:bidi w:val="0"/>
              <w:spacing w:line="276" w:lineRule="auto"/>
              <w:rPr>
                <w:rFonts w:ascii="Times New Roman" w:hAnsi="Times New Roman" w:cs="Times New Roman"/>
                <w:sz w:val="14"/>
                <w:szCs w:val="14"/>
              </w:rPr>
            </w:pPr>
            <w:r w:rsidRPr="006429AA">
              <w:rPr>
                <w:rFonts w:ascii="Times New Roman" w:hAnsi="Times New Roman" w:cs="Times New Roman"/>
                <w:sz w:val="14"/>
                <w:szCs w:val="14"/>
              </w:rPr>
              <w:t xml:space="preserve">Základné výdavky </w:t>
            </w:r>
          </w:p>
        </w:tc>
        <w:tc>
          <w:tcPr>
            <w:tcW w:w="940"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10 055 095</w:t>
            </w:r>
          </w:p>
        </w:tc>
        <w:tc>
          <w:tcPr>
            <w:tcW w:w="940"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10 208 350</w:t>
            </w:r>
          </w:p>
        </w:tc>
        <w:tc>
          <w:tcPr>
            <w:tcW w:w="940"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9 490 614</w:t>
            </w:r>
          </w:p>
        </w:tc>
        <w:tc>
          <w:tcPr>
            <w:tcW w:w="940"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9 762 763</w:t>
            </w:r>
          </w:p>
        </w:tc>
        <w:tc>
          <w:tcPr>
            <w:tcW w:w="940"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9 976 893</w:t>
            </w:r>
          </w:p>
        </w:tc>
        <w:tc>
          <w:tcPr>
            <w:tcW w:w="940"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9 903 910</w:t>
            </w:r>
          </w:p>
        </w:tc>
        <w:tc>
          <w:tcPr>
            <w:tcW w:w="940"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bottom"/>
            <w:hideMark/>
          </w:tcPr>
          <w:p w:rsidR="006429AA" w:rsidRPr="006429AA">
            <w:pPr>
              <w:bidi w:val="0"/>
              <w:spacing w:line="276" w:lineRule="auto"/>
              <w:jc w:val="right"/>
              <w:rPr>
                <w:rFonts w:ascii="Times New Roman" w:hAnsi="Times New Roman" w:cs="Times New Roman"/>
                <w:sz w:val="14"/>
                <w:szCs w:val="14"/>
              </w:rPr>
            </w:pPr>
            <w:r w:rsidRPr="006429AA">
              <w:rPr>
                <w:rFonts w:ascii="Times New Roman" w:hAnsi="Times New Roman" w:cs="Times New Roman"/>
                <w:sz w:val="14"/>
                <w:szCs w:val="14"/>
              </w:rPr>
              <w:t>10 307 651</w:t>
            </w:r>
          </w:p>
        </w:tc>
      </w:tr>
    </w:tbl>
    <w:p w:rsidR="006429AA" w:rsidRPr="006429AA" w:rsidP="006429AA">
      <w:pPr>
        <w:bidi w:val="0"/>
        <w:ind w:firstLine="708"/>
        <w:jc w:val="both"/>
        <w:rPr>
          <w:rFonts w:ascii="Times New Roman" w:hAnsi="Times New Roman" w:cs="Times New Roman"/>
          <w:sz w:val="22"/>
          <w:szCs w:val="22"/>
        </w:rPr>
      </w:pPr>
    </w:p>
    <w:p w:rsidR="006429AA" w:rsidRPr="006429AA" w:rsidP="006429AA">
      <w:pPr>
        <w:bidi w:val="0"/>
        <w:ind w:firstLine="709"/>
        <w:jc w:val="both"/>
        <w:rPr>
          <w:rFonts w:ascii="Times New Roman" w:hAnsi="Times New Roman" w:cs="Times New Roman"/>
          <w:szCs w:val="22"/>
        </w:rPr>
      </w:pPr>
      <w:r w:rsidRPr="006429AA">
        <w:rPr>
          <w:rFonts w:ascii="Times New Roman" w:hAnsi="Times New Roman" w:cs="Times New Roman"/>
          <w:szCs w:val="22"/>
        </w:rPr>
        <w:t>V porovnaní s rozpočtom na rok 2011 dochádza v roku 2012 k zvýšeniu základných výdavkov o 486,3 mil. eur. Tento nárast je spôsobený štyrmi špecifickými položkami</w:t>
      </w:r>
      <w:r w:rsidR="00A47C91">
        <w:rPr>
          <w:rFonts w:ascii="Times New Roman" w:hAnsi="Times New Roman" w:cs="Times New Roman"/>
          <w:szCs w:val="22"/>
        </w:rPr>
        <w:t xml:space="preserve"> v celkovom objeme 549 mil. eur:</w:t>
      </w:r>
    </w:p>
    <w:p w:rsidR="006429AA" w:rsidRPr="006429AA" w:rsidP="006429AA">
      <w:pPr>
        <w:pStyle w:val="ListParagraph"/>
        <w:numPr>
          <w:numId w:val="49"/>
        </w:numPr>
        <w:bidi w:val="0"/>
        <w:contextualSpacing w:val="0"/>
        <w:jc w:val="both"/>
        <w:rPr>
          <w:rFonts w:ascii="Times New Roman" w:hAnsi="Times New Roman" w:cs="Times New Roman"/>
          <w:szCs w:val="22"/>
        </w:rPr>
      </w:pPr>
      <w:r w:rsidR="00A47C91">
        <w:rPr>
          <w:rFonts w:ascii="Times New Roman" w:hAnsi="Times New Roman" w:cs="Times New Roman"/>
          <w:szCs w:val="22"/>
        </w:rPr>
        <w:t>v</w:t>
      </w:r>
      <w:r w:rsidRPr="006429AA">
        <w:rPr>
          <w:rFonts w:ascii="Times New Roman" w:hAnsi="Times New Roman" w:cs="Times New Roman"/>
          <w:szCs w:val="22"/>
        </w:rPr>
        <w:t>ýrazne sa zvýšili transfery do železničných spoločností, ktoré by mali spolu s racionalizačnými opatreniami zabezpečiť, že tieto firmy už na rozdiel od minulosti nebudú tvoriť nové dlhy. Nárast oproti rozpočtu na ro</w:t>
      </w:r>
      <w:r w:rsidR="00A47C91">
        <w:rPr>
          <w:rFonts w:ascii="Times New Roman" w:hAnsi="Times New Roman" w:cs="Times New Roman"/>
          <w:szCs w:val="22"/>
        </w:rPr>
        <w:t>k 2011 predstavuje 206 mil. eur.</w:t>
      </w:r>
    </w:p>
    <w:p w:rsidR="006429AA" w:rsidRPr="006429AA" w:rsidP="006429AA">
      <w:pPr>
        <w:pStyle w:val="ListParagraph"/>
        <w:numPr>
          <w:numId w:val="49"/>
        </w:numPr>
        <w:bidi w:val="0"/>
        <w:contextualSpacing w:val="0"/>
        <w:jc w:val="both"/>
        <w:rPr>
          <w:rFonts w:ascii="Times New Roman" w:hAnsi="Times New Roman" w:cs="Times New Roman"/>
          <w:szCs w:val="22"/>
        </w:rPr>
      </w:pPr>
      <w:r w:rsidR="00A47C91">
        <w:rPr>
          <w:rFonts w:ascii="Times New Roman" w:hAnsi="Times New Roman" w:cs="Times New Roman"/>
          <w:szCs w:val="22"/>
        </w:rPr>
        <w:t>p</w:t>
      </w:r>
      <w:r w:rsidRPr="006429AA">
        <w:rPr>
          <w:rFonts w:ascii="Times New Roman" w:hAnsi="Times New Roman" w:cs="Times New Roman"/>
          <w:szCs w:val="22"/>
        </w:rPr>
        <w:t>latba za dostupnosť pri PPP projekte rýchlostnej cesty R1 sa medziročne zvyšuje o 75 mil. eur.</w:t>
      </w:r>
    </w:p>
    <w:p w:rsidR="006429AA" w:rsidRPr="006429AA" w:rsidP="006429AA">
      <w:pPr>
        <w:pStyle w:val="ListParagraph"/>
        <w:numPr>
          <w:numId w:val="49"/>
        </w:numPr>
        <w:bidi w:val="0"/>
        <w:contextualSpacing w:val="0"/>
        <w:jc w:val="both"/>
        <w:rPr>
          <w:rFonts w:ascii="Times New Roman" w:hAnsi="Times New Roman" w:cs="Times New Roman"/>
          <w:szCs w:val="22"/>
        </w:rPr>
      </w:pPr>
      <w:r w:rsidR="00A47C91">
        <w:rPr>
          <w:rFonts w:ascii="Times New Roman" w:hAnsi="Times New Roman" w:cs="Times New Roman"/>
          <w:szCs w:val="22"/>
        </w:rPr>
        <w:t>z</w:t>
      </w:r>
      <w:r w:rsidRPr="006429AA">
        <w:rPr>
          <w:rFonts w:ascii="Times New Roman" w:hAnsi="Times New Roman" w:cs="Times New Roman"/>
          <w:szCs w:val="22"/>
        </w:rPr>
        <w:t>a poistencov štátu do zdravotných poisťovní štát odvedie o 198 mil. eur viac ako v tomto roku.</w:t>
      </w:r>
    </w:p>
    <w:p w:rsidR="006429AA" w:rsidRPr="006429AA" w:rsidP="006429AA">
      <w:pPr>
        <w:pStyle w:val="ListParagraph"/>
        <w:numPr>
          <w:numId w:val="49"/>
        </w:numPr>
        <w:bidi w:val="0"/>
        <w:contextualSpacing w:val="0"/>
        <w:jc w:val="both"/>
        <w:rPr>
          <w:rFonts w:ascii="Times New Roman" w:hAnsi="Times New Roman" w:cs="Times New Roman"/>
          <w:szCs w:val="22"/>
        </w:rPr>
      </w:pPr>
      <w:r w:rsidR="00A47C91">
        <w:rPr>
          <w:rFonts w:ascii="Times New Roman" w:hAnsi="Times New Roman" w:cs="Times New Roman"/>
          <w:szCs w:val="22"/>
        </w:rPr>
        <w:t>o</w:t>
      </w:r>
      <w:r w:rsidRPr="006429AA">
        <w:rPr>
          <w:rFonts w:ascii="Times New Roman" w:hAnsi="Times New Roman" w:cs="Times New Roman"/>
          <w:szCs w:val="22"/>
        </w:rPr>
        <w:t xml:space="preserve">sobné výdavky príslušníkov ozbrojených zložiek sa medziročne zvýšia </w:t>
      </w:r>
      <w:r w:rsidR="007F2C8A">
        <w:rPr>
          <w:rFonts w:ascii="Times New Roman" w:hAnsi="Times New Roman" w:cs="Times New Roman"/>
          <w:szCs w:val="22"/>
        </w:rPr>
        <w:br/>
      </w:r>
      <w:r w:rsidRPr="006429AA">
        <w:rPr>
          <w:rFonts w:ascii="Times New Roman" w:hAnsi="Times New Roman" w:cs="Times New Roman"/>
          <w:szCs w:val="22"/>
        </w:rPr>
        <w:t xml:space="preserve">o 70 mil. eur, pričom o rovnakú sumu sa zvýšia ich odvodové povinnosti z dôvodu reformy odvodov. </w:t>
      </w:r>
    </w:p>
    <w:p w:rsidR="006429AA" w:rsidRPr="006429AA" w:rsidP="006429AA">
      <w:pPr>
        <w:bidi w:val="0"/>
        <w:ind w:firstLine="709"/>
        <w:jc w:val="both"/>
        <w:rPr>
          <w:rFonts w:ascii="Times New Roman" w:hAnsi="Times New Roman" w:cs="Times New Roman"/>
          <w:szCs w:val="22"/>
        </w:rPr>
      </w:pPr>
    </w:p>
    <w:p w:rsidR="006429AA" w:rsidRPr="006429AA" w:rsidP="006429AA">
      <w:pPr>
        <w:bidi w:val="0"/>
        <w:ind w:firstLine="709"/>
        <w:jc w:val="both"/>
        <w:rPr>
          <w:rFonts w:ascii="Times New Roman" w:hAnsi="Times New Roman" w:cs="Times New Roman"/>
          <w:szCs w:val="22"/>
        </w:rPr>
      </w:pPr>
      <w:r w:rsidRPr="006429AA">
        <w:rPr>
          <w:rFonts w:ascii="Times New Roman" w:hAnsi="Times New Roman" w:cs="Times New Roman"/>
          <w:szCs w:val="22"/>
        </w:rPr>
        <w:t xml:space="preserve">Financovanie takto rozpočtovaných výdavkov je možné zabezpečiť len vďaka pokračujúcej snahe vlády o zefektívnenie vynakladania verejných prostriedkov, čo sa v návrhu rozpočtu prejavuje napr. znižovaním výdavkov na tovary a služby, zmrazením osobných výdavkov zamestnancov v štátnej službe a zamestnancov pri výkone práce vo verejnom záujme na úrovni roku 2011 a znížením niektorých kapitálových výdavkov, ktoré boli rozpočtované ako priority vlády pre rok 2011. Zároveň došlo v niektorých kapitolách k navýšeniu rozpočtu oproti roku 2011 z dôvodu zapracovania nevyhnutných titulov vyplývajúcich už z minulých rokov. </w:t>
      </w:r>
    </w:p>
    <w:p w:rsidR="006429AA" w:rsidRPr="006429AA" w:rsidP="006429AA">
      <w:pPr>
        <w:bidi w:val="0"/>
        <w:ind w:firstLine="708"/>
        <w:jc w:val="both"/>
        <w:rPr>
          <w:rFonts w:ascii="Times New Roman" w:hAnsi="Times New Roman" w:cs="Times New Roman"/>
          <w:color w:val="0070C0"/>
          <w:szCs w:val="22"/>
        </w:rPr>
      </w:pPr>
    </w:p>
    <w:p w:rsidR="006429AA" w:rsidRPr="006429AA" w:rsidP="006429AA">
      <w:pPr>
        <w:bidi w:val="0"/>
        <w:ind w:firstLine="708"/>
        <w:jc w:val="both"/>
        <w:rPr>
          <w:rFonts w:ascii="Times New Roman" w:hAnsi="Times New Roman" w:cs="Times New Roman"/>
          <w:szCs w:val="22"/>
        </w:rPr>
      </w:pPr>
      <w:r w:rsidRPr="006429AA">
        <w:rPr>
          <w:rFonts w:ascii="Times New Roman" w:hAnsi="Times New Roman" w:cs="Times New Roman"/>
          <w:szCs w:val="22"/>
        </w:rPr>
        <w:t xml:space="preserve">V porovnaní so skutočnosťou roku 2010 dochádza k poklesu základných výdavkov na chod štátu o 231,5 mil. eur, a to aj napriek inflácii dosahovanej v rokoch 2010 a 2011 a prognózovanej na rok 2012 a napriek viacerým významným novým, resp. rastúcim špecifickým výdavkom ako platba za dostupnosť pri PPP projekte rýchlostnej cesty R1, dopady odvodovej reformy alebo dofinancovanie železníc. </w:t>
      </w:r>
    </w:p>
    <w:p w:rsidR="006429AA" w:rsidP="004A1A75">
      <w:pPr>
        <w:bidi w:val="0"/>
        <w:rPr>
          <w:rFonts w:ascii="Times New Roman" w:hAnsi="Times New Roman" w:cs="Times New Roman"/>
        </w:rPr>
      </w:pPr>
    </w:p>
    <w:p w:rsidR="00B6638E" w:rsidRPr="00321B93" w:rsidP="00D55664">
      <w:pPr>
        <w:bidi w:val="0"/>
        <w:ind w:firstLine="709"/>
        <w:jc w:val="center"/>
        <w:rPr>
          <w:rFonts w:ascii="Times New Roman" w:hAnsi="Times New Roman" w:cs="Times New Roman"/>
          <w:b/>
          <w:bCs/>
        </w:rPr>
      </w:pPr>
      <w:bookmarkStart w:id="57" w:name="RANGE_A1_H36"/>
      <w:bookmarkStart w:id="58" w:name="_Toc282686545"/>
      <w:bookmarkStart w:id="59" w:name="_Toc300330909"/>
      <w:bookmarkStart w:id="60" w:name="_Toc273393359"/>
      <w:bookmarkEnd w:id="57"/>
      <w:r w:rsidRPr="00321B93">
        <w:rPr>
          <w:rFonts w:ascii="Times New Roman" w:hAnsi="Times New Roman" w:cs="Times New Roman"/>
          <w:b/>
          <w:bCs/>
        </w:rPr>
        <w:t>Výdavky štátneho rozpočtu</w:t>
      </w:r>
    </w:p>
    <w:p w:rsidR="00B6638E" w:rsidRPr="00321B93" w:rsidP="00B6638E">
      <w:pPr>
        <w:bidi w:val="0"/>
        <w:jc w:val="center"/>
        <w:rPr>
          <w:rFonts w:ascii="Times New Roman" w:hAnsi="Times New Roman" w:cs="Times New Roman"/>
          <w:b/>
          <w:bCs/>
        </w:rPr>
      </w:pPr>
    </w:p>
    <w:tbl>
      <w:tblPr>
        <w:tblStyle w:val="TableNormal"/>
        <w:tblpPr w:leftFromText="141" w:rightFromText="141" w:vertAnchor="text" w:horzAnchor="margin" w:tblpXSpec="center" w:tblpY="162"/>
        <w:tblW w:w="9427" w:type="dxa"/>
        <w:tblCellMar>
          <w:left w:w="70" w:type="dxa"/>
          <w:right w:w="70" w:type="dxa"/>
        </w:tblCellMar>
        <w:tblLook w:val="00A0"/>
      </w:tblPr>
      <w:tblGrid>
        <w:gridCol w:w="3189"/>
        <w:gridCol w:w="1134"/>
        <w:gridCol w:w="992"/>
        <w:gridCol w:w="992"/>
        <w:gridCol w:w="1040"/>
        <w:gridCol w:w="1040"/>
        <w:gridCol w:w="1040"/>
      </w:tblGrid>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21B93" w:rsidRPr="00790020" w:rsidP="00F576BD">
            <w:pPr>
              <w:bidi w:val="0"/>
              <w:rPr>
                <w:rFonts w:ascii="Times New Roman" w:hAnsi="Times New Roman" w:cs="Times New Roman"/>
                <w:b/>
                <w:sz w:val="14"/>
                <w:szCs w:val="14"/>
                <w:lang w:eastAsia="sk-SK"/>
              </w:rPr>
            </w:pPr>
            <w:r w:rsidRPr="00790020">
              <w:rPr>
                <w:rFonts w:ascii="Times New Roman" w:hAnsi="Times New Roman" w:cs="Times New Roman"/>
                <w:b/>
                <w:sz w:val="14"/>
                <w:szCs w:val="14"/>
                <w:lang w:eastAsia="sk-SK"/>
              </w:rPr>
              <w:t>v tis. eur</w:t>
            </w:r>
          </w:p>
        </w:tc>
        <w:tc>
          <w:tcPr>
            <w:tcW w:w="1134" w:type="dxa"/>
            <w:tcBorders>
              <w:top w:val="single" w:sz="4" w:space="0" w:color="auto"/>
              <w:left w:val="nil"/>
              <w:bottom w:val="single" w:sz="4" w:space="0" w:color="auto"/>
              <w:right w:val="single" w:sz="4" w:space="0" w:color="auto"/>
            </w:tcBorders>
            <w:shd w:val="clear" w:color="auto" w:fill="BFBFBF"/>
            <w:textDirection w:val="lrTb"/>
            <w:vAlign w:val="center"/>
            <w:hideMark/>
          </w:tcPr>
          <w:p w:rsidR="00321B93" w:rsidRPr="00790020" w:rsidP="00F576BD">
            <w:pPr>
              <w:bidi w:val="0"/>
              <w:jc w:val="center"/>
              <w:rPr>
                <w:rFonts w:ascii="Times New Roman" w:hAnsi="Times New Roman" w:cs="Times New Roman"/>
                <w:b/>
                <w:bCs/>
                <w:sz w:val="14"/>
                <w:szCs w:val="14"/>
                <w:lang w:eastAsia="sk-SK"/>
              </w:rPr>
            </w:pPr>
            <w:r w:rsidRPr="00790020">
              <w:rPr>
                <w:rFonts w:ascii="Times New Roman" w:hAnsi="Times New Roman" w:cs="Times New Roman"/>
                <w:b/>
                <w:bCs/>
                <w:sz w:val="14"/>
                <w:szCs w:val="14"/>
                <w:lang w:eastAsia="sk-SK"/>
              </w:rPr>
              <w:t>2009 S</w:t>
            </w:r>
          </w:p>
        </w:tc>
        <w:tc>
          <w:tcPr>
            <w:tcW w:w="99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321B93" w:rsidRPr="00790020" w:rsidP="00F576BD">
            <w:pPr>
              <w:bidi w:val="0"/>
              <w:jc w:val="center"/>
              <w:rPr>
                <w:rFonts w:ascii="Times New Roman" w:hAnsi="Times New Roman" w:cs="Times New Roman"/>
                <w:b/>
                <w:bCs/>
                <w:sz w:val="14"/>
                <w:szCs w:val="14"/>
                <w:lang w:eastAsia="sk-SK"/>
              </w:rPr>
            </w:pPr>
            <w:r w:rsidRPr="00790020">
              <w:rPr>
                <w:rFonts w:ascii="Times New Roman" w:hAnsi="Times New Roman" w:cs="Times New Roman"/>
                <w:b/>
                <w:bCs/>
                <w:sz w:val="14"/>
                <w:szCs w:val="14"/>
                <w:lang w:eastAsia="sk-SK"/>
              </w:rPr>
              <w:t>2010 S</w:t>
            </w:r>
          </w:p>
        </w:tc>
        <w:tc>
          <w:tcPr>
            <w:tcW w:w="99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321B93" w:rsidRPr="00790020" w:rsidP="00F576BD">
            <w:pPr>
              <w:bidi w:val="0"/>
              <w:jc w:val="center"/>
              <w:rPr>
                <w:rFonts w:ascii="Times New Roman" w:hAnsi="Times New Roman" w:cs="Times New Roman"/>
                <w:b/>
                <w:bCs/>
                <w:sz w:val="14"/>
                <w:szCs w:val="14"/>
                <w:lang w:eastAsia="sk-SK"/>
              </w:rPr>
            </w:pPr>
            <w:r w:rsidRPr="00790020">
              <w:rPr>
                <w:rFonts w:ascii="Times New Roman" w:hAnsi="Times New Roman" w:cs="Times New Roman"/>
                <w:b/>
                <w:bCs/>
                <w:sz w:val="14"/>
                <w:szCs w:val="14"/>
                <w:lang w:eastAsia="sk-SK"/>
              </w:rPr>
              <w:t>2011 R</w:t>
            </w:r>
          </w:p>
        </w:tc>
        <w:tc>
          <w:tcPr>
            <w:tcW w:w="104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321B93" w:rsidRPr="00790020" w:rsidP="00F576BD">
            <w:pPr>
              <w:bidi w:val="0"/>
              <w:jc w:val="center"/>
              <w:rPr>
                <w:rFonts w:ascii="Times New Roman" w:hAnsi="Times New Roman" w:cs="Times New Roman"/>
                <w:b/>
                <w:bCs/>
                <w:sz w:val="14"/>
                <w:szCs w:val="14"/>
                <w:lang w:eastAsia="sk-SK"/>
              </w:rPr>
            </w:pPr>
            <w:r w:rsidRPr="00790020">
              <w:rPr>
                <w:rFonts w:ascii="Times New Roman" w:hAnsi="Times New Roman" w:cs="Times New Roman"/>
                <w:b/>
                <w:bCs/>
                <w:sz w:val="14"/>
                <w:szCs w:val="14"/>
                <w:lang w:eastAsia="sk-SK"/>
              </w:rPr>
              <w:t>2012 N</w:t>
            </w:r>
          </w:p>
        </w:tc>
        <w:tc>
          <w:tcPr>
            <w:tcW w:w="104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321B93" w:rsidRPr="00790020" w:rsidP="00F576BD">
            <w:pPr>
              <w:bidi w:val="0"/>
              <w:jc w:val="center"/>
              <w:rPr>
                <w:rFonts w:ascii="Times New Roman" w:hAnsi="Times New Roman" w:cs="Times New Roman"/>
                <w:b/>
                <w:bCs/>
                <w:sz w:val="14"/>
                <w:szCs w:val="14"/>
                <w:lang w:eastAsia="sk-SK"/>
              </w:rPr>
            </w:pPr>
            <w:r w:rsidRPr="00790020">
              <w:rPr>
                <w:rFonts w:ascii="Times New Roman" w:hAnsi="Times New Roman" w:cs="Times New Roman"/>
                <w:b/>
                <w:bCs/>
                <w:sz w:val="14"/>
                <w:szCs w:val="14"/>
                <w:lang w:eastAsia="sk-SK"/>
              </w:rPr>
              <w:t>2013 N</w:t>
            </w:r>
          </w:p>
        </w:tc>
        <w:tc>
          <w:tcPr>
            <w:tcW w:w="104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321B93" w:rsidRPr="00790020" w:rsidP="00F576BD">
            <w:pPr>
              <w:bidi w:val="0"/>
              <w:jc w:val="center"/>
              <w:rPr>
                <w:rFonts w:ascii="Times New Roman" w:hAnsi="Times New Roman" w:cs="Times New Roman"/>
                <w:b/>
                <w:bCs/>
                <w:sz w:val="14"/>
                <w:szCs w:val="14"/>
                <w:lang w:eastAsia="sk-SK"/>
              </w:rPr>
            </w:pPr>
            <w:r w:rsidRPr="00790020">
              <w:rPr>
                <w:rFonts w:ascii="Times New Roman" w:hAnsi="Times New Roman" w:cs="Times New Roman"/>
                <w:b/>
                <w:bCs/>
                <w:sz w:val="14"/>
                <w:szCs w:val="14"/>
                <w:lang w:eastAsia="sk-SK"/>
              </w:rPr>
              <w:t>2014 N</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textDirection w:val="lrTb"/>
            <w:vAlign w:val="center"/>
            <w:hideMark/>
          </w:tcPr>
          <w:p w:rsidR="00321B93" w:rsidRPr="00790020" w:rsidP="00F576BD">
            <w:pPr>
              <w:bidi w:val="0"/>
              <w:rPr>
                <w:rFonts w:ascii="Times New Roman" w:hAnsi="Times New Roman" w:cs="Times New Roman"/>
                <w:sz w:val="14"/>
                <w:szCs w:val="14"/>
                <w:lang w:eastAsia="sk-SK"/>
              </w:rPr>
            </w:pPr>
            <w:r w:rsidRPr="00790020">
              <w:rPr>
                <w:rFonts w:ascii="Times New Roman" w:hAnsi="Times New Roman" w:cs="Times New Roman"/>
                <w:sz w:val="14"/>
                <w:szCs w:val="14"/>
                <w:lang w:eastAsia="sk-SK"/>
              </w:rPr>
              <w:t>Kancelária Národnej rady SR</w:t>
            </w:r>
          </w:p>
        </w:tc>
        <w:tc>
          <w:tcPr>
            <w:tcW w:w="1134"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57 795</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47 743</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29 059</w:t>
            </w:r>
          </w:p>
        </w:tc>
        <w:tc>
          <w:tcPr>
            <w:tcW w:w="1040" w:type="dxa"/>
            <w:tcBorders>
              <w:top w:val="nil"/>
              <w:left w:val="single" w:sz="4" w:space="0" w:color="auto"/>
              <w:bottom w:val="single" w:sz="4" w:space="0" w:color="auto"/>
              <w:right w:val="single" w:sz="4" w:space="0" w:color="auto"/>
            </w:tcBorders>
            <w:textDirection w:val="lrTb"/>
            <w:vAlign w:val="bottom"/>
            <w:hideMark/>
          </w:tcPr>
          <w:p w:rsidR="00321B93" w:rsidRPr="00D96D29" w:rsidP="00F576BD">
            <w:pPr>
              <w:bidi w:val="0"/>
              <w:jc w:val="right"/>
              <w:rPr>
                <w:rFonts w:ascii="Times New Roman" w:hAnsi="Times New Roman" w:cs="Times New Roman"/>
                <w:color w:val="000000"/>
                <w:sz w:val="14"/>
                <w:szCs w:val="14"/>
              </w:rPr>
            </w:pPr>
            <w:r w:rsidRPr="00D96D29">
              <w:rPr>
                <w:rFonts w:ascii="Times New Roman" w:hAnsi="Times New Roman" w:cs="Times New Roman"/>
                <w:color w:val="000000"/>
                <w:sz w:val="14"/>
                <w:szCs w:val="14"/>
              </w:rPr>
              <w:t>23 899</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24 714</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26 723</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textDirection w:val="lrTb"/>
            <w:vAlign w:val="center"/>
            <w:hideMark/>
          </w:tcPr>
          <w:p w:rsidR="00321B93" w:rsidRPr="00790020" w:rsidP="00F576BD">
            <w:pPr>
              <w:bidi w:val="0"/>
              <w:rPr>
                <w:rFonts w:ascii="Times New Roman" w:hAnsi="Times New Roman" w:cs="Times New Roman"/>
                <w:sz w:val="14"/>
                <w:szCs w:val="14"/>
                <w:lang w:eastAsia="sk-SK"/>
              </w:rPr>
            </w:pPr>
            <w:r w:rsidRPr="00790020">
              <w:rPr>
                <w:rFonts w:ascii="Times New Roman" w:hAnsi="Times New Roman" w:cs="Times New Roman"/>
                <w:sz w:val="14"/>
                <w:szCs w:val="14"/>
                <w:lang w:eastAsia="sk-SK"/>
              </w:rPr>
              <w:t>Kancelária prezidenta SR</w:t>
            </w:r>
          </w:p>
        </w:tc>
        <w:tc>
          <w:tcPr>
            <w:tcW w:w="1134"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3 608</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4 120</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4 094</w:t>
            </w:r>
          </w:p>
        </w:tc>
        <w:tc>
          <w:tcPr>
            <w:tcW w:w="1040" w:type="dxa"/>
            <w:tcBorders>
              <w:top w:val="nil"/>
              <w:left w:val="single" w:sz="4" w:space="0" w:color="auto"/>
              <w:bottom w:val="single" w:sz="4" w:space="0" w:color="auto"/>
              <w:right w:val="single" w:sz="4" w:space="0" w:color="auto"/>
            </w:tcBorders>
            <w:textDirection w:val="lrTb"/>
            <w:vAlign w:val="bottom"/>
            <w:hideMark/>
          </w:tcPr>
          <w:p w:rsidR="00321B93" w:rsidRPr="00D96D29" w:rsidP="00F576BD">
            <w:pPr>
              <w:bidi w:val="0"/>
              <w:jc w:val="right"/>
              <w:rPr>
                <w:rFonts w:ascii="Times New Roman" w:hAnsi="Times New Roman" w:cs="Times New Roman"/>
                <w:color w:val="000000"/>
                <w:sz w:val="14"/>
                <w:szCs w:val="14"/>
              </w:rPr>
            </w:pPr>
            <w:r w:rsidRPr="00D96D29">
              <w:rPr>
                <w:rFonts w:ascii="Times New Roman" w:hAnsi="Times New Roman" w:cs="Times New Roman"/>
                <w:color w:val="000000"/>
                <w:sz w:val="14"/>
                <w:szCs w:val="14"/>
              </w:rPr>
              <w:t>3 849</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3 869</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3 878</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textDirection w:val="lrTb"/>
            <w:vAlign w:val="center"/>
            <w:hideMark/>
          </w:tcPr>
          <w:p w:rsidR="00321B93" w:rsidRPr="00790020" w:rsidP="00F576BD">
            <w:pPr>
              <w:bidi w:val="0"/>
              <w:rPr>
                <w:rFonts w:ascii="Times New Roman" w:hAnsi="Times New Roman" w:cs="Times New Roman"/>
                <w:sz w:val="14"/>
                <w:szCs w:val="14"/>
                <w:lang w:eastAsia="sk-SK"/>
              </w:rPr>
            </w:pPr>
            <w:r w:rsidRPr="00790020">
              <w:rPr>
                <w:rFonts w:ascii="Times New Roman" w:hAnsi="Times New Roman" w:cs="Times New Roman"/>
                <w:sz w:val="14"/>
                <w:szCs w:val="14"/>
                <w:lang w:eastAsia="sk-SK"/>
              </w:rPr>
              <w:t>Úrad vlády SR</w:t>
            </w:r>
          </w:p>
        </w:tc>
        <w:tc>
          <w:tcPr>
            <w:tcW w:w="1134"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43 236</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71 764</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57 070</w:t>
            </w:r>
          </w:p>
        </w:tc>
        <w:tc>
          <w:tcPr>
            <w:tcW w:w="1040" w:type="dxa"/>
            <w:tcBorders>
              <w:top w:val="nil"/>
              <w:left w:val="single" w:sz="4" w:space="0" w:color="auto"/>
              <w:bottom w:val="single" w:sz="4" w:space="0" w:color="auto"/>
              <w:right w:val="single" w:sz="4" w:space="0" w:color="auto"/>
            </w:tcBorders>
            <w:textDirection w:val="lrTb"/>
            <w:vAlign w:val="bottom"/>
            <w:hideMark/>
          </w:tcPr>
          <w:p w:rsidR="00321B93" w:rsidRPr="00D96D29" w:rsidP="00F576BD">
            <w:pPr>
              <w:bidi w:val="0"/>
              <w:jc w:val="right"/>
              <w:rPr>
                <w:rFonts w:ascii="Times New Roman" w:hAnsi="Times New Roman" w:cs="Times New Roman"/>
                <w:color w:val="000000"/>
                <w:sz w:val="14"/>
                <w:szCs w:val="14"/>
              </w:rPr>
            </w:pPr>
            <w:r w:rsidRPr="00D96D29">
              <w:rPr>
                <w:rFonts w:ascii="Times New Roman" w:hAnsi="Times New Roman" w:cs="Times New Roman"/>
                <w:color w:val="000000"/>
                <w:sz w:val="14"/>
                <w:szCs w:val="14"/>
              </w:rPr>
              <w:t>39 760</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29 288</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29 297</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textDirection w:val="lrTb"/>
            <w:vAlign w:val="center"/>
            <w:hideMark/>
          </w:tcPr>
          <w:p w:rsidR="00321B93" w:rsidRPr="00790020" w:rsidP="00F576BD">
            <w:pPr>
              <w:bidi w:val="0"/>
              <w:rPr>
                <w:rFonts w:ascii="Times New Roman" w:hAnsi="Times New Roman" w:cs="Times New Roman"/>
                <w:sz w:val="14"/>
                <w:szCs w:val="14"/>
                <w:lang w:eastAsia="sk-SK"/>
              </w:rPr>
            </w:pPr>
            <w:r w:rsidRPr="00790020">
              <w:rPr>
                <w:rFonts w:ascii="Times New Roman" w:hAnsi="Times New Roman" w:cs="Times New Roman"/>
                <w:sz w:val="14"/>
                <w:szCs w:val="14"/>
                <w:lang w:eastAsia="sk-SK"/>
              </w:rPr>
              <w:t>Kancelária Ústavného súdu SR</w:t>
            </w:r>
          </w:p>
        </w:tc>
        <w:tc>
          <w:tcPr>
            <w:tcW w:w="1134"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4 438</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4 527</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3 097</w:t>
            </w:r>
          </w:p>
        </w:tc>
        <w:tc>
          <w:tcPr>
            <w:tcW w:w="1040" w:type="dxa"/>
            <w:tcBorders>
              <w:top w:val="nil"/>
              <w:left w:val="single" w:sz="4" w:space="0" w:color="auto"/>
              <w:bottom w:val="single" w:sz="4" w:space="0" w:color="auto"/>
              <w:right w:val="single" w:sz="4" w:space="0" w:color="auto"/>
            </w:tcBorders>
            <w:textDirection w:val="lrTb"/>
            <w:vAlign w:val="bottom"/>
            <w:hideMark/>
          </w:tcPr>
          <w:p w:rsidR="00321B93" w:rsidRPr="00D96D29" w:rsidP="00F576BD">
            <w:pPr>
              <w:bidi w:val="0"/>
              <w:jc w:val="right"/>
              <w:rPr>
                <w:rFonts w:ascii="Times New Roman" w:hAnsi="Times New Roman" w:cs="Times New Roman"/>
                <w:color w:val="000000"/>
                <w:sz w:val="14"/>
                <w:szCs w:val="14"/>
              </w:rPr>
            </w:pPr>
            <w:r w:rsidRPr="00D96D29">
              <w:rPr>
                <w:rFonts w:ascii="Times New Roman" w:hAnsi="Times New Roman" w:cs="Times New Roman"/>
                <w:color w:val="000000"/>
                <w:sz w:val="14"/>
                <w:szCs w:val="14"/>
              </w:rPr>
              <w:t>3 288</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3 393</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3 455</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textDirection w:val="lrTb"/>
            <w:vAlign w:val="center"/>
            <w:hideMark/>
          </w:tcPr>
          <w:p w:rsidR="00321B93" w:rsidRPr="00790020" w:rsidP="00F576BD">
            <w:pPr>
              <w:bidi w:val="0"/>
              <w:rPr>
                <w:rFonts w:ascii="Times New Roman" w:hAnsi="Times New Roman" w:cs="Times New Roman"/>
                <w:sz w:val="14"/>
                <w:szCs w:val="14"/>
                <w:lang w:eastAsia="sk-SK"/>
              </w:rPr>
            </w:pPr>
            <w:r w:rsidRPr="00790020">
              <w:rPr>
                <w:rFonts w:ascii="Times New Roman" w:hAnsi="Times New Roman" w:cs="Times New Roman"/>
                <w:sz w:val="14"/>
                <w:szCs w:val="14"/>
                <w:lang w:eastAsia="sk-SK"/>
              </w:rPr>
              <w:t>Najvyšší súd SR</w:t>
            </w:r>
          </w:p>
        </w:tc>
        <w:tc>
          <w:tcPr>
            <w:tcW w:w="1134"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7 905</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9 097</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8 033</w:t>
            </w:r>
          </w:p>
        </w:tc>
        <w:tc>
          <w:tcPr>
            <w:tcW w:w="1040" w:type="dxa"/>
            <w:tcBorders>
              <w:top w:val="nil"/>
              <w:left w:val="single" w:sz="4" w:space="0" w:color="auto"/>
              <w:bottom w:val="single" w:sz="4" w:space="0" w:color="auto"/>
              <w:right w:val="single" w:sz="4" w:space="0" w:color="auto"/>
            </w:tcBorders>
            <w:textDirection w:val="lrTb"/>
            <w:vAlign w:val="bottom"/>
            <w:hideMark/>
          </w:tcPr>
          <w:p w:rsidR="00321B93" w:rsidRPr="00D96D29" w:rsidP="00F576BD">
            <w:pPr>
              <w:bidi w:val="0"/>
              <w:jc w:val="right"/>
              <w:rPr>
                <w:rFonts w:ascii="Times New Roman" w:hAnsi="Times New Roman" w:cs="Times New Roman"/>
                <w:color w:val="000000"/>
                <w:sz w:val="14"/>
                <w:szCs w:val="14"/>
              </w:rPr>
            </w:pPr>
            <w:r w:rsidRPr="00D96D29">
              <w:rPr>
                <w:rFonts w:ascii="Times New Roman" w:hAnsi="Times New Roman" w:cs="Times New Roman"/>
                <w:color w:val="000000"/>
                <w:sz w:val="14"/>
                <w:szCs w:val="14"/>
              </w:rPr>
              <w:t>8 169</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8 678</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8 989</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textDirection w:val="lrTb"/>
            <w:vAlign w:val="center"/>
            <w:hideMark/>
          </w:tcPr>
          <w:p w:rsidR="00321B93" w:rsidRPr="00790020" w:rsidP="00F576BD">
            <w:pPr>
              <w:bidi w:val="0"/>
              <w:rPr>
                <w:rFonts w:ascii="Times New Roman" w:hAnsi="Times New Roman" w:cs="Times New Roman"/>
                <w:sz w:val="14"/>
                <w:szCs w:val="14"/>
                <w:lang w:eastAsia="sk-SK"/>
              </w:rPr>
            </w:pPr>
            <w:r w:rsidRPr="00790020">
              <w:rPr>
                <w:rFonts w:ascii="Times New Roman" w:hAnsi="Times New Roman" w:cs="Times New Roman"/>
                <w:sz w:val="14"/>
                <w:szCs w:val="14"/>
                <w:lang w:eastAsia="sk-SK"/>
              </w:rPr>
              <w:t>Generálna prokuratúra SR</w:t>
            </w:r>
          </w:p>
        </w:tc>
        <w:tc>
          <w:tcPr>
            <w:tcW w:w="1134"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63 023</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64 351</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61 138</w:t>
            </w:r>
          </w:p>
        </w:tc>
        <w:tc>
          <w:tcPr>
            <w:tcW w:w="1040" w:type="dxa"/>
            <w:tcBorders>
              <w:top w:val="nil"/>
              <w:left w:val="single" w:sz="4" w:space="0" w:color="auto"/>
              <w:bottom w:val="single" w:sz="4" w:space="0" w:color="auto"/>
              <w:right w:val="single" w:sz="4" w:space="0" w:color="auto"/>
            </w:tcBorders>
            <w:textDirection w:val="lrTb"/>
            <w:vAlign w:val="bottom"/>
            <w:hideMark/>
          </w:tcPr>
          <w:p w:rsidR="00321B93" w:rsidRPr="00D96D29" w:rsidP="00F576BD">
            <w:pPr>
              <w:bidi w:val="0"/>
              <w:jc w:val="right"/>
              <w:rPr>
                <w:rFonts w:ascii="Times New Roman" w:hAnsi="Times New Roman" w:cs="Times New Roman"/>
                <w:color w:val="000000"/>
                <w:sz w:val="14"/>
                <w:szCs w:val="14"/>
              </w:rPr>
            </w:pPr>
            <w:r w:rsidRPr="00D96D29">
              <w:rPr>
                <w:rFonts w:ascii="Times New Roman" w:hAnsi="Times New Roman" w:cs="Times New Roman"/>
                <w:color w:val="000000"/>
                <w:sz w:val="14"/>
                <w:szCs w:val="14"/>
              </w:rPr>
              <w:t>60 310</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64 417</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66 922</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textDirection w:val="lrTb"/>
            <w:vAlign w:val="center"/>
            <w:hideMark/>
          </w:tcPr>
          <w:p w:rsidR="00321B93" w:rsidRPr="00790020" w:rsidP="00F576BD">
            <w:pPr>
              <w:bidi w:val="0"/>
              <w:rPr>
                <w:rFonts w:ascii="Times New Roman" w:hAnsi="Times New Roman" w:cs="Times New Roman"/>
                <w:sz w:val="14"/>
                <w:szCs w:val="14"/>
                <w:lang w:eastAsia="sk-SK"/>
              </w:rPr>
            </w:pPr>
            <w:r w:rsidRPr="00790020">
              <w:rPr>
                <w:rFonts w:ascii="Times New Roman" w:hAnsi="Times New Roman" w:cs="Times New Roman"/>
                <w:sz w:val="14"/>
                <w:szCs w:val="14"/>
                <w:lang w:eastAsia="sk-SK"/>
              </w:rPr>
              <w:t>Najvyšší kontrolný úrad SR</w:t>
            </w:r>
          </w:p>
        </w:tc>
        <w:tc>
          <w:tcPr>
            <w:tcW w:w="1134"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8 664</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9 370</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7 463</w:t>
            </w:r>
          </w:p>
        </w:tc>
        <w:tc>
          <w:tcPr>
            <w:tcW w:w="1040" w:type="dxa"/>
            <w:tcBorders>
              <w:top w:val="nil"/>
              <w:left w:val="single" w:sz="4" w:space="0" w:color="auto"/>
              <w:bottom w:val="single" w:sz="4" w:space="0" w:color="auto"/>
              <w:right w:val="single" w:sz="4" w:space="0" w:color="auto"/>
            </w:tcBorders>
            <w:textDirection w:val="lrTb"/>
            <w:vAlign w:val="bottom"/>
            <w:hideMark/>
          </w:tcPr>
          <w:p w:rsidR="00321B93" w:rsidRPr="00D96D29" w:rsidP="00F576BD">
            <w:pPr>
              <w:bidi w:val="0"/>
              <w:jc w:val="right"/>
              <w:rPr>
                <w:rFonts w:ascii="Times New Roman" w:hAnsi="Times New Roman" w:cs="Times New Roman"/>
                <w:color w:val="000000"/>
                <w:sz w:val="14"/>
                <w:szCs w:val="14"/>
              </w:rPr>
            </w:pPr>
            <w:r w:rsidRPr="00D96D29">
              <w:rPr>
                <w:rFonts w:ascii="Times New Roman" w:hAnsi="Times New Roman" w:cs="Times New Roman"/>
                <w:color w:val="000000"/>
                <w:sz w:val="14"/>
                <w:szCs w:val="14"/>
              </w:rPr>
              <w:t>7 976</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7 435</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7 447</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textDirection w:val="lrTb"/>
            <w:vAlign w:val="center"/>
            <w:hideMark/>
          </w:tcPr>
          <w:p w:rsidR="00321B93" w:rsidRPr="00790020" w:rsidP="00F576BD">
            <w:pPr>
              <w:bidi w:val="0"/>
              <w:rPr>
                <w:rFonts w:ascii="Times New Roman" w:hAnsi="Times New Roman" w:cs="Times New Roman"/>
                <w:sz w:val="14"/>
                <w:szCs w:val="14"/>
                <w:lang w:eastAsia="sk-SK"/>
              </w:rPr>
            </w:pPr>
            <w:r w:rsidRPr="00790020">
              <w:rPr>
                <w:rFonts w:ascii="Times New Roman" w:hAnsi="Times New Roman" w:cs="Times New Roman"/>
                <w:sz w:val="14"/>
                <w:szCs w:val="14"/>
                <w:lang w:eastAsia="sk-SK"/>
              </w:rPr>
              <w:t>Slovenská informačná služba</w:t>
            </w:r>
          </w:p>
        </w:tc>
        <w:tc>
          <w:tcPr>
            <w:tcW w:w="1134"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48 102</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46 555</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38 946</w:t>
            </w:r>
          </w:p>
        </w:tc>
        <w:tc>
          <w:tcPr>
            <w:tcW w:w="1040" w:type="dxa"/>
            <w:tcBorders>
              <w:top w:val="nil"/>
              <w:left w:val="single" w:sz="4" w:space="0" w:color="auto"/>
              <w:bottom w:val="single" w:sz="4" w:space="0" w:color="auto"/>
              <w:right w:val="single" w:sz="4" w:space="0" w:color="auto"/>
            </w:tcBorders>
            <w:textDirection w:val="lrTb"/>
            <w:vAlign w:val="bottom"/>
            <w:hideMark/>
          </w:tcPr>
          <w:p w:rsidR="00321B93" w:rsidRPr="00D96D29" w:rsidP="00F576BD">
            <w:pPr>
              <w:bidi w:val="0"/>
              <w:jc w:val="right"/>
              <w:rPr>
                <w:rFonts w:ascii="Times New Roman" w:hAnsi="Times New Roman" w:cs="Times New Roman"/>
                <w:color w:val="000000"/>
                <w:sz w:val="14"/>
                <w:szCs w:val="14"/>
              </w:rPr>
            </w:pPr>
            <w:r w:rsidRPr="00D96D29">
              <w:rPr>
                <w:rFonts w:ascii="Times New Roman" w:hAnsi="Times New Roman" w:cs="Times New Roman"/>
                <w:color w:val="000000"/>
                <w:sz w:val="14"/>
                <w:szCs w:val="14"/>
              </w:rPr>
              <w:t>44 092</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44 092</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44 092</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textDirection w:val="lrTb"/>
            <w:vAlign w:val="center"/>
            <w:hideMark/>
          </w:tcPr>
          <w:p w:rsidR="00321B93" w:rsidRPr="00790020" w:rsidP="00F576BD">
            <w:pPr>
              <w:bidi w:val="0"/>
              <w:rPr>
                <w:rFonts w:ascii="Times New Roman" w:hAnsi="Times New Roman" w:cs="Times New Roman"/>
                <w:sz w:val="14"/>
                <w:szCs w:val="14"/>
                <w:lang w:eastAsia="sk-SK"/>
              </w:rPr>
            </w:pPr>
            <w:r w:rsidRPr="00790020">
              <w:rPr>
                <w:rFonts w:ascii="Times New Roman" w:hAnsi="Times New Roman" w:cs="Times New Roman"/>
                <w:sz w:val="14"/>
                <w:szCs w:val="14"/>
                <w:lang w:eastAsia="sk-SK"/>
              </w:rPr>
              <w:t>Ministerstvo zahraničných vecí SR</w:t>
            </w:r>
          </w:p>
        </w:tc>
        <w:tc>
          <w:tcPr>
            <w:tcW w:w="1134"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123 684</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110 758</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111 751</w:t>
            </w:r>
          </w:p>
        </w:tc>
        <w:tc>
          <w:tcPr>
            <w:tcW w:w="1040" w:type="dxa"/>
            <w:tcBorders>
              <w:top w:val="nil"/>
              <w:left w:val="single" w:sz="4" w:space="0" w:color="auto"/>
              <w:bottom w:val="single" w:sz="4" w:space="0" w:color="auto"/>
              <w:right w:val="single" w:sz="4" w:space="0" w:color="auto"/>
            </w:tcBorders>
            <w:textDirection w:val="lrTb"/>
            <w:vAlign w:val="bottom"/>
            <w:hideMark/>
          </w:tcPr>
          <w:p w:rsidR="00321B93" w:rsidRPr="00D96D29" w:rsidP="00F576BD">
            <w:pPr>
              <w:bidi w:val="0"/>
              <w:jc w:val="right"/>
              <w:rPr>
                <w:rFonts w:ascii="Times New Roman" w:hAnsi="Times New Roman" w:cs="Times New Roman"/>
                <w:color w:val="000000"/>
                <w:sz w:val="14"/>
                <w:szCs w:val="14"/>
              </w:rPr>
            </w:pPr>
            <w:r w:rsidRPr="00D96D29">
              <w:rPr>
                <w:rFonts w:ascii="Times New Roman" w:hAnsi="Times New Roman" w:cs="Times New Roman"/>
                <w:color w:val="000000"/>
                <w:sz w:val="14"/>
                <w:szCs w:val="14"/>
              </w:rPr>
              <w:t>122 977</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119 265</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120 557</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textDirection w:val="lrTb"/>
            <w:vAlign w:val="center"/>
            <w:hideMark/>
          </w:tcPr>
          <w:p w:rsidR="00321B93" w:rsidRPr="00790020" w:rsidP="00F576BD">
            <w:pPr>
              <w:bidi w:val="0"/>
              <w:rPr>
                <w:rFonts w:ascii="Times New Roman" w:hAnsi="Times New Roman" w:cs="Times New Roman"/>
                <w:sz w:val="14"/>
                <w:szCs w:val="14"/>
                <w:lang w:eastAsia="sk-SK"/>
              </w:rPr>
            </w:pPr>
            <w:r w:rsidRPr="00790020">
              <w:rPr>
                <w:rFonts w:ascii="Times New Roman" w:hAnsi="Times New Roman" w:cs="Times New Roman"/>
                <w:sz w:val="14"/>
                <w:szCs w:val="14"/>
                <w:lang w:eastAsia="sk-SK"/>
              </w:rPr>
              <w:t>Ministerstvo obrany SR</w:t>
            </w:r>
          </w:p>
        </w:tc>
        <w:tc>
          <w:tcPr>
            <w:tcW w:w="1134"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966 616</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853 343</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759 774</w:t>
            </w:r>
          </w:p>
        </w:tc>
        <w:tc>
          <w:tcPr>
            <w:tcW w:w="1040" w:type="dxa"/>
            <w:tcBorders>
              <w:top w:val="nil"/>
              <w:left w:val="single" w:sz="4" w:space="0" w:color="auto"/>
              <w:bottom w:val="single" w:sz="4" w:space="0" w:color="auto"/>
              <w:right w:val="single" w:sz="4" w:space="0" w:color="auto"/>
            </w:tcBorders>
            <w:textDirection w:val="lrTb"/>
            <w:vAlign w:val="bottom"/>
            <w:hideMark/>
          </w:tcPr>
          <w:p w:rsidR="00321B93" w:rsidRPr="00D96D29" w:rsidP="00F576BD">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 xml:space="preserve">818 </w:t>
            </w:r>
            <w:r w:rsidRPr="00D96D29">
              <w:rPr>
                <w:rFonts w:ascii="Times New Roman" w:hAnsi="Times New Roman" w:cs="Times New Roman"/>
                <w:color w:val="000000"/>
                <w:sz w:val="14"/>
                <w:szCs w:val="14"/>
              </w:rPr>
              <w:t>776</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826 203</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882 711</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textDirection w:val="lrTb"/>
            <w:vAlign w:val="center"/>
            <w:hideMark/>
          </w:tcPr>
          <w:p w:rsidR="00321B93" w:rsidRPr="00790020" w:rsidP="00F576BD">
            <w:pPr>
              <w:bidi w:val="0"/>
              <w:rPr>
                <w:rFonts w:ascii="Times New Roman" w:hAnsi="Times New Roman" w:cs="Times New Roman"/>
                <w:sz w:val="14"/>
                <w:szCs w:val="14"/>
                <w:lang w:eastAsia="sk-SK"/>
              </w:rPr>
            </w:pPr>
            <w:r w:rsidRPr="00790020">
              <w:rPr>
                <w:rFonts w:ascii="Times New Roman" w:hAnsi="Times New Roman" w:cs="Times New Roman"/>
                <w:sz w:val="14"/>
                <w:szCs w:val="14"/>
                <w:lang w:eastAsia="sk-SK"/>
              </w:rPr>
              <w:t>Ministerstvo vnútra SR</w:t>
            </w:r>
          </w:p>
        </w:tc>
        <w:tc>
          <w:tcPr>
            <w:tcW w:w="1134"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1 014 158</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1 030 428</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860 607</w:t>
            </w:r>
          </w:p>
        </w:tc>
        <w:tc>
          <w:tcPr>
            <w:tcW w:w="1040" w:type="dxa"/>
            <w:tcBorders>
              <w:top w:val="nil"/>
              <w:left w:val="single" w:sz="4" w:space="0" w:color="auto"/>
              <w:bottom w:val="single" w:sz="4" w:space="0" w:color="auto"/>
              <w:right w:val="single" w:sz="4" w:space="0" w:color="auto"/>
            </w:tcBorders>
            <w:textDirection w:val="lrTb"/>
            <w:vAlign w:val="bottom"/>
            <w:hideMark/>
          </w:tcPr>
          <w:p w:rsidR="00321B93" w:rsidRPr="00D96D29" w:rsidP="00F576BD">
            <w:pPr>
              <w:bidi w:val="0"/>
              <w:jc w:val="right"/>
              <w:rPr>
                <w:rFonts w:ascii="Times New Roman" w:hAnsi="Times New Roman" w:cs="Times New Roman"/>
                <w:color w:val="000000"/>
                <w:sz w:val="14"/>
                <w:szCs w:val="14"/>
              </w:rPr>
            </w:pPr>
            <w:r w:rsidRPr="00D96D29">
              <w:rPr>
                <w:rFonts w:ascii="Times New Roman" w:hAnsi="Times New Roman" w:cs="Times New Roman"/>
                <w:color w:val="000000"/>
                <w:sz w:val="14"/>
                <w:szCs w:val="14"/>
              </w:rPr>
              <w:t>929 351</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906 410</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941 361</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textDirection w:val="lrTb"/>
            <w:vAlign w:val="center"/>
            <w:hideMark/>
          </w:tcPr>
          <w:p w:rsidR="00321B93" w:rsidRPr="00790020" w:rsidP="00F576BD">
            <w:pPr>
              <w:bidi w:val="0"/>
              <w:rPr>
                <w:rFonts w:ascii="Times New Roman" w:hAnsi="Times New Roman" w:cs="Times New Roman"/>
                <w:sz w:val="14"/>
                <w:szCs w:val="14"/>
                <w:lang w:eastAsia="sk-SK"/>
              </w:rPr>
            </w:pPr>
            <w:r w:rsidRPr="00790020">
              <w:rPr>
                <w:rFonts w:ascii="Times New Roman" w:hAnsi="Times New Roman" w:cs="Times New Roman"/>
                <w:sz w:val="14"/>
                <w:szCs w:val="14"/>
                <w:lang w:eastAsia="sk-SK"/>
              </w:rPr>
              <w:t>Ministerstvo spravodlivosti SR</w:t>
            </w:r>
          </w:p>
        </w:tc>
        <w:tc>
          <w:tcPr>
            <w:tcW w:w="1134"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280 386</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302 247</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288 602</w:t>
            </w:r>
          </w:p>
        </w:tc>
        <w:tc>
          <w:tcPr>
            <w:tcW w:w="1040" w:type="dxa"/>
            <w:tcBorders>
              <w:top w:val="nil"/>
              <w:left w:val="single" w:sz="4" w:space="0" w:color="auto"/>
              <w:bottom w:val="single" w:sz="4" w:space="0" w:color="auto"/>
              <w:right w:val="single" w:sz="4" w:space="0" w:color="auto"/>
            </w:tcBorders>
            <w:textDirection w:val="lrTb"/>
            <w:vAlign w:val="bottom"/>
            <w:hideMark/>
          </w:tcPr>
          <w:p w:rsidR="00321B93" w:rsidRPr="00D96D29" w:rsidP="00F576BD">
            <w:pPr>
              <w:bidi w:val="0"/>
              <w:jc w:val="right"/>
              <w:rPr>
                <w:rFonts w:ascii="Times New Roman" w:hAnsi="Times New Roman" w:cs="Times New Roman"/>
                <w:color w:val="000000"/>
                <w:sz w:val="14"/>
                <w:szCs w:val="14"/>
              </w:rPr>
            </w:pPr>
            <w:r w:rsidRPr="00D96D29">
              <w:rPr>
                <w:rFonts w:ascii="Times New Roman" w:hAnsi="Times New Roman" w:cs="Times New Roman"/>
                <w:color w:val="000000"/>
                <w:sz w:val="14"/>
                <w:szCs w:val="14"/>
              </w:rPr>
              <w:t>309 063</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323 944</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333 801</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textDirection w:val="lrTb"/>
            <w:vAlign w:val="center"/>
            <w:hideMark/>
          </w:tcPr>
          <w:p w:rsidR="00321B93" w:rsidRPr="00790020" w:rsidP="00F576BD">
            <w:pPr>
              <w:bidi w:val="0"/>
              <w:rPr>
                <w:rFonts w:ascii="Times New Roman" w:hAnsi="Times New Roman" w:cs="Times New Roman"/>
                <w:sz w:val="14"/>
                <w:szCs w:val="14"/>
                <w:lang w:eastAsia="sk-SK"/>
              </w:rPr>
            </w:pPr>
            <w:r w:rsidRPr="00790020">
              <w:rPr>
                <w:rFonts w:ascii="Times New Roman" w:hAnsi="Times New Roman" w:cs="Times New Roman"/>
                <w:sz w:val="14"/>
                <w:szCs w:val="14"/>
                <w:lang w:eastAsia="sk-SK"/>
              </w:rPr>
              <w:t>Ministerstvo financií SR</w:t>
            </w:r>
          </w:p>
        </w:tc>
        <w:tc>
          <w:tcPr>
            <w:tcW w:w="1134"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371 350</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392 172</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622 310</w:t>
            </w:r>
          </w:p>
        </w:tc>
        <w:tc>
          <w:tcPr>
            <w:tcW w:w="1040" w:type="dxa"/>
            <w:tcBorders>
              <w:top w:val="nil"/>
              <w:left w:val="single" w:sz="4" w:space="0" w:color="auto"/>
              <w:bottom w:val="single" w:sz="4" w:space="0" w:color="auto"/>
              <w:right w:val="single" w:sz="4" w:space="0" w:color="auto"/>
            </w:tcBorders>
            <w:textDirection w:val="lrTb"/>
            <w:vAlign w:val="bottom"/>
            <w:hideMark/>
          </w:tcPr>
          <w:p w:rsidR="00321B93" w:rsidRPr="00D96D29" w:rsidP="00F576BD">
            <w:pPr>
              <w:bidi w:val="0"/>
              <w:jc w:val="right"/>
              <w:rPr>
                <w:rFonts w:ascii="Times New Roman" w:hAnsi="Times New Roman" w:cs="Times New Roman"/>
                <w:color w:val="000000"/>
                <w:sz w:val="14"/>
                <w:szCs w:val="14"/>
              </w:rPr>
            </w:pPr>
            <w:r w:rsidRPr="00D96D29">
              <w:rPr>
                <w:rFonts w:ascii="Times New Roman" w:hAnsi="Times New Roman" w:cs="Times New Roman"/>
                <w:color w:val="000000"/>
                <w:sz w:val="14"/>
                <w:szCs w:val="14"/>
              </w:rPr>
              <w:t>521 351</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542 214</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492 983</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textDirection w:val="lrTb"/>
            <w:vAlign w:val="center"/>
            <w:hideMark/>
          </w:tcPr>
          <w:p w:rsidR="00321B93" w:rsidRPr="00790020" w:rsidP="00F576BD">
            <w:pPr>
              <w:bidi w:val="0"/>
              <w:rPr>
                <w:rFonts w:ascii="Times New Roman" w:hAnsi="Times New Roman" w:cs="Times New Roman"/>
                <w:sz w:val="14"/>
                <w:szCs w:val="14"/>
                <w:lang w:eastAsia="sk-SK"/>
              </w:rPr>
            </w:pPr>
            <w:r w:rsidRPr="00790020">
              <w:rPr>
                <w:rFonts w:ascii="Times New Roman" w:hAnsi="Times New Roman" w:cs="Times New Roman"/>
                <w:sz w:val="14"/>
                <w:szCs w:val="14"/>
                <w:lang w:eastAsia="sk-SK"/>
              </w:rPr>
              <w:t>Ministerstvo životného prostredia SR</w:t>
            </w:r>
          </w:p>
        </w:tc>
        <w:tc>
          <w:tcPr>
            <w:tcW w:w="1134"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250 758</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208 913</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831 415</w:t>
            </w:r>
          </w:p>
        </w:tc>
        <w:tc>
          <w:tcPr>
            <w:tcW w:w="1040" w:type="dxa"/>
            <w:tcBorders>
              <w:top w:val="nil"/>
              <w:left w:val="single" w:sz="4" w:space="0" w:color="auto"/>
              <w:bottom w:val="single" w:sz="4" w:space="0" w:color="auto"/>
              <w:right w:val="single" w:sz="4" w:space="0" w:color="auto"/>
            </w:tcBorders>
            <w:textDirection w:val="lrTb"/>
            <w:vAlign w:val="bottom"/>
            <w:hideMark/>
          </w:tcPr>
          <w:p w:rsidR="00321B93" w:rsidRPr="00D96D29" w:rsidP="00F576BD">
            <w:pPr>
              <w:bidi w:val="0"/>
              <w:jc w:val="right"/>
              <w:rPr>
                <w:rFonts w:ascii="Times New Roman" w:hAnsi="Times New Roman" w:cs="Times New Roman"/>
                <w:color w:val="000000"/>
                <w:sz w:val="14"/>
                <w:szCs w:val="14"/>
              </w:rPr>
            </w:pPr>
            <w:r w:rsidRPr="00D96D29">
              <w:rPr>
                <w:rFonts w:ascii="Times New Roman" w:hAnsi="Times New Roman" w:cs="Times New Roman"/>
                <w:color w:val="000000"/>
                <w:sz w:val="14"/>
                <w:szCs w:val="14"/>
              </w:rPr>
              <w:t>384 086</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443 474</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441 602</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textDirection w:val="lrTb"/>
            <w:vAlign w:val="center"/>
            <w:hideMark/>
          </w:tcPr>
          <w:p w:rsidR="00321B93" w:rsidRPr="00790020" w:rsidP="00F576BD">
            <w:pPr>
              <w:bidi w:val="0"/>
              <w:rPr>
                <w:rFonts w:ascii="Times New Roman" w:hAnsi="Times New Roman" w:cs="Times New Roman"/>
                <w:sz w:val="14"/>
                <w:szCs w:val="14"/>
                <w:lang w:eastAsia="sk-SK"/>
              </w:rPr>
            </w:pPr>
            <w:r w:rsidRPr="00790020">
              <w:rPr>
                <w:rFonts w:ascii="Times New Roman" w:hAnsi="Times New Roman" w:cs="Times New Roman"/>
                <w:sz w:val="14"/>
                <w:szCs w:val="14"/>
                <w:lang w:eastAsia="sk-SK"/>
              </w:rPr>
              <w:t>Ministerstvo školstva, vedy, výskumu a športu SR</w:t>
            </w:r>
          </w:p>
        </w:tc>
        <w:tc>
          <w:tcPr>
            <w:tcW w:w="1134"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2 018 521</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2 092 925</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2 323 260</w:t>
            </w:r>
          </w:p>
        </w:tc>
        <w:tc>
          <w:tcPr>
            <w:tcW w:w="1040" w:type="dxa"/>
            <w:tcBorders>
              <w:top w:val="nil"/>
              <w:left w:val="single" w:sz="4" w:space="0" w:color="auto"/>
              <w:bottom w:val="single" w:sz="4" w:space="0" w:color="auto"/>
              <w:right w:val="single" w:sz="4" w:space="0" w:color="auto"/>
            </w:tcBorders>
            <w:textDirection w:val="lrTb"/>
            <w:vAlign w:val="bottom"/>
            <w:hideMark/>
          </w:tcPr>
          <w:p w:rsidR="00321B93" w:rsidRPr="00D96D29" w:rsidP="00F576BD">
            <w:pPr>
              <w:bidi w:val="0"/>
              <w:jc w:val="right"/>
              <w:rPr>
                <w:rFonts w:ascii="Times New Roman" w:hAnsi="Times New Roman" w:cs="Times New Roman"/>
                <w:color w:val="000000"/>
                <w:sz w:val="14"/>
                <w:szCs w:val="14"/>
              </w:rPr>
            </w:pPr>
            <w:r w:rsidRPr="00D96D29">
              <w:rPr>
                <w:rFonts w:ascii="Times New Roman" w:hAnsi="Times New Roman" w:cs="Times New Roman"/>
                <w:color w:val="000000"/>
                <w:sz w:val="14"/>
                <w:szCs w:val="14"/>
              </w:rPr>
              <w:t>2 434 335</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2 406 173</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2 296 452</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textDirection w:val="lrTb"/>
            <w:vAlign w:val="center"/>
            <w:hideMark/>
          </w:tcPr>
          <w:p w:rsidR="00321B93" w:rsidRPr="00790020" w:rsidP="00F576BD">
            <w:pPr>
              <w:bidi w:val="0"/>
              <w:rPr>
                <w:rFonts w:ascii="Times New Roman" w:hAnsi="Times New Roman" w:cs="Times New Roman"/>
                <w:sz w:val="14"/>
                <w:szCs w:val="14"/>
                <w:lang w:eastAsia="sk-SK"/>
              </w:rPr>
            </w:pPr>
            <w:r w:rsidRPr="00790020">
              <w:rPr>
                <w:rFonts w:ascii="Times New Roman" w:hAnsi="Times New Roman" w:cs="Times New Roman"/>
                <w:sz w:val="14"/>
                <w:szCs w:val="14"/>
                <w:lang w:eastAsia="sk-SK"/>
              </w:rPr>
              <w:t>Ministerstvo zdravotníctva SR</w:t>
            </w:r>
          </w:p>
        </w:tc>
        <w:tc>
          <w:tcPr>
            <w:tcW w:w="1134"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1 287 843</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1 470 526</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1 401 899</w:t>
            </w:r>
          </w:p>
        </w:tc>
        <w:tc>
          <w:tcPr>
            <w:tcW w:w="1040" w:type="dxa"/>
            <w:tcBorders>
              <w:top w:val="nil"/>
              <w:left w:val="single" w:sz="4" w:space="0" w:color="auto"/>
              <w:bottom w:val="single" w:sz="4" w:space="0" w:color="auto"/>
              <w:right w:val="single" w:sz="4" w:space="0" w:color="auto"/>
            </w:tcBorders>
            <w:textDirection w:val="lrTb"/>
            <w:vAlign w:val="bottom"/>
            <w:hideMark/>
          </w:tcPr>
          <w:p w:rsidR="00321B93" w:rsidRPr="00D96D29" w:rsidP="00F576BD">
            <w:pPr>
              <w:bidi w:val="0"/>
              <w:jc w:val="right"/>
              <w:rPr>
                <w:rFonts w:ascii="Times New Roman" w:hAnsi="Times New Roman" w:cs="Times New Roman"/>
                <w:color w:val="000000"/>
                <w:sz w:val="14"/>
                <w:szCs w:val="14"/>
              </w:rPr>
            </w:pPr>
            <w:r w:rsidRPr="00D96D29">
              <w:rPr>
                <w:rFonts w:ascii="Times New Roman" w:hAnsi="Times New Roman" w:cs="Times New Roman"/>
                <w:color w:val="000000"/>
                <w:sz w:val="14"/>
                <w:szCs w:val="14"/>
              </w:rPr>
              <w:t>1</w:t>
            </w:r>
            <w:r>
              <w:rPr>
                <w:rFonts w:ascii="Times New Roman" w:hAnsi="Times New Roman" w:cs="Times New Roman"/>
                <w:color w:val="000000"/>
                <w:sz w:val="14"/>
                <w:szCs w:val="14"/>
              </w:rPr>
              <w:t> </w:t>
            </w:r>
            <w:r w:rsidRPr="00D96D29">
              <w:rPr>
                <w:rFonts w:ascii="Times New Roman" w:hAnsi="Times New Roman" w:cs="Times New Roman"/>
                <w:color w:val="000000"/>
                <w:sz w:val="14"/>
                <w:szCs w:val="14"/>
              </w:rPr>
              <w:t>505</w:t>
            </w:r>
            <w:r>
              <w:rPr>
                <w:rFonts w:ascii="Times New Roman" w:hAnsi="Times New Roman" w:cs="Times New Roman"/>
                <w:color w:val="000000"/>
                <w:sz w:val="14"/>
                <w:szCs w:val="14"/>
              </w:rPr>
              <w:t xml:space="preserve"> </w:t>
            </w:r>
            <w:r w:rsidRPr="00D96D29">
              <w:rPr>
                <w:rFonts w:ascii="Times New Roman" w:hAnsi="Times New Roman" w:cs="Times New Roman"/>
                <w:color w:val="000000"/>
                <w:sz w:val="14"/>
                <w:szCs w:val="14"/>
              </w:rPr>
              <w:t>456</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1</w:t>
            </w:r>
            <w:r>
              <w:rPr>
                <w:rFonts w:ascii="Times New Roman" w:hAnsi="Times New Roman" w:cs="Times New Roman"/>
                <w:color w:val="000000"/>
                <w:sz w:val="14"/>
                <w:szCs w:val="14"/>
              </w:rPr>
              <w:t> </w:t>
            </w:r>
            <w:r w:rsidRPr="00E14083">
              <w:rPr>
                <w:rFonts w:ascii="Times New Roman" w:hAnsi="Times New Roman" w:cs="Times New Roman"/>
                <w:color w:val="000000"/>
                <w:sz w:val="14"/>
                <w:szCs w:val="14"/>
              </w:rPr>
              <w:t>474</w:t>
            </w:r>
            <w:r>
              <w:rPr>
                <w:rFonts w:ascii="Times New Roman" w:hAnsi="Times New Roman" w:cs="Times New Roman"/>
                <w:color w:val="000000"/>
                <w:sz w:val="14"/>
                <w:szCs w:val="14"/>
              </w:rPr>
              <w:t xml:space="preserve"> </w:t>
            </w:r>
            <w:r w:rsidRPr="00E14083">
              <w:rPr>
                <w:rFonts w:ascii="Times New Roman" w:hAnsi="Times New Roman" w:cs="Times New Roman"/>
                <w:color w:val="000000"/>
                <w:sz w:val="14"/>
                <w:szCs w:val="14"/>
              </w:rPr>
              <w:t>347</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1</w:t>
            </w:r>
            <w:r>
              <w:rPr>
                <w:rFonts w:ascii="Times New Roman" w:hAnsi="Times New Roman" w:cs="Times New Roman"/>
                <w:color w:val="000000"/>
                <w:sz w:val="14"/>
                <w:szCs w:val="14"/>
              </w:rPr>
              <w:t> </w:t>
            </w:r>
            <w:r w:rsidRPr="00E14083">
              <w:rPr>
                <w:rFonts w:ascii="Times New Roman" w:hAnsi="Times New Roman" w:cs="Times New Roman"/>
                <w:color w:val="000000"/>
                <w:sz w:val="14"/>
                <w:szCs w:val="14"/>
              </w:rPr>
              <w:t>352</w:t>
            </w:r>
            <w:r>
              <w:rPr>
                <w:rFonts w:ascii="Times New Roman" w:hAnsi="Times New Roman" w:cs="Times New Roman"/>
                <w:color w:val="000000"/>
                <w:sz w:val="14"/>
                <w:szCs w:val="14"/>
              </w:rPr>
              <w:t xml:space="preserve"> </w:t>
            </w:r>
            <w:r w:rsidRPr="00E14083">
              <w:rPr>
                <w:rFonts w:ascii="Times New Roman" w:hAnsi="Times New Roman" w:cs="Times New Roman"/>
                <w:color w:val="000000"/>
                <w:sz w:val="14"/>
                <w:szCs w:val="14"/>
              </w:rPr>
              <w:t>125</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textDirection w:val="lrTb"/>
            <w:vAlign w:val="center"/>
            <w:hideMark/>
          </w:tcPr>
          <w:p w:rsidR="00321B93" w:rsidRPr="00790020" w:rsidP="00F576BD">
            <w:pPr>
              <w:bidi w:val="0"/>
              <w:rPr>
                <w:rFonts w:ascii="Times New Roman" w:hAnsi="Times New Roman" w:cs="Times New Roman"/>
                <w:sz w:val="14"/>
                <w:szCs w:val="14"/>
                <w:lang w:eastAsia="sk-SK"/>
              </w:rPr>
            </w:pPr>
            <w:r w:rsidRPr="00790020">
              <w:rPr>
                <w:rFonts w:ascii="Times New Roman" w:hAnsi="Times New Roman" w:cs="Times New Roman"/>
                <w:sz w:val="14"/>
                <w:szCs w:val="14"/>
                <w:lang w:eastAsia="sk-SK"/>
              </w:rPr>
              <w:t>Ministerstvo práce, sociálnych vecí a rodiny SR</w:t>
            </w:r>
          </w:p>
        </w:tc>
        <w:tc>
          <w:tcPr>
            <w:tcW w:w="1134"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1 814 653</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2 024 622</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2 009 192</w:t>
            </w:r>
          </w:p>
        </w:tc>
        <w:tc>
          <w:tcPr>
            <w:tcW w:w="1040" w:type="dxa"/>
            <w:tcBorders>
              <w:top w:val="nil"/>
              <w:left w:val="single" w:sz="4" w:space="0" w:color="auto"/>
              <w:bottom w:val="single" w:sz="4" w:space="0" w:color="auto"/>
              <w:right w:val="single" w:sz="4" w:space="0" w:color="auto"/>
            </w:tcBorders>
            <w:textDirection w:val="lrTb"/>
            <w:vAlign w:val="bottom"/>
            <w:hideMark/>
          </w:tcPr>
          <w:p w:rsidR="00321B93" w:rsidRPr="00D96D29" w:rsidP="00F576BD">
            <w:pPr>
              <w:bidi w:val="0"/>
              <w:jc w:val="right"/>
              <w:rPr>
                <w:rFonts w:ascii="Times New Roman" w:hAnsi="Times New Roman" w:cs="Times New Roman"/>
                <w:color w:val="000000"/>
                <w:sz w:val="14"/>
                <w:szCs w:val="14"/>
              </w:rPr>
            </w:pPr>
            <w:r w:rsidRPr="00D96D29">
              <w:rPr>
                <w:rFonts w:ascii="Times New Roman" w:hAnsi="Times New Roman" w:cs="Times New Roman"/>
                <w:color w:val="000000"/>
                <w:sz w:val="14"/>
                <w:szCs w:val="14"/>
              </w:rPr>
              <w:t>1 961 536</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1 988 976</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2 027 727</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textDirection w:val="lrTb"/>
            <w:vAlign w:val="center"/>
            <w:hideMark/>
          </w:tcPr>
          <w:p w:rsidR="00321B93" w:rsidRPr="00790020" w:rsidP="00F576BD">
            <w:pPr>
              <w:bidi w:val="0"/>
              <w:rPr>
                <w:rFonts w:ascii="Times New Roman" w:hAnsi="Times New Roman" w:cs="Times New Roman"/>
                <w:sz w:val="14"/>
                <w:szCs w:val="14"/>
                <w:lang w:eastAsia="sk-SK"/>
              </w:rPr>
            </w:pPr>
            <w:r w:rsidRPr="00790020">
              <w:rPr>
                <w:rFonts w:ascii="Times New Roman" w:hAnsi="Times New Roman" w:cs="Times New Roman"/>
                <w:sz w:val="14"/>
                <w:szCs w:val="14"/>
                <w:lang w:eastAsia="sk-SK"/>
              </w:rPr>
              <w:t>Ministerstvo kultúry SR</w:t>
            </w:r>
          </w:p>
        </w:tc>
        <w:tc>
          <w:tcPr>
            <w:tcW w:w="1134"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196 515</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189 940</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167 192</w:t>
            </w:r>
          </w:p>
        </w:tc>
        <w:tc>
          <w:tcPr>
            <w:tcW w:w="1040" w:type="dxa"/>
            <w:tcBorders>
              <w:top w:val="nil"/>
              <w:left w:val="single" w:sz="4" w:space="0" w:color="auto"/>
              <w:bottom w:val="single" w:sz="4" w:space="0" w:color="auto"/>
              <w:right w:val="single" w:sz="4" w:space="0" w:color="auto"/>
            </w:tcBorders>
            <w:textDirection w:val="lrTb"/>
            <w:vAlign w:val="bottom"/>
            <w:hideMark/>
          </w:tcPr>
          <w:p w:rsidR="00321B93" w:rsidRPr="00D96D29" w:rsidP="00F576BD">
            <w:pPr>
              <w:bidi w:val="0"/>
              <w:jc w:val="right"/>
              <w:rPr>
                <w:rFonts w:ascii="Times New Roman" w:hAnsi="Times New Roman" w:cs="Times New Roman"/>
                <w:color w:val="000000"/>
                <w:sz w:val="14"/>
                <w:szCs w:val="14"/>
              </w:rPr>
            </w:pPr>
            <w:r w:rsidRPr="00D96D29">
              <w:rPr>
                <w:rFonts w:ascii="Times New Roman" w:hAnsi="Times New Roman" w:cs="Times New Roman"/>
                <w:color w:val="000000"/>
                <w:sz w:val="14"/>
                <w:szCs w:val="14"/>
              </w:rPr>
              <w:t>181 174</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159 901</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158 859</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textDirection w:val="lrTb"/>
            <w:vAlign w:val="center"/>
            <w:hideMark/>
          </w:tcPr>
          <w:p w:rsidR="00321B93" w:rsidRPr="00790020" w:rsidP="00F576BD">
            <w:pPr>
              <w:bidi w:val="0"/>
              <w:rPr>
                <w:rFonts w:ascii="Times New Roman" w:hAnsi="Times New Roman" w:cs="Times New Roman"/>
                <w:sz w:val="14"/>
                <w:szCs w:val="14"/>
                <w:lang w:eastAsia="sk-SK"/>
              </w:rPr>
            </w:pPr>
            <w:r w:rsidRPr="00790020">
              <w:rPr>
                <w:rFonts w:ascii="Times New Roman" w:hAnsi="Times New Roman" w:cs="Times New Roman"/>
                <w:sz w:val="14"/>
                <w:szCs w:val="14"/>
                <w:lang w:eastAsia="sk-SK"/>
              </w:rPr>
              <w:t>Ministerstvo hospodárstva SR</w:t>
            </w:r>
          </w:p>
        </w:tc>
        <w:tc>
          <w:tcPr>
            <w:tcW w:w="1134"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272 331</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286 732</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333 674</w:t>
            </w:r>
          </w:p>
        </w:tc>
        <w:tc>
          <w:tcPr>
            <w:tcW w:w="1040" w:type="dxa"/>
            <w:tcBorders>
              <w:top w:val="nil"/>
              <w:left w:val="single" w:sz="4" w:space="0" w:color="auto"/>
              <w:bottom w:val="single" w:sz="4" w:space="0" w:color="auto"/>
              <w:right w:val="single" w:sz="4" w:space="0" w:color="auto"/>
            </w:tcBorders>
            <w:textDirection w:val="lrTb"/>
            <w:vAlign w:val="bottom"/>
            <w:hideMark/>
          </w:tcPr>
          <w:p w:rsidR="00321B93" w:rsidRPr="00D96D29" w:rsidP="00F576BD">
            <w:pPr>
              <w:bidi w:val="0"/>
              <w:jc w:val="right"/>
              <w:rPr>
                <w:rFonts w:ascii="Times New Roman" w:hAnsi="Times New Roman" w:cs="Times New Roman"/>
                <w:color w:val="000000"/>
                <w:sz w:val="14"/>
                <w:szCs w:val="14"/>
              </w:rPr>
            </w:pPr>
            <w:r w:rsidRPr="00D96D29">
              <w:rPr>
                <w:rFonts w:ascii="Times New Roman" w:hAnsi="Times New Roman" w:cs="Times New Roman"/>
                <w:color w:val="000000"/>
                <w:sz w:val="14"/>
                <w:szCs w:val="14"/>
              </w:rPr>
              <w:t>214 504</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140 422</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123 960</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textDirection w:val="lrTb"/>
            <w:vAlign w:val="center"/>
            <w:hideMark/>
          </w:tcPr>
          <w:p w:rsidR="00321B93" w:rsidRPr="00790020" w:rsidP="00F576BD">
            <w:pPr>
              <w:bidi w:val="0"/>
              <w:rPr>
                <w:rFonts w:ascii="Times New Roman" w:hAnsi="Times New Roman" w:cs="Times New Roman"/>
                <w:sz w:val="14"/>
                <w:szCs w:val="14"/>
                <w:lang w:eastAsia="sk-SK"/>
              </w:rPr>
            </w:pPr>
            <w:r w:rsidRPr="00790020">
              <w:rPr>
                <w:rFonts w:ascii="Times New Roman" w:hAnsi="Times New Roman" w:cs="Times New Roman"/>
                <w:sz w:val="14"/>
                <w:szCs w:val="14"/>
                <w:lang w:eastAsia="sk-SK"/>
              </w:rPr>
              <w:t>Ministerstvo pôdohosp. a rozvoja vidieka SR</w:t>
            </w:r>
          </w:p>
        </w:tc>
        <w:tc>
          <w:tcPr>
            <w:tcW w:w="1134"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1 038 070</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1 220 396</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1 303 853</w:t>
            </w:r>
          </w:p>
        </w:tc>
        <w:tc>
          <w:tcPr>
            <w:tcW w:w="1040" w:type="dxa"/>
            <w:tcBorders>
              <w:top w:val="nil"/>
              <w:left w:val="single" w:sz="4" w:space="0" w:color="auto"/>
              <w:bottom w:val="single" w:sz="4" w:space="0" w:color="auto"/>
              <w:right w:val="single" w:sz="4" w:space="0" w:color="auto"/>
            </w:tcBorders>
            <w:textDirection w:val="lrTb"/>
            <w:vAlign w:val="bottom"/>
            <w:hideMark/>
          </w:tcPr>
          <w:p w:rsidR="00321B93" w:rsidRPr="00D96D29" w:rsidP="00F576BD">
            <w:pPr>
              <w:bidi w:val="0"/>
              <w:jc w:val="right"/>
              <w:rPr>
                <w:rFonts w:ascii="Times New Roman" w:hAnsi="Times New Roman" w:cs="Times New Roman"/>
                <w:color w:val="000000"/>
                <w:sz w:val="14"/>
                <w:szCs w:val="14"/>
              </w:rPr>
            </w:pPr>
            <w:r w:rsidRPr="00D96D29">
              <w:rPr>
                <w:rFonts w:ascii="Times New Roman" w:hAnsi="Times New Roman" w:cs="Times New Roman"/>
                <w:color w:val="000000"/>
                <w:sz w:val="14"/>
                <w:szCs w:val="14"/>
              </w:rPr>
              <w:t>1 409 114</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1 042 426</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821 205</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textDirection w:val="lrTb"/>
            <w:vAlign w:val="center"/>
            <w:hideMark/>
          </w:tcPr>
          <w:p w:rsidR="00321B93" w:rsidRPr="00790020" w:rsidP="00F576BD">
            <w:pPr>
              <w:bidi w:val="0"/>
              <w:rPr>
                <w:rFonts w:ascii="Times New Roman" w:hAnsi="Times New Roman" w:cs="Times New Roman"/>
                <w:sz w:val="14"/>
                <w:szCs w:val="14"/>
                <w:lang w:eastAsia="sk-SK"/>
              </w:rPr>
            </w:pPr>
            <w:r w:rsidRPr="00790020">
              <w:rPr>
                <w:rFonts w:ascii="Times New Roman" w:hAnsi="Times New Roman" w:cs="Times New Roman"/>
                <w:sz w:val="14"/>
                <w:szCs w:val="14"/>
                <w:lang w:eastAsia="sk-SK"/>
              </w:rPr>
              <w:t>Ministerstvo výstavby a regionálneho rozvoja SR</w:t>
            </w:r>
          </w:p>
        </w:tc>
        <w:tc>
          <w:tcPr>
            <w:tcW w:w="1134"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433 169</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257 810</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 </w:t>
            </w:r>
          </w:p>
        </w:tc>
        <w:tc>
          <w:tcPr>
            <w:tcW w:w="1040" w:type="dxa"/>
            <w:tcBorders>
              <w:top w:val="nil"/>
              <w:left w:val="single" w:sz="4" w:space="0" w:color="auto"/>
              <w:bottom w:val="single" w:sz="4" w:space="0" w:color="auto"/>
              <w:right w:val="single" w:sz="4" w:space="0" w:color="auto"/>
            </w:tcBorders>
            <w:textDirection w:val="lrTb"/>
            <w:vAlign w:val="bottom"/>
            <w:hideMark/>
          </w:tcPr>
          <w:p w:rsidR="00321B93" w:rsidRPr="00D96D29" w:rsidP="00F576BD">
            <w:pPr>
              <w:bidi w:val="0"/>
              <w:jc w:val="right"/>
              <w:rPr>
                <w:rFonts w:ascii="Times New Roman" w:hAnsi="Times New Roman" w:cs="Times New Roman"/>
                <w:color w:val="000000"/>
                <w:sz w:val="14"/>
                <w:szCs w:val="14"/>
              </w:rPr>
            </w:pPr>
            <w:r w:rsidRPr="00D96D29">
              <w:rPr>
                <w:rFonts w:ascii="Times New Roman" w:hAnsi="Times New Roman" w:cs="Times New Roman"/>
                <w:color w:val="000000"/>
                <w:sz w:val="14"/>
                <w:szCs w:val="14"/>
              </w:rPr>
              <w:t> </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 </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 </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textDirection w:val="lrTb"/>
            <w:vAlign w:val="center"/>
            <w:hideMark/>
          </w:tcPr>
          <w:p w:rsidR="00321B93" w:rsidRPr="00790020" w:rsidP="00F576BD">
            <w:pPr>
              <w:bidi w:val="0"/>
              <w:rPr>
                <w:rFonts w:ascii="Times New Roman" w:hAnsi="Times New Roman" w:cs="Times New Roman"/>
                <w:sz w:val="14"/>
                <w:szCs w:val="14"/>
                <w:lang w:eastAsia="sk-SK"/>
              </w:rPr>
            </w:pPr>
            <w:r w:rsidRPr="00790020">
              <w:rPr>
                <w:rFonts w:ascii="Times New Roman" w:hAnsi="Times New Roman" w:cs="Times New Roman"/>
                <w:sz w:val="14"/>
                <w:szCs w:val="14"/>
                <w:lang w:eastAsia="sk-SK"/>
              </w:rPr>
              <w:t>Ministerstvo dopravy, výst. a reg. rozvoja SR</w:t>
            </w:r>
          </w:p>
        </w:tc>
        <w:tc>
          <w:tcPr>
            <w:tcW w:w="1134"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1 250 694</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1 300 890</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1 882 739</w:t>
            </w:r>
          </w:p>
        </w:tc>
        <w:tc>
          <w:tcPr>
            <w:tcW w:w="1040" w:type="dxa"/>
            <w:tcBorders>
              <w:top w:val="nil"/>
              <w:left w:val="single" w:sz="4" w:space="0" w:color="auto"/>
              <w:bottom w:val="single" w:sz="4" w:space="0" w:color="auto"/>
              <w:right w:val="single" w:sz="4" w:space="0" w:color="auto"/>
            </w:tcBorders>
            <w:textDirection w:val="lrTb"/>
            <w:vAlign w:val="bottom"/>
            <w:hideMark/>
          </w:tcPr>
          <w:p w:rsidR="00321B93" w:rsidRPr="00D96D29" w:rsidP="00F576BD">
            <w:pPr>
              <w:bidi w:val="0"/>
              <w:jc w:val="right"/>
              <w:rPr>
                <w:rFonts w:ascii="Times New Roman" w:hAnsi="Times New Roman" w:cs="Times New Roman"/>
                <w:color w:val="000000"/>
                <w:sz w:val="14"/>
                <w:szCs w:val="14"/>
              </w:rPr>
            </w:pPr>
            <w:r w:rsidRPr="00D96D29">
              <w:rPr>
                <w:rFonts w:ascii="Times New Roman" w:hAnsi="Times New Roman" w:cs="Times New Roman"/>
                <w:color w:val="000000"/>
                <w:sz w:val="14"/>
                <w:szCs w:val="14"/>
              </w:rPr>
              <w:t>2 126 191</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2</w:t>
            </w:r>
            <w:r>
              <w:rPr>
                <w:rFonts w:ascii="Times New Roman" w:hAnsi="Times New Roman" w:cs="Times New Roman"/>
                <w:color w:val="000000"/>
                <w:sz w:val="14"/>
                <w:szCs w:val="14"/>
              </w:rPr>
              <w:t> </w:t>
            </w:r>
            <w:r w:rsidRPr="00E14083">
              <w:rPr>
                <w:rFonts w:ascii="Times New Roman" w:hAnsi="Times New Roman" w:cs="Times New Roman"/>
                <w:color w:val="000000"/>
                <w:sz w:val="14"/>
                <w:szCs w:val="14"/>
              </w:rPr>
              <w:t>144</w:t>
            </w:r>
            <w:r>
              <w:rPr>
                <w:rFonts w:ascii="Times New Roman" w:hAnsi="Times New Roman" w:cs="Times New Roman"/>
                <w:color w:val="000000"/>
                <w:sz w:val="14"/>
                <w:szCs w:val="14"/>
              </w:rPr>
              <w:t xml:space="preserve"> </w:t>
            </w:r>
            <w:r w:rsidRPr="00E14083">
              <w:rPr>
                <w:rFonts w:ascii="Times New Roman" w:hAnsi="Times New Roman" w:cs="Times New Roman"/>
                <w:color w:val="000000"/>
                <w:sz w:val="14"/>
                <w:szCs w:val="14"/>
              </w:rPr>
              <w:t>931</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2</w:t>
            </w:r>
            <w:r>
              <w:rPr>
                <w:rFonts w:ascii="Times New Roman" w:hAnsi="Times New Roman" w:cs="Times New Roman"/>
                <w:color w:val="000000"/>
                <w:sz w:val="14"/>
                <w:szCs w:val="14"/>
              </w:rPr>
              <w:t> </w:t>
            </w:r>
            <w:r w:rsidRPr="00E14083">
              <w:rPr>
                <w:rFonts w:ascii="Times New Roman" w:hAnsi="Times New Roman" w:cs="Times New Roman"/>
                <w:color w:val="000000"/>
                <w:sz w:val="14"/>
                <w:szCs w:val="14"/>
              </w:rPr>
              <w:t>588</w:t>
            </w:r>
            <w:r>
              <w:rPr>
                <w:rFonts w:ascii="Times New Roman" w:hAnsi="Times New Roman" w:cs="Times New Roman"/>
                <w:color w:val="000000"/>
                <w:sz w:val="14"/>
                <w:szCs w:val="14"/>
              </w:rPr>
              <w:t xml:space="preserve"> </w:t>
            </w:r>
            <w:r w:rsidRPr="00E14083">
              <w:rPr>
                <w:rFonts w:ascii="Times New Roman" w:hAnsi="Times New Roman" w:cs="Times New Roman"/>
                <w:color w:val="000000"/>
                <w:sz w:val="14"/>
                <w:szCs w:val="14"/>
              </w:rPr>
              <w:t>260</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textDirection w:val="lrTb"/>
            <w:vAlign w:val="center"/>
            <w:hideMark/>
          </w:tcPr>
          <w:p w:rsidR="00321B93" w:rsidRPr="00790020" w:rsidP="00F576BD">
            <w:pPr>
              <w:bidi w:val="0"/>
              <w:rPr>
                <w:rFonts w:ascii="Times New Roman" w:hAnsi="Times New Roman" w:cs="Times New Roman"/>
                <w:sz w:val="14"/>
                <w:szCs w:val="14"/>
                <w:lang w:eastAsia="sk-SK"/>
              </w:rPr>
            </w:pPr>
            <w:r w:rsidRPr="00790020">
              <w:rPr>
                <w:rFonts w:ascii="Times New Roman" w:hAnsi="Times New Roman" w:cs="Times New Roman"/>
                <w:sz w:val="14"/>
                <w:szCs w:val="14"/>
                <w:lang w:eastAsia="sk-SK"/>
              </w:rPr>
              <w:t>Úrad geodézie, kartografie a katastra SR</w:t>
            </w:r>
          </w:p>
        </w:tc>
        <w:tc>
          <w:tcPr>
            <w:tcW w:w="1134"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61 286</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69 722</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35 600</w:t>
            </w:r>
          </w:p>
        </w:tc>
        <w:tc>
          <w:tcPr>
            <w:tcW w:w="1040" w:type="dxa"/>
            <w:tcBorders>
              <w:top w:val="nil"/>
              <w:left w:val="single" w:sz="4" w:space="0" w:color="auto"/>
              <w:bottom w:val="single" w:sz="4" w:space="0" w:color="auto"/>
              <w:right w:val="single" w:sz="4" w:space="0" w:color="auto"/>
            </w:tcBorders>
            <w:textDirection w:val="lrTb"/>
            <w:vAlign w:val="bottom"/>
            <w:hideMark/>
          </w:tcPr>
          <w:p w:rsidR="00321B93" w:rsidRPr="00D96D29" w:rsidP="00F576BD">
            <w:pPr>
              <w:bidi w:val="0"/>
              <w:jc w:val="right"/>
              <w:rPr>
                <w:rFonts w:ascii="Times New Roman" w:hAnsi="Times New Roman" w:cs="Times New Roman"/>
                <w:color w:val="000000"/>
                <w:sz w:val="14"/>
                <w:szCs w:val="14"/>
              </w:rPr>
            </w:pPr>
            <w:r w:rsidRPr="00D96D29">
              <w:rPr>
                <w:rFonts w:ascii="Times New Roman" w:hAnsi="Times New Roman" w:cs="Times New Roman"/>
                <w:color w:val="000000"/>
                <w:sz w:val="14"/>
                <w:szCs w:val="14"/>
              </w:rPr>
              <w:t>43 170</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43 176</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43 178</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textDirection w:val="lrTb"/>
            <w:vAlign w:val="center"/>
            <w:hideMark/>
          </w:tcPr>
          <w:p w:rsidR="00321B93" w:rsidRPr="00790020" w:rsidP="00F576BD">
            <w:pPr>
              <w:bidi w:val="0"/>
              <w:rPr>
                <w:rFonts w:ascii="Times New Roman" w:hAnsi="Times New Roman" w:cs="Times New Roman"/>
                <w:sz w:val="14"/>
                <w:szCs w:val="14"/>
                <w:lang w:eastAsia="sk-SK"/>
              </w:rPr>
            </w:pPr>
            <w:r w:rsidRPr="00790020">
              <w:rPr>
                <w:rFonts w:ascii="Times New Roman" w:hAnsi="Times New Roman" w:cs="Times New Roman"/>
                <w:sz w:val="14"/>
                <w:szCs w:val="14"/>
                <w:lang w:eastAsia="sk-SK"/>
              </w:rPr>
              <w:t>Štatistický úrad SR</w:t>
            </w:r>
          </w:p>
        </w:tc>
        <w:tc>
          <w:tcPr>
            <w:tcW w:w="1134"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33 653</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35 961</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22 835</w:t>
            </w:r>
          </w:p>
        </w:tc>
        <w:tc>
          <w:tcPr>
            <w:tcW w:w="1040" w:type="dxa"/>
            <w:tcBorders>
              <w:top w:val="nil"/>
              <w:left w:val="single" w:sz="4" w:space="0" w:color="auto"/>
              <w:bottom w:val="single" w:sz="4" w:space="0" w:color="auto"/>
              <w:right w:val="single" w:sz="4" w:space="0" w:color="auto"/>
            </w:tcBorders>
            <w:textDirection w:val="lrTb"/>
            <w:vAlign w:val="bottom"/>
            <w:hideMark/>
          </w:tcPr>
          <w:p w:rsidR="00321B93" w:rsidRPr="00D96D29" w:rsidP="00F576BD">
            <w:pPr>
              <w:bidi w:val="0"/>
              <w:jc w:val="right"/>
              <w:rPr>
                <w:rFonts w:ascii="Times New Roman" w:hAnsi="Times New Roman" w:cs="Times New Roman"/>
                <w:color w:val="000000"/>
                <w:sz w:val="14"/>
                <w:szCs w:val="14"/>
              </w:rPr>
            </w:pPr>
            <w:r w:rsidRPr="00D96D29">
              <w:rPr>
                <w:rFonts w:ascii="Times New Roman" w:hAnsi="Times New Roman" w:cs="Times New Roman"/>
                <w:color w:val="000000"/>
                <w:sz w:val="14"/>
                <w:szCs w:val="14"/>
              </w:rPr>
              <w:t>17 811</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18 274</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21 762</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textDirection w:val="lrTb"/>
            <w:vAlign w:val="center"/>
            <w:hideMark/>
          </w:tcPr>
          <w:p w:rsidR="00321B93" w:rsidRPr="00790020" w:rsidP="00F576BD">
            <w:pPr>
              <w:bidi w:val="0"/>
              <w:rPr>
                <w:rFonts w:ascii="Times New Roman" w:hAnsi="Times New Roman" w:cs="Times New Roman"/>
                <w:sz w:val="14"/>
                <w:szCs w:val="14"/>
                <w:lang w:eastAsia="sk-SK"/>
              </w:rPr>
            </w:pPr>
            <w:r w:rsidRPr="00790020">
              <w:rPr>
                <w:rFonts w:ascii="Times New Roman" w:hAnsi="Times New Roman" w:cs="Times New Roman"/>
                <w:sz w:val="14"/>
                <w:szCs w:val="14"/>
                <w:lang w:eastAsia="sk-SK"/>
              </w:rPr>
              <w:t>Úrad pre verejné obstarávanie</w:t>
            </w:r>
          </w:p>
        </w:tc>
        <w:tc>
          <w:tcPr>
            <w:tcW w:w="1134"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3 601</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3 268</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2 676</w:t>
            </w:r>
          </w:p>
        </w:tc>
        <w:tc>
          <w:tcPr>
            <w:tcW w:w="1040" w:type="dxa"/>
            <w:tcBorders>
              <w:top w:val="nil"/>
              <w:left w:val="single" w:sz="4" w:space="0" w:color="auto"/>
              <w:bottom w:val="single" w:sz="4" w:space="0" w:color="auto"/>
              <w:right w:val="single" w:sz="4" w:space="0" w:color="auto"/>
            </w:tcBorders>
            <w:textDirection w:val="lrTb"/>
            <w:vAlign w:val="bottom"/>
            <w:hideMark/>
          </w:tcPr>
          <w:p w:rsidR="00321B93" w:rsidRPr="00D96D29" w:rsidP="00F576BD">
            <w:pPr>
              <w:bidi w:val="0"/>
              <w:jc w:val="right"/>
              <w:rPr>
                <w:rFonts w:ascii="Times New Roman" w:hAnsi="Times New Roman" w:cs="Times New Roman"/>
                <w:color w:val="000000"/>
                <w:sz w:val="14"/>
                <w:szCs w:val="14"/>
              </w:rPr>
            </w:pPr>
            <w:r w:rsidRPr="00D96D29">
              <w:rPr>
                <w:rFonts w:ascii="Times New Roman" w:hAnsi="Times New Roman" w:cs="Times New Roman"/>
                <w:color w:val="000000"/>
                <w:sz w:val="14"/>
                <w:szCs w:val="14"/>
              </w:rPr>
              <w:t>2 629</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2 636</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2 638</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textDirection w:val="lrTb"/>
            <w:vAlign w:val="center"/>
            <w:hideMark/>
          </w:tcPr>
          <w:p w:rsidR="00321B93" w:rsidRPr="00790020" w:rsidP="00F576BD">
            <w:pPr>
              <w:bidi w:val="0"/>
              <w:rPr>
                <w:rFonts w:ascii="Times New Roman" w:hAnsi="Times New Roman" w:cs="Times New Roman"/>
                <w:sz w:val="14"/>
                <w:szCs w:val="14"/>
                <w:lang w:eastAsia="sk-SK"/>
              </w:rPr>
            </w:pPr>
            <w:r w:rsidRPr="00790020">
              <w:rPr>
                <w:rFonts w:ascii="Times New Roman" w:hAnsi="Times New Roman" w:cs="Times New Roman"/>
                <w:sz w:val="14"/>
                <w:szCs w:val="14"/>
                <w:lang w:eastAsia="sk-SK"/>
              </w:rPr>
              <w:t>Úrad jadrového dozoru SR</w:t>
            </w:r>
          </w:p>
        </w:tc>
        <w:tc>
          <w:tcPr>
            <w:tcW w:w="1134"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4 715</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4 765</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5 168</w:t>
            </w:r>
          </w:p>
        </w:tc>
        <w:tc>
          <w:tcPr>
            <w:tcW w:w="1040" w:type="dxa"/>
            <w:tcBorders>
              <w:top w:val="nil"/>
              <w:left w:val="single" w:sz="4" w:space="0" w:color="auto"/>
              <w:bottom w:val="single" w:sz="4" w:space="0" w:color="auto"/>
              <w:right w:val="single" w:sz="4" w:space="0" w:color="auto"/>
            </w:tcBorders>
            <w:textDirection w:val="lrTb"/>
            <w:vAlign w:val="bottom"/>
            <w:hideMark/>
          </w:tcPr>
          <w:p w:rsidR="00321B93" w:rsidRPr="00D96D29" w:rsidP="00F576BD">
            <w:pPr>
              <w:bidi w:val="0"/>
              <w:jc w:val="right"/>
              <w:rPr>
                <w:rFonts w:ascii="Times New Roman" w:hAnsi="Times New Roman" w:cs="Times New Roman"/>
                <w:color w:val="000000"/>
                <w:sz w:val="14"/>
                <w:szCs w:val="14"/>
              </w:rPr>
            </w:pPr>
            <w:r w:rsidRPr="00D96D29">
              <w:rPr>
                <w:rFonts w:ascii="Times New Roman" w:hAnsi="Times New Roman" w:cs="Times New Roman"/>
                <w:color w:val="000000"/>
                <w:sz w:val="14"/>
                <w:szCs w:val="14"/>
              </w:rPr>
              <w:t>5 059</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5 098</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5 137</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textDirection w:val="lrTb"/>
            <w:vAlign w:val="center"/>
            <w:hideMark/>
          </w:tcPr>
          <w:p w:rsidR="00321B93" w:rsidRPr="00790020" w:rsidP="00F576BD">
            <w:pPr>
              <w:bidi w:val="0"/>
              <w:rPr>
                <w:rFonts w:ascii="Times New Roman" w:hAnsi="Times New Roman" w:cs="Times New Roman"/>
                <w:sz w:val="14"/>
                <w:szCs w:val="14"/>
                <w:lang w:eastAsia="sk-SK"/>
              </w:rPr>
            </w:pPr>
            <w:r w:rsidRPr="00790020">
              <w:rPr>
                <w:rFonts w:ascii="Times New Roman" w:hAnsi="Times New Roman" w:cs="Times New Roman"/>
                <w:sz w:val="14"/>
                <w:szCs w:val="14"/>
                <w:lang w:eastAsia="sk-SK"/>
              </w:rPr>
              <w:t>Úrad priemyselného vlastníctva SR</w:t>
            </w:r>
          </w:p>
        </w:tc>
        <w:tc>
          <w:tcPr>
            <w:tcW w:w="1134"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3 176</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3 138</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2 778</w:t>
            </w:r>
          </w:p>
        </w:tc>
        <w:tc>
          <w:tcPr>
            <w:tcW w:w="1040" w:type="dxa"/>
            <w:tcBorders>
              <w:top w:val="nil"/>
              <w:left w:val="single" w:sz="4" w:space="0" w:color="auto"/>
              <w:bottom w:val="single" w:sz="4" w:space="0" w:color="auto"/>
              <w:right w:val="single" w:sz="4" w:space="0" w:color="auto"/>
            </w:tcBorders>
            <w:textDirection w:val="lrTb"/>
            <w:vAlign w:val="bottom"/>
            <w:hideMark/>
          </w:tcPr>
          <w:p w:rsidR="00321B93" w:rsidRPr="00D96D29" w:rsidP="00F576BD">
            <w:pPr>
              <w:bidi w:val="0"/>
              <w:jc w:val="right"/>
              <w:rPr>
                <w:rFonts w:ascii="Times New Roman" w:hAnsi="Times New Roman" w:cs="Times New Roman"/>
                <w:color w:val="000000"/>
                <w:sz w:val="14"/>
                <w:szCs w:val="14"/>
              </w:rPr>
            </w:pPr>
            <w:r w:rsidRPr="00D96D29">
              <w:rPr>
                <w:rFonts w:ascii="Times New Roman" w:hAnsi="Times New Roman" w:cs="Times New Roman"/>
                <w:color w:val="000000"/>
                <w:sz w:val="14"/>
                <w:szCs w:val="14"/>
              </w:rPr>
              <w:t>2 759</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2 766</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2 768</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textDirection w:val="lrTb"/>
            <w:vAlign w:val="center"/>
            <w:hideMark/>
          </w:tcPr>
          <w:p w:rsidR="00321B93" w:rsidRPr="00790020" w:rsidP="00F576BD">
            <w:pPr>
              <w:bidi w:val="0"/>
              <w:rPr>
                <w:rFonts w:ascii="Times New Roman" w:hAnsi="Times New Roman" w:cs="Times New Roman"/>
                <w:sz w:val="14"/>
                <w:szCs w:val="14"/>
                <w:lang w:eastAsia="sk-SK"/>
              </w:rPr>
            </w:pPr>
            <w:r w:rsidRPr="00790020">
              <w:rPr>
                <w:rFonts w:ascii="Times New Roman" w:hAnsi="Times New Roman" w:cs="Times New Roman"/>
                <w:sz w:val="14"/>
                <w:szCs w:val="14"/>
                <w:lang w:eastAsia="sk-SK"/>
              </w:rPr>
              <w:t>Úrad pre norm., metrológiu a skúšobníctvo SR</w:t>
            </w:r>
          </w:p>
        </w:tc>
        <w:tc>
          <w:tcPr>
            <w:tcW w:w="1134"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7 483</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7 191</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6 593</w:t>
            </w:r>
          </w:p>
        </w:tc>
        <w:tc>
          <w:tcPr>
            <w:tcW w:w="1040" w:type="dxa"/>
            <w:tcBorders>
              <w:top w:val="nil"/>
              <w:left w:val="single" w:sz="4" w:space="0" w:color="auto"/>
              <w:bottom w:val="single" w:sz="4" w:space="0" w:color="auto"/>
              <w:right w:val="single" w:sz="4" w:space="0" w:color="auto"/>
            </w:tcBorders>
            <w:textDirection w:val="lrTb"/>
            <w:vAlign w:val="bottom"/>
            <w:hideMark/>
          </w:tcPr>
          <w:p w:rsidR="00321B93" w:rsidRPr="00D96D29" w:rsidP="00F576BD">
            <w:pPr>
              <w:bidi w:val="0"/>
              <w:jc w:val="right"/>
              <w:rPr>
                <w:rFonts w:ascii="Times New Roman" w:hAnsi="Times New Roman" w:cs="Times New Roman"/>
                <w:color w:val="000000"/>
                <w:sz w:val="14"/>
                <w:szCs w:val="14"/>
              </w:rPr>
            </w:pPr>
            <w:r w:rsidRPr="00D96D29">
              <w:rPr>
                <w:rFonts w:ascii="Times New Roman" w:hAnsi="Times New Roman" w:cs="Times New Roman"/>
                <w:color w:val="000000"/>
                <w:sz w:val="14"/>
                <w:szCs w:val="14"/>
              </w:rPr>
              <w:t>6 028</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6 035</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6 037</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textDirection w:val="lrTb"/>
            <w:vAlign w:val="center"/>
            <w:hideMark/>
          </w:tcPr>
          <w:p w:rsidR="00321B93" w:rsidRPr="00790020" w:rsidP="00F576BD">
            <w:pPr>
              <w:bidi w:val="0"/>
              <w:rPr>
                <w:rFonts w:ascii="Times New Roman" w:hAnsi="Times New Roman" w:cs="Times New Roman"/>
                <w:sz w:val="14"/>
                <w:szCs w:val="14"/>
                <w:lang w:eastAsia="sk-SK"/>
              </w:rPr>
            </w:pPr>
            <w:r w:rsidRPr="00790020">
              <w:rPr>
                <w:rFonts w:ascii="Times New Roman" w:hAnsi="Times New Roman" w:cs="Times New Roman"/>
                <w:sz w:val="14"/>
                <w:szCs w:val="14"/>
                <w:lang w:eastAsia="sk-SK"/>
              </w:rPr>
              <w:t>Protimonopolný úrad SR</w:t>
            </w:r>
          </w:p>
        </w:tc>
        <w:tc>
          <w:tcPr>
            <w:tcW w:w="1134"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5 668</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2 374</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2 145</w:t>
            </w:r>
          </w:p>
        </w:tc>
        <w:tc>
          <w:tcPr>
            <w:tcW w:w="1040" w:type="dxa"/>
            <w:tcBorders>
              <w:top w:val="nil"/>
              <w:left w:val="single" w:sz="4" w:space="0" w:color="auto"/>
              <w:bottom w:val="single" w:sz="4" w:space="0" w:color="auto"/>
              <w:right w:val="single" w:sz="4" w:space="0" w:color="auto"/>
            </w:tcBorders>
            <w:textDirection w:val="lrTb"/>
            <w:vAlign w:val="bottom"/>
            <w:hideMark/>
          </w:tcPr>
          <w:p w:rsidR="00321B93" w:rsidRPr="00D96D29" w:rsidP="00F576BD">
            <w:pPr>
              <w:bidi w:val="0"/>
              <w:jc w:val="right"/>
              <w:rPr>
                <w:rFonts w:ascii="Times New Roman" w:hAnsi="Times New Roman" w:cs="Times New Roman"/>
                <w:color w:val="000000"/>
                <w:sz w:val="14"/>
                <w:szCs w:val="14"/>
              </w:rPr>
            </w:pPr>
            <w:r w:rsidRPr="00D96D29">
              <w:rPr>
                <w:rFonts w:ascii="Times New Roman" w:hAnsi="Times New Roman" w:cs="Times New Roman"/>
                <w:color w:val="000000"/>
                <w:sz w:val="14"/>
                <w:szCs w:val="14"/>
              </w:rPr>
              <w:t>2 119</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2 126</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2 128</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textDirection w:val="lrTb"/>
            <w:vAlign w:val="center"/>
            <w:hideMark/>
          </w:tcPr>
          <w:p w:rsidR="00321B93" w:rsidRPr="00790020" w:rsidP="00F576BD">
            <w:pPr>
              <w:bidi w:val="0"/>
              <w:rPr>
                <w:rFonts w:ascii="Times New Roman" w:hAnsi="Times New Roman" w:cs="Times New Roman"/>
                <w:sz w:val="14"/>
                <w:szCs w:val="14"/>
                <w:lang w:eastAsia="sk-SK"/>
              </w:rPr>
            </w:pPr>
            <w:r w:rsidRPr="00790020">
              <w:rPr>
                <w:rFonts w:ascii="Times New Roman" w:hAnsi="Times New Roman" w:cs="Times New Roman"/>
                <w:sz w:val="14"/>
                <w:szCs w:val="14"/>
                <w:lang w:eastAsia="sk-SK"/>
              </w:rPr>
              <w:t>Národný bezpečnostný úrad</w:t>
            </w:r>
          </w:p>
        </w:tc>
        <w:tc>
          <w:tcPr>
            <w:tcW w:w="1134"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8 690</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8 529</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7 990</w:t>
            </w:r>
          </w:p>
        </w:tc>
        <w:tc>
          <w:tcPr>
            <w:tcW w:w="1040" w:type="dxa"/>
            <w:tcBorders>
              <w:top w:val="nil"/>
              <w:left w:val="single" w:sz="4" w:space="0" w:color="auto"/>
              <w:bottom w:val="single" w:sz="4" w:space="0" w:color="auto"/>
              <w:right w:val="single" w:sz="4" w:space="0" w:color="auto"/>
            </w:tcBorders>
            <w:textDirection w:val="lrTb"/>
            <w:vAlign w:val="bottom"/>
            <w:hideMark/>
          </w:tcPr>
          <w:p w:rsidR="00321B93" w:rsidRPr="00D96D29" w:rsidP="00F576BD">
            <w:pPr>
              <w:bidi w:val="0"/>
              <w:jc w:val="right"/>
              <w:rPr>
                <w:rFonts w:ascii="Times New Roman" w:hAnsi="Times New Roman" w:cs="Times New Roman"/>
                <w:color w:val="000000"/>
                <w:sz w:val="14"/>
                <w:szCs w:val="14"/>
              </w:rPr>
            </w:pPr>
            <w:r w:rsidRPr="00D96D29">
              <w:rPr>
                <w:rFonts w:ascii="Times New Roman" w:hAnsi="Times New Roman" w:cs="Times New Roman"/>
                <w:color w:val="000000"/>
                <w:sz w:val="14"/>
                <w:szCs w:val="14"/>
              </w:rPr>
              <w:t>8 313</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8 322</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8 325</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textDirection w:val="lrTb"/>
            <w:vAlign w:val="center"/>
            <w:hideMark/>
          </w:tcPr>
          <w:p w:rsidR="00321B93" w:rsidRPr="00790020" w:rsidP="00F576BD">
            <w:pPr>
              <w:bidi w:val="0"/>
              <w:rPr>
                <w:rFonts w:ascii="Times New Roman" w:hAnsi="Times New Roman" w:cs="Times New Roman"/>
                <w:sz w:val="14"/>
                <w:szCs w:val="14"/>
                <w:lang w:eastAsia="sk-SK"/>
              </w:rPr>
            </w:pPr>
            <w:r w:rsidRPr="00790020">
              <w:rPr>
                <w:rFonts w:ascii="Times New Roman" w:hAnsi="Times New Roman" w:cs="Times New Roman"/>
                <w:sz w:val="14"/>
                <w:szCs w:val="14"/>
                <w:lang w:eastAsia="sk-SK"/>
              </w:rPr>
              <w:t>Správa štátnych hmotných rezerv SR</w:t>
            </w:r>
          </w:p>
        </w:tc>
        <w:tc>
          <w:tcPr>
            <w:tcW w:w="1134"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20 287</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51 970</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42 384</w:t>
            </w:r>
          </w:p>
        </w:tc>
        <w:tc>
          <w:tcPr>
            <w:tcW w:w="1040" w:type="dxa"/>
            <w:tcBorders>
              <w:top w:val="nil"/>
              <w:left w:val="single" w:sz="4" w:space="0" w:color="auto"/>
              <w:bottom w:val="single" w:sz="4" w:space="0" w:color="auto"/>
              <w:right w:val="single" w:sz="4" w:space="0" w:color="auto"/>
            </w:tcBorders>
            <w:textDirection w:val="lrTb"/>
            <w:vAlign w:val="bottom"/>
            <w:hideMark/>
          </w:tcPr>
          <w:p w:rsidR="00321B93" w:rsidRPr="00D96D29" w:rsidP="00F576BD">
            <w:pPr>
              <w:bidi w:val="0"/>
              <w:jc w:val="right"/>
              <w:rPr>
                <w:rFonts w:ascii="Times New Roman" w:hAnsi="Times New Roman" w:cs="Times New Roman"/>
                <w:color w:val="000000"/>
                <w:sz w:val="14"/>
                <w:szCs w:val="14"/>
              </w:rPr>
            </w:pPr>
            <w:r w:rsidRPr="00D96D29">
              <w:rPr>
                <w:rFonts w:ascii="Times New Roman" w:hAnsi="Times New Roman" w:cs="Times New Roman"/>
                <w:color w:val="000000"/>
                <w:sz w:val="14"/>
                <w:szCs w:val="14"/>
              </w:rPr>
              <w:t>33 192</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33 198</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33 201</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textDirection w:val="lrTb"/>
            <w:vAlign w:val="center"/>
            <w:hideMark/>
          </w:tcPr>
          <w:p w:rsidR="00321B93" w:rsidRPr="00790020" w:rsidP="00F576BD">
            <w:pPr>
              <w:bidi w:val="0"/>
              <w:rPr>
                <w:rFonts w:ascii="Times New Roman" w:hAnsi="Times New Roman" w:cs="Times New Roman"/>
                <w:sz w:val="14"/>
                <w:szCs w:val="14"/>
                <w:lang w:eastAsia="sk-SK"/>
              </w:rPr>
            </w:pPr>
            <w:r w:rsidRPr="00790020">
              <w:rPr>
                <w:rFonts w:ascii="Times New Roman" w:hAnsi="Times New Roman" w:cs="Times New Roman"/>
                <w:sz w:val="14"/>
                <w:szCs w:val="14"/>
                <w:lang w:eastAsia="sk-SK"/>
              </w:rPr>
              <w:t>Všeobecná pokladničná správa</w:t>
            </w:r>
          </w:p>
        </w:tc>
        <w:tc>
          <w:tcPr>
            <w:tcW w:w="1134"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1 555 096</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3 067 024</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3 664 885</w:t>
            </w:r>
          </w:p>
        </w:tc>
        <w:tc>
          <w:tcPr>
            <w:tcW w:w="1040" w:type="dxa"/>
            <w:tcBorders>
              <w:top w:val="nil"/>
              <w:left w:val="single" w:sz="4" w:space="0" w:color="auto"/>
              <w:bottom w:val="single" w:sz="4" w:space="0" w:color="auto"/>
              <w:right w:val="single" w:sz="4" w:space="0" w:color="auto"/>
            </w:tcBorders>
            <w:textDirection w:val="lrTb"/>
            <w:vAlign w:val="bottom"/>
            <w:hideMark/>
          </w:tcPr>
          <w:p w:rsidR="00321B93" w:rsidRPr="00D96D29" w:rsidP="00F576BD">
            <w:pPr>
              <w:bidi w:val="0"/>
              <w:jc w:val="right"/>
              <w:rPr>
                <w:rFonts w:ascii="Times New Roman" w:hAnsi="Times New Roman" w:cs="Times New Roman"/>
                <w:color w:val="000000"/>
                <w:sz w:val="14"/>
                <w:szCs w:val="14"/>
              </w:rPr>
            </w:pPr>
            <w:r w:rsidRPr="00D96D29">
              <w:rPr>
                <w:rFonts w:ascii="Times New Roman" w:hAnsi="Times New Roman" w:cs="Times New Roman"/>
                <w:color w:val="000000"/>
                <w:sz w:val="14"/>
                <w:szCs w:val="14"/>
              </w:rPr>
              <w:t>5</w:t>
            </w:r>
            <w:r>
              <w:rPr>
                <w:rFonts w:ascii="Times New Roman" w:hAnsi="Times New Roman" w:cs="Times New Roman"/>
                <w:color w:val="000000"/>
                <w:sz w:val="14"/>
                <w:szCs w:val="14"/>
              </w:rPr>
              <w:t> </w:t>
            </w:r>
            <w:r w:rsidRPr="00D96D29">
              <w:rPr>
                <w:rFonts w:ascii="Times New Roman" w:hAnsi="Times New Roman" w:cs="Times New Roman"/>
                <w:color w:val="000000"/>
                <w:sz w:val="14"/>
                <w:szCs w:val="14"/>
              </w:rPr>
              <w:t>391</w:t>
            </w:r>
            <w:r>
              <w:rPr>
                <w:rFonts w:ascii="Times New Roman" w:hAnsi="Times New Roman" w:cs="Times New Roman"/>
                <w:color w:val="000000"/>
                <w:sz w:val="14"/>
                <w:szCs w:val="14"/>
              </w:rPr>
              <w:t xml:space="preserve"> </w:t>
            </w:r>
            <w:r w:rsidRPr="00D96D29">
              <w:rPr>
                <w:rFonts w:ascii="Times New Roman" w:hAnsi="Times New Roman" w:cs="Times New Roman"/>
                <w:color w:val="000000"/>
                <w:sz w:val="14"/>
                <w:szCs w:val="14"/>
              </w:rPr>
              <w:t>585</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5</w:t>
            </w:r>
            <w:r>
              <w:rPr>
                <w:rFonts w:ascii="Times New Roman" w:hAnsi="Times New Roman" w:cs="Times New Roman"/>
                <w:color w:val="000000"/>
                <w:sz w:val="14"/>
                <w:szCs w:val="14"/>
              </w:rPr>
              <w:t> </w:t>
            </w:r>
            <w:r w:rsidRPr="00E14083">
              <w:rPr>
                <w:rFonts w:ascii="Times New Roman" w:hAnsi="Times New Roman" w:cs="Times New Roman"/>
                <w:color w:val="000000"/>
                <w:sz w:val="14"/>
                <w:szCs w:val="14"/>
              </w:rPr>
              <w:t>490</w:t>
            </w:r>
            <w:r>
              <w:rPr>
                <w:rFonts w:ascii="Times New Roman" w:hAnsi="Times New Roman" w:cs="Times New Roman"/>
                <w:color w:val="000000"/>
                <w:sz w:val="14"/>
                <w:szCs w:val="14"/>
              </w:rPr>
              <w:t xml:space="preserve"> </w:t>
            </w:r>
            <w:r w:rsidRPr="00E14083">
              <w:rPr>
                <w:rFonts w:ascii="Times New Roman" w:hAnsi="Times New Roman" w:cs="Times New Roman"/>
                <w:color w:val="000000"/>
                <w:sz w:val="14"/>
                <w:szCs w:val="14"/>
              </w:rPr>
              <w:t>627</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6</w:t>
            </w:r>
            <w:r>
              <w:rPr>
                <w:rFonts w:ascii="Times New Roman" w:hAnsi="Times New Roman" w:cs="Times New Roman"/>
                <w:color w:val="000000"/>
                <w:sz w:val="14"/>
                <w:szCs w:val="14"/>
              </w:rPr>
              <w:t> </w:t>
            </w:r>
            <w:r w:rsidRPr="00E14083">
              <w:rPr>
                <w:rFonts w:ascii="Times New Roman" w:hAnsi="Times New Roman" w:cs="Times New Roman"/>
                <w:color w:val="000000"/>
                <w:sz w:val="14"/>
                <w:szCs w:val="14"/>
              </w:rPr>
              <w:t>130</w:t>
            </w:r>
            <w:r>
              <w:rPr>
                <w:rFonts w:ascii="Times New Roman" w:hAnsi="Times New Roman" w:cs="Times New Roman"/>
                <w:color w:val="000000"/>
                <w:sz w:val="14"/>
                <w:szCs w:val="14"/>
              </w:rPr>
              <w:t xml:space="preserve"> </w:t>
            </w:r>
            <w:r w:rsidRPr="00E14083">
              <w:rPr>
                <w:rFonts w:ascii="Times New Roman" w:hAnsi="Times New Roman" w:cs="Times New Roman"/>
                <w:color w:val="000000"/>
                <w:sz w:val="14"/>
                <w:szCs w:val="14"/>
              </w:rPr>
              <w:t>574</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textDirection w:val="lrTb"/>
            <w:vAlign w:val="center"/>
            <w:hideMark/>
          </w:tcPr>
          <w:p w:rsidR="00321B93" w:rsidRPr="00790020" w:rsidP="00F576BD">
            <w:pPr>
              <w:bidi w:val="0"/>
              <w:rPr>
                <w:rFonts w:ascii="Times New Roman" w:hAnsi="Times New Roman" w:cs="Times New Roman"/>
                <w:sz w:val="14"/>
                <w:szCs w:val="14"/>
                <w:lang w:eastAsia="sk-SK"/>
              </w:rPr>
            </w:pPr>
            <w:r w:rsidRPr="00790020">
              <w:rPr>
                <w:rFonts w:ascii="Times New Roman" w:hAnsi="Times New Roman" w:cs="Times New Roman"/>
                <w:sz w:val="14"/>
                <w:szCs w:val="14"/>
                <w:lang w:eastAsia="sk-SK"/>
              </w:rPr>
              <w:t>Slovenská akadémia vied</w:t>
            </w:r>
          </w:p>
        </w:tc>
        <w:tc>
          <w:tcPr>
            <w:tcW w:w="1134"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72 873</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83 840</w:t>
            </w:r>
          </w:p>
        </w:tc>
        <w:tc>
          <w:tcPr>
            <w:tcW w:w="992" w:type="dxa"/>
            <w:tcBorders>
              <w:top w:val="nil"/>
              <w:left w:val="nil"/>
              <w:bottom w:val="single" w:sz="4" w:space="0" w:color="auto"/>
              <w:right w:val="single" w:sz="4" w:space="0" w:color="auto"/>
            </w:tcBorders>
            <w:textDirection w:val="lrTb"/>
            <w:vAlign w:val="bottom"/>
            <w:hideMark/>
          </w:tcPr>
          <w:p w:rsidR="00321B93" w:rsidRPr="00790020" w:rsidP="00F576BD">
            <w:pPr>
              <w:bidi w:val="0"/>
              <w:jc w:val="right"/>
              <w:rPr>
                <w:rFonts w:ascii="Times New Roman" w:hAnsi="Times New Roman" w:cs="Times New Roman"/>
                <w:sz w:val="14"/>
                <w:szCs w:val="14"/>
              </w:rPr>
            </w:pPr>
            <w:r w:rsidRPr="00790020">
              <w:rPr>
                <w:rFonts w:ascii="Times New Roman" w:hAnsi="Times New Roman" w:cs="Times New Roman"/>
                <w:sz w:val="14"/>
                <w:szCs w:val="14"/>
              </w:rPr>
              <w:t>59 551</w:t>
            </w:r>
          </w:p>
        </w:tc>
        <w:tc>
          <w:tcPr>
            <w:tcW w:w="1040" w:type="dxa"/>
            <w:tcBorders>
              <w:top w:val="nil"/>
              <w:left w:val="single" w:sz="4" w:space="0" w:color="auto"/>
              <w:bottom w:val="single" w:sz="4" w:space="0" w:color="auto"/>
              <w:right w:val="single" w:sz="4" w:space="0" w:color="auto"/>
            </w:tcBorders>
            <w:textDirection w:val="lrTb"/>
            <w:vAlign w:val="bottom"/>
            <w:hideMark/>
          </w:tcPr>
          <w:p w:rsidR="00321B93" w:rsidRPr="00D96D29" w:rsidP="00F576BD">
            <w:pPr>
              <w:bidi w:val="0"/>
              <w:jc w:val="right"/>
              <w:rPr>
                <w:rFonts w:ascii="Times New Roman" w:hAnsi="Times New Roman" w:cs="Times New Roman"/>
                <w:color w:val="000000"/>
                <w:sz w:val="14"/>
                <w:szCs w:val="14"/>
              </w:rPr>
            </w:pPr>
            <w:r w:rsidRPr="00D96D29">
              <w:rPr>
                <w:rFonts w:ascii="Times New Roman" w:hAnsi="Times New Roman" w:cs="Times New Roman"/>
                <w:color w:val="000000"/>
                <w:sz w:val="14"/>
                <w:szCs w:val="14"/>
              </w:rPr>
              <w:t>58 986</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58 923</w:t>
            </w:r>
          </w:p>
        </w:tc>
        <w:tc>
          <w:tcPr>
            <w:tcW w:w="1040" w:type="dxa"/>
            <w:tcBorders>
              <w:top w:val="nil"/>
              <w:left w:val="nil"/>
              <w:bottom w:val="single" w:sz="4" w:space="0" w:color="auto"/>
              <w:right w:val="single" w:sz="4" w:space="0" w:color="auto"/>
            </w:tcBorders>
            <w:textDirection w:val="lrTb"/>
            <w:vAlign w:val="bottom"/>
            <w:hideMark/>
          </w:tcPr>
          <w:p w:rsidR="00321B93" w:rsidRPr="00E14083" w:rsidP="00F576BD">
            <w:pPr>
              <w:bidi w:val="0"/>
              <w:jc w:val="right"/>
              <w:rPr>
                <w:rFonts w:ascii="Times New Roman" w:hAnsi="Times New Roman" w:cs="Times New Roman"/>
                <w:color w:val="000000"/>
                <w:sz w:val="14"/>
                <w:szCs w:val="14"/>
              </w:rPr>
            </w:pPr>
            <w:r w:rsidRPr="00E14083">
              <w:rPr>
                <w:rFonts w:ascii="Times New Roman" w:hAnsi="Times New Roman" w:cs="Times New Roman"/>
                <w:color w:val="000000"/>
                <w:sz w:val="14"/>
                <w:szCs w:val="14"/>
              </w:rPr>
              <w:t>58 923</w:t>
            </w:r>
          </w:p>
        </w:tc>
      </w:tr>
      <w:tr>
        <w:tblPrEx>
          <w:tblW w:w="9427" w:type="dxa"/>
          <w:tblCellMar>
            <w:left w:w="70" w:type="dxa"/>
            <w:right w:w="70" w:type="dxa"/>
          </w:tblCellMar>
          <w:tblLook w:val="00A0"/>
        </w:tblPrEx>
        <w:trPr>
          <w:trHeight w:val="340"/>
        </w:trPr>
        <w:tc>
          <w:tcPr>
            <w:tcW w:w="3189"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321B93" w:rsidRPr="00790020" w:rsidP="00F576BD">
            <w:pPr>
              <w:bidi w:val="0"/>
              <w:rPr>
                <w:rFonts w:ascii="Times New Roman" w:hAnsi="Times New Roman" w:cs="Times New Roman"/>
                <w:b/>
                <w:bCs/>
                <w:sz w:val="14"/>
                <w:szCs w:val="14"/>
                <w:lang w:eastAsia="sk-SK"/>
              </w:rPr>
            </w:pPr>
            <w:r w:rsidRPr="00790020">
              <w:rPr>
                <w:rFonts w:ascii="Times New Roman" w:hAnsi="Times New Roman" w:cs="Times New Roman"/>
                <w:b/>
                <w:bCs/>
                <w:sz w:val="14"/>
                <w:szCs w:val="14"/>
                <w:lang w:eastAsia="sk-SK"/>
              </w:rPr>
              <w:t>Spolu</w:t>
            </w:r>
          </w:p>
        </w:tc>
        <w:tc>
          <w:tcPr>
            <w:tcW w:w="1134" w:type="dxa"/>
            <w:tcBorders>
              <w:top w:val="nil"/>
              <w:left w:val="nil"/>
              <w:bottom w:val="single" w:sz="4" w:space="0" w:color="auto"/>
              <w:right w:val="single" w:sz="4" w:space="0" w:color="auto"/>
            </w:tcBorders>
            <w:shd w:val="clear" w:color="auto" w:fill="BFBFBF"/>
            <w:textDirection w:val="lrTb"/>
            <w:vAlign w:val="bottom"/>
            <w:hideMark/>
          </w:tcPr>
          <w:p w:rsidR="00321B93" w:rsidRPr="00790020" w:rsidP="00F576BD">
            <w:pPr>
              <w:bidi w:val="0"/>
              <w:jc w:val="right"/>
              <w:rPr>
                <w:rFonts w:ascii="Times New Roman" w:hAnsi="Times New Roman" w:cs="Times New Roman"/>
                <w:b/>
                <w:bCs/>
                <w:sz w:val="14"/>
                <w:szCs w:val="14"/>
              </w:rPr>
            </w:pPr>
            <w:r w:rsidRPr="00790020">
              <w:rPr>
                <w:rFonts w:ascii="Times New Roman" w:hAnsi="Times New Roman" w:cs="Times New Roman"/>
                <w:b/>
                <w:bCs/>
                <w:sz w:val="14"/>
                <w:szCs w:val="14"/>
              </w:rPr>
              <w:t>13 332 047</w:t>
            </w:r>
          </w:p>
        </w:tc>
        <w:tc>
          <w:tcPr>
            <w:tcW w:w="992" w:type="dxa"/>
            <w:tcBorders>
              <w:top w:val="nil"/>
              <w:left w:val="nil"/>
              <w:bottom w:val="single" w:sz="4" w:space="0" w:color="auto"/>
              <w:right w:val="single" w:sz="4" w:space="0" w:color="auto"/>
            </w:tcBorders>
            <w:shd w:val="clear" w:color="auto" w:fill="BFBFBF"/>
            <w:textDirection w:val="lrTb"/>
            <w:vAlign w:val="bottom"/>
            <w:hideMark/>
          </w:tcPr>
          <w:p w:rsidR="00321B93" w:rsidRPr="00790020" w:rsidP="00F576BD">
            <w:pPr>
              <w:bidi w:val="0"/>
              <w:jc w:val="right"/>
              <w:rPr>
                <w:rFonts w:ascii="Times New Roman" w:hAnsi="Times New Roman" w:cs="Times New Roman"/>
                <w:b/>
                <w:bCs/>
                <w:sz w:val="14"/>
                <w:szCs w:val="14"/>
              </w:rPr>
            </w:pPr>
            <w:r w:rsidRPr="00790020">
              <w:rPr>
                <w:rFonts w:ascii="Times New Roman" w:hAnsi="Times New Roman" w:cs="Times New Roman"/>
                <w:b/>
                <w:bCs/>
                <w:sz w:val="14"/>
                <w:szCs w:val="14"/>
              </w:rPr>
              <w:t>15 337 011</w:t>
            </w:r>
          </w:p>
        </w:tc>
        <w:tc>
          <w:tcPr>
            <w:tcW w:w="992" w:type="dxa"/>
            <w:tcBorders>
              <w:top w:val="nil"/>
              <w:left w:val="nil"/>
              <w:bottom w:val="single" w:sz="4" w:space="0" w:color="auto"/>
              <w:right w:val="single" w:sz="4" w:space="0" w:color="auto"/>
            </w:tcBorders>
            <w:shd w:val="clear" w:color="auto" w:fill="BFBFBF"/>
            <w:textDirection w:val="lrTb"/>
            <w:vAlign w:val="bottom"/>
            <w:hideMark/>
          </w:tcPr>
          <w:p w:rsidR="00321B93" w:rsidRPr="00790020" w:rsidP="00F576BD">
            <w:pPr>
              <w:bidi w:val="0"/>
              <w:jc w:val="right"/>
              <w:rPr>
                <w:rFonts w:ascii="Times New Roman" w:hAnsi="Times New Roman" w:cs="Times New Roman"/>
                <w:b/>
                <w:bCs/>
                <w:sz w:val="14"/>
                <w:szCs w:val="14"/>
              </w:rPr>
            </w:pPr>
            <w:r w:rsidRPr="00790020">
              <w:rPr>
                <w:rFonts w:ascii="Times New Roman" w:hAnsi="Times New Roman" w:cs="Times New Roman"/>
                <w:b/>
                <w:bCs/>
                <w:sz w:val="14"/>
                <w:szCs w:val="14"/>
              </w:rPr>
              <w:t>16 957 773</w:t>
            </w:r>
          </w:p>
        </w:tc>
        <w:tc>
          <w:tcPr>
            <w:tcW w:w="1040" w:type="dxa"/>
            <w:tcBorders>
              <w:top w:val="nil"/>
              <w:left w:val="single" w:sz="4" w:space="0" w:color="auto"/>
              <w:bottom w:val="single" w:sz="4" w:space="0" w:color="auto"/>
              <w:right w:val="single" w:sz="4" w:space="0" w:color="auto"/>
            </w:tcBorders>
            <w:shd w:val="clear" w:color="auto" w:fill="BFBFBF"/>
            <w:textDirection w:val="lrTb"/>
            <w:vAlign w:val="bottom"/>
            <w:hideMark/>
          </w:tcPr>
          <w:p w:rsidR="00321B93" w:rsidRPr="00D96D29" w:rsidP="00F576BD">
            <w:pPr>
              <w:bidi w:val="0"/>
              <w:jc w:val="right"/>
              <w:rPr>
                <w:rFonts w:ascii="Times New Roman" w:hAnsi="Times New Roman" w:cs="Times New Roman"/>
                <w:b/>
                <w:bCs/>
                <w:color w:val="000000"/>
                <w:sz w:val="14"/>
                <w:szCs w:val="14"/>
              </w:rPr>
            </w:pPr>
            <w:r w:rsidRPr="00D96D29">
              <w:rPr>
                <w:rFonts w:ascii="Times New Roman" w:hAnsi="Times New Roman" w:cs="Times New Roman"/>
                <w:b/>
                <w:bCs/>
                <w:color w:val="000000"/>
                <w:sz w:val="14"/>
                <w:szCs w:val="14"/>
              </w:rPr>
              <w:t>18 680 908</w:t>
            </w:r>
          </w:p>
        </w:tc>
        <w:tc>
          <w:tcPr>
            <w:tcW w:w="1040" w:type="dxa"/>
            <w:tcBorders>
              <w:top w:val="nil"/>
              <w:left w:val="nil"/>
              <w:bottom w:val="single" w:sz="4" w:space="0" w:color="auto"/>
              <w:right w:val="single" w:sz="4" w:space="0" w:color="auto"/>
            </w:tcBorders>
            <w:shd w:val="clear" w:color="auto" w:fill="BFBFBF"/>
            <w:textDirection w:val="lrTb"/>
            <w:vAlign w:val="bottom"/>
            <w:hideMark/>
          </w:tcPr>
          <w:p w:rsidR="00321B93" w:rsidRPr="00E14083" w:rsidP="00F576BD">
            <w:pPr>
              <w:bidi w:val="0"/>
              <w:jc w:val="right"/>
              <w:rPr>
                <w:rFonts w:ascii="Times New Roman" w:hAnsi="Times New Roman" w:cs="Times New Roman"/>
                <w:b/>
                <w:bCs/>
                <w:color w:val="000000"/>
                <w:sz w:val="14"/>
                <w:szCs w:val="14"/>
              </w:rPr>
            </w:pPr>
            <w:r w:rsidRPr="00E14083">
              <w:rPr>
                <w:rFonts w:ascii="Times New Roman" w:hAnsi="Times New Roman" w:cs="Times New Roman"/>
                <w:b/>
                <w:bCs/>
                <w:color w:val="000000"/>
                <w:sz w:val="14"/>
                <w:szCs w:val="14"/>
              </w:rPr>
              <w:t>18 375 753</w:t>
            </w:r>
          </w:p>
        </w:tc>
        <w:tc>
          <w:tcPr>
            <w:tcW w:w="1040" w:type="dxa"/>
            <w:tcBorders>
              <w:top w:val="nil"/>
              <w:left w:val="nil"/>
              <w:bottom w:val="single" w:sz="4" w:space="0" w:color="auto"/>
              <w:right w:val="single" w:sz="4" w:space="0" w:color="auto"/>
            </w:tcBorders>
            <w:shd w:val="clear" w:color="auto" w:fill="BFBFBF"/>
            <w:textDirection w:val="lrTb"/>
            <w:vAlign w:val="bottom"/>
            <w:hideMark/>
          </w:tcPr>
          <w:p w:rsidR="00321B93" w:rsidRPr="00E14083" w:rsidP="00F576BD">
            <w:pPr>
              <w:bidi w:val="0"/>
              <w:jc w:val="right"/>
              <w:rPr>
                <w:rFonts w:ascii="Times New Roman" w:hAnsi="Times New Roman" w:cs="Times New Roman"/>
                <w:b/>
                <w:bCs/>
                <w:color w:val="000000"/>
                <w:sz w:val="14"/>
                <w:szCs w:val="14"/>
              </w:rPr>
            </w:pPr>
            <w:r w:rsidRPr="00E14083">
              <w:rPr>
                <w:rFonts w:ascii="Times New Roman" w:hAnsi="Times New Roman" w:cs="Times New Roman"/>
                <w:b/>
                <w:bCs/>
                <w:color w:val="000000"/>
                <w:sz w:val="14"/>
                <w:szCs w:val="14"/>
              </w:rPr>
              <w:t>19 087 077</w:t>
            </w:r>
          </w:p>
        </w:tc>
      </w:tr>
    </w:tbl>
    <w:p w:rsidR="00B6638E" w:rsidRPr="000B4441" w:rsidP="00B6638E">
      <w:pPr>
        <w:bidi w:val="0"/>
        <w:rPr>
          <w:color w:val="0070C0"/>
        </w:rPr>
      </w:pPr>
    </w:p>
    <w:p w:rsidR="005C2D93" w:rsidRPr="007C789C" w:rsidP="005C2D93">
      <w:pPr>
        <w:pStyle w:val="Heading2"/>
        <w:bidi w:val="0"/>
        <w:rPr>
          <w:rFonts w:ascii="Times New Roman" w:hAnsi="Times New Roman"/>
          <w:bCs w:val="0"/>
          <w:i w:val="0"/>
          <w:iCs w:val="0"/>
          <w:sz w:val="24"/>
          <w:szCs w:val="24"/>
        </w:rPr>
      </w:pPr>
      <w:bookmarkStart w:id="61" w:name="_Toc306089067"/>
      <w:r w:rsidRPr="007C789C">
        <w:rPr>
          <w:rFonts w:ascii="Times New Roman" w:hAnsi="Times New Roman"/>
          <w:bCs w:val="0"/>
          <w:i w:val="0"/>
          <w:iCs w:val="0"/>
          <w:sz w:val="24"/>
          <w:szCs w:val="24"/>
        </w:rPr>
        <w:t xml:space="preserve">5.2. </w:t>
      </w:r>
      <w:bookmarkEnd w:id="58"/>
      <w:r w:rsidRPr="007C789C">
        <w:rPr>
          <w:rFonts w:ascii="Times New Roman" w:hAnsi="Times New Roman"/>
          <w:bCs w:val="0"/>
          <w:i w:val="0"/>
          <w:iCs w:val="0"/>
          <w:sz w:val="24"/>
          <w:szCs w:val="24"/>
        </w:rPr>
        <w:t>Zamestnanosť vo verejnej správe</w:t>
      </w:r>
      <w:bookmarkEnd w:id="59"/>
      <w:bookmarkEnd w:id="61"/>
    </w:p>
    <w:p w:rsidR="005313F8" w:rsidP="005313F8">
      <w:pPr>
        <w:bidi w:val="0"/>
        <w:rPr>
          <w:rFonts w:ascii="Times New Roman" w:hAnsi="Times New Roman" w:cs="Times New Roman"/>
        </w:rPr>
      </w:pPr>
    </w:p>
    <w:p w:rsidR="00655688" w:rsidP="00655688">
      <w:pPr>
        <w:numPr>
          <w:ilvl w:val="2"/>
          <w:numId w:val="44"/>
        </w:numPr>
        <w:bidi w:val="0"/>
        <w:rPr>
          <w:rFonts w:ascii="Times New Roman" w:hAnsi="Times New Roman" w:cs="Times New Roman"/>
          <w:b/>
        </w:rPr>
      </w:pPr>
      <w:r>
        <w:rPr>
          <w:rFonts w:ascii="Times New Roman" w:hAnsi="Times New Roman" w:cs="Times New Roman"/>
          <w:b/>
        </w:rPr>
        <w:t>Verejná správa</w:t>
      </w:r>
    </w:p>
    <w:p w:rsidR="00655688" w:rsidP="00655688">
      <w:pPr>
        <w:bidi w:val="0"/>
        <w:rPr>
          <w:rFonts w:ascii="Times New Roman" w:hAnsi="Times New Roman" w:cs="Times New Roman"/>
        </w:rPr>
      </w:pPr>
    </w:p>
    <w:p w:rsidR="00655688" w:rsidP="00655688">
      <w:pPr>
        <w:bidi w:val="0"/>
        <w:ind w:firstLine="708"/>
        <w:jc w:val="both"/>
        <w:rPr>
          <w:rFonts w:ascii="Times New Roman" w:hAnsi="Times New Roman" w:cs="Times New Roman"/>
          <w:bCs/>
        </w:rPr>
      </w:pPr>
      <w:bookmarkStart w:id="62" w:name="_Toc273474208"/>
      <w:r>
        <w:rPr>
          <w:rFonts w:ascii="Times New Roman" w:hAnsi="Times New Roman" w:cs="Times New Roman"/>
          <w:bCs/>
        </w:rPr>
        <w:t xml:space="preserve">Vo verejnej správe na Slovensku sa očakáva zamestnanosť na úrovni cca 344-tisíc zamestnancov. Ich najväčším zamestnávateľom je územná samospráva, ktorá zamestnáva viac ako 51 % z celkového počtu zamestnancov.  </w:t>
      </w:r>
    </w:p>
    <w:p w:rsidR="00655688" w:rsidP="00655688">
      <w:pPr>
        <w:bidi w:val="0"/>
        <w:ind w:firstLine="708"/>
        <w:jc w:val="both"/>
        <w:rPr>
          <w:rFonts w:ascii="Times New Roman" w:hAnsi="Times New Roman" w:cs="Times New Roman"/>
          <w:bCs/>
        </w:rPr>
      </w:pPr>
    </w:p>
    <w:tbl>
      <w:tblPr>
        <w:tblStyle w:val="TableNormal"/>
        <w:tblW w:w="9264" w:type="dxa"/>
        <w:tblInd w:w="57" w:type="dxa"/>
        <w:tblCellMar>
          <w:left w:w="70" w:type="dxa"/>
          <w:right w:w="70" w:type="dxa"/>
        </w:tblCellMar>
        <w:tblLook w:val="04A0"/>
      </w:tblPr>
      <w:tblGrid>
        <w:gridCol w:w="1152"/>
        <w:gridCol w:w="160"/>
        <w:gridCol w:w="993"/>
        <w:gridCol w:w="1002"/>
        <w:gridCol w:w="997"/>
        <w:gridCol w:w="700"/>
        <w:gridCol w:w="700"/>
        <w:gridCol w:w="700"/>
        <w:gridCol w:w="760"/>
        <w:gridCol w:w="700"/>
        <w:gridCol w:w="700"/>
        <w:gridCol w:w="700"/>
      </w:tblGrid>
      <w:tr>
        <w:tblPrEx>
          <w:tblW w:w="9264" w:type="dxa"/>
          <w:tblInd w:w="57" w:type="dxa"/>
          <w:tblCellMar>
            <w:left w:w="70" w:type="dxa"/>
            <w:right w:w="70" w:type="dxa"/>
          </w:tblCellMar>
          <w:tblLook w:val="04A0"/>
        </w:tblPrEx>
        <w:trPr>
          <w:trHeight w:val="266"/>
        </w:trPr>
        <w:tc>
          <w:tcPr>
            <w:tcW w:w="4304" w:type="dxa"/>
            <w:gridSpan w:val="5"/>
            <w:tcBorders>
              <w:top w:val="single" w:sz="4" w:space="0" w:color="auto"/>
              <w:left w:val="single" w:sz="4" w:space="0" w:color="auto"/>
              <w:bottom w:val="single" w:sz="4" w:space="0" w:color="auto"/>
              <w:right w:val="single" w:sz="4" w:space="0" w:color="auto"/>
            </w:tcBorders>
            <w:shd w:val="clear" w:color="auto" w:fill="A6A6A6"/>
            <w:textDirection w:val="lrTb"/>
            <w:vAlign w:val="bottom"/>
            <w:hideMark/>
          </w:tcPr>
          <w:p w:rsidR="00655688" w:rsidP="00257E12">
            <w:pPr>
              <w:bidi w:val="0"/>
              <w:rPr>
                <w:rFonts w:ascii="Times New Roman" w:hAnsi="Times New Roman" w:cs="Times New Roman"/>
                <w:b/>
                <w:bCs/>
                <w:sz w:val="14"/>
                <w:szCs w:val="14"/>
                <w:lang w:eastAsia="sk-SK"/>
              </w:rPr>
            </w:pPr>
            <w:r>
              <w:rPr>
                <w:rFonts w:ascii="Times New Roman" w:hAnsi="Times New Roman" w:cs="Times New Roman"/>
                <w:b/>
                <w:bCs/>
                <w:sz w:val="14"/>
                <w:szCs w:val="14"/>
                <w:lang w:eastAsia="sk-SK"/>
              </w:rPr>
              <w:t>Subjekty verejnej správy</w:t>
            </w:r>
          </w:p>
        </w:tc>
        <w:tc>
          <w:tcPr>
            <w:tcW w:w="70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2009 S</w:t>
            </w:r>
          </w:p>
        </w:tc>
        <w:tc>
          <w:tcPr>
            <w:tcW w:w="70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2010 S</w:t>
            </w:r>
          </w:p>
        </w:tc>
        <w:tc>
          <w:tcPr>
            <w:tcW w:w="70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2011 R</w:t>
            </w:r>
          </w:p>
        </w:tc>
        <w:tc>
          <w:tcPr>
            <w:tcW w:w="76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2011 OS</w:t>
            </w:r>
          </w:p>
        </w:tc>
        <w:tc>
          <w:tcPr>
            <w:tcW w:w="70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2012 N</w:t>
            </w:r>
          </w:p>
        </w:tc>
        <w:tc>
          <w:tcPr>
            <w:tcW w:w="70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2013 N</w:t>
            </w:r>
          </w:p>
        </w:tc>
        <w:tc>
          <w:tcPr>
            <w:tcW w:w="70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2014 N</w:t>
            </w:r>
          </w:p>
        </w:tc>
      </w:tr>
      <w:tr>
        <w:tblPrEx>
          <w:tblW w:w="9264" w:type="dxa"/>
          <w:tblInd w:w="57" w:type="dxa"/>
          <w:tblCellMar>
            <w:left w:w="70" w:type="dxa"/>
            <w:right w:w="70" w:type="dxa"/>
          </w:tblCellMar>
          <w:tblLook w:val="04A0"/>
        </w:tblPrEx>
        <w:trPr>
          <w:trHeight w:val="266"/>
        </w:trPr>
        <w:tc>
          <w:tcPr>
            <w:tcW w:w="4304" w:type="dxa"/>
            <w:gridSpan w:val="5"/>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655688" w:rsidP="00257E12">
            <w:pPr>
              <w:bidi w:val="0"/>
              <w:rPr>
                <w:rFonts w:ascii="Times New Roman" w:hAnsi="Times New Roman" w:cs="Times New Roman"/>
                <w:b/>
                <w:bCs/>
                <w:sz w:val="14"/>
                <w:szCs w:val="14"/>
                <w:lang w:eastAsia="sk-SK"/>
              </w:rPr>
            </w:pPr>
            <w:r>
              <w:rPr>
                <w:rFonts w:ascii="Times New Roman" w:hAnsi="Times New Roman" w:cs="Times New Roman"/>
                <w:b/>
                <w:bCs/>
                <w:sz w:val="14"/>
                <w:szCs w:val="14"/>
                <w:lang w:eastAsia="sk-SK"/>
              </w:rPr>
              <w:t xml:space="preserve">SPOLU   </w:t>
            </w:r>
            <w:r>
              <w:rPr>
                <w:rFonts w:ascii="Times New Roman" w:hAnsi="Times New Roman" w:cs="Times New Roman"/>
                <w:sz w:val="14"/>
                <w:szCs w:val="14"/>
                <w:lang w:eastAsia="sk-SK"/>
              </w:rPr>
              <w:t>(osoby)</w:t>
            </w:r>
          </w:p>
        </w:tc>
        <w:tc>
          <w:tcPr>
            <w:tcW w:w="700" w:type="dxa"/>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348 262</w:t>
            </w:r>
          </w:p>
        </w:tc>
        <w:tc>
          <w:tcPr>
            <w:tcW w:w="700" w:type="dxa"/>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350 056</w:t>
            </w:r>
          </w:p>
        </w:tc>
        <w:tc>
          <w:tcPr>
            <w:tcW w:w="700" w:type="dxa"/>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352 511</w:t>
            </w:r>
          </w:p>
        </w:tc>
        <w:tc>
          <w:tcPr>
            <w:tcW w:w="760" w:type="dxa"/>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345 045</w:t>
            </w:r>
          </w:p>
        </w:tc>
        <w:tc>
          <w:tcPr>
            <w:tcW w:w="700" w:type="dxa"/>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344 218</w:t>
            </w:r>
          </w:p>
        </w:tc>
        <w:tc>
          <w:tcPr>
            <w:tcW w:w="700" w:type="dxa"/>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342 578</w:t>
            </w:r>
          </w:p>
        </w:tc>
        <w:tc>
          <w:tcPr>
            <w:tcW w:w="700" w:type="dxa"/>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340 614</w:t>
            </w:r>
          </w:p>
        </w:tc>
      </w:tr>
      <w:tr>
        <w:tblPrEx>
          <w:tblW w:w="9264" w:type="dxa"/>
          <w:tblInd w:w="57" w:type="dxa"/>
          <w:tblCellMar>
            <w:left w:w="70" w:type="dxa"/>
            <w:right w:w="70" w:type="dxa"/>
          </w:tblCellMar>
          <w:tblLook w:val="04A0"/>
        </w:tblPrEx>
        <w:trPr>
          <w:trHeight w:val="266"/>
        </w:trPr>
        <w:tc>
          <w:tcPr>
            <w:tcW w:w="4304" w:type="dxa"/>
            <w:gridSpan w:val="5"/>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rPr>
                <w:rFonts w:ascii="Times New Roman" w:hAnsi="Times New Roman" w:cs="Times New Roman"/>
                <w:b/>
                <w:bCs/>
                <w:sz w:val="14"/>
                <w:szCs w:val="14"/>
                <w:lang w:eastAsia="sk-SK"/>
              </w:rPr>
            </w:pPr>
            <w:r>
              <w:rPr>
                <w:rFonts w:ascii="Times New Roman" w:hAnsi="Times New Roman" w:cs="Times New Roman"/>
                <w:b/>
                <w:bCs/>
                <w:sz w:val="14"/>
                <w:szCs w:val="14"/>
                <w:lang w:eastAsia="sk-SK"/>
              </w:rPr>
              <w:t xml:space="preserve">A/  Ústredná správa spolu </w:t>
            </w:r>
            <w:r>
              <w:rPr>
                <w:rFonts w:ascii="Times New Roman" w:hAnsi="Times New Roman" w:cs="Times New Roman"/>
                <w:sz w:val="14"/>
                <w:szCs w:val="14"/>
                <w:lang w:eastAsia="sk-SK"/>
              </w:rPr>
              <w:t>(bez SIS)</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162 518</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162 368</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163 727</w:t>
            </w:r>
          </w:p>
        </w:tc>
        <w:tc>
          <w:tcPr>
            <w:tcW w:w="76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157 188</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161 111</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160 806</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160 300</w:t>
            </w:r>
          </w:p>
        </w:tc>
      </w:tr>
      <w:tr>
        <w:tblPrEx>
          <w:tblW w:w="9264" w:type="dxa"/>
          <w:tblInd w:w="57" w:type="dxa"/>
          <w:tblCellMar>
            <w:left w:w="70" w:type="dxa"/>
            <w:right w:w="70" w:type="dxa"/>
          </w:tblCellMar>
          <w:tblLook w:val="04A0"/>
        </w:tblPrEx>
        <w:trPr>
          <w:trHeight w:val="266"/>
        </w:trPr>
        <w:tc>
          <w:tcPr>
            <w:tcW w:w="1152" w:type="dxa"/>
            <w:tcBorders>
              <w:top w:val="nil"/>
              <w:left w:val="single" w:sz="4" w:space="0" w:color="auto"/>
              <w:bottom w:val="single" w:sz="4" w:space="0" w:color="auto"/>
              <w:right w:val="nil"/>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z toho:</w:t>
            </w:r>
          </w:p>
        </w:tc>
        <w:tc>
          <w:tcPr>
            <w:tcW w:w="160" w:type="dxa"/>
            <w:tcBorders>
              <w:top w:val="nil"/>
              <w:left w:val="nil"/>
              <w:bottom w:val="single" w:sz="4" w:space="0" w:color="auto"/>
              <w:right w:val="nil"/>
            </w:tcBorders>
            <w:textDirection w:val="lrTb"/>
            <w:vAlign w:val="bottom"/>
          </w:tcPr>
          <w:p w:rsidR="00655688" w:rsidP="00257E12">
            <w:pPr>
              <w:bidi w:val="0"/>
              <w:jc w:val="right"/>
              <w:rPr>
                <w:rFonts w:ascii="Times New Roman" w:hAnsi="Times New Roman" w:cs="Times New Roman"/>
                <w:i/>
                <w:iCs/>
                <w:sz w:val="14"/>
                <w:szCs w:val="14"/>
                <w:lang w:eastAsia="sk-SK"/>
              </w:rPr>
            </w:pPr>
          </w:p>
        </w:tc>
        <w:tc>
          <w:tcPr>
            <w:tcW w:w="2992" w:type="dxa"/>
            <w:gridSpan w:val="3"/>
            <w:tcBorders>
              <w:top w:val="single" w:sz="4" w:space="0" w:color="auto"/>
              <w:left w:val="nil"/>
              <w:bottom w:val="single" w:sz="4" w:space="0" w:color="auto"/>
              <w:right w:val="single" w:sz="4" w:space="0" w:color="000000"/>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štátne rozpočtové organizácie</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127 759</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127 380</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128 681</w:t>
            </w:r>
          </w:p>
        </w:tc>
        <w:tc>
          <w:tcPr>
            <w:tcW w:w="76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122 588</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128 037</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128 200</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128 347</w:t>
            </w:r>
          </w:p>
        </w:tc>
      </w:tr>
      <w:tr>
        <w:tblPrEx>
          <w:tblW w:w="9264" w:type="dxa"/>
          <w:tblInd w:w="57" w:type="dxa"/>
          <w:tblCellMar>
            <w:left w:w="70" w:type="dxa"/>
            <w:right w:w="70" w:type="dxa"/>
          </w:tblCellMar>
          <w:tblLook w:val="04A0"/>
        </w:tblPrEx>
        <w:trPr>
          <w:trHeight w:val="266"/>
        </w:trPr>
        <w:tc>
          <w:tcPr>
            <w:tcW w:w="1312" w:type="dxa"/>
            <w:gridSpan w:val="2"/>
            <w:tcBorders>
              <w:top w:val="nil"/>
              <w:left w:val="single" w:sz="4" w:space="0" w:color="auto"/>
              <w:bottom w:val="single" w:sz="4" w:space="0" w:color="auto"/>
              <w:right w:val="nil"/>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p>
        </w:tc>
        <w:tc>
          <w:tcPr>
            <w:tcW w:w="2992" w:type="dxa"/>
            <w:gridSpan w:val="3"/>
            <w:tcBorders>
              <w:top w:val="single" w:sz="4" w:space="0" w:color="auto"/>
              <w:left w:val="nil"/>
              <w:bottom w:val="single" w:sz="4" w:space="0" w:color="auto"/>
              <w:right w:val="single" w:sz="4" w:space="0" w:color="000000"/>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štátne príspevkové organizácie</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10 446</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10 307</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10 589</w:t>
            </w:r>
          </w:p>
        </w:tc>
        <w:tc>
          <w:tcPr>
            <w:tcW w:w="76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10 053</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10 526</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10 525</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10 523</w:t>
            </w:r>
          </w:p>
        </w:tc>
      </w:tr>
      <w:tr>
        <w:tblPrEx>
          <w:tblW w:w="9264" w:type="dxa"/>
          <w:tblInd w:w="57" w:type="dxa"/>
          <w:tblCellMar>
            <w:left w:w="70" w:type="dxa"/>
            <w:right w:w="70" w:type="dxa"/>
          </w:tblCellMar>
          <w:tblLook w:val="04A0"/>
        </w:tblPrEx>
        <w:trPr>
          <w:trHeight w:val="266"/>
        </w:trPr>
        <w:tc>
          <w:tcPr>
            <w:tcW w:w="1312" w:type="dxa"/>
            <w:gridSpan w:val="2"/>
            <w:tcBorders>
              <w:top w:val="nil"/>
              <w:left w:val="single" w:sz="4" w:space="0" w:color="auto"/>
              <w:bottom w:val="single" w:sz="4" w:space="0" w:color="auto"/>
              <w:right w:val="nil"/>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p>
        </w:tc>
        <w:tc>
          <w:tcPr>
            <w:tcW w:w="2992" w:type="dxa"/>
            <w:gridSpan w:val="3"/>
            <w:tcBorders>
              <w:top w:val="single" w:sz="4" w:space="0" w:color="auto"/>
              <w:left w:val="nil"/>
              <w:bottom w:val="single" w:sz="4" w:space="0" w:color="auto"/>
              <w:right w:val="single" w:sz="4" w:space="0" w:color="000000"/>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štátne účelové fondy spolu</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80</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83</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90</w:t>
            </w:r>
          </w:p>
        </w:tc>
        <w:tc>
          <w:tcPr>
            <w:tcW w:w="76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79</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88</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88</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88</w:t>
            </w:r>
          </w:p>
        </w:tc>
      </w:tr>
      <w:tr>
        <w:tblPrEx>
          <w:tblW w:w="9264" w:type="dxa"/>
          <w:tblInd w:w="57" w:type="dxa"/>
          <w:tblCellMar>
            <w:left w:w="70" w:type="dxa"/>
            <w:right w:w="70" w:type="dxa"/>
          </w:tblCellMar>
          <w:tblLook w:val="04A0"/>
        </w:tblPrEx>
        <w:trPr>
          <w:trHeight w:val="266"/>
        </w:trPr>
        <w:tc>
          <w:tcPr>
            <w:tcW w:w="1312" w:type="dxa"/>
            <w:gridSpan w:val="2"/>
            <w:tcBorders>
              <w:top w:val="nil"/>
              <w:left w:val="single" w:sz="4" w:space="0" w:color="auto"/>
              <w:bottom w:val="single" w:sz="4" w:space="0" w:color="auto"/>
              <w:right w:val="nil"/>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p>
        </w:tc>
        <w:tc>
          <w:tcPr>
            <w:tcW w:w="2992" w:type="dxa"/>
            <w:gridSpan w:val="3"/>
            <w:tcBorders>
              <w:top w:val="single" w:sz="4" w:space="0" w:color="auto"/>
              <w:left w:val="nil"/>
              <w:bottom w:val="single" w:sz="4" w:space="0" w:color="auto"/>
              <w:right w:val="single" w:sz="4" w:space="0" w:color="000000"/>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Fond národného majetku SR</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90</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53</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60</w:t>
            </w:r>
          </w:p>
        </w:tc>
        <w:tc>
          <w:tcPr>
            <w:tcW w:w="76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50</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39</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17</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17</w:t>
            </w:r>
          </w:p>
        </w:tc>
      </w:tr>
      <w:tr>
        <w:tblPrEx>
          <w:tblW w:w="9264" w:type="dxa"/>
          <w:tblInd w:w="57" w:type="dxa"/>
          <w:tblCellMar>
            <w:left w:w="70" w:type="dxa"/>
            <w:right w:w="70" w:type="dxa"/>
          </w:tblCellMar>
          <w:tblLook w:val="04A0"/>
        </w:tblPrEx>
        <w:trPr>
          <w:trHeight w:val="266"/>
        </w:trPr>
        <w:tc>
          <w:tcPr>
            <w:tcW w:w="1312" w:type="dxa"/>
            <w:gridSpan w:val="2"/>
            <w:tcBorders>
              <w:top w:val="nil"/>
              <w:left w:val="single" w:sz="4" w:space="0" w:color="auto"/>
              <w:bottom w:val="single" w:sz="4" w:space="0" w:color="auto"/>
              <w:right w:val="nil"/>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p>
        </w:tc>
        <w:tc>
          <w:tcPr>
            <w:tcW w:w="2992" w:type="dxa"/>
            <w:gridSpan w:val="3"/>
            <w:tcBorders>
              <w:top w:val="single" w:sz="4" w:space="0" w:color="auto"/>
              <w:left w:val="nil"/>
              <w:bottom w:val="single" w:sz="4" w:space="0" w:color="auto"/>
              <w:right w:val="single" w:sz="4" w:space="0" w:color="000000"/>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Slovenský pozemkový fond</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271</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290</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280</w:t>
            </w:r>
          </w:p>
        </w:tc>
        <w:tc>
          <w:tcPr>
            <w:tcW w:w="76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293</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280</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280</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280</w:t>
            </w:r>
          </w:p>
        </w:tc>
      </w:tr>
      <w:tr>
        <w:tblPrEx>
          <w:tblW w:w="9264" w:type="dxa"/>
          <w:tblInd w:w="57" w:type="dxa"/>
          <w:tblCellMar>
            <w:left w:w="70" w:type="dxa"/>
            <w:right w:w="70" w:type="dxa"/>
          </w:tblCellMar>
          <w:tblLook w:val="04A0"/>
        </w:tblPrEx>
        <w:trPr>
          <w:trHeight w:val="266"/>
        </w:trPr>
        <w:tc>
          <w:tcPr>
            <w:tcW w:w="1312" w:type="dxa"/>
            <w:gridSpan w:val="2"/>
            <w:tcBorders>
              <w:top w:val="nil"/>
              <w:left w:val="single" w:sz="4" w:space="0" w:color="auto"/>
              <w:bottom w:val="single" w:sz="4" w:space="0" w:color="auto"/>
              <w:right w:val="nil"/>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p>
        </w:tc>
        <w:tc>
          <w:tcPr>
            <w:tcW w:w="2992" w:type="dxa"/>
            <w:gridSpan w:val="3"/>
            <w:tcBorders>
              <w:top w:val="single" w:sz="4" w:space="0" w:color="auto"/>
              <w:left w:val="nil"/>
              <w:bottom w:val="single" w:sz="4" w:space="0" w:color="auto"/>
              <w:right w:val="single" w:sz="4" w:space="0" w:color="000000"/>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verejné vysoké školy</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21 443</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21 673</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21 529</w:t>
            </w:r>
          </w:p>
        </w:tc>
        <w:tc>
          <w:tcPr>
            <w:tcW w:w="76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21 727</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19 666</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19 258</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18 630</w:t>
            </w:r>
          </w:p>
        </w:tc>
      </w:tr>
      <w:tr>
        <w:tblPrEx>
          <w:tblW w:w="9264" w:type="dxa"/>
          <w:tblInd w:w="57" w:type="dxa"/>
          <w:tblCellMar>
            <w:left w:w="70" w:type="dxa"/>
            <w:right w:w="70" w:type="dxa"/>
          </w:tblCellMar>
          <w:tblLook w:val="04A0"/>
        </w:tblPrEx>
        <w:trPr>
          <w:trHeight w:val="266"/>
        </w:trPr>
        <w:tc>
          <w:tcPr>
            <w:tcW w:w="1312" w:type="dxa"/>
            <w:gridSpan w:val="2"/>
            <w:tcBorders>
              <w:top w:val="nil"/>
              <w:left w:val="single" w:sz="4" w:space="0" w:color="auto"/>
              <w:bottom w:val="single" w:sz="4" w:space="0" w:color="auto"/>
              <w:right w:val="nil"/>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p>
        </w:tc>
        <w:tc>
          <w:tcPr>
            <w:tcW w:w="2992" w:type="dxa"/>
            <w:gridSpan w:val="3"/>
            <w:tcBorders>
              <w:top w:val="single" w:sz="4" w:space="0" w:color="auto"/>
              <w:left w:val="nil"/>
              <w:bottom w:val="single" w:sz="4" w:space="0" w:color="auto"/>
              <w:right w:val="single" w:sz="4" w:space="0" w:color="000000"/>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ďalšie subjekty spolu</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2 429</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2 582</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2 498</w:t>
            </w:r>
          </w:p>
        </w:tc>
        <w:tc>
          <w:tcPr>
            <w:tcW w:w="76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2 398</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2 475</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2 438</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2 415</w:t>
            </w:r>
          </w:p>
        </w:tc>
      </w:tr>
      <w:tr>
        <w:tblPrEx>
          <w:tblW w:w="9264" w:type="dxa"/>
          <w:tblInd w:w="57" w:type="dxa"/>
          <w:tblCellMar>
            <w:left w:w="70" w:type="dxa"/>
            <w:right w:w="70" w:type="dxa"/>
          </w:tblCellMar>
          <w:tblLook w:val="04A0"/>
        </w:tblPrEx>
        <w:trPr>
          <w:trHeight w:val="266"/>
        </w:trPr>
        <w:tc>
          <w:tcPr>
            <w:tcW w:w="4304" w:type="dxa"/>
            <w:gridSpan w:val="5"/>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rPr>
                <w:rFonts w:ascii="Times New Roman" w:hAnsi="Times New Roman" w:cs="Times New Roman"/>
                <w:b/>
                <w:bCs/>
                <w:sz w:val="14"/>
                <w:szCs w:val="14"/>
                <w:lang w:eastAsia="sk-SK"/>
              </w:rPr>
            </w:pPr>
            <w:r>
              <w:rPr>
                <w:rFonts w:ascii="Times New Roman" w:hAnsi="Times New Roman" w:cs="Times New Roman"/>
                <w:b/>
                <w:bCs/>
                <w:sz w:val="14"/>
                <w:szCs w:val="14"/>
                <w:lang w:eastAsia="sk-SK"/>
              </w:rPr>
              <w:t>B/  Územná samospráva spolu</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177 569</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179 502</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181 055</w:t>
            </w:r>
          </w:p>
        </w:tc>
        <w:tc>
          <w:tcPr>
            <w:tcW w:w="76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180 234</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175 981</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175 187</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174 879</w:t>
            </w:r>
          </w:p>
        </w:tc>
      </w:tr>
      <w:tr>
        <w:tblPrEx>
          <w:tblW w:w="9264" w:type="dxa"/>
          <w:tblInd w:w="57" w:type="dxa"/>
          <w:tblCellMar>
            <w:left w:w="70" w:type="dxa"/>
            <w:right w:w="70" w:type="dxa"/>
          </w:tblCellMar>
          <w:tblLook w:val="04A0"/>
        </w:tblPrEx>
        <w:trPr>
          <w:trHeight w:val="266"/>
        </w:trPr>
        <w:tc>
          <w:tcPr>
            <w:tcW w:w="4304" w:type="dxa"/>
            <w:gridSpan w:val="5"/>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rPr>
                <w:rFonts w:ascii="Times New Roman" w:hAnsi="Times New Roman" w:cs="Times New Roman"/>
                <w:b/>
                <w:bCs/>
                <w:sz w:val="14"/>
                <w:szCs w:val="14"/>
                <w:lang w:eastAsia="sk-SK"/>
              </w:rPr>
            </w:pPr>
            <w:r>
              <w:rPr>
                <w:rFonts w:ascii="Times New Roman" w:hAnsi="Times New Roman" w:cs="Times New Roman"/>
                <w:b/>
                <w:bCs/>
                <w:sz w:val="14"/>
                <w:szCs w:val="14"/>
                <w:lang w:eastAsia="sk-SK"/>
              </w:rPr>
              <w:t>C/  Fondy sociálneho a zdravotného poistenia spolu</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8 175</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8 186</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7 729</w:t>
            </w:r>
          </w:p>
        </w:tc>
        <w:tc>
          <w:tcPr>
            <w:tcW w:w="76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7 623</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7 126</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6 585</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5 435</w:t>
            </w:r>
          </w:p>
        </w:tc>
      </w:tr>
      <w:tr>
        <w:tblPrEx>
          <w:tblW w:w="9264" w:type="dxa"/>
          <w:tblInd w:w="57" w:type="dxa"/>
          <w:tblCellMar>
            <w:left w:w="70" w:type="dxa"/>
            <w:right w:w="70" w:type="dxa"/>
          </w:tblCellMar>
          <w:tblLook w:val="04A0"/>
        </w:tblPrEx>
        <w:trPr>
          <w:trHeight w:val="266"/>
        </w:trPr>
        <w:tc>
          <w:tcPr>
            <w:tcW w:w="2305" w:type="dxa"/>
            <w:gridSpan w:val="3"/>
            <w:tcBorders>
              <w:top w:val="none" w:sz="0" w:space="0" w:color="auto"/>
              <w:left w:val="none" w:sz="0" w:space="0" w:color="auto"/>
              <w:bottom w:val="none" w:sz="0" w:space="0" w:color="auto"/>
              <w:right w:val="none" w:sz="0" w:space="0" w:color="auto"/>
            </w:tcBorders>
            <w:noWrap/>
            <w:textDirection w:val="lrTb"/>
            <w:vAlign w:val="bottom"/>
            <w:hideMark/>
          </w:tcPr>
          <w:p w:rsidR="00655688" w:rsidP="00257E12">
            <w:pPr>
              <w:bidi w:val="0"/>
              <w:rPr>
                <w:rFonts w:ascii="Times New Roman" w:hAnsi="Times New Roman" w:cs="Times New Roman"/>
                <w:i/>
                <w:iCs/>
                <w:sz w:val="14"/>
                <w:szCs w:val="14"/>
                <w:lang w:eastAsia="sk-SK"/>
              </w:rPr>
            </w:pPr>
            <w:r>
              <w:rPr>
                <w:rFonts w:ascii="Times New Roman" w:hAnsi="Times New Roman" w:cs="Times New Roman"/>
                <w:i/>
                <w:iCs/>
                <w:sz w:val="14"/>
                <w:szCs w:val="14"/>
                <w:lang w:eastAsia="sk-SK"/>
              </w:rPr>
              <w:t>Poznámka:</w:t>
            </w:r>
          </w:p>
        </w:tc>
        <w:tc>
          <w:tcPr>
            <w:tcW w:w="1002" w:type="dxa"/>
            <w:tcBorders>
              <w:top w:val="none" w:sz="0" w:space="0" w:color="auto"/>
              <w:left w:val="none" w:sz="0" w:space="0" w:color="auto"/>
              <w:bottom w:val="none" w:sz="0" w:space="0" w:color="auto"/>
              <w:right w:val="none" w:sz="0" w:space="0" w:color="auto"/>
            </w:tcBorders>
            <w:noWrap/>
            <w:textDirection w:val="lrTb"/>
            <w:vAlign w:val="bottom"/>
            <w:hideMark/>
          </w:tcPr>
          <w:p w:rsidR="00655688" w:rsidP="00257E12">
            <w:pPr>
              <w:bidi w:val="0"/>
              <w:rPr>
                <w:rFonts w:ascii="Times New Roman" w:hAnsi="Times New Roman" w:cs="Times New Roman"/>
                <w:sz w:val="20"/>
                <w:szCs w:val="20"/>
                <w:lang w:eastAsia="sk-SK"/>
              </w:rPr>
            </w:pPr>
          </w:p>
        </w:tc>
        <w:tc>
          <w:tcPr>
            <w:tcW w:w="997" w:type="dxa"/>
            <w:tcBorders>
              <w:top w:val="none" w:sz="0" w:space="0" w:color="auto"/>
              <w:left w:val="none" w:sz="0" w:space="0" w:color="auto"/>
              <w:bottom w:val="none" w:sz="0" w:space="0" w:color="auto"/>
              <w:right w:val="none" w:sz="0" w:space="0" w:color="auto"/>
            </w:tcBorders>
            <w:noWrap/>
            <w:textDirection w:val="lrTb"/>
            <w:vAlign w:val="bottom"/>
            <w:hideMark/>
          </w:tcPr>
          <w:p w:rsidR="00655688" w:rsidP="00257E12">
            <w:pPr>
              <w:bidi w:val="0"/>
              <w:rPr>
                <w:rFonts w:ascii="Times New Roman" w:hAnsi="Times New Roman" w:cs="Times New Roman"/>
                <w:sz w:val="20"/>
                <w:szCs w:val="20"/>
                <w:lang w:eastAsia="sk-SK"/>
              </w:rPr>
            </w:pPr>
          </w:p>
        </w:tc>
        <w:tc>
          <w:tcPr>
            <w:tcW w:w="700" w:type="dxa"/>
            <w:tcBorders>
              <w:top w:val="none" w:sz="0" w:space="0" w:color="auto"/>
              <w:left w:val="none" w:sz="0" w:space="0" w:color="auto"/>
              <w:bottom w:val="none" w:sz="0" w:space="0" w:color="auto"/>
              <w:right w:val="none" w:sz="0" w:space="0" w:color="auto"/>
            </w:tcBorders>
            <w:noWrap/>
            <w:textDirection w:val="lrTb"/>
            <w:vAlign w:val="bottom"/>
            <w:hideMark/>
          </w:tcPr>
          <w:p w:rsidR="00655688" w:rsidP="00257E12">
            <w:pPr>
              <w:bidi w:val="0"/>
              <w:rPr>
                <w:rFonts w:ascii="Times New Roman" w:hAnsi="Times New Roman" w:cs="Times New Roman"/>
                <w:sz w:val="20"/>
                <w:szCs w:val="20"/>
                <w:lang w:eastAsia="sk-SK"/>
              </w:rPr>
            </w:pPr>
          </w:p>
        </w:tc>
        <w:tc>
          <w:tcPr>
            <w:tcW w:w="700" w:type="dxa"/>
            <w:tcBorders>
              <w:top w:val="none" w:sz="0" w:space="0" w:color="auto"/>
              <w:left w:val="none" w:sz="0" w:space="0" w:color="auto"/>
              <w:bottom w:val="none" w:sz="0" w:space="0" w:color="auto"/>
              <w:right w:val="none" w:sz="0" w:space="0" w:color="auto"/>
            </w:tcBorders>
            <w:noWrap/>
            <w:textDirection w:val="lrTb"/>
            <w:vAlign w:val="bottom"/>
            <w:hideMark/>
          </w:tcPr>
          <w:p w:rsidR="00655688" w:rsidP="00257E12">
            <w:pPr>
              <w:bidi w:val="0"/>
              <w:rPr>
                <w:rFonts w:ascii="Times New Roman" w:hAnsi="Times New Roman" w:cs="Times New Roman"/>
                <w:sz w:val="20"/>
                <w:szCs w:val="20"/>
                <w:lang w:eastAsia="sk-SK"/>
              </w:rPr>
            </w:pPr>
          </w:p>
        </w:tc>
        <w:tc>
          <w:tcPr>
            <w:tcW w:w="700" w:type="dxa"/>
            <w:tcBorders>
              <w:top w:val="none" w:sz="0" w:space="0" w:color="auto"/>
              <w:left w:val="none" w:sz="0" w:space="0" w:color="auto"/>
              <w:bottom w:val="none" w:sz="0" w:space="0" w:color="auto"/>
              <w:right w:val="none" w:sz="0" w:space="0" w:color="auto"/>
            </w:tcBorders>
            <w:noWrap/>
            <w:textDirection w:val="lrTb"/>
            <w:vAlign w:val="bottom"/>
            <w:hideMark/>
          </w:tcPr>
          <w:p w:rsidR="00655688" w:rsidP="00257E12">
            <w:pPr>
              <w:bidi w:val="0"/>
              <w:rPr>
                <w:rFonts w:ascii="Times New Roman" w:hAnsi="Times New Roman" w:cs="Times New Roman"/>
                <w:sz w:val="20"/>
                <w:szCs w:val="20"/>
                <w:lang w:eastAsia="sk-SK"/>
              </w:rPr>
            </w:pPr>
          </w:p>
        </w:tc>
        <w:tc>
          <w:tcPr>
            <w:tcW w:w="760" w:type="dxa"/>
            <w:tcBorders>
              <w:top w:val="none" w:sz="0" w:space="0" w:color="auto"/>
              <w:left w:val="none" w:sz="0" w:space="0" w:color="auto"/>
              <w:bottom w:val="none" w:sz="0" w:space="0" w:color="auto"/>
              <w:right w:val="none" w:sz="0" w:space="0" w:color="auto"/>
            </w:tcBorders>
            <w:noWrap/>
            <w:textDirection w:val="lrTb"/>
            <w:vAlign w:val="bottom"/>
            <w:hideMark/>
          </w:tcPr>
          <w:p w:rsidR="00655688" w:rsidP="00257E12">
            <w:pPr>
              <w:bidi w:val="0"/>
              <w:rPr>
                <w:rFonts w:ascii="Times New Roman" w:hAnsi="Times New Roman" w:cs="Times New Roman"/>
                <w:sz w:val="20"/>
                <w:szCs w:val="20"/>
                <w:lang w:eastAsia="sk-SK"/>
              </w:rPr>
            </w:pPr>
          </w:p>
        </w:tc>
        <w:tc>
          <w:tcPr>
            <w:tcW w:w="700" w:type="dxa"/>
            <w:tcBorders>
              <w:top w:val="none" w:sz="0" w:space="0" w:color="auto"/>
              <w:left w:val="none" w:sz="0" w:space="0" w:color="auto"/>
              <w:bottom w:val="none" w:sz="0" w:space="0" w:color="auto"/>
              <w:right w:val="none" w:sz="0" w:space="0" w:color="auto"/>
            </w:tcBorders>
            <w:noWrap/>
            <w:textDirection w:val="lrTb"/>
            <w:vAlign w:val="bottom"/>
            <w:hideMark/>
          </w:tcPr>
          <w:p w:rsidR="00655688" w:rsidP="00257E12">
            <w:pPr>
              <w:bidi w:val="0"/>
              <w:rPr>
                <w:rFonts w:ascii="Times New Roman" w:hAnsi="Times New Roman" w:cs="Times New Roman"/>
                <w:sz w:val="20"/>
                <w:szCs w:val="20"/>
                <w:lang w:eastAsia="sk-SK"/>
              </w:rPr>
            </w:pPr>
          </w:p>
        </w:tc>
        <w:tc>
          <w:tcPr>
            <w:tcW w:w="700" w:type="dxa"/>
            <w:tcBorders>
              <w:top w:val="none" w:sz="0" w:space="0" w:color="auto"/>
              <w:left w:val="none" w:sz="0" w:space="0" w:color="auto"/>
              <w:bottom w:val="none" w:sz="0" w:space="0" w:color="auto"/>
              <w:right w:val="none" w:sz="0" w:space="0" w:color="auto"/>
            </w:tcBorders>
            <w:noWrap/>
            <w:textDirection w:val="lrTb"/>
            <w:vAlign w:val="bottom"/>
            <w:hideMark/>
          </w:tcPr>
          <w:p w:rsidR="00655688" w:rsidP="00257E12">
            <w:pPr>
              <w:bidi w:val="0"/>
              <w:rPr>
                <w:rFonts w:ascii="Times New Roman" w:hAnsi="Times New Roman" w:cs="Times New Roman"/>
                <w:sz w:val="20"/>
                <w:szCs w:val="20"/>
                <w:lang w:eastAsia="sk-SK"/>
              </w:rPr>
            </w:pPr>
          </w:p>
        </w:tc>
        <w:tc>
          <w:tcPr>
            <w:tcW w:w="700" w:type="dxa"/>
            <w:tcBorders>
              <w:top w:val="none" w:sz="0" w:space="0" w:color="auto"/>
              <w:left w:val="none" w:sz="0" w:space="0" w:color="auto"/>
              <w:bottom w:val="none" w:sz="0" w:space="0" w:color="auto"/>
              <w:right w:val="none" w:sz="0" w:space="0" w:color="auto"/>
            </w:tcBorders>
            <w:noWrap/>
            <w:textDirection w:val="lrTb"/>
            <w:vAlign w:val="bottom"/>
            <w:hideMark/>
          </w:tcPr>
          <w:p w:rsidR="00655688" w:rsidP="00257E12">
            <w:pPr>
              <w:bidi w:val="0"/>
              <w:rPr>
                <w:rFonts w:ascii="Times New Roman" w:hAnsi="Times New Roman" w:cs="Times New Roman"/>
                <w:sz w:val="20"/>
                <w:szCs w:val="20"/>
                <w:lang w:eastAsia="sk-SK"/>
              </w:rPr>
            </w:pPr>
          </w:p>
        </w:tc>
      </w:tr>
      <w:tr>
        <w:tblPrEx>
          <w:tblW w:w="9264" w:type="dxa"/>
          <w:tblInd w:w="57" w:type="dxa"/>
          <w:tblCellMar>
            <w:left w:w="70" w:type="dxa"/>
            <w:right w:w="70" w:type="dxa"/>
          </w:tblCellMar>
          <w:tblLook w:val="04A0"/>
        </w:tblPrEx>
        <w:trPr>
          <w:trHeight w:val="266"/>
        </w:trPr>
        <w:tc>
          <w:tcPr>
            <w:tcW w:w="9264" w:type="dxa"/>
            <w:gridSpan w:val="12"/>
            <w:tcBorders>
              <w:top w:val="none" w:sz="0" w:space="0" w:color="auto"/>
              <w:left w:val="none" w:sz="0" w:space="0" w:color="auto"/>
              <w:bottom w:val="none" w:sz="0" w:space="0" w:color="auto"/>
              <w:right w:val="none" w:sz="0" w:space="0" w:color="auto"/>
            </w:tcBorders>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Očakávaná skutočnosť 2011 predstavuje údaje zo štatistiky za I. polrok 2011 s výnimkou územnej samosprávy bez  regionálneho školstva, ktorá vychádza z rozpočtu na r. 2011.</w:t>
            </w:r>
          </w:p>
        </w:tc>
      </w:tr>
    </w:tbl>
    <w:p w:rsidR="00655688" w:rsidP="00655688">
      <w:pPr>
        <w:bidi w:val="0"/>
        <w:ind w:firstLine="708"/>
        <w:jc w:val="both"/>
        <w:rPr>
          <w:rFonts w:ascii="Times New Roman" w:hAnsi="Times New Roman" w:cs="Times New Roman"/>
          <w:bCs/>
        </w:rPr>
      </w:pPr>
    </w:p>
    <w:p w:rsidR="00655688" w:rsidP="00655688">
      <w:pPr>
        <w:bidi w:val="0"/>
        <w:ind w:firstLine="708"/>
        <w:jc w:val="both"/>
        <w:rPr>
          <w:rFonts w:ascii="Times New Roman" w:hAnsi="Times New Roman" w:cs="Times New Roman"/>
          <w:bCs/>
        </w:rPr>
      </w:pPr>
      <w:r>
        <w:rPr>
          <w:rFonts w:ascii="Times New Roman" w:hAnsi="Times New Roman" w:cs="Times New Roman"/>
          <w:bCs/>
        </w:rPr>
        <w:t>Z hľadiska financovania je však väčšina zamestnancov verejného sektora na Slovensku napojená na štátny rozpočet. Je to spôsobené tým, že 65 094 osôb na úseku regionálneho školstva je financovaných prostredníctvom štátneho rozpočtu ako prenesený výkon štátnej správy. Financovanie osobných výdavkov ostatných 110 887 zamestnancov územnej samosprávy je v kompetencii územnej samosprávy.</w:t>
      </w:r>
    </w:p>
    <w:p w:rsidR="00655688" w:rsidP="00655688">
      <w:pPr>
        <w:bidi w:val="0"/>
        <w:ind w:firstLine="708"/>
        <w:jc w:val="both"/>
        <w:rPr>
          <w:rFonts w:ascii="Times New Roman" w:hAnsi="Times New Roman" w:cs="Times New Roman"/>
          <w:bCs/>
        </w:rPr>
      </w:pPr>
    </w:p>
    <w:p w:rsidR="00655688" w:rsidP="00655688">
      <w:pPr>
        <w:bidi w:val="0"/>
        <w:ind w:firstLine="708"/>
        <w:jc w:val="both"/>
        <w:rPr>
          <w:rFonts w:ascii="Times New Roman" w:hAnsi="Times New Roman" w:cs="Times New Roman"/>
          <w:bCs/>
        </w:rPr>
      </w:pPr>
      <w:r>
        <w:rPr>
          <w:rFonts w:ascii="Times New Roman" w:hAnsi="Times New Roman" w:cs="Times New Roman"/>
          <w:bCs/>
        </w:rPr>
        <w:t xml:space="preserve">Prehľad </w:t>
      </w:r>
      <w:r>
        <w:rPr>
          <w:rFonts w:ascii="Times New Roman" w:hAnsi="Times New Roman" w:cs="Times New Roman"/>
          <w:bCs/>
          <w:u w:val="single"/>
        </w:rPr>
        <w:t>z pohľadu zdroja financovania</w:t>
      </w:r>
      <w:r>
        <w:rPr>
          <w:rFonts w:ascii="Times New Roman" w:hAnsi="Times New Roman" w:cs="Times New Roman"/>
          <w:bCs/>
        </w:rPr>
        <w:t xml:space="preserve"> zamestnanosti v sektore verejnej správy poskytuje tabuľka.</w:t>
      </w:r>
    </w:p>
    <w:p w:rsidR="00655688" w:rsidP="00655688">
      <w:pPr>
        <w:bidi w:val="0"/>
        <w:jc w:val="both"/>
        <w:rPr>
          <w:rFonts w:ascii="Times New Roman" w:hAnsi="Times New Roman" w:cs="Times New Roman"/>
          <w:bCs/>
        </w:rPr>
      </w:pPr>
    </w:p>
    <w:tbl>
      <w:tblPr>
        <w:tblStyle w:val="TableNormal"/>
        <w:tblW w:w="5000" w:type="pct"/>
        <w:jc w:val="center"/>
        <w:tblCellMar>
          <w:left w:w="70" w:type="dxa"/>
          <w:right w:w="70" w:type="dxa"/>
        </w:tblCellMar>
        <w:tblLook w:val="04A0"/>
      </w:tblPr>
      <w:tblGrid>
        <w:gridCol w:w="3244"/>
        <w:gridCol w:w="357"/>
        <w:gridCol w:w="357"/>
        <w:gridCol w:w="741"/>
        <w:gridCol w:w="741"/>
        <w:gridCol w:w="741"/>
        <w:gridCol w:w="805"/>
        <w:gridCol w:w="741"/>
        <w:gridCol w:w="741"/>
        <w:gridCol w:w="744"/>
      </w:tblGrid>
      <w:tr>
        <w:tblPrEx>
          <w:tblW w:w="5000" w:type="pct"/>
          <w:jc w:val="center"/>
          <w:tblCellMar>
            <w:left w:w="70" w:type="dxa"/>
            <w:right w:w="70" w:type="dxa"/>
          </w:tblCellMar>
          <w:tblLook w:val="04A0"/>
        </w:tblPrEx>
        <w:trPr>
          <w:trHeight w:val="266"/>
          <w:jc w:val="center"/>
        </w:trPr>
        <w:tc>
          <w:tcPr>
            <w:tcW w:w="2149" w:type="pct"/>
            <w:gridSpan w:val="3"/>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655688" w:rsidP="00257E12">
            <w:pPr>
              <w:bidi w:val="0"/>
              <w:rPr>
                <w:rFonts w:ascii="Times New Roman" w:hAnsi="Times New Roman" w:cs="Times New Roman"/>
                <w:b/>
                <w:bCs/>
                <w:sz w:val="14"/>
                <w:szCs w:val="14"/>
                <w:lang w:eastAsia="sk-SK"/>
              </w:rPr>
            </w:pPr>
            <w:r>
              <w:rPr>
                <w:rFonts w:ascii="Times New Roman" w:hAnsi="Times New Roman" w:cs="Times New Roman"/>
                <w:b/>
                <w:bCs/>
                <w:sz w:val="14"/>
                <w:szCs w:val="14"/>
                <w:lang w:eastAsia="sk-SK"/>
              </w:rPr>
              <w:t>Subjekty verejnej správy podľa zdroja financovania</w:t>
            </w:r>
          </w:p>
        </w:tc>
        <w:tc>
          <w:tcPr>
            <w:tcW w:w="402"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2009 S</w:t>
            </w:r>
          </w:p>
        </w:tc>
        <w:tc>
          <w:tcPr>
            <w:tcW w:w="402"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2010 S</w:t>
            </w:r>
          </w:p>
        </w:tc>
        <w:tc>
          <w:tcPr>
            <w:tcW w:w="402"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2011 R</w:t>
            </w:r>
          </w:p>
        </w:tc>
        <w:tc>
          <w:tcPr>
            <w:tcW w:w="437"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2011 OS</w:t>
            </w:r>
          </w:p>
        </w:tc>
        <w:tc>
          <w:tcPr>
            <w:tcW w:w="402"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2012 N</w:t>
            </w:r>
          </w:p>
        </w:tc>
        <w:tc>
          <w:tcPr>
            <w:tcW w:w="402"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2013 N</w:t>
            </w:r>
          </w:p>
        </w:tc>
        <w:tc>
          <w:tcPr>
            <w:tcW w:w="402"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2014 N</w:t>
            </w:r>
          </w:p>
        </w:tc>
      </w:tr>
      <w:tr>
        <w:tblPrEx>
          <w:tblW w:w="5000" w:type="pct"/>
          <w:jc w:val="center"/>
          <w:tblCellMar>
            <w:left w:w="70" w:type="dxa"/>
            <w:right w:w="70" w:type="dxa"/>
          </w:tblCellMar>
          <w:tblLook w:val="04A0"/>
        </w:tblPrEx>
        <w:trPr>
          <w:trHeight w:val="266"/>
          <w:jc w:val="center"/>
        </w:trPr>
        <w:tc>
          <w:tcPr>
            <w:tcW w:w="2149" w:type="pct"/>
            <w:gridSpan w:val="3"/>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655688" w:rsidP="00257E12">
            <w:pPr>
              <w:bidi w:val="0"/>
              <w:rPr>
                <w:rFonts w:ascii="Times New Roman" w:hAnsi="Times New Roman" w:cs="Times New Roman"/>
                <w:bCs/>
                <w:sz w:val="14"/>
                <w:szCs w:val="14"/>
                <w:lang w:eastAsia="sk-SK"/>
              </w:rPr>
            </w:pPr>
            <w:r>
              <w:rPr>
                <w:rFonts w:ascii="Times New Roman" w:hAnsi="Times New Roman" w:cs="Times New Roman"/>
                <w:b/>
                <w:bCs/>
                <w:sz w:val="14"/>
                <w:szCs w:val="14"/>
                <w:lang w:eastAsia="sk-SK"/>
              </w:rPr>
              <w:t xml:space="preserve">SPOLU   </w:t>
            </w:r>
            <w:r>
              <w:rPr>
                <w:rFonts w:ascii="Times New Roman" w:hAnsi="Times New Roman" w:cs="Times New Roman"/>
                <w:bCs/>
                <w:sz w:val="14"/>
                <w:szCs w:val="14"/>
                <w:lang w:eastAsia="sk-SK"/>
              </w:rPr>
              <w:t>(osoby)</w:t>
            </w:r>
          </w:p>
        </w:tc>
        <w:tc>
          <w:tcPr>
            <w:tcW w:w="402" w:type="pct"/>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348 262</w:t>
            </w:r>
          </w:p>
        </w:tc>
        <w:tc>
          <w:tcPr>
            <w:tcW w:w="402" w:type="pct"/>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350 056</w:t>
            </w:r>
          </w:p>
        </w:tc>
        <w:tc>
          <w:tcPr>
            <w:tcW w:w="402" w:type="pct"/>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352 511</w:t>
            </w:r>
          </w:p>
        </w:tc>
        <w:tc>
          <w:tcPr>
            <w:tcW w:w="437" w:type="pct"/>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345 045</w:t>
            </w:r>
          </w:p>
        </w:tc>
        <w:tc>
          <w:tcPr>
            <w:tcW w:w="402" w:type="pct"/>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344 218</w:t>
            </w:r>
          </w:p>
        </w:tc>
        <w:tc>
          <w:tcPr>
            <w:tcW w:w="402" w:type="pct"/>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342 578</w:t>
            </w:r>
          </w:p>
        </w:tc>
        <w:tc>
          <w:tcPr>
            <w:tcW w:w="402" w:type="pct"/>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340 614</w:t>
            </w:r>
          </w:p>
        </w:tc>
      </w:tr>
      <w:tr>
        <w:tblPrEx>
          <w:tblW w:w="5000" w:type="pct"/>
          <w:jc w:val="center"/>
          <w:tblCellMar>
            <w:left w:w="70" w:type="dxa"/>
            <w:right w:w="70" w:type="dxa"/>
          </w:tblCellMar>
          <w:tblLook w:val="04A0"/>
        </w:tblPrEx>
        <w:trPr>
          <w:trHeight w:val="266"/>
          <w:jc w:val="center"/>
        </w:trPr>
        <w:tc>
          <w:tcPr>
            <w:tcW w:w="1955" w:type="pct"/>
            <w:gridSpan w:val="2"/>
            <w:tcBorders>
              <w:top w:val="single" w:sz="4" w:space="0" w:color="auto"/>
              <w:left w:val="single" w:sz="4" w:space="0" w:color="auto"/>
              <w:bottom w:val="single" w:sz="4" w:space="0" w:color="auto"/>
              <w:right w:val="nil"/>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1) Štátny rozpočet</w:t>
            </w:r>
          </w:p>
        </w:tc>
        <w:tc>
          <w:tcPr>
            <w:tcW w:w="194" w:type="pct"/>
            <w:tcBorders>
              <w:top w:val="nil"/>
              <w:left w:val="nil"/>
              <w:bottom w:val="single" w:sz="4" w:space="0" w:color="auto"/>
              <w:right w:val="single" w:sz="4" w:space="0" w:color="auto"/>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p>
        </w:tc>
        <w:tc>
          <w:tcPr>
            <w:tcW w:w="402"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227 732</w:t>
            </w:r>
          </w:p>
        </w:tc>
        <w:tc>
          <w:tcPr>
            <w:tcW w:w="402"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227 174</w:t>
            </w:r>
          </w:p>
        </w:tc>
        <w:tc>
          <w:tcPr>
            <w:tcW w:w="402"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230 570</w:t>
            </w:r>
          </w:p>
        </w:tc>
        <w:tc>
          <w:tcPr>
            <w:tcW w:w="437"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222 248</w:t>
            </w:r>
          </w:p>
        </w:tc>
        <w:tc>
          <w:tcPr>
            <w:tcW w:w="402"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223 323</w:t>
            </w:r>
          </w:p>
        </w:tc>
        <w:tc>
          <w:tcPr>
            <w:tcW w:w="402"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222 346</w:t>
            </w:r>
          </w:p>
        </w:tc>
        <w:tc>
          <w:tcPr>
            <w:tcW w:w="402"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221 578</w:t>
            </w:r>
          </w:p>
        </w:tc>
      </w:tr>
      <w:tr>
        <w:tblPrEx>
          <w:tblW w:w="5000" w:type="pct"/>
          <w:jc w:val="center"/>
          <w:tblCellMar>
            <w:left w:w="70" w:type="dxa"/>
            <w:right w:w="70" w:type="dxa"/>
          </w:tblCellMar>
          <w:tblLook w:val="04A0"/>
        </w:tblPrEx>
        <w:trPr>
          <w:trHeight w:val="266"/>
          <w:jc w:val="center"/>
        </w:trPr>
        <w:tc>
          <w:tcPr>
            <w:tcW w:w="2149" w:type="pct"/>
            <w:gridSpan w:val="3"/>
            <w:tcBorders>
              <w:top w:val="single" w:sz="4" w:space="0" w:color="auto"/>
              <w:left w:val="single" w:sz="4" w:space="0" w:color="auto"/>
              <w:bottom w:val="single" w:sz="4" w:space="0" w:color="auto"/>
              <w:right w:val="single" w:sz="4" w:space="0" w:color="000000"/>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2) Územná samospráva bez regionálneho školstva</w:t>
            </w:r>
          </w:p>
        </w:tc>
        <w:tc>
          <w:tcPr>
            <w:tcW w:w="402"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109 485</w:t>
            </w:r>
          </w:p>
        </w:tc>
        <w:tc>
          <w:tcPr>
            <w:tcW w:w="402"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111 688</w:t>
            </w:r>
          </w:p>
        </w:tc>
        <w:tc>
          <w:tcPr>
            <w:tcW w:w="402"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111 284</w:t>
            </w:r>
          </w:p>
        </w:tc>
        <w:tc>
          <w:tcPr>
            <w:tcW w:w="437"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112 354</w:t>
            </w:r>
          </w:p>
        </w:tc>
        <w:tc>
          <w:tcPr>
            <w:tcW w:w="402"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110 887</w:t>
            </w:r>
          </w:p>
        </w:tc>
        <w:tc>
          <w:tcPr>
            <w:tcW w:w="402"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110 824</w:t>
            </w:r>
          </w:p>
        </w:tc>
        <w:tc>
          <w:tcPr>
            <w:tcW w:w="402"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110 801</w:t>
            </w:r>
          </w:p>
        </w:tc>
      </w:tr>
      <w:tr>
        <w:tblPrEx>
          <w:tblW w:w="5000" w:type="pct"/>
          <w:jc w:val="center"/>
          <w:tblCellMar>
            <w:left w:w="70" w:type="dxa"/>
            <w:right w:w="70" w:type="dxa"/>
          </w:tblCellMar>
          <w:tblLook w:val="04A0"/>
        </w:tblPrEx>
        <w:trPr>
          <w:trHeight w:val="266"/>
          <w:jc w:val="center"/>
        </w:trPr>
        <w:tc>
          <w:tcPr>
            <w:tcW w:w="2149" w:type="pct"/>
            <w:gridSpan w:val="3"/>
            <w:tcBorders>
              <w:top w:val="single" w:sz="4" w:space="0" w:color="auto"/>
              <w:left w:val="single" w:sz="4" w:space="0" w:color="auto"/>
              <w:bottom w:val="single" w:sz="4" w:space="0" w:color="auto"/>
              <w:right w:val="single" w:sz="4" w:space="0" w:color="000000"/>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3) Fondy sociálneho a zdravotného poistenia spolu</w:t>
            </w:r>
          </w:p>
        </w:tc>
        <w:tc>
          <w:tcPr>
            <w:tcW w:w="402"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8 175</w:t>
            </w:r>
          </w:p>
        </w:tc>
        <w:tc>
          <w:tcPr>
            <w:tcW w:w="402"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8 186</w:t>
            </w:r>
          </w:p>
        </w:tc>
        <w:tc>
          <w:tcPr>
            <w:tcW w:w="402"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7 729</w:t>
            </w:r>
          </w:p>
        </w:tc>
        <w:tc>
          <w:tcPr>
            <w:tcW w:w="437"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7 623</w:t>
            </w:r>
          </w:p>
        </w:tc>
        <w:tc>
          <w:tcPr>
            <w:tcW w:w="402"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7 126</w:t>
            </w:r>
          </w:p>
        </w:tc>
        <w:tc>
          <w:tcPr>
            <w:tcW w:w="402"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6 585</w:t>
            </w:r>
          </w:p>
        </w:tc>
        <w:tc>
          <w:tcPr>
            <w:tcW w:w="402"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5 435</w:t>
            </w:r>
          </w:p>
        </w:tc>
      </w:tr>
      <w:tr>
        <w:tblPrEx>
          <w:tblW w:w="5000" w:type="pct"/>
          <w:jc w:val="center"/>
          <w:tblCellMar>
            <w:left w:w="70" w:type="dxa"/>
            <w:right w:w="70" w:type="dxa"/>
          </w:tblCellMar>
          <w:tblLook w:val="04A0"/>
        </w:tblPrEx>
        <w:trPr>
          <w:trHeight w:val="266"/>
          <w:jc w:val="center"/>
        </w:trPr>
        <w:tc>
          <w:tcPr>
            <w:tcW w:w="1761" w:type="pct"/>
            <w:tcBorders>
              <w:top w:val="nil"/>
              <w:left w:val="single" w:sz="4" w:space="0" w:color="auto"/>
              <w:bottom w:val="single" w:sz="4" w:space="0" w:color="auto"/>
              <w:right w:val="nil"/>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4) Ostatné</w:t>
            </w:r>
          </w:p>
        </w:tc>
        <w:tc>
          <w:tcPr>
            <w:tcW w:w="194" w:type="pct"/>
            <w:tcBorders>
              <w:top w:val="nil"/>
              <w:left w:val="nil"/>
              <w:bottom w:val="single" w:sz="4" w:space="0" w:color="auto"/>
              <w:right w:val="nil"/>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p>
        </w:tc>
        <w:tc>
          <w:tcPr>
            <w:tcW w:w="194" w:type="pct"/>
            <w:tcBorders>
              <w:top w:val="nil"/>
              <w:left w:val="nil"/>
              <w:bottom w:val="single" w:sz="4" w:space="0" w:color="auto"/>
              <w:right w:val="single" w:sz="4" w:space="0" w:color="auto"/>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p>
        </w:tc>
        <w:tc>
          <w:tcPr>
            <w:tcW w:w="402"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2 870</w:t>
            </w:r>
          </w:p>
        </w:tc>
        <w:tc>
          <w:tcPr>
            <w:tcW w:w="402"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3 008</w:t>
            </w:r>
          </w:p>
        </w:tc>
        <w:tc>
          <w:tcPr>
            <w:tcW w:w="402"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2 928</w:t>
            </w:r>
          </w:p>
        </w:tc>
        <w:tc>
          <w:tcPr>
            <w:tcW w:w="437"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2 820</w:t>
            </w:r>
          </w:p>
        </w:tc>
        <w:tc>
          <w:tcPr>
            <w:tcW w:w="402"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2 882</w:t>
            </w:r>
          </w:p>
        </w:tc>
        <w:tc>
          <w:tcPr>
            <w:tcW w:w="402"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2 823</w:t>
            </w:r>
          </w:p>
        </w:tc>
        <w:tc>
          <w:tcPr>
            <w:tcW w:w="402"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2 800</w:t>
            </w:r>
          </w:p>
        </w:tc>
      </w:tr>
      <w:tr>
        <w:tblPrEx>
          <w:tblW w:w="5000" w:type="pct"/>
          <w:jc w:val="center"/>
          <w:tblCellMar>
            <w:left w:w="70" w:type="dxa"/>
            <w:right w:w="70" w:type="dxa"/>
          </w:tblCellMar>
          <w:tblLook w:val="04A0"/>
        </w:tblPrEx>
        <w:trPr>
          <w:trHeight w:val="266"/>
          <w:jc w:val="center"/>
        </w:trPr>
        <w:tc>
          <w:tcPr>
            <w:tcW w:w="1955" w:type="pct"/>
            <w:gridSpan w:val="2"/>
            <w:tcBorders>
              <w:top w:val="none" w:sz="0" w:space="0" w:color="auto"/>
              <w:left w:val="none" w:sz="0" w:space="0" w:color="auto"/>
              <w:bottom w:val="none" w:sz="0" w:space="0" w:color="auto"/>
              <w:right w:val="none" w:sz="0" w:space="0" w:color="auto"/>
            </w:tcBorders>
            <w:noWrap/>
            <w:textDirection w:val="lrTb"/>
            <w:vAlign w:val="bottom"/>
            <w:hideMark/>
          </w:tcPr>
          <w:p w:rsidR="00655688" w:rsidP="00257E12">
            <w:pPr>
              <w:bidi w:val="0"/>
              <w:rPr>
                <w:rFonts w:ascii="Times New Roman" w:hAnsi="Times New Roman" w:cs="Times New Roman"/>
                <w:i/>
                <w:iCs/>
                <w:sz w:val="14"/>
                <w:szCs w:val="14"/>
                <w:lang w:eastAsia="sk-SK"/>
              </w:rPr>
            </w:pPr>
            <w:r>
              <w:rPr>
                <w:rFonts w:ascii="Times New Roman" w:hAnsi="Times New Roman" w:cs="Times New Roman"/>
                <w:i/>
                <w:iCs/>
                <w:sz w:val="14"/>
                <w:szCs w:val="14"/>
                <w:lang w:eastAsia="sk-SK"/>
              </w:rPr>
              <w:t>Poznámka:</w:t>
            </w:r>
          </w:p>
        </w:tc>
        <w:tc>
          <w:tcPr>
            <w:tcW w:w="194" w:type="pct"/>
            <w:tcBorders>
              <w:top w:val="none" w:sz="0" w:space="0" w:color="auto"/>
              <w:left w:val="none" w:sz="0" w:space="0" w:color="auto"/>
              <w:bottom w:val="none" w:sz="0" w:space="0" w:color="auto"/>
              <w:right w:val="none" w:sz="0" w:space="0" w:color="auto"/>
            </w:tcBorders>
            <w:noWrap/>
            <w:textDirection w:val="lrTb"/>
            <w:vAlign w:val="bottom"/>
            <w:hideMark/>
          </w:tcPr>
          <w:p w:rsidR="00655688" w:rsidP="00257E12">
            <w:pPr>
              <w:bidi w:val="0"/>
              <w:rPr>
                <w:rFonts w:ascii="Times New Roman" w:hAnsi="Times New Roman" w:cs="Times New Roman"/>
                <w:sz w:val="20"/>
                <w:szCs w:val="20"/>
                <w:lang w:eastAsia="sk-SK"/>
              </w:rPr>
            </w:pPr>
          </w:p>
        </w:tc>
        <w:tc>
          <w:tcPr>
            <w:tcW w:w="402" w:type="pct"/>
            <w:tcBorders>
              <w:top w:val="none" w:sz="0" w:space="0" w:color="auto"/>
              <w:left w:val="none" w:sz="0" w:space="0" w:color="auto"/>
              <w:bottom w:val="none" w:sz="0" w:space="0" w:color="auto"/>
              <w:right w:val="none" w:sz="0" w:space="0" w:color="auto"/>
            </w:tcBorders>
            <w:noWrap/>
            <w:textDirection w:val="lrTb"/>
            <w:vAlign w:val="bottom"/>
            <w:hideMark/>
          </w:tcPr>
          <w:p w:rsidR="00655688" w:rsidP="00257E12">
            <w:pPr>
              <w:bidi w:val="0"/>
              <w:rPr>
                <w:rFonts w:ascii="Times New Roman" w:hAnsi="Times New Roman" w:cs="Times New Roman"/>
                <w:sz w:val="20"/>
                <w:szCs w:val="20"/>
                <w:lang w:eastAsia="sk-SK"/>
              </w:rPr>
            </w:pPr>
          </w:p>
        </w:tc>
        <w:tc>
          <w:tcPr>
            <w:tcW w:w="402" w:type="pct"/>
            <w:tcBorders>
              <w:top w:val="none" w:sz="0" w:space="0" w:color="auto"/>
              <w:left w:val="none" w:sz="0" w:space="0" w:color="auto"/>
              <w:bottom w:val="none" w:sz="0" w:space="0" w:color="auto"/>
              <w:right w:val="none" w:sz="0" w:space="0" w:color="auto"/>
            </w:tcBorders>
            <w:noWrap/>
            <w:textDirection w:val="lrTb"/>
            <w:vAlign w:val="bottom"/>
            <w:hideMark/>
          </w:tcPr>
          <w:p w:rsidR="00655688" w:rsidP="00257E12">
            <w:pPr>
              <w:bidi w:val="0"/>
              <w:rPr>
                <w:rFonts w:ascii="Times New Roman" w:hAnsi="Times New Roman" w:cs="Times New Roman"/>
                <w:sz w:val="20"/>
                <w:szCs w:val="20"/>
                <w:lang w:eastAsia="sk-SK"/>
              </w:rPr>
            </w:pPr>
          </w:p>
        </w:tc>
        <w:tc>
          <w:tcPr>
            <w:tcW w:w="402" w:type="pct"/>
            <w:tcBorders>
              <w:top w:val="none" w:sz="0" w:space="0" w:color="auto"/>
              <w:left w:val="none" w:sz="0" w:space="0" w:color="auto"/>
              <w:bottom w:val="none" w:sz="0" w:space="0" w:color="auto"/>
              <w:right w:val="none" w:sz="0" w:space="0" w:color="auto"/>
            </w:tcBorders>
            <w:noWrap/>
            <w:textDirection w:val="lrTb"/>
            <w:vAlign w:val="bottom"/>
            <w:hideMark/>
          </w:tcPr>
          <w:p w:rsidR="00655688" w:rsidP="00257E12">
            <w:pPr>
              <w:bidi w:val="0"/>
              <w:rPr>
                <w:rFonts w:ascii="Times New Roman" w:hAnsi="Times New Roman" w:cs="Times New Roman"/>
                <w:sz w:val="20"/>
                <w:szCs w:val="20"/>
                <w:lang w:eastAsia="sk-SK"/>
              </w:rPr>
            </w:pPr>
          </w:p>
        </w:tc>
        <w:tc>
          <w:tcPr>
            <w:tcW w:w="437" w:type="pct"/>
            <w:tcBorders>
              <w:top w:val="none" w:sz="0" w:space="0" w:color="auto"/>
              <w:left w:val="none" w:sz="0" w:space="0" w:color="auto"/>
              <w:bottom w:val="none" w:sz="0" w:space="0" w:color="auto"/>
              <w:right w:val="none" w:sz="0" w:space="0" w:color="auto"/>
            </w:tcBorders>
            <w:noWrap/>
            <w:textDirection w:val="lrTb"/>
            <w:vAlign w:val="bottom"/>
            <w:hideMark/>
          </w:tcPr>
          <w:p w:rsidR="00655688" w:rsidP="00257E12">
            <w:pPr>
              <w:bidi w:val="0"/>
              <w:rPr>
                <w:rFonts w:ascii="Times New Roman" w:hAnsi="Times New Roman" w:cs="Times New Roman"/>
                <w:sz w:val="20"/>
                <w:szCs w:val="20"/>
                <w:lang w:eastAsia="sk-SK"/>
              </w:rPr>
            </w:pPr>
          </w:p>
        </w:tc>
        <w:tc>
          <w:tcPr>
            <w:tcW w:w="402" w:type="pct"/>
            <w:tcBorders>
              <w:top w:val="none" w:sz="0" w:space="0" w:color="auto"/>
              <w:left w:val="none" w:sz="0" w:space="0" w:color="auto"/>
              <w:bottom w:val="none" w:sz="0" w:space="0" w:color="auto"/>
              <w:right w:val="none" w:sz="0" w:space="0" w:color="auto"/>
            </w:tcBorders>
            <w:noWrap/>
            <w:textDirection w:val="lrTb"/>
            <w:vAlign w:val="bottom"/>
            <w:hideMark/>
          </w:tcPr>
          <w:p w:rsidR="00655688" w:rsidP="00257E12">
            <w:pPr>
              <w:bidi w:val="0"/>
              <w:rPr>
                <w:rFonts w:ascii="Times New Roman" w:hAnsi="Times New Roman" w:cs="Times New Roman"/>
                <w:sz w:val="20"/>
                <w:szCs w:val="20"/>
                <w:lang w:eastAsia="sk-SK"/>
              </w:rPr>
            </w:pPr>
          </w:p>
        </w:tc>
        <w:tc>
          <w:tcPr>
            <w:tcW w:w="402" w:type="pct"/>
            <w:tcBorders>
              <w:top w:val="none" w:sz="0" w:space="0" w:color="auto"/>
              <w:left w:val="none" w:sz="0" w:space="0" w:color="auto"/>
              <w:bottom w:val="none" w:sz="0" w:space="0" w:color="auto"/>
              <w:right w:val="none" w:sz="0" w:space="0" w:color="auto"/>
            </w:tcBorders>
            <w:noWrap/>
            <w:textDirection w:val="lrTb"/>
            <w:vAlign w:val="bottom"/>
            <w:hideMark/>
          </w:tcPr>
          <w:p w:rsidR="00655688" w:rsidP="00257E12">
            <w:pPr>
              <w:bidi w:val="0"/>
              <w:rPr>
                <w:rFonts w:ascii="Times New Roman" w:hAnsi="Times New Roman" w:cs="Times New Roman"/>
                <w:sz w:val="20"/>
                <w:szCs w:val="20"/>
                <w:lang w:eastAsia="sk-SK"/>
              </w:rPr>
            </w:pPr>
          </w:p>
        </w:tc>
        <w:tc>
          <w:tcPr>
            <w:tcW w:w="402" w:type="pct"/>
            <w:tcBorders>
              <w:top w:val="none" w:sz="0" w:space="0" w:color="auto"/>
              <w:left w:val="none" w:sz="0" w:space="0" w:color="auto"/>
              <w:bottom w:val="none" w:sz="0" w:space="0" w:color="auto"/>
              <w:right w:val="none" w:sz="0" w:space="0" w:color="auto"/>
            </w:tcBorders>
            <w:noWrap/>
            <w:textDirection w:val="lrTb"/>
            <w:vAlign w:val="bottom"/>
            <w:hideMark/>
          </w:tcPr>
          <w:p w:rsidR="00655688" w:rsidP="00257E12">
            <w:pPr>
              <w:bidi w:val="0"/>
              <w:rPr>
                <w:rFonts w:ascii="Times New Roman" w:hAnsi="Times New Roman" w:cs="Times New Roman"/>
                <w:sz w:val="20"/>
                <w:szCs w:val="20"/>
                <w:lang w:eastAsia="sk-SK"/>
              </w:rPr>
            </w:pPr>
          </w:p>
        </w:tc>
      </w:tr>
      <w:tr>
        <w:tblPrEx>
          <w:tblW w:w="5000" w:type="pct"/>
          <w:jc w:val="center"/>
          <w:tblCellMar>
            <w:left w:w="70" w:type="dxa"/>
            <w:right w:w="70" w:type="dxa"/>
          </w:tblCellMar>
          <w:tblLook w:val="04A0"/>
        </w:tblPrEx>
        <w:trPr>
          <w:trHeight w:val="266"/>
          <w:jc w:val="center"/>
        </w:trPr>
        <w:tc>
          <w:tcPr>
            <w:tcW w:w="5000" w:type="pct"/>
            <w:gridSpan w:val="10"/>
            <w:tcBorders>
              <w:top w:val="none" w:sz="0" w:space="0" w:color="auto"/>
              <w:left w:val="none" w:sz="0" w:space="0" w:color="auto"/>
              <w:bottom w:val="none" w:sz="0" w:space="0" w:color="auto"/>
              <w:right w:val="none" w:sz="0" w:space="0" w:color="auto"/>
            </w:tcBorders>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Očakávaná skutočnosť 2011 predstavuje údaje zo štatistiky za I. polrok 2011 s výnimkou územnej samosprávy bez regionálneho školstva, ktorá vychádza z rozpočtu  na r. 2011.</w:t>
            </w:r>
          </w:p>
        </w:tc>
      </w:tr>
    </w:tbl>
    <w:p w:rsidR="00655688" w:rsidP="00655688">
      <w:pPr>
        <w:bidi w:val="0"/>
        <w:jc w:val="center"/>
        <w:rPr>
          <w:rFonts w:ascii="Times New Roman" w:hAnsi="Times New Roman" w:cs="Times New Roman"/>
          <w:bCs/>
        </w:rPr>
      </w:pPr>
    </w:p>
    <w:p w:rsidR="00655688" w:rsidP="00655688">
      <w:pPr>
        <w:bidi w:val="0"/>
        <w:ind w:firstLine="708"/>
        <w:jc w:val="both"/>
        <w:rPr>
          <w:rFonts w:ascii="Times New Roman" w:hAnsi="Times New Roman" w:cs="Times New Roman"/>
          <w:bCs/>
        </w:rPr>
      </w:pPr>
      <w:r>
        <w:rPr>
          <w:rFonts w:ascii="Times New Roman" w:hAnsi="Times New Roman" w:cs="Times New Roman"/>
          <w:bCs/>
        </w:rPr>
        <w:t xml:space="preserve">Na osobné výdavky zamestnancov verejnej správy bude v roku 2012 vyčlenených viac ako 4,5 mld. eur, čo predstavuje 16,5 % celkových verejných výdavkov. </w:t>
      </w:r>
    </w:p>
    <w:p w:rsidR="00655688" w:rsidP="00655688">
      <w:pPr>
        <w:bidi w:val="0"/>
        <w:ind w:firstLine="708"/>
        <w:jc w:val="both"/>
        <w:rPr>
          <w:rFonts w:ascii="Times New Roman" w:hAnsi="Times New Roman" w:cs="Times New Roman"/>
          <w:bCs/>
        </w:rPr>
      </w:pPr>
    </w:p>
    <w:p w:rsidR="00655688" w:rsidP="00655688">
      <w:pPr>
        <w:bidi w:val="0"/>
        <w:ind w:firstLine="708"/>
        <w:jc w:val="both"/>
        <w:rPr>
          <w:rFonts w:ascii="Times New Roman" w:hAnsi="Times New Roman" w:cs="Times New Roman"/>
          <w:bCs/>
        </w:rPr>
      </w:pPr>
      <w:r>
        <w:rPr>
          <w:rFonts w:ascii="Times New Roman" w:hAnsi="Times New Roman" w:cs="Times New Roman"/>
          <w:bCs/>
        </w:rPr>
        <w:t>Prehľad o skutočne dosiahnutých ukazovateľoch zamestnanosti v rokoch 2009 a 2010, o rozpočte ukazovateľov zamestnanosti v r. 2011 a o návrhu rozpočtu na roky 2012 až 2014 je uvedený v tabuľke.</w:t>
      </w:r>
    </w:p>
    <w:p w:rsidR="00655688" w:rsidP="00655688">
      <w:pPr>
        <w:bidi w:val="0"/>
        <w:ind w:firstLine="708"/>
        <w:jc w:val="both"/>
        <w:rPr>
          <w:rFonts w:ascii="Times New Roman" w:hAnsi="Times New Roman" w:cs="Times New Roman"/>
          <w:bCs/>
        </w:rPr>
      </w:pPr>
    </w:p>
    <w:p w:rsidR="00655688" w:rsidP="00655688">
      <w:pPr>
        <w:bidi w:val="0"/>
        <w:ind w:firstLine="708"/>
        <w:jc w:val="both"/>
        <w:rPr>
          <w:rFonts w:ascii="Times New Roman" w:hAnsi="Times New Roman" w:cs="Times New Roman"/>
          <w:bCs/>
        </w:rPr>
      </w:pPr>
    </w:p>
    <w:p w:rsidR="00655688" w:rsidP="00655688">
      <w:pPr>
        <w:bidi w:val="0"/>
        <w:jc w:val="both"/>
        <w:rPr>
          <w:rFonts w:ascii="Times New Roman" w:hAnsi="Times New Roman" w:cs="Times New Roman"/>
          <w:bCs/>
        </w:rPr>
      </w:pPr>
    </w:p>
    <w:tbl>
      <w:tblPr>
        <w:tblStyle w:val="TableNormal"/>
        <w:tblW w:w="9230" w:type="dxa"/>
        <w:jc w:val="center"/>
        <w:tblCellMar>
          <w:left w:w="70" w:type="dxa"/>
          <w:right w:w="70" w:type="dxa"/>
        </w:tblCellMar>
        <w:tblLook w:val="04A0"/>
      </w:tblPr>
      <w:tblGrid>
        <w:gridCol w:w="2500"/>
        <w:gridCol w:w="640"/>
        <w:gridCol w:w="1015"/>
        <w:gridCol w:w="1015"/>
        <w:gridCol w:w="1015"/>
        <w:gridCol w:w="1015"/>
        <w:gridCol w:w="1015"/>
        <w:gridCol w:w="1015"/>
      </w:tblGrid>
      <w:tr>
        <w:tblPrEx>
          <w:tblW w:w="9230" w:type="dxa"/>
          <w:jc w:val="center"/>
          <w:tblCellMar>
            <w:left w:w="70" w:type="dxa"/>
            <w:right w:w="70" w:type="dxa"/>
          </w:tblCellMar>
          <w:tblLook w:val="04A0"/>
        </w:tblPrEx>
        <w:trPr>
          <w:trHeight w:val="266"/>
          <w:jc w:val="center"/>
        </w:trPr>
        <w:tc>
          <w:tcPr>
            <w:tcW w:w="250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655688" w:rsidP="00257E12">
            <w:pPr>
              <w:bidi w:val="0"/>
              <w:rPr>
                <w:rFonts w:ascii="Times New Roman" w:hAnsi="Times New Roman" w:cs="Times New Roman"/>
                <w:b/>
                <w:bCs/>
                <w:sz w:val="14"/>
                <w:szCs w:val="14"/>
                <w:lang w:eastAsia="sk-SK"/>
              </w:rPr>
            </w:pPr>
            <w:r>
              <w:rPr>
                <w:rFonts w:ascii="Times New Roman" w:hAnsi="Times New Roman" w:cs="Times New Roman"/>
                <w:b/>
                <w:bCs/>
                <w:sz w:val="14"/>
                <w:szCs w:val="14"/>
                <w:lang w:eastAsia="sk-SK"/>
              </w:rPr>
              <w:t>Verejná správa spolu</w:t>
            </w:r>
          </w:p>
        </w:tc>
        <w:tc>
          <w:tcPr>
            <w:tcW w:w="64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655688" w:rsidP="00257E12">
            <w:pPr>
              <w:bidi w:val="0"/>
              <w:rPr>
                <w:rFonts w:ascii="Times New Roman" w:hAnsi="Times New Roman" w:cs="Times New Roman"/>
                <w:b/>
                <w:bCs/>
                <w:sz w:val="14"/>
                <w:szCs w:val="14"/>
                <w:lang w:eastAsia="sk-SK"/>
              </w:rPr>
            </w:pPr>
            <w:r>
              <w:rPr>
                <w:rFonts w:ascii="Times New Roman" w:hAnsi="Times New Roman" w:cs="Times New Roman"/>
                <w:b/>
                <w:bCs/>
                <w:sz w:val="14"/>
                <w:szCs w:val="14"/>
                <w:lang w:eastAsia="sk-SK"/>
              </w:rPr>
              <w:t> </w:t>
            </w:r>
          </w:p>
        </w:tc>
        <w:tc>
          <w:tcPr>
            <w:tcW w:w="1015"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2009 S</w:t>
            </w:r>
          </w:p>
        </w:tc>
        <w:tc>
          <w:tcPr>
            <w:tcW w:w="1015"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2010 S</w:t>
            </w:r>
          </w:p>
        </w:tc>
        <w:tc>
          <w:tcPr>
            <w:tcW w:w="1015"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2011 R</w:t>
            </w:r>
          </w:p>
        </w:tc>
        <w:tc>
          <w:tcPr>
            <w:tcW w:w="1015"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2012 N</w:t>
            </w:r>
          </w:p>
        </w:tc>
        <w:tc>
          <w:tcPr>
            <w:tcW w:w="1015"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2013 N</w:t>
            </w:r>
          </w:p>
        </w:tc>
        <w:tc>
          <w:tcPr>
            <w:tcW w:w="1015"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2014 N</w:t>
            </w:r>
          </w:p>
        </w:tc>
      </w:tr>
      <w:tr>
        <w:tblPrEx>
          <w:tblW w:w="9230" w:type="dxa"/>
          <w:jc w:val="center"/>
          <w:tblCellMar>
            <w:left w:w="70" w:type="dxa"/>
            <w:right w:w="70" w:type="dxa"/>
          </w:tblCellMar>
          <w:tblLook w:val="04A0"/>
        </w:tblPrEx>
        <w:trPr>
          <w:trHeight w:val="266"/>
          <w:jc w:val="center"/>
        </w:trPr>
        <w:tc>
          <w:tcPr>
            <w:tcW w:w="2500"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Počet zamestnancov</w:t>
            </w:r>
          </w:p>
        </w:tc>
        <w:tc>
          <w:tcPr>
            <w:tcW w:w="640"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(osoby)</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348 262</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350 056</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352 511</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344 218</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342 578</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340 614</w:t>
            </w:r>
          </w:p>
        </w:tc>
      </w:tr>
      <w:tr>
        <w:tblPrEx>
          <w:tblW w:w="9230" w:type="dxa"/>
          <w:jc w:val="center"/>
          <w:tblCellMar>
            <w:left w:w="70" w:type="dxa"/>
            <w:right w:w="70" w:type="dxa"/>
          </w:tblCellMar>
          <w:tblLook w:val="04A0"/>
        </w:tblPrEx>
        <w:trPr>
          <w:trHeight w:val="266"/>
          <w:jc w:val="center"/>
        </w:trPr>
        <w:tc>
          <w:tcPr>
            <w:tcW w:w="2500"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Osobné výdavky</w:t>
            </w:r>
          </w:p>
        </w:tc>
        <w:tc>
          <w:tcPr>
            <w:tcW w:w="640"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eur</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4 489 203 910</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4 605 080 033</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4 339 816 150</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4 510 150 611</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4 615 085 844</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4 733 321 267</w:t>
            </w:r>
          </w:p>
        </w:tc>
      </w:tr>
      <w:tr>
        <w:tblPrEx>
          <w:tblW w:w="9230" w:type="dxa"/>
          <w:jc w:val="center"/>
          <w:tblCellMar>
            <w:left w:w="70" w:type="dxa"/>
            <w:right w:w="70" w:type="dxa"/>
          </w:tblCellMar>
          <w:tblLook w:val="04A0"/>
        </w:tblPrEx>
        <w:trPr>
          <w:trHeight w:val="266"/>
          <w:jc w:val="center"/>
        </w:trPr>
        <w:tc>
          <w:tcPr>
            <w:tcW w:w="2500"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ind w:firstLine="183" w:firstLineChars="131"/>
              <w:rPr>
                <w:rFonts w:ascii="Times New Roman" w:hAnsi="Times New Roman" w:cs="Times New Roman"/>
                <w:i/>
                <w:iCs/>
                <w:sz w:val="14"/>
                <w:szCs w:val="14"/>
                <w:lang w:eastAsia="sk-SK"/>
              </w:rPr>
            </w:pPr>
            <w:r>
              <w:rPr>
                <w:rFonts w:ascii="Times New Roman" w:hAnsi="Times New Roman" w:cs="Times New Roman"/>
                <w:i/>
                <w:iCs/>
                <w:sz w:val="14"/>
                <w:szCs w:val="14"/>
                <w:lang w:eastAsia="sk-SK"/>
              </w:rPr>
              <w:t>z toho:</w:t>
            </w:r>
            <w:r>
              <w:rPr>
                <w:rFonts w:ascii="Times New Roman" w:hAnsi="Times New Roman" w:cs="Times New Roman"/>
                <w:sz w:val="14"/>
                <w:szCs w:val="14"/>
                <w:lang w:eastAsia="sk-SK"/>
              </w:rPr>
              <w:t xml:space="preserve"> mzdové výdavky</w:t>
            </w:r>
          </w:p>
        </w:tc>
        <w:tc>
          <w:tcPr>
            <w:tcW w:w="640"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eur</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3 352 918 988</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3 443 549 812</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3 227 763 705</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3 301 803 323</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3 380 550 830</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3 468 574 607</w:t>
            </w:r>
          </w:p>
        </w:tc>
      </w:tr>
      <w:tr>
        <w:tblPrEx>
          <w:tblW w:w="9230" w:type="dxa"/>
          <w:jc w:val="center"/>
          <w:tblCellMar>
            <w:left w:w="70" w:type="dxa"/>
            <w:right w:w="70" w:type="dxa"/>
          </w:tblCellMar>
          <w:tblLook w:val="04A0"/>
        </w:tblPrEx>
        <w:trPr>
          <w:trHeight w:val="266"/>
          <w:jc w:val="center"/>
        </w:trPr>
        <w:tc>
          <w:tcPr>
            <w:tcW w:w="2500"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Priemerný mzdový výdavok</w:t>
            </w:r>
          </w:p>
        </w:tc>
        <w:tc>
          <w:tcPr>
            <w:tcW w:w="640"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eur</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802,3</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819,76</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763,04</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799,35</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822,33</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848,61</w:t>
            </w:r>
          </w:p>
        </w:tc>
      </w:tr>
      <w:tr>
        <w:tblPrEx>
          <w:tblW w:w="9230" w:type="dxa"/>
          <w:jc w:val="center"/>
          <w:tblCellMar>
            <w:left w:w="70" w:type="dxa"/>
            <w:right w:w="70" w:type="dxa"/>
          </w:tblCellMar>
          <w:tblLook w:val="04A0"/>
        </w:tblPrEx>
        <w:trPr>
          <w:trHeight w:val="266"/>
          <w:jc w:val="center"/>
        </w:trPr>
        <w:tc>
          <w:tcPr>
            <w:tcW w:w="2500" w:type="dxa"/>
            <w:tcBorders>
              <w:top w:val="nil"/>
              <w:left w:val="single" w:sz="4" w:space="0" w:color="auto"/>
              <w:bottom w:val="single" w:sz="4" w:space="0" w:color="auto"/>
              <w:right w:val="single" w:sz="4" w:space="0" w:color="auto"/>
            </w:tcBorders>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Priemerná mzda zamestnanca v hospodárstve SR</w:t>
            </w:r>
          </w:p>
        </w:tc>
        <w:tc>
          <w:tcPr>
            <w:tcW w:w="640"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eur</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745</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769</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796</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839</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886</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942</w:t>
            </w:r>
          </w:p>
        </w:tc>
      </w:tr>
      <w:tr>
        <w:tblPrEx>
          <w:tblW w:w="9230" w:type="dxa"/>
          <w:jc w:val="center"/>
          <w:tblCellMar>
            <w:left w:w="70" w:type="dxa"/>
            <w:right w:w="70" w:type="dxa"/>
          </w:tblCellMar>
          <w:tblLook w:val="04A0"/>
        </w:tblPrEx>
        <w:trPr>
          <w:trHeight w:val="266"/>
          <w:jc w:val="center"/>
        </w:trPr>
        <w:tc>
          <w:tcPr>
            <w:tcW w:w="2500" w:type="dxa"/>
            <w:tcBorders>
              <w:top w:val="nil"/>
              <w:left w:val="single" w:sz="4" w:space="0" w:color="auto"/>
              <w:bottom w:val="nil"/>
              <w:right w:val="single" w:sz="4" w:space="0" w:color="auto"/>
            </w:tcBorders>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Index</w:t>
            </w:r>
          </w:p>
        </w:tc>
        <w:tc>
          <w:tcPr>
            <w:tcW w:w="640"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w:t>
            </w:r>
          </w:p>
        </w:tc>
        <w:tc>
          <w:tcPr>
            <w:tcW w:w="1015"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107,7</w:t>
            </w:r>
          </w:p>
        </w:tc>
        <w:tc>
          <w:tcPr>
            <w:tcW w:w="1015"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106,6</w:t>
            </w:r>
          </w:p>
        </w:tc>
        <w:tc>
          <w:tcPr>
            <w:tcW w:w="1015"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95,9</w:t>
            </w:r>
          </w:p>
        </w:tc>
        <w:tc>
          <w:tcPr>
            <w:tcW w:w="1015"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95,3</w:t>
            </w:r>
          </w:p>
        </w:tc>
        <w:tc>
          <w:tcPr>
            <w:tcW w:w="1015"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92,8</w:t>
            </w:r>
          </w:p>
        </w:tc>
        <w:tc>
          <w:tcPr>
            <w:tcW w:w="1015"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90,1</w:t>
            </w:r>
          </w:p>
        </w:tc>
      </w:tr>
      <w:tr>
        <w:tblPrEx>
          <w:tblW w:w="9230" w:type="dxa"/>
          <w:jc w:val="center"/>
          <w:tblCellMar>
            <w:left w:w="70" w:type="dxa"/>
            <w:right w:w="70" w:type="dxa"/>
          </w:tblCellMar>
          <w:tblLook w:val="04A0"/>
        </w:tblPrEx>
        <w:trPr>
          <w:trHeight w:val="266"/>
          <w:jc w:val="center"/>
        </w:trPr>
        <w:tc>
          <w:tcPr>
            <w:tcW w:w="2500" w:type="dxa"/>
            <w:tcBorders>
              <w:top w:val="nil"/>
              <w:left w:val="single" w:sz="4" w:space="0" w:color="auto"/>
              <w:bottom w:val="single" w:sz="4" w:space="0" w:color="auto"/>
              <w:right w:val="single" w:sz="4" w:space="0" w:color="auto"/>
            </w:tcBorders>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(Priemerný mzdový výdavok /</w:t>
              <w:br/>
              <w:t>Priemerná mzda zam. v hosp. SR)</w:t>
            </w:r>
          </w:p>
        </w:tc>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sz w:val="14"/>
                <w:szCs w:val="14"/>
                <w:lang w:eastAsia="sk-SK"/>
              </w:rPr>
            </w:pPr>
          </w:p>
        </w:tc>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b/>
                <w:bCs/>
                <w:sz w:val="14"/>
                <w:szCs w:val="14"/>
                <w:lang w:eastAsia="sk-SK"/>
              </w:rPr>
            </w:pPr>
          </w:p>
        </w:tc>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b/>
                <w:bCs/>
                <w:sz w:val="14"/>
                <w:szCs w:val="14"/>
                <w:lang w:eastAsia="sk-SK"/>
              </w:rPr>
            </w:pPr>
          </w:p>
        </w:tc>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b/>
                <w:bCs/>
                <w:sz w:val="14"/>
                <w:szCs w:val="14"/>
                <w:lang w:eastAsia="sk-SK"/>
              </w:rPr>
            </w:pPr>
          </w:p>
        </w:tc>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b/>
                <w:bCs/>
                <w:sz w:val="14"/>
                <w:szCs w:val="14"/>
                <w:lang w:eastAsia="sk-SK"/>
              </w:rPr>
            </w:pPr>
          </w:p>
        </w:tc>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b/>
                <w:bCs/>
                <w:sz w:val="14"/>
                <w:szCs w:val="14"/>
                <w:lang w:eastAsia="sk-SK"/>
              </w:rPr>
            </w:pPr>
          </w:p>
        </w:tc>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b/>
                <w:bCs/>
                <w:sz w:val="14"/>
                <w:szCs w:val="14"/>
                <w:lang w:eastAsia="sk-SK"/>
              </w:rPr>
            </w:pPr>
          </w:p>
        </w:tc>
      </w:tr>
    </w:tbl>
    <w:p w:rsidR="00655688" w:rsidP="00655688">
      <w:pPr>
        <w:bidi w:val="0"/>
        <w:jc w:val="both"/>
        <w:rPr>
          <w:rFonts w:ascii="Times New Roman" w:hAnsi="Times New Roman" w:cs="Times New Roman"/>
          <w:bCs/>
        </w:rPr>
      </w:pPr>
      <w:r>
        <w:rPr>
          <w:rFonts w:ascii="Times New Roman" w:hAnsi="Times New Roman" w:cs="Times New Roman"/>
          <w:bCs/>
        </w:rPr>
        <w:t xml:space="preserve">        </w:t>
      </w:r>
    </w:p>
    <w:p w:rsidR="00655688" w:rsidP="00655688">
      <w:pPr>
        <w:numPr>
          <w:ilvl w:val="2"/>
          <w:numId w:val="44"/>
        </w:numPr>
        <w:bidi w:val="0"/>
        <w:jc w:val="both"/>
        <w:rPr>
          <w:rFonts w:ascii="Times New Roman" w:hAnsi="Times New Roman" w:cs="Times New Roman"/>
          <w:b/>
          <w:bCs/>
        </w:rPr>
      </w:pPr>
      <w:r>
        <w:rPr>
          <w:rFonts w:ascii="Times New Roman" w:hAnsi="Times New Roman" w:cs="Times New Roman"/>
          <w:b/>
        </w:rPr>
        <w:t>Zamestnanosť</w:t>
      </w:r>
      <w:r>
        <w:rPr>
          <w:rFonts w:ascii="Times New Roman" w:hAnsi="Times New Roman" w:cs="Times New Roman"/>
          <w:b/>
          <w:bCs/>
        </w:rPr>
        <w:t xml:space="preserve"> financovaná zo štátneho rozpočtu</w:t>
      </w:r>
    </w:p>
    <w:p w:rsidR="00655688" w:rsidP="00655688">
      <w:pPr>
        <w:bidi w:val="0"/>
        <w:ind w:left="1080"/>
        <w:rPr>
          <w:rFonts w:ascii="Times New Roman" w:hAnsi="Times New Roman" w:cs="Times New Roman"/>
          <w:b/>
          <w:bCs/>
        </w:rPr>
      </w:pPr>
    </w:p>
    <w:p w:rsidR="00655688" w:rsidP="00655688">
      <w:pPr>
        <w:bidi w:val="0"/>
        <w:ind w:firstLine="360"/>
        <w:jc w:val="both"/>
        <w:rPr>
          <w:rFonts w:ascii="Times New Roman" w:hAnsi="Times New Roman" w:cs="Times New Roman"/>
          <w:bCs/>
        </w:rPr>
      </w:pPr>
      <w:r>
        <w:rPr>
          <w:rFonts w:ascii="Times New Roman" w:hAnsi="Times New Roman" w:cs="Times New Roman"/>
          <w:bCs/>
        </w:rPr>
        <w:t xml:space="preserve">      Návrh rozpočtu osobných výdavkov financovaných zo štátneho rozpočtu zohľadňuje  výdavky na mzdy, platy, služobné príjmy a ostatné osobné vyrovnania vrátane poistného a príspevku do poisťovní pre zamestnancov štátnych rozpočtových a príspevkových organizácií, verejných vysokých škôl a preneseného výkonu štátnej správy na úseku regionálneho školstva.</w:t>
      </w:r>
    </w:p>
    <w:p w:rsidR="00655688" w:rsidP="00655688">
      <w:pPr>
        <w:bidi w:val="0"/>
        <w:ind w:firstLine="360"/>
        <w:jc w:val="both"/>
        <w:rPr>
          <w:rFonts w:ascii="Times New Roman" w:hAnsi="Times New Roman" w:cs="Times New Roman"/>
          <w:bCs/>
        </w:rPr>
      </w:pPr>
    </w:p>
    <w:p w:rsidR="00655688" w:rsidP="00655688">
      <w:pPr>
        <w:bidi w:val="0"/>
        <w:ind w:firstLine="708"/>
        <w:jc w:val="both"/>
        <w:rPr>
          <w:rFonts w:ascii="Times New Roman" w:hAnsi="Times New Roman" w:cs="Times New Roman"/>
          <w:bCs/>
        </w:rPr>
      </w:pPr>
      <w:r>
        <w:rPr>
          <w:rFonts w:ascii="Times New Roman" w:hAnsi="Times New Roman" w:cs="Times New Roman"/>
          <w:bCs/>
        </w:rPr>
        <w:t xml:space="preserve">Pri financovaní osobných výdavkov v štátnom rozpočte prichádza každoročne k dvom podstatným rozdielom medzi rozpočtom a skutočnosťou. Prvý rozdiel sa dotýka počtu zamestnancov a druhý objemu mzdových výdavkov. </w:t>
      </w:r>
    </w:p>
    <w:p w:rsidR="00655688" w:rsidP="00655688">
      <w:pPr>
        <w:bidi w:val="0"/>
        <w:ind w:firstLine="360"/>
        <w:jc w:val="both"/>
        <w:rPr>
          <w:rFonts w:ascii="Times New Roman" w:hAnsi="Times New Roman" w:cs="Times New Roman"/>
          <w:bCs/>
        </w:rPr>
      </w:pPr>
    </w:p>
    <w:p w:rsidR="00655688" w:rsidP="00655688">
      <w:pPr>
        <w:bidi w:val="0"/>
        <w:ind w:firstLine="708"/>
        <w:jc w:val="both"/>
        <w:rPr>
          <w:rFonts w:ascii="Times New Roman" w:hAnsi="Times New Roman" w:cs="Times New Roman"/>
          <w:bCs/>
        </w:rPr>
      </w:pPr>
      <w:r>
        <w:rPr>
          <w:rFonts w:ascii="Times New Roman" w:hAnsi="Times New Roman" w:cs="Times New Roman"/>
          <w:bCs/>
        </w:rPr>
        <w:t xml:space="preserve">V rozpočte dostane každá kapitola pridelený disponibilný počet pracovných miest, tzv. tabuľkový počet. V skutočnosti sa však približne 5 % týchto pracovných miest nenaplní. Dôvodom je prirodzená fluktuácia, pri ktorej je istý časový rozdiel medzi momentom, kedy pracovník z organizácie odíde a kým nový pracovník nastúpi. Časový rozdiel je mnohokrát spôsobený aj administratívnou náročnosťou výberových konaní do všetkých druhov štátnej služby. Druhým rozdielom je limitovaný objem finančných prostriedkov, ktorý vedie verejné organizácie niektoré miesta neobsadzovať a takto ušetrené zdroje použiť na platy existujúcich zamestnancov. </w:t>
      </w:r>
    </w:p>
    <w:p w:rsidR="00655688" w:rsidP="00655688">
      <w:pPr>
        <w:bidi w:val="0"/>
        <w:ind w:firstLine="360"/>
        <w:jc w:val="both"/>
        <w:rPr>
          <w:rFonts w:ascii="Times New Roman" w:hAnsi="Times New Roman" w:cs="Times New Roman"/>
          <w:bCs/>
        </w:rPr>
      </w:pPr>
    </w:p>
    <w:p w:rsidR="00655688" w:rsidP="00655688">
      <w:pPr>
        <w:bidi w:val="0"/>
        <w:ind w:firstLine="708"/>
        <w:jc w:val="both"/>
        <w:rPr>
          <w:rFonts w:ascii="Times New Roman" w:hAnsi="Times New Roman" w:cs="Times New Roman"/>
          <w:bCs/>
        </w:rPr>
      </w:pPr>
      <w:r>
        <w:rPr>
          <w:rFonts w:ascii="Times New Roman" w:hAnsi="Times New Roman" w:cs="Times New Roman"/>
          <w:bCs/>
        </w:rPr>
        <w:t xml:space="preserve">Rozpočtovaný objem finančných zdrojov je v priebehu roku navyšovaný o zdroje z EÚ fondov vyčlenené na technickú asistenciu a o mimorozpočtové zdroje, ktorých objem dosahuje približne 73 mil. eur ročne.   </w:t>
      </w:r>
    </w:p>
    <w:p w:rsidR="00655688" w:rsidP="00655688">
      <w:pPr>
        <w:bidi w:val="0"/>
        <w:ind w:firstLine="360"/>
        <w:jc w:val="both"/>
        <w:rPr>
          <w:rFonts w:ascii="Times New Roman" w:hAnsi="Times New Roman" w:cs="Times New Roman"/>
          <w:bCs/>
        </w:rPr>
      </w:pPr>
    </w:p>
    <w:p w:rsidR="00655688" w:rsidP="00655688">
      <w:pPr>
        <w:bidi w:val="0"/>
        <w:ind w:firstLine="360"/>
        <w:jc w:val="both"/>
        <w:rPr>
          <w:rFonts w:ascii="Times New Roman" w:hAnsi="Times New Roman" w:cs="Times New Roman"/>
          <w:bCs/>
        </w:rPr>
      </w:pPr>
      <w:r>
        <w:rPr>
          <w:rFonts w:ascii="Times New Roman" w:hAnsi="Times New Roman" w:cs="Times New Roman"/>
          <w:bCs/>
        </w:rPr>
        <w:tab/>
        <w:t xml:space="preserve">Výsledkom vyššie uvedených faktorov je, že skutočný počet zamestnancov je nižší ako rozpočtovaný a skutočný objem mzdových výdavkov je naopak vyšší ako rozpočtovaný. Údaje o očakávanej skutočnosti za roky 2012 až 2014 už majú v sebe oba tieto faktory započítané.   </w:t>
      </w:r>
    </w:p>
    <w:p w:rsidR="00655688" w:rsidP="00655688">
      <w:pPr>
        <w:bidi w:val="0"/>
        <w:ind w:firstLine="360"/>
        <w:jc w:val="both"/>
        <w:rPr>
          <w:rFonts w:ascii="Times New Roman" w:hAnsi="Times New Roman" w:cs="Times New Roman"/>
          <w:bCs/>
        </w:rPr>
      </w:pPr>
    </w:p>
    <w:p w:rsidR="00655688" w:rsidP="00655688">
      <w:pPr>
        <w:bidi w:val="0"/>
        <w:spacing w:after="120"/>
        <w:ind w:firstLine="357"/>
        <w:jc w:val="both"/>
        <w:rPr>
          <w:rFonts w:ascii="Times New Roman" w:hAnsi="Times New Roman" w:cs="Times New Roman"/>
          <w:bCs/>
        </w:rPr>
      </w:pPr>
      <w:r>
        <w:rPr>
          <w:rFonts w:ascii="Times New Roman" w:hAnsi="Times New Roman" w:cs="Times New Roman"/>
          <w:bCs/>
        </w:rPr>
        <w:t>Prehľad o počte zamestnancov financovaných zo štátneho rozpočtu poskytuje tabuľka.</w:t>
      </w:r>
    </w:p>
    <w:tbl>
      <w:tblPr>
        <w:tblStyle w:val="TableNormal"/>
        <w:tblW w:w="9100" w:type="dxa"/>
        <w:tblInd w:w="55" w:type="dxa"/>
        <w:tblCellMar>
          <w:left w:w="70" w:type="dxa"/>
          <w:right w:w="70" w:type="dxa"/>
        </w:tblCellMar>
        <w:tblLook w:val="04A0"/>
      </w:tblPr>
      <w:tblGrid>
        <w:gridCol w:w="4140"/>
        <w:gridCol w:w="700"/>
        <w:gridCol w:w="700"/>
        <w:gridCol w:w="700"/>
        <w:gridCol w:w="760"/>
        <w:gridCol w:w="700"/>
        <w:gridCol w:w="700"/>
        <w:gridCol w:w="700"/>
      </w:tblGrid>
      <w:tr>
        <w:tblPrEx>
          <w:tblW w:w="9100" w:type="dxa"/>
          <w:tblInd w:w="55" w:type="dxa"/>
          <w:tblCellMar>
            <w:left w:w="70" w:type="dxa"/>
            <w:right w:w="70" w:type="dxa"/>
          </w:tblCellMar>
          <w:tblLook w:val="04A0"/>
        </w:tblPrEx>
        <w:trPr>
          <w:trHeight w:val="300"/>
        </w:trPr>
        <w:tc>
          <w:tcPr>
            <w:tcW w:w="414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(osoby)</w:t>
            </w:r>
          </w:p>
        </w:tc>
        <w:tc>
          <w:tcPr>
            <w:tcW w:w="70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2009 S</w:t>
            </w:r>
          </w:p>
        </w:tc>
        <w:tc>
          <w:tcPr>
            <w:tcW w:w="70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2010 S</w:t>
            </w:r>
          </w:p>
        </w:tc>
        <w:tc>
          <w:tcPr>
            <w:tcW w:w="70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2011 R</w:t>
            </w:r>
          </w:p>
        </w:tc>
        <w:tc>
          <w:tcPr>
            <w:tcW w:w="76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2011 OS</w:t>
            </w:r>
          </w:p>
        </w:tc>
        <w:tc>
          <w:tcPr>
            <w:tcW w:w="70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2012 N</w:t>
            </w:r>
          </w:p>
        </w:tc>
        <w:tc>
          <w:tcPr>
            <w:tcW w:w="70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2013 N</w:t>
            </w:r>
          </w:p>
        </w:tc>
        <w:tc>
          <w:tcPr>
            <w:tcW w:w="70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2014 N</w:t>
            </w:r>
          </w:p>
        </w:tc>
      </w:tr>
      <w:tr>
        <w:tblPrEx>
          <w:tblW w:w="9100" w:type="dxa"/>
          <w:tblInd w:w="55" w:type="dxa"/>
          <w:tblCellMar>
            <w:left w:w="70" w:type="dxa"/>
            <w:right w:w="70" w:type="dxa"/>
          </w:tblCellMar>
          <w:tblLook w:val="04A0"/>
        </w:tblPrEx>
        <w:trPr>
          <w:trHeight w:val="300"/>
        </w:trPr>
        <w:tc>
          <w:tcPr>
            <w:tcW w:w="4140" w:type="dxa"/>
            <w:tcBorders>
              <w:top w:val="nil"/>
              <w:left w:val="single" w:sz="4" w:space="0" w:color="auto"/>
              <w:bottom w:val="single" w:sz="4" w:space="0" w:color="auto"/>
              <w:right w:val="single" w:sz="4" w:space="0" w:color="auto"/>
            </w:tcBorders>
            <w:shd w:val="clear" w:color="auto" w:fill="BFBFBF"/>
            <w:noWrap/>
            <w:textDirection w:val="lrTb"/>
            <w:vAlign w:val="bottom"/>
            <w:hideMark/>
          </w:tcPr>
          <w:p w:rsidR="00655688" w:rsidP="00257E12">
            <w:pPr>
              <w:bidi w:val="0"/>
              <w:rPr>
                <w:rFonts w:ascii="Times New Roman" w:hAnsi="Times New Roman" w:cs="Times New Roman"/>
                <w:b/>
                <w:bCs/>
                <w:sz w:val="14"/>
                <w:szCs w:val="14"/>
                <w:lang w:eastAsia="sk-SK"/>
              </w:rPr>
            </w:pPr>
            <w:r>
              <w:rPr>
                <w:rFonts w:ascii="Times New Roman" w:hAnsi="Times New Roman" w:cs="Times New Roman"/>
                <w:b/>
                <w:bCs/>
                <w:sz w:val="14"/>
                <w:szCs w:val="14"/>
                <w:lang w:eastAsia="sk-SK"/>
              </w:rPr>
              <w:t>Počet zamestnancov financovaných zo štátneho rozpočtu</w:t>
            </w:r>
          </w:p>
        </w:tc>
        <w:tc>
          <w:tcPr>
            <w:tcW w:w="700" w:type="dxa"/>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234 892</w:t>
            </w:r>
          </w:p>
        </w:tc>
        <w:tc>
          <w:tcPr>
            <w:tcW w:w="700" w:type="dxa"/>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234 582</w:t>
            </w:r>
          </w:p>
        </w:tc>
        <w:tc>
          <w:tcPr>
            <w:tcW w:w="700" w:type="dxa"/>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237 007</w:t>
            </w:r>
          </w:p>
        </w:tc>
        <w:tc>
          <w:tcPr>
            <w:tcW w:w="760" w:type="dxa"/>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229 755</w:t>
            </w:r>
          </w:p>
        </w:tc>
        <w:tc>
          <w:tcPr>
            <w:tcW w:w="700" w:type="dxa"/>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229 363</w:t>
            </w:r>
          </w:p>
        </w:tc>
        <w:tc>
          <w:tcPr>
            <w:tcW w:w="700" w:type="dxa"/>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228 323</w:t>
            </w:r>
          </w:p>
        </w:tc>
        <w:tc>
          <w:tcPr>
            <w:tcW w:w="700" w:type="dxa"/>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227 532</w:t>
            </w:r>
          </w:p>
        </w:tc>
      </w:tr>
      <w:tr>
        <w:tblPrEx>
          <w:tblW w:w="9100" w:type="dxa"/>
          <w:tblInd w:w="55" w:type="dxa"/>
          <w:tblCellMar>
            <w:left w:w="70" w:type="dxa"/>
            <w:right w:w="70" w:type="dxa"/>
          </w:tblCellMar>
          <w:tblLook w:val="04A0"/>
        </w:tblPrEx>
        <w:trPr>
          <w:trHeight w:val="300"/>
        </w:trPr>
        <w:tc>
          <w:tcPr>
            <w:tcW w:w="4140"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štátne rozpočtové organizácie</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127 759</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127 380</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128 681</w:t>
            </w:r>
          </w:p>
        </w:tc>
        <w:tc>
          <w:tcPr>
            <w:tcW w:w="76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122 588</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128 037</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128 200</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128 347</w:t>
            </w:r>
          </w:p>
        </w:tc>
      </w:tr>
      <w:tr>
        <w:tblPrEx>
          <w:tblW w:w="9100" w:type="dxa"/>
          <w:tblInd w:w="55" w:type="dxa"/>
          <w:tblCellMar>
            <w:left w:w="70" w:type="dxa"/>
            <w:right w:w="70" w:type="dxa"/>
          </w:tblCellMar>
          <w:tblLook w:val="04A0"/>
        </w:tblPrEx>
        <w:trPr>
          <w:trHeight w:val="300"/>
        </w:trPr>
        <w:tc>
          <w:tcPr>
            <w:tcW w:w="4140"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štátne príspevkové organizácie</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10 446</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10 307</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10 589</w:t>
            </w:r>
          </w:p>
        </w:tc>
        <w:tc>
          <w:tcPr>
            <w:tcW w:w="76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10 053</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10 526</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10 525</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10 523</w:t>
            </w:r>
          </w:p>
        </w:tc>
      </w:tr>
      <w:tr>
        <w:tblPrEx>
          <w:tblW w:w="9100" w:type="dxa"/>
          <w:tblInd w:w="55" w:type="dxa"/>
          <w:tblCellMar>
            <w:left w:w="70" w:type="dxa"/>
            <w:right w:w="70" w:type="dxa"/>
          </w:tblCellMar>
          <w:tblLook w:val="04A0"/>
        </w:tblPrEx>
        <w:trPr>
          <w:trHeight w:val="300"/>
        </w:trPr>
        <w:tc>
          <w:tcPr>
            <w:tcW w:w="4140"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verejné vysoké školy</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21 443</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21 673</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21 529</w:t>
            </w:r>
          </w:p>
        </w:tc>
        <w:tc>
          <w:tcPr>
            <w:tcW w:w="76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21 727</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19 666</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19 258</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18 630</w:t>
            </w:r>
          </w:p>
        </w:tc>
      </w:tr>
      <w:tr>
        <w:tblPrEx>
          <w:tblW w:w="9100" w:type="dxa"/>
          <w:tblInd w:w="55" w:type="dxa"/>
          <w:tblCellMar>
            <w:left w:w="70" w:type="dxa"/>
            <w:right w:w="70" w:type="dxa"/>
          </w:tblCellMar>
          <w:tblLook w:val="04A0"/>
        </w:tblPrEx>
        <w:trPr>
          <w:trHeight w:val="300"/>
        </w:trPr>
        <w:tc>
          <w:tcPr>
            <w:tcW w:w="4140"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regionálne školstvo v územnej samospráve</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68 084</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67 814</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69 771</w:t>
            </w:r>
          </w:p>
        </w:tc>
        <w:tc>
          <w:tcPr>
            <w:tcW w:w="76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67 880</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65 094</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64 363</w:t>
            </w:r>
          </w:p>
        </w:tc>
        <w:tc>
          <w:tcPr>
            <w:tcW w:w="7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64 078</w:t>
            </w:r>
          </w:p>
        </w:tc>
      </w:tr>
      <w:tr>
        <w:tblPrEx>
          <w:tblW w:w="9100" w:type="dxa"/>
          <w:tblInd w:w="55" w:type="dxa"/>
          <w:tblCellMar>
            <w:left w:w="70" w:type="dxa"/>
            <w:right w:w="70" w:type="dxa"/>
          </w:tblCellMar>
          <w:tblLook w:val="04A0"/>
        </w:tblPrEx>
        <w:trPr>
          <w:trHeight w:val="300"/>
        </w:trPr>
        <w:tc>
          <w:tcPr>
            <w:tcW w:w="4140" w:type="dxa"/>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regionálne školstvo súkromných a cirkevných zriaďovateľov*</w:t>
            </w:r>
          </w:p>
        </w:tc>
        <w:tc>
          <w:tcPr>
            <w:tcW w:w="700" w:type="dxa"/>
            <w:tcBorders>
              <w:top w:val="single" w:sz="4" w:space="0" w:color="auto"/>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7 160</w:t>
            </w:r>
          </w:p>
        </w:tc>
        <w:tc>
          <w:tcPr>
            <w:tcW w:w="700" w:type="dxa"/>
            <w:tcBorders>
              <w:top w:val="single" w:sz="4" w:space="0" w:color="auto"/>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7 408</w:t>
            </w:r>
          </w:p>
        </w:tc>
        <w:tc>
          <w:tcPr>
            <w:tcW w:w="700" w:type="dxa"/>
            <w:tcBorders>
              <w:top w:val="single" w:sz="4" w:space="0" w:color="auto"/>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6 437</w:t>
            </w:r>
          </w:p>
        </w:tc>
        <w:tc>
          <w:tcPr>
            <w:tcW w:w="760" w:type="dxa"/>
            <w:tcBorders>
              <w:top w:val="single" w:sz="4" w:space="0" w:color="auto"/>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7 507</w:t>
            </w:r>
          </w:p>
        </w:tc>
        <w:tc>
          <w:tcPr>
            <w:tcW w:w="700" w:type="dxa"/>
            <w:tcBorders>
              <w:top w:val="single" w:sz="4" w:space="0" w:color="auto"/>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6 040</w:t>
            </w:r>
          </w:p>
        </w:tc>
        <w:tc>
          <w:tcPr>
            <w:tcW w:w="700" w:type="dxa"/>
            <w:tcBorders>
              <w:top w:val="single" w:sz="4" w:space="0" w:color="auto"/>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5 977</w:t>
            </w:r>
          </w:p>
        </w:tc>
        <w:tc>
          <w:tcPr>
            <w:tcW w:w="700" w:type="dxa"/>
            <w:tcBorders>
              <w:top w:val="single" w:sz="4" w:space="0" w:color="auto"/>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5 954</w:t>
            </w:r>
          </w:p>
        </w:tc>
      </w:tr>
      <w:tr>
        <w:tblPrEx>
          <w:tblW w:w="9100" w:type="dxa"/>
          <w:tblInd w:w="55" w:type="dxa"/>
          <w:tblCellMar>
            <w:left w:w="70" w:type="dxa"/>
            <w:right w:w="70" w:type="dxa"/>
          </w:tblCellMar>
          <w:tblLook w:val="04A0"/>
        </w:tblPrEx>
        <w:trPr>
          <w:trHeight w:val="300"/>
        </w:trPr>
        <w:tc>
          <w:tcPr>
            <w:tcW w:w="4140" w:type="dxa"/>
            <w:tcBorders>
              <w:top w:val="single" w:sz="4" w:space="0" w:color="auto"/>
              <w:left w:val="nil"/>
              <w:bottom w:val="nil"/>
              <w:right w:val="nil"/>
            </w:tcBorders>
            <w:noWrap/>
            <w:textDirection w:val="lrTb"/>
            <w:vAlign w:val="top"/>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*nepatrí do sektora verejnej správy</w:t>
            </w:r>
          </w:p>
        </w:tc>
        <w:tc>
          <w:tcPr>
            <w:tcW w:w="700" w:type="dxa"/>
            <w:tcBorders>
              <w:top w:val="single" w:sz="4" w:space="0" w:color="auto"/>
              <w:left w:val="nil"/>
              <w:bottom w:val="nil"/>
              <w:right w:val="nil"/>
            </w:tcBorders>
            <w:noWrap/>
            <w:textDirection w:val="lrTb"/>
            <w:vAlign w:val="top"/>
          </w:tcPr>
          <w:p w:rsidR="00655688" w:rsidP="00257E12">
            <w:pPr>
              <w:bidi w:val="0"/>
              <w:rPr>
                <w:rFonts w:ascii="Times New Roman" w:hAnsi="Times New Roman" w:cs="Times New Roman"/>
                <w:sz w:val="14"/>
                <w:szCs w:val="14"/>
                <w:lang w:eastAsia="sk-SK"/>
              </w:rPr>
            </w:pPr>
          </w:p>
        </w:tc>
        <w:tc>
          <w:tcPr>
            <w:tcW w:w="700" w:type="dxa"/>
            <w:tcBorders>
              <w:top w:val="single" w:sz="4" w:space="0" w:color="auto"/>
              <w:left w:val="nil"/>
              <w:bottom w:val="nil"/>
              <w:right w:val="nil"/>
            </w:tcBorders>
            <w:noWrap/>
            <w:textDirection w:val="lrTb"/>
            <w:vAlign w:val="top"/>
          </w:tcPr>
          <w:p w:rsidR="00655688" w:rsidP="00257E12">
            <w:pPr>
              <w:bidi w:val="0"/>
              <w:rPr>
                <w:rFonts w:ascii="Times New Roman" w:hAnsi="Times New Roman" w:cs="Times New Roman"/>
                <w:sz w:val="14"/>
                <w:szCs w:val="14"/>
                <w:lang w:eastAsia="sk-SK"/>
              </w:rPr>
            </w:pPr>
          </w:p>
        </w:tc>
        <w:tc>
          <w:tcPr>
            <w:tcW w:w="700" w:type="dxa"/>
            <w:tcBorders>
              <w:top w:val="single" w:sz="4" w:space="0" w:color="auto"/>
              <w:left w:val="nil"/>
              <w:bottom w:val="nil"/>
              <w:right w:val="nil"/>
            </w:tcBorders>
            <w:noWrap/>
            <w:textDirection w:val="lrTb"/>
            <w:vAlign w:val="top"/>
          </w:tcPr>
          <w:p w:rsidR="00655688" w:rsidP="00257E12">
            <w:pPr>
              <w:bidi w:val="0"/>
              <w:rPr>
                <w:rFonts w:ascii="Times New Roman" w:hAnsi="Times New Roman" w:cs="Times New Roman"/>
                <w:sz w:val="14"/>
                <w:szCs w:val="14"/>
                <w:lang w:eastAsia="sk-SK"/>
              </w:rPr>
            </w:pPr>
          </w:p>
        </w:tc>
        <w:tc>
          <w:tcPr>
            <w:tcW w:w="760" w:type="dxa"/>
            <w:tcBorders>
              <w:top w:val="single" w:sz="4" w:space="0" w:color="auto"/>
              <w:left w:val="nil"/>
              <w:bottom w:val="nil"/>
              <w:right w:val="nil"/>
            </w:tcBorders>
            <w:noWrap/>
            <w:textDirection w:val="lrTb"/>
            <w:vAlign w:val="top"/>
          </w:tcPr>
          <w:p w:rsidR="00655688" w:rsidP="00257E12">
            <w:pPr>
              <w:bidi w:val="0"/>
              <w:rPr>
                <w:rFonts w:ascii="Times New Roman" w:hAnsi="Times New Roman" w:cs="Times New Roman"/>
                <w:sz w:val="14"/>
                <w:szCs w:val="14"/>
                <w:lang w:eastAsia="sk-SK"/>
              </w:rPr>
            </w:pPr>
          </w:p>
        </w:tc>
        <w:tc>
          <w:tcPr>
            <w:tcW w:w="700" w:type="dxa"/>
            <w:tcBorders>
              <w:top w:val="single" w:sz="4" w:space="0" w:color="auto"/>
              <w:left w:val="nil"/>
              <w:bottom w:val="nil"/>
              <w:right w:val="nil"/>
            </w:tcBorders>
            <w:noWrap/>
            <w:textDirection w:val="lrTb"/>
            <w:vAlign w:val="top"/>
          </w:tcPr>
          <w:p w:rsidR="00655688" w:rsidP="00257E12">
            <w:pPr>
              <w:bidi w:val="0"/>
              <w:rPr>
                <w:rFonts w:ascii="Times New Roman" w:hAnsi="Times New Roman" w:cs="Times New Roman"/>
                <w:sz w:val="14"/>
                <w:szCs w:val="14"/>
                <w:lang w:eastAsia="sk-SK"/>
              </w:rPr>
            </w:pPr>
          </w:p>
        </w:tc>
        <w:tc>
          <w:tcPr>
            <w:tcW w:w="700" w:type="dxa"/>
            <w:tcBorders>
              <w:top w:val="single" w:sz="4" w:space="0" w:color="auto"/>
              <w:left w:val="nil"/>
              <w:bottom w:val="nil"/>
              <w:right w:val="nil"/>
            </w:tcBorders>
            <w:noWrap/>
            <w:textDirection w:val="lrTb"/>
            <w:vAlign w:val="top"/>
          </w:tcPr>
          <w:p w:rsidR="00655688" w:rsidP="00257E12">
            <w:pPr>
              <w:bidi w:val="0"/>
              <w:rPr>
                <w:rFonts w:ascii="Times New Roman" w:hAnsi="Times New Roman" w:cs="Times New Roman"/>
                <w:sz w:val="14"/>
                <w:szCs w:val="14"/>
                <w:lang w:eastAsia="sk-SK"/>
              </w:rPr>
            </w:pPr>
          </w:p>
        </w:tc>
        <w:tc>
          <w:tcPr>
            <w:tcW w:w="700" w:type="dxa"/>
            <w:tcBorders>
              <w:top w:val="single" w:sz="4" w:space="0" w:color="auto"/>
              <w:left w:val="nil"/>
              <w:bottom w:val="nil"/>
              <w:right w:val="nil"/>
            </w:tcBorders>
            <w:noWrap/>
            <w:textDirection w:val="lrTb"/>
            <w:vAlign w:val="top"/>
          </w:tcPr>
          <w:p w:rsidR="00655688" w:rsidP="00257E12">
            <w:pPr>
              <w:bidi w:val="0"/>
              <w:rPr>
                <w:rFonts w:ascii="Times New Roman" w:hAnsi="Times New Roman" w:cs="Times New Roman"/>
                <w:sz w:val="14"/>
                <w:szCs w:val="14"/>
                <w:lang w:eastAsia="sk-SK"/>
              </w:rPr>
            </w:pPr>
          </w:p>
        </w:tc>
      </w:tr>
    </w:tbl>
    <w:p w:rsidR="00655688" w:rsidP="00655688">
      <w:pPr>
        <w:bidi w:val="0"/>
        <w:ind w:left="720"/>
        <w:rPr>
          <w:rFonts w:ascii="Times New Roman" w:hAnsi="Times New Roman" w:cs="Times New Roman"/>
          <w:bCs/>
          <w:i/>
          <w:iCs/>
          <w:u w:val="single"/>
        </w:rPr>
      </w:pPr>
      <w:r>
        <w:rPr>
          <w:rFonts w:ascii="Times New Roman" w:hAnsi="Times New Roman" w:cs="Times New Roman"/>
          <w:bCs/>
          <w:u w:val="single"/>
        </w:rPr>
        <w:t>Osobné výdavky rozpočtových organizácií štátu</w:t>
      </w:r>
      <w:bookmarkEnd w:id="62"/>
    </w:p>
    <w:p w:rsidR="00655688" w:rsidP="00655688">
      <w:pPr>
        <w:bidi w:val="0"/>
        <w:jc w:val="both"/>
        <w:rPr>
          <w:rFonts w:ascii="Times New Roman" w:hAnsi="Times New Roman" w:cs="Times New Roman"/>
        </w:rPr>
      </w:pPr>
    </w:p>
    <w:p w:rsidR="00655688" w:rsidP="00655688">
      <w:pPr>
        <w:bidi w:val="0"/>
        <w:jc w:val="both"/>
        <w:rPr>
          <w:rFonts w:ascii="Times New Roman" w:hAnsi="Times New Roman" w:cs="Times New Roman"/>
          <w:bCs/>
        </w:rPr>
      </w:pPr>
      <w:r>
        <w:rPr>
          <w:rFonts w:ascii="Times New Roman" w:hAnsi="Times New Roman" w:cs="Times New Roman"/>
          <w:bCs/>
        </w:rPr>
        <w:tab/>
        <w:t xml:space="preserve">Návrh rozpočtu osobných výdavkov zamestnancov rozpočtových organizácií kapitol štátneho rozpočtu na rok 2012 je zostavený pre  </w:t>
      </w:r>
      <w:r>
        <w:rPr>
          <w:rFonts w:ascii="Times New Roman" w:hAnsi="Times New Roman" w:cs="Times New Roman"/>
          <w:bCs/>
          <w:u w:val="single"/>
        </w:rPr>
        <w:t>128 037 zamestnancov</w:t>
      </w:r>
      <w:r>
        <w:rPr>
          <w:rFonts w:ascii="Times New Roman" w:hAnsi="Times New Roman" w:cs="Times New Roman"/>
          <w:bCs/>
        </w:rPr>
        <w:t xml:space="preserve">. </w:t>
      </w:r>
    </w:p>
    <w:p w:rsidR="00655688" w:rsidP="00655688">
      <w:pPr>
        <w:bidi w:val="0"/>
        <w:jc w:val="center"/>
        <w:rPr>
          <w:rFonts w:ascii="Times New Roman" w:hAnsi="Times New Roman" w:cs="Times New Roman"/>
          <w:bCs/>
        </w:rPr>
      </w:pPr>
    </w:p>
    <w:tbl>
      <w:tblPr>
        <w:tblStyle w:val="TableNormal"/>
        <w:tblW w:w="5000" w:type="pct"/>
        <w:tblCellMar>
          <w:left w:w="70" w:type="dxa"/>
          <w:right w:w="70" w:type="dxa"/>
        </w:tblCellMar>
        <w:tblLook w:val="04A0"/>
      </w:tblPr>
      <w:tblGrid>
        <w:gridCol w:w="3015"/>
        <w:gridCol w:w="529"/>
        <w:gridCol w:w="809"/>
        <w:gridCol w:w="809"/>
        <w:gridCol w:w="809"/>
        <w:gridCol w:w="809"/>
        <w:gridCol w:w="809"/>
        <w:gridCol w:w="809"/>
        <w:gridCol w:w="814"/>
      </w:tblGrid>
      <w:tr>
        <w:tblPrEx>
          <w:tblW w:w="5000" w:type="pct"/>
          <w:tblCellMar>
            <w:left w:w="70" w:type="dxa"/>
            <w:right w:w="70" w:type="dxa"/>
          </w:tblCellMar>
          <w:tblLook w:val="04A0"/>
        </w:tblPrEx>
        <w:trPr>
          <w:trHeight w:val="266"/>
        </w:trPr>
        <w:tc>
          <w:tcPr>
            <w:tcW w:w="1637" w:type="pct"/>
            <w:tcBorders>
              <w:top w:val="single" w:sz="4" w:space="0" w:color="auto"/>
              <w:left w:val="single" w:sz="4" w:space="0" w:color="auto"/>
              <w:bottom w:val="single" w:sz="4" w:space="0" w:color="auto"/>
              <w:right w:val="single" w:sz="4" w:space="0" w:color="auto"/>
            </w:tcBorders>
            <w:shd w:val="clear" w:color="auto" w:fill="A6A6A6"/>
            <w:textDirection w:val="lrTb"/>
            <w:vAlign w:val="bottom"/>
            <w:hideMark/>
          </w:tcPr>
          <w:p w:rsidR="00655688" w:rsidP="00257E12">
            <w:pPr>
              <w:bidi w:val="0"/>
              <w:rPr>
                <w:rFonts w:ascii="Times New Roman" w:hAnsi="Times New Roman" w:cs="Times New Roman"/>
                <w:b/>
                <w:bCs/>
                <w:sz w:val="14"/>
                <w:szCs w:val="14"/>
                <w:lang w:eastAsia="sk-SK"/>
              </w:rPr>
            </w:pPr>
            <w:r>
              <w:rPr>
                <w:rFonts w:ascii="Times New Roman" w:hAnsi="Times New Roman" w:cs="Times New Roman"/>
                <w:b/>
                <w:bCs/>
                <w:sz w:val="14"/>
                <w:szCs w:val="14"/>
                <w:lang w:eastAsia="sk-SK"/>
              </w:rPr>
              <w:t>Priemerný mzdový výdavok podľa</w:t>
              <w:br/>
              <w:t>odmeňovacích predpisov</w:t>
            </w:r>
          </w:p>
        </w:tc>
        <w:tc>
          <w:tcPr>
            <w:tcW w:w="287"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 </w:t>
            </w:r>
          </w:p>
        </w:tc>
        <w:tc>
          <w:tcPr>
            <w:tcW w:w="439"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2009 S</w:t>
            </w:r>
          </w:p>
        </w:tc>
        <w:tc>
          <w:tcPr>
            <w:tcW w:w="439"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2010 S</w:t>
            </w:r>
          </w:p>
        </w:tc>
        <w:tc>
          <w:tcPr>
            <w:tcW w:w="439"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2011 R</w:t>
            </w:r>
          </w:p>
        </w:tc>
        <w:tc>
          <w:tcPr>
            <w:tcW w:w="439"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2011 OS</w:t>
            </w:r>
          </w:p>
        </w:tc>
        <w:tc>
          <w:tcPr>
            <w:tcW w:w="439"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2012 N</w:t>
            </w:r>
          </w:p>
        </w:tc>
        <w:tc>
          <w:tcPr>
            <w:tcW w:w="439"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2013 N</w:t>
            </w:r>
          </w:p>
        </w:tc>
        <w:tc>
          <w:tcPr>
            <w:tcW w:w="439"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2014 N</w:t>
            </w:r>
          </w:p>
        </w:tc>
      </w:tr>
      <w:tr>
        <w:tblPrEx>
          <w:tblW w:w="5000" w:type="pct"/>
          <w:tblCellMar>
            <w:left w:w="70" w:type="dxa"/>
            <w:right w:w="70" w:type="dxa"/>
          </w:tblCellMar>
          <w:tblLook w:val="04A0"/>
        </w:tblPrEx>
        <w:trPr>
          <w:trHeight w:val="266"/>
        </w:trPr>
        <w:tc>
          <w:tcPr>
            <w:tcW w:w="1637" w:type="pct"/>
            <w:tcBorders>
              <w:top w:val="nil"/>
              <w:left w:val="single" w:sz="4" w:space="0" w:color="auto"/>
              <w:bottom w:val="nil"/>
              <w:right w:val="single" w:sz="4" w:space="0" w:color="auto"/>
            </w:tcBorders>
            <w:shd w:val="clear" w:color="auto" w:fill="BFBFBF"/>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Počet zamestnancov  spolu</w:t>
            </w:r>
          </w:p>
        </w:tc>
        <w:tc>
          <w:tcPr>
            <w:tcW w:w="287" w:type="pct"/>
            <w:tcBorders>
              <w:top w:val="nil"/>
              <w:left w:val="nil"/>
              <w:bottom w:val="nil"/>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osoby</w:t>
            </w:r>
          </w:p>
        </w:tc>
        <w:tc>
          <w:tcPr>
            <w:tcW w:w="439" w:type="pct"/>
            <w:tcBorders>
              <w:top w:val="nil"/>
              <w:left w:val="nil"/>
              <w:bottom w:val="nil"/>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127 759</w:t>
            </w:r>
          </w:p>
        </w:tc>
        <w:tc>
          <w:tcPr>
            <w:tcW w:w="439" w:type="pct"/>
            <w:tcBorders>
              <w:top w:val="nil"/>
              <w:left w:val="nil"/>
              <w:bottom w:val="nil"/>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127 379</w:t>
            </w:r>
          </w:p>
        </w:tc>
        <w:tc>
          <w:tcPr>
            <w:tcW w:w="439" w:type="pct"/>
            <w:tcBorders>
              <w:top w:val="nil"/>
              <w:left w:val="nil"/>
              <w:bottom w:val="nil"/>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128 681</w:t>
            </w:r>
          </w:p>
        </w:tc>
        <w:tc>
          <w:tcPr>
            <w:tcW w:w="439" w:type="pct"/>
            <w:tcBorders>
              <w:top w:val="nil"/>
              <w:left w:val="nil"/>
              <w:bottom w:val="nil"/>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122 588</w:t>
            </w:r>
          </w:p>
        </w:tc>
        <w:tc>
          <w:tcPr>
            <w:tcW w:w="439" w:type="pct"/>
            <w:tcBorders>
              <w:top w:val="nil"/>
              <w:left w:val="nil"/>
              <w:bottom w:val="nil"/>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128 037</w:t>
            </w:r>
          </w:p>
        </w:tc>
        <w:tc>
          <w:tcPr>
            <w:tcW w:w="439" w:type="pct"/>
            <w:tcBorders>
              <w:top w:val="nil"/>
              <w:left w:val="nil"/>
              <w:bottom w:val="nil"/>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128 200</w:t>
            </w:r>
          </w:p>
        </w:tc>
        <w:tc>
          <w:tcPr>
            <w:tcW w:w="439" w:type="pct"/>
            <w:tcBorders>
              <w:top w:val="nil"/>
              <w:left w:val="nil"/>
              <w:bottom w:val="nil"/>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128 347</w:t>
            </w:r>
          </w:p>
        </w:tc>
      </w:tr>
      <w:tr>
        <w:tblPrEx>
          <w:tblW w:w="5000" w:type="pct"/>
          <w:tblCellMar>
            <w:left w:w="70" w:type="dxa"/>
            <w:right w:w="70" w:type="dxa"/>
          </w:tblCellMar>
          <w:tblLook w:val="04A0"/>
        </w:tblPrEx>
        <w:trPr>
          <w:trHeight w:val="266"/>
        </w:trPr>
        <w:tc>
          <w:tcPr>
            <w:tcW w:w="1637" w:type="pct"/>
            <w:tcBorders>
              <w:top w:val="nil"/>
              <w:left w:val="single" w:sz="4" w:space="0" w:color="auto"/>
              <w:bottom w:val="single" w:sz="4" w:space="0" w:color="auto"/>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priemerný mzdový výdavok spolu</w:t>
            </w:r>
          </w:p>
        </w:tc>
        <w:tc>
          <w:tcPr>
            <w:tcW w:w="287" w:type="pct"/>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i/>
                <w:iCs/>
                <w:sz w:val="14"/>
                <w:szCs w:val="14"/>
                <w:lang w:eastAsia="sk-SK"/>
              </w:rPr>
            </w:pPr>
            <w:r>
              <w:rPr>
                <w:rFonts w:ascii="Times New Roman" w:hAnsi="Times New Roman" w:cs="Times New Roman"/>
                <w:i/>
                <w:iCs/>
                <w:sz w:val="14"/>
                <w:szCs w:val="14"/>
                <w:lang w:eastAsia="sk-SK"/>
              </w:rPr>
              <w:t>eur</w:t>
            </w:r>
          </w:p>
        </w:tc>
        <w:tc>
          <w:tcPr>
            <w:tcW w:w="439" w:type="pct"/>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998,36</w:t>
            </w:r>
          </w:p>
        </w:tc>
        <w:tc>
          <w:tcPr>
            <w:tcW w:w="439" w:type="pct"/>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1 025,24</w:t>
            </w:r>
          </w:p>
        </w:tc>
        <w:tc>
          <w:tcPr>
            <w:tcW w:w="439" w:type="pct"/>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947,61</w:t>
            </w:r>
          </w:p>
        </w:tc>
        <w:tc>
          <w:tcPr>
            <w:tcW w:w="439" w:type="pct"/>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977,27</w:t>
            </w:r>
          </w:p>
        </w:tc>
        <w:tc>
          <w:tcPr>
            <w:tcW w:w="439" w:type="pct"/>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967,29</w:t>
            </w:r>
          </w:p>
        </w:tc>
        <w:tc>
          <w:tcPr>
            <w:tcW w:w="439" w:type="pct"/>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986,02</w:t>
            </w:r>
          </w:p>
        </w:tc>
        <w:tc>
          <w:tcPr>
            <w:tcW w:w="439" w:type="pct"/>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1 016,22</w:t>
            </w:r>
          </w:p>
        </w:tc>
      </w:tr>
      <w:tr>
        <w:tblPrEx>
          <w:tblW w:w="5000" w:type="pct"/>
          <w:tblCellMar>
            <w:left w:w="70" w:type="dxa"/>
            <w:right w:w="70" w:type="dxa"/>
          </w:tblCellMar>
          <w:tblLook w:val="04A0"/>
        </w:tblPrEx>
        <w:trPr>
          <w:trHeight w:val="266"/>
        </w:trPr>
        <w:tc>
          <w:tcPr>
            <w:tcW w:w="1637" w:type="pct"/>
            <w:tcBorders>
              <w:top w:val="nil"/>
              <w:left w:val="single" w:sz="4" w:space="0" w:color="auto"/>
              <w:bottom w:val="nil"/>
              <w:right w:val="single" w:sz="4" w:space="0" w:color="auto"/>
            </w:tcBorders>
            <w:noWrap/>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 xml:space="preserve">z toho: štátna služba </w:t>
            </w:r>
          </w:p>
        </w:tc>
        <w:tc>
          <w:tcPr>
            <w:tcW w:w="287" w:type="pct"/>
            <w:tcBorders>
              <w:top w:val="nil"/>
              <w:left w:val="nil"/>
              <w:bottom w:val="nil"/>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osoby</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37 617</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38 420</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38 238</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36 224</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38 087</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38 047</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38 035</w:t>
            </w:r>
          </w:p>
        </w:tc>
      </w:tr>
      <w:tr>
        <w:tblPrEx>
          <w:tblW w:w="5000" w:type="pct"/>
          <w:tblCellMar>
            <w:left w:w="70" w:type="dxa"/>
            <w:right w:w="70" w:type="dxa"/>
          </w:tblCellMar>
          <w:tblLook w:val="04A0"/>
        </w:tblPrEx>
        <w:trPr>
          <w:trHeight w:val="266"/>
        </w:trPr>
        <w:tc>
          <w:tcPr>
            <w:tcW w:w="1637" w:type="pc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ind w:firstLine="140" w:firstLineChars="10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 xml:space="preserve">           priemerný mzdový výdavok</w:t>
            </w:r>
          </w:p>
        </w:tc>
        <w:tc>
          <w:tcPr>
            <w:tcW w:w="287" w:type="pct"/>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i/>
                <w:iCs/>
                <w:sz w:val="14"/>
                <w:szCs w:val="14"/>
                <w:lang w:eastAsia="sk-SK"/>
              </w:rPr>
            </w:pPr>
            <w:r>
              <w:rPr>
                <w:rFonts w:ascii="Times New Roman" w:hAnsi="Times New Roman" w:cs="Times New Roman"/>
                <w:i/>
                <w:iCs/>
                <w:sz w:val="14"/>
                <w:szCs w:val="14"/>
                <w:lang w:eastAsia="sk-SK"/>
              </w:rPr>
              <w:t>eur</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939,08</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956,12</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842,16</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918,42</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847,09</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862,63</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890,28</w:t>
            </w:r>
          </w:p>
        </w:tc>
      </w:tr>
      <w:tr>
        <w:tblPrEx>
          <w:tblW w:w="5000" w:type="pct"/>
          <w:tblCellMar>
            <w:left w:w="70" w:type="dxa"/>
            <w:right w:w="70" w:type="dxa"/>
          </w:tblCellMar>
          <w:tblLook w:val="04A0"/>
        </w:tblPrEx>
        <w:trPr>
          <w:trHeight w:val="266"/>
        </w:trPr>
        <w:tc>
          <w:tcPr>
            <w:tcW w:w="1637" w:type="pct"/>
            <w:tcBorders>
              <w:top w:val="nil"/>
              <w:left w:val="single" w:sz="4" w:space="0" w:color="auto"/>
              <w:bottom w:val="nil"/>
              <w:right w:val="single" w:sz="4" w:space="0" w:color="auto"/>
            </w:tcBorders>
            <w:noWrap/>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verejná služba </w:t>
            </w:r>
          </w:p>
        </w:tc>
        <w:tc>
          <w:tcPr>
            <w:tcW w:w="287" w:type="pct"/>
            <w:tcBorders>
              <w:top w:val="nil"/>
              <w:left w:val="nil"/>
              <w:bottom w:val="nil"/>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osoby</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38 222</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37 597</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37 282</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36 271</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36 994</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36 994</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36 994</w:t>
            </w:r>
          </w:p>
        </w:tc>
      </w:tr>
      <w:tr>
        <w:tblPrEx>
          <w:tblW w:w="5000" w:type="pct"/>
          <w:tblCellMar>
            <w:left w:w="70" w:type="dxa"/>
            <w:right w:w="70" w:type="dxa"/>
          </w:tblCellMar>
          <w:tblLook w:val="04A0"/>
        </w:tblPrEx>
        <w:trPr>
          <w:trHeight w:val="266"/>
        </w:trPr>
        <w:tc>
          <w:tcPr>
            <w:tcW w:w="1637" w:type="pc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ind w:firstLine="140" w:firstLineChars="10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 xml:space="preserve">             priemerný mzdový výdavok</w:t>
            </w:r>
          </w:p>
        </w:tc>
        <w:tc>
          <w:tcPr>
            <w:tcW w:w="287" w:type="pct"/>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i/>
                <w:iCs/>
                <w:sz w:val="14"/>
                <w:szCs w:val="14"/>
                <w:lang w:eastAsia="sk-SK"/>
              </w:rPr>
            </w:pPr>
            <w:r>
              <w:rPr>
                <w:rFonts w:ascii="Times New Roman" w:hAnsi="Times New Roman" w:cs="Times New Roman"/>
                <w:i/>
                <w:iCs/>
                <w:sz w:val="14"/>
                <w:szCs w:val="14"/>
                <w:lang w:eastAsia="sk-SK"/>
              </w:rPr>
              <w:t>eur</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695,57</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720,05</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648,75</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683,37</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670,53</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683,97</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708,55</w:t>
            </w:r>
          </w:p>
        </w:tc>
      </w:tr>
      <w:tr>
        <w:tblPrEx>
          <w:tblW w:w="5000" w:type="pct"/>
          <w:tblCellMar>
            <w:left w:w="70" w:type="dxa"/>
            <w:right w:w="70" w:type="dxa"/>
          </w:tblCellMar>
          <w:tblLook w:val="04A0"/>
        </w:tblPrEx>
        <w:trPr>
          <w:trHeight w:val="266"/>
        </w:trPr>
        <w:tc>
          <w:tcPr>
            <w:tcW w:w="1637" w:type="pct"/>
            <w:tcBorders>
              <w:top w:val="nil"/>
              <w:left w:val="single" w:sz="4" w:space="0" w:color="auto"/>
              <w:bottom w:val="nil"/>
              <w:right w:val="single" w:sz="4" w:space="0" w:color="auto"/>
            </w:tcBorders>
            <w:noWrap/>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hasiči </w:t>
            </w:r>
          </w:p>
        </w:tc>
        <w:tc>
          <w:tcPr>
            <w:tcW w:w="287" w:type="pct"/>
            <w:tcBorders>
              <w:top w:val="nil"/>
              <w:left w:val="nil"/>
              <w:bottom w:val="nil"/>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osoby</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4 053</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4 309</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4 414</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4 218</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4 414</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4 414</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4 414</w:t>
            </w:r>
          </w:p>
        </w:tc>
      </w:tr>
      <w:tr>
        <w:tblPrEx>
          <w:tblW w:w="5000" w:type="pct"/>
          <w:tblCellMar>
            <w:left w:w="70" w:type="dxa"/>
            <w:right w:w="70" w:type="dxa"/>
          </w:tblCellMar>
          <w:tblLook w:val="04A0"/>
        </w:tblPrEx>
        <w:trPr>
          <w:trHeight w:val="266"/>
        </w:trPr>
        <w:tc>
          <w:tcPr>
            <w:tcW w:w="1637" w:type="pc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ind w:firstLine="140" w:firstLineChars="10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 xml:space="preserve">           priemerný mzdový výdavok</w:t>
            </w:r>
          </w:p>
        </w:tc>
        <w:tc>
          <w:tcPr>
            <w:tcW w:w="287" w:type="pct"/>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i/>
                <w:iCs/>
                <w:sz w:val="14"/>
                <w:szCs w:val="14"/>
                <w:lang w:eastAsia="sk-SK"/>
              </w:rPr>
            </w:pPr>
            <w:r>
              <w:rPr>
                <w:rFonts w:ascii="Times New Roman" w:hAnsi="Times New Roman" w:cs="Times New Roman"/>
                <w:i/>
                <w:iCs/>
                <w:sz w:val="14"/>
                <w:szCs w:val="14"/>
                <w:lang w:eastAsia="sk-SK"/>
              </w:rPr>
              <w:t>eur</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1 091,97</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1 114,06</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1 003,14</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1 031,05</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1 003,14</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1 013,17</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1 033,43</w:t>
            </w:r>
          </w:p>
        </w:tc>
      </w:tr>
      <w:tr>
        <w:tblPrEx>
          <w:tblW w:w="5000" w:type="pct"/>
          <w:tblCellMar>
            <w:left w:w="70" w:type="dxa"/>
            <w:right w:w="70" w:type="dxa"/>
          </w:tblCellMar>
          <w:tblLook w:val="04A0"/>
        </w:tblPrEx>
        <w:trPr>
          <w:trHeight w:val="266"/>
        </w:trPr>
        <w:tc>
          <w:tcPr>
            <w:tcW w:w="1637" w:type="pct"/>
            <w:tcBorders>
              <w:top w:val="nil"/>
              <w:left w:val="single" w:sz="4" w:space="0" w:color="auto"/>
              <w:bottom w:val="nil"/>
              <w:right w:val="single" w:sz="4" w:space="0" w:color="auto"/>
            </w:tcBorders>
            <w:noWrap/>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colníci </w:t>
            </w:r>
          </w:p>
        </w:tc>
        <w:tc>
          <w:tcPr>
            <w:tcW w:w="287" w:type="pct"/>
            <w:tcBorders>
              <w:top w:val="nil"/>
              <w:left w:val="nil"/>
              <w:bottom w:val="nil"/>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osoby</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3 684</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3 623</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3 079</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3 286</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3 305</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3 305</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3 305</w:t>
            </w:r>
          </w:p>
        </w:tc>
      </w:tr>
      <w:tr>
        <w:tblPrEx>
          <w:tblW w:w="5000" w:type="pct"/>
          <w:tblCellMar>
            <w:left w:w="70" w:type="dxa"/>
            <w:right w:w="70" w:type="dxa"/>
          </w:tblCellMar>
          <w:tblLook w:val="04A0"/>
        </w:tblPrEx>
        <w:trPr>
          <w:trHeight w:val="266"/>
        </w:trPr>
        <w:tc>
          <w:tcPr>
            <w:tcW w:w="1637" w:type="pc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ind w:firstLine="140" w:firstLineChars="10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 xml:space="preserve">    priemerný mzdový výdavok</w:t>
            </w:r>
          </w:p>
        </w:tc>
        <w:tc>
          <w:tcPr>
            <w:tcW w:w="287" w:type="pct"/>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i/>
                <w:iCs/>
                <w:sz w:val="14"/>
                <w:szCs w:val="14"/>
                <w:lang w:eastAsia="sk-SK"/>
              </w:rPr>
            </w:pPr>
            <w:r>
              <w:rPr>
                <w:rFonts w:ascii="Times New Roman" w:hAnsi="Times New Roman" w:cs="Times New Roman"/>
                <w:i/>
                <w:iCs/>
                <w:sz w:val="14"/>
                <w:szCs w:val="14"/>
                <w:lang w:eastAsia="sk-SK"/>
              </w:rPr>
              <w:t>eur</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1 020,90</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1 109,16</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1 022,00</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1 057,67</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979,80</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989,60</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1 009,39</w:t>
            </w:r>
          </w:p>
        </w:tc>
      </w:tr>
      <w:tr>
        <w:tblPrEx>
          <w:tblW w:w="5000" w:type="pct"/>
          <w:tblCellMar>
            <w:left w:w="70" w:type="dxa"/>
            <w:right w:w="70" w:type="dxa"/>
          </w:tblCellMar>
          <w:tblLook w:val="04A0"/>
        </w:tblPrEx>
        <w:trPr>
          <w:trHeight w:val="266"/>
        </w:trPr>
        <w:tc>
          <w:tcPr>
            <w:tcW w:w="1637" w:type="pct"/>
            <w:tcBorders>
              <w:top w:val="nil"/>
              <w:left w:val="single" w:sz="4" w:space="0" w:color="auto"/>
              <w:bottom w:val="nil"/>
              <w:right w:val="single" w:sz="4" w:space="0" w:color="auto"/>
            </w:tcBorders>
            <w:noWrap/>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policajti </w:t>
            </w:r>
          </w:p>
        </w:tc>
        <w:tc>
          <w:tcPr>
            <w:tcW w:w="287" w:type="pct"/>
            <w:tcBorders>
              <w:top w:val="nil"/>
              <w:left w:val="nil"/>
              <w:bottom w:val="nil"/>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osoby</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26 842</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26 810</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28 342</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26 324</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27 957</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28 160</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28 319</w:t>
            </w:r>
          </w:p>
        </w:tc>
      </w:tr>
      <w:tr>
        <w:tblPrEx>
          <w:tblW w:w="5000" w:type="pct"/>
          <w:tblCellMar>
            <w:left w:w="70" w:type="dxa"/>
            <w:right w:w="70" w:type="dxa"/>
          </w:tblCellMar>
          <w:tblLook w:val="04A0"/>
        </w:tblPrEx>
        <w:trPr>
          <w:trHeight w:val="266"/>
        </w:trPr>
        <w:tc>
          <w:tcPr>
            <w:tcW w:w="1637" w:type="pc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ind w:firstLine="140" w:firstLineChars="10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 xml:space="preserve">  priemerný mzdový výdavok</w:t>
            </w:r>
          </w:p>
        </w:tc>
        <w:tc>
          <w:tcPr>
            <w:tcW w:w="287" w:type="pct"/>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i/>
                <w:iCs/>
                <w:sz w:val="14"/>
                <w:szCs w:val="14"/>
                <w:lang w:eastAsia="sk-SK"/>
              </w:rPr>
            </w:pPr>
            <w:r>
              <w:rPr>
                <w:rFonts w:ascii="Times New Roman" w:hAnsi="Times New Roman" w:cs="Times New Roman"/>
                <w:i/>
                <w:iCs/>
                <w:sz w:val="14"/>
                <w:szCs w:val="14"/>
                <w:lang w:eastAsia="sk-SK"/>
              </w:rPr>
              <w:t>eur</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1 229,96</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1 257,02</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1 142,05</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1 180,07</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1 147,42</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1 158,84</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1 181,92</w:t>
            </w:r>
          </w:p>
        </w:tc>
      </w:tr>
      <w:tr>
        <w:tblPrEx>
          <w:tblW w:w="5000" w:type="pct"/>
          <w:tblCellMar>
            <w:left w:w="70" w:type="dxa"/>
            <w:right w:w="70" w:type="dxa"/>
          </w:tblCellMar>
          <w:tblLook w:val="04A0"/>
        </w:tblPrEx>
        <w:trPr>
          <w:trHeight w:val="266"/>
        </w:trPr>
        <w:tc>
          <w:tcPr>
            <w:tcW w:w="1637" w:type="pct"/>
            <w:tcBorders>
              <w:top w:val="nil"/>
              <w:left w:val="single" w:sz="4" w:space="0" w:color="auto"/>
              <w:bottom w:val="nil"/>
              <w:right w:val="single" w:sz="4" w:space="0" w:color="auto"/>
            </w:tcBorders>
            <w:noWrap/>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vojaci </w:t>
            </w:r>
          </w:p>
        </w:tc>
        <w:tc>
          <w:tcPr>
            <w:tcW w:w="287" w:type="pct"/>
            <w:tcBorders>
              <w:top w:val="nil"/>
              <w:left w:val="nil"/>
              <w:bottom w:val="nil"/>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osoby</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14 885</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14 158</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14 773</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13 817</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14 716</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14 716</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14 716</w:t>
            </w:r>
          </w:p>
        </w:tc>
      </w:tr>
      <w:tr>
        <w:tblPrEx>
          <w:tblW w:w="5000" w:type="pct"/>
          <w:tblCellMar>
            <w:left w:w="70" w:type="dxa"/>
            <w:right w:w="70" w:type="dxa"/>
          </w:tblCellMar>
          <w:tblLook w:val="04A0"/>
        </w:tblPrEx>
        <w:trPr>
          <w:trHeight w:val="266"/>
        </w:trPr>
        <w:tc>
          <w:tcPr>
            <w:tcW w:w="1637" w:type="pc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ind w:firstLine="140" w:firstLineChars="10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 xml:space="preserve">          priemerný mzdový výdavok</w:t>
            </w:r>
          </w:p>
        </w:tc>
        <w:tc>
          <w:tcPr>
            <w:tcW w:w="287" w:type="pct"/>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i/>
                <w:iCs/>
                <w:sz w:val="14"/>
                <w:szCs w:val="14"/>
                <w:lang w:eastAsia="sk-SK"/>
              </w:rPr>
            </w:pPr>
            <w:r>
              <w:rPr>
                <w:rFonts w:ascii="Times New Roman" w:hAnsi="Times New Roman" w:cs="Times New Roman"/>
                <w:i/>
                <w:iCs/>
                <w:sz w:val="14"/>
                <w:szCs w:val="14"/>
                <w:lang w:eastAsia="sk-SK"/>
              </w:rPr>
              <w:t>eur</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1 114,94</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1 150,93</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1 214,73</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1 129,49</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1 214,61</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1 226,76</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1 251,29</w:t>
            </w:r>
          </w:p>
        </w:tc>
      </w:tr>
      <w:tr>
        <w:tblPrEx>
          <w:tblW w:w="5000" w:type="pct"/>
          <w:tblCellMar>
            <w:left w:w="70" w:type="dxa"/>
            <w:right w:w="70" w:type="dxa"/>
          </w:tblCellMar>
          <w:tblLook w:val="04A0"/>
        </w:tblPrEx>
        <w:trPr>
          <w:trHeight w:val="266"/>
        </w:trPr>
        <w:tc>
          <w:tcPr>
            <w:tcW w:w="1637" w:type="pct"/>
            <w:tcBorders>
              <w:top w:val="nil"/>
              <w:left w:val="single" w:sz="4" w:space="0" w:color="auto"/>
              <w:bottom w:val="nil"/>
              <w:right w:val="single" w:sz="4" w:space="0" w:color="auto"/>
            </w:tcBorders>
            <w:noWrap/>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ústavní činitelia </w:t>
            </w:r>
          </w:p>
        </w:tc>
        <w:tc>
          <w:tcPr>
            <w:tcW w:w="287" w:type="pct"/>
            <w:tcBorders>
              <w:top w:val="nil"/>
              <w:left w:val="nil"/>
              <w:bottom w:val="nil"/>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osoby</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192</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174</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183</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183</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184</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184</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184</w:t>
            </w:r>
          </w:p>
        </w:tc>
      </w:tr>
      <w:tr>
        <w:tblPrEx>
          <w:tblW w:w="5000" w:type="pct"/>
          <w:tblCellMar>
            <w:left w:w="70" w:type="dxa"/>
            <w:right w:w="70" w:type="dxa"/>
          </w:tblCellMar>
          <w:tblLook w:val="04A0"/>
        </w:tblPrEx>
        <w:trPr>
          <w:trHeight w:val="266"/>
        </w:trPr>
        <w:tc>
          <w:tcPr>
            <w:tcW w:w="1637" w:type="pc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ind w:firstLine="140" w:firstLineChars="10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 xml:space="preserve">           priemerný mzdový výdavok</w:t>
            </w:r>
          </w:p>
        </w:tc>
        <w:tc>
          <w:tcPr>
            <w:tcW w:w="287" w:type="pct"/>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i/>
                <w:iCs/>
                <w:sz w:val="14"/>
                <w:szCs w:val="14"/>
                <w:lang w:eastAsia="sk-SK"/>
              </w:rPr>
            </w:pPr>
            <w:r>
              <w:rPr>
                <w:rFonts w:ascii="Times New Roman" w:hAnsi="Times New Roman" w:cs="Times New Roman"/>
                <w:i/>
                <w:iCs/>
                <w:sz w:val="14"/>
                <w:szCs w:val="14"/>
                <w:lang w:eastAsia="sk-SK"/>
              </w:rPr>
              <w:t>eur</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3 890,28</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3 952,00</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3 527,53</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3 784,84</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4 224,77</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4 447,56</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4 824,23</w:t>
            </w:r>
          </w:p>
        </w:tc>
      </w:tr>
      <w:tr>
        <w:tblPrEx>
          <w:tblW w:w="5000" w:type="pct"/>
          <w:tblCellMar>
            <w:left w:w="70" w:type="dxa"/>
            <w:right w:w="70" w:type="dxa"/>
          </w:tblCellMar>
          <w:tblLook w:val="04A0"/>
        </w:tblPrEx>
        <w:trPr>
          <w:trHeight w:val="266"/>
        </w:trPr>
        <w:tc>
          <w:tcPr>
            <w:tcW w:w="1637" w:type="pct"/>
            <w:tcBorders>
              <w:top w:val="nil"/>
              <w:left w:val="single" w:sz="4" w:space="0" w:color="auto"/>
              <w:bottom w:val="nil"/>
              <w:right w:val="single" w:sz="4" w:space="0" w:color="auto"/>
            </w:tcBorders>
            <w:noWrap/>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sudcovia </w:t>
            </w:r>
          </w:p>
        </w:tc>
        <w:tc>
          <w:tcPr>
            <w:tcW w:w="287" w:type="pct"/>
            <w:tcBorders>
              <w:top w:val="nil"/>
              <w:left w:val="nil"/>
              <w:bottom w:val="nil"/>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osoby</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1 346</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1 358</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1 411</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1 340</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1 411</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1 411</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1 411</w:t>
            </w:r>
          </w:p>
        </w:tc>
      </w:tr>
      <w:tr>
        <w:tblPrEx>
          <w:tblW w:w="5000" w:type="pct"/>
          <w:tblCellMar>
            <w:left w:w="70" w:type="dxa"/>
            <w:right w:w="70" w:type="dxa"/>
          </w:tblCellMar>
          <w:tblLook w:val="04A0"/>
        </w:tblPrEx>
        <w:trPr>
          <w:trHeight w:val="266"/>
        </w:trPr>
        <w:tc>
          <w:tcPr>
            <w:tcW w:w="1637" w:type="pc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ind w:firstLine="140" w:firstLineChars="10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 xml:space="preserve">        priemerný mzdový výdavok</w:t>
            </w:r>
          </w:p>
        </w:tc>
        <w:tc>
          <w:tcPr>
            <w:tcW w:w="287" w:type="pct"/>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i/>
                <w:iCs/>
                <w:sz w:val="14"/>
                <w:szCs w:val="14"/>
                <w:lang w:eastAsia="sk-SK"/>
              </w:rPr>
            </w:pPr>
            <w:r>
              <w:rPr>
                <w:rFonts w:ascii="Times New Roman" w:hAnsi="Times New Roman" w:cs="Times New Roman"/>
                <w:i/>
                <w:iCs/>
                <w:sz w:val="14"/>
                <w:szCs w:val="14"/>
                <w:lang w:eastAsia="sk-SK"/>
              </w:rPr>
              <w:t>eur</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3 264,16</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3 293,12</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3 029,63</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2 999,95</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3 593,32</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3 783,55</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3 991,49</w:t>
            </w:r>
          </w:p>
        </w:tc>
      </w:tr>
      <w:tr>
        <w:tblPrEx>
          <w:tblW w:w="5000" w:type="pct"/>
          <w:tblCellMar>
            <w:left w:w="70" w:type="dxa"/>
            <w:right w:w="70" w:type="dxa"/>
          </w:tblCellMar>
          <w:tblLook w:val="04A0"/>
        </w:tblPrEx>
        <w:trPr>
          <w:trHeight w:val="266"/>
        </w:trPr>
        <w:tc>
          <w:tcPr>
            <w:tcW w:w="1637" w:type="pct"/>
            <w:tcBorders>
              <w:top w:val="nil"/>
              <w:left w:val="single" w:sz="4" w:space="0" w:color="auto"/>
              <w:bottom w:val="nil"/>
              <w:right w:val="single" w:sz="4" w:space="0" w:color="auto"/>
            </w:tcBorders>
            <w:noWrap/>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prokurátori</w:t>
            </w:r>
          </w:p>
        </w:tc>
        <w:tc>
          <w:tcPr>
            <w:tcW w:w="287" w:type="pct"/>
            <w:tcBorders>
              <w:top w:val="nil"/>
              <w:left w:val="nil"/>
              <w:bottom w:val="nil"/>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osoby</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918</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930</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959</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925</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969</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969</w:t>
            </w:r>
          </w:p>
        </w:tc>
        <w:tc>
          <w:tcPr>
            <w:tcW w:w="439" w:type="pct"/>
            <w:tcBorders>
              <w:top w:val="nil"/>
              <w:left w:val="nil"/>
              <w:bottom w:val="nil"/>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969</w:t>
            </w:r>
          </w:p>
        </w:tc>
      </w:tr>
      <w:tr>
        <w:tblPrEx>
          <w:tblW w:w="5000" w:type="pct"/>
          <w:tblCellMar>
            <w:left w:w="70" w:type="dxa"/>
            <w:right w:w="70" w:type="dxa"/>
          </w:tblCellMar>
          <w:tblLook w:val="04A0"/>
        </w:tblPrEx>
        <w:trPr>
          <w:trHeight w:val="266"/>
        </w:trPr>
        <w:tc>
          <w:tcPr>
            <w:tcW w:w="1637" w:type="pc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ind w:firstLine="140" w:firstLineChars="10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 xml:space="preserve">           priemerný mzdový výdavok</w:t>
            </w:r>
          </w:p>
        </w:tc>
        <w:tc>
          <w:tcPr>
            <w:tcW w:w="287" w:type="pct"/>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i/>
                <w:iCs/>
                <w:sz w:val="14"/>
                <w:szCs w:val="14"/>
                <w:lang w:eastAsia="sk-SK"/>
              </w:rPr>
            </w:pPr>
            <w:r>
              <w:rPr>
                <w:rFonts w:ascii="Times New Roman" w:hAnsi="Times New Roman" w:cs="Times New Roman"/>
                <w:i/>
                <w:iCs/>
                <w:sz w:val="14"/>
                <w:szCs w:val="14"/>
                <w:lang w:eastAsia="sk-SK"/>
              </w:rPr>
              <w:t>eur</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2 940,67</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3 026,59</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2 858,91</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2 746,04</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3 356,13</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3 534,17</w:t>
            </w:r>
          </w:p>
        </w:tc>
        <w:tc>
          <w:tcPr>
            <w:tcW w:w="439" w:type="pct"/>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3 728,53</w:t>
            </w:r>
          </w:p>
        </w:tc>
      </w:tr>
      <w:tr>
        <w:tblPrEx>
          <w:tblW w:w="5000" w:type="pct"/>
          <w:tblCellMar>
            <w:left w:w="70" w:type="dxa"/>
            <w:right w:w="70" w:type="dxa"/>
          </w:tblCellMar>
          <w:tblLook w:val="04A0"/>
        </w:tblPrEx>
        <w:trPr>
          <w:trHeight w:val="113"/>
        </w:trPr>
        <w:tc>
          <w:tcPr>
            <w:tcW w:w="1637" w:type="pct"/>
            <w:tcBorders>
              <w:top w:val="none" w:sz="0" w:space="0" w:color="auto"/>
              <w:left w:val="none" w:sz="0" w:space="0" w:color="auto"/>
              <w:bottom w:val="none" w:sz="0" w:space="0" w:color="auto"/>
              <w:right w:val="none" w:sz="0" w:space="0" w:color="auto"/>
            </w:tcBorders>
            <w:noWrap/>
            <w:textDirection w:val="lrTb"/>
            <w:vAlign w:val="bottom"/>
            <w:hideMark/>
          </w:tcPr>
          <w:p w:rsidR="00655688" w:rsidP="00257E12">
            <w:pPr>
              <w:bidi w:val="0"/>
              <w:rPr>
                <w:rFonts w:ascii="Times New Roman" w:hAnsi="Times New Roman" w:cs="Times New Roman"/>
                <w:i/>
                <w:iCs/>
                <w:sz w:val="14"/>
                <w:szCs w:val="14"/>
                <w:lang w:eastAsia="sk-SK"/>
              </w:rPr>
            </w:pPr>
            <w:r>
              <w:rPr>
                <w:rFonts w:ascii="Times New Roman" w:hAnsi="Times New Roman" w:cs="Times New Roman"/>
                <w:i/>
                <w:iCs/>
                <w:sz w:val="14"/>
                <w:szCs w:val="14"/>
                <w:lang w:eastAsia="sk-SK"/>
              </w:rPr>
              <w:t>Poznámka:</w:t>
            </w:r>
          </w:p>
        </w:tc>
        <w:tc>
          <w:tcPr>
            <w:tcW w:w="287" w:type="pct"/>
            <w:tcBorders>
              <w:top w:val="none" w:sz="0" w:space="0" w:color="auto"/>
              <w:left w:val="none" w:sz="0" w:space="0" w:color="auto"/>
              <w:bottom w:val="none" w:sz="0" w:space="0" w:color="auto"/>
              <w:right w:val="none" w:sz="0" w:space="0" w:color="auto"/>
            </w:tcBorders>
            <w:noWrap/>
            <w:textDirection w:val="lrTb"/>
            <w:vAlign w:val="bottom"/>
            <w:hideMark/>
          </w:tcPr>
          <w:p w:rsidR="00655688" w:rsidP="00257E12">
            <w:pPr>
              <w:bidi w:val="0"/>
              <w:rPr>
                <w:rFonts w:ascii="Times New Roman" w:hAnsi="Times New Roman" w:cs="Times New Roman"/>
                <w:sz w:val="20"/>
                <w:szCs w:val="20"/>
                <w:lang w:eastAsia="sk-SK"/>
              </w:rPr>
            </w:pPr>
          </w:p>
        </w:tc>
        <w:tc>
          <w:tcPr>
            <w:tcW w:w="439" w:type="pct"/>
            <w:tcBorders>
              <w:top w:val="none" w:sz="0" w:space="0" w:color="auto"/>
              <w:left w:val="none" w:sz="0" w:space="0" w:color="auto"/>
              <w:bottom w:val="none" w:sz="0" w:space="0" w:color="auto"/>
              <w:right w:val="none" w:sz="0" w:space="0" w:color="auto"/>
            </w:tcBorders>
            <w:noWrap/>
            <w:textDirection w:val="lrTb"/>
            <w:vAlign w:val="bottom"/>
            <w:hideMark/>
          </w:tcPr>
          <w:p w:rsidR="00655688" w:rsidP="00257E12">
            <w:pPr>
              <w:bidi w:val="0"/>
              <w:rPr>
                <w:rFonts w:ascii="Times New Roman" w:hAnsi="Times New Roman" w:cs="Times New Roman"/>
                <w:sz w:val="20"/>
                <w:szCs w:val="20"/>
                <w:lang w:eastAsia="sk-SK"/>
              </w:rPr>
            </w:pPr>
          </w:p>
        </w:tc>
        <w:tc>
          <w:tcPr>
            <w:tcW w:w="439" w:type="pct"/>
            <w:tcBorders>
              <w:top w:val="none" w:sz="0" w:space="0" w:color="auto"/>
              <w:left w:val="none" w:sz="0" w:space="0" w:color="auto"/>
              <w:bottom w:val="none" w:sz="0" w:space="0" w:color="auto"/>
              <w:right w:val="none" w:sz="0" w:space="0" w:color="auto"/>
            </w:tcBorders>
            <w:noWrap/>
            <w:textDirection w:val="lrTb"/>
            <w:vAlign w:val="bottom"/>
            <w:hideMark/>
          </w:tcPr>
          <w:p w:rsidR="00655688" w:rsidP="00257E12">
            <w:pPr>
              <w:bidi w:val="0"/>
              <w:rPr>
                <w:rFonts w:ascii="Times New Roman" w:hAnsi="Times New Roman" w:cs="Times New Roman"/>
                <w:sz w:val="20"/>
                <w:szCs w:val="20"/>
                <w:lang w:eastAsia="sk-SK"/>
              </w:rPr>
            </w:pPr>
          </w:p>
        </w:tc>
        <w:tc>
          <w:tcPr>
            <w:tcW w:w="439" w:type="pct"/>
            <w:tcBorders>
              <w:top w:val="none" w:sz="0" w:space="0" w:color="auto"/>
              <w:left w:val="none" w:sz="0" w:space="0" w:color="auto"/>
              <w:bottom w:val="none" w:sz="0" w:space="0" w:color="auto"/>
              <w:right w:val="none" w:sz="0" w:space="0" w:color="auto"/>
            </w:tcBorders>
            <w:noWrap/>
            <w:textDirection w:val="lrTb"/>
            <w:vAlign w:val="bottom"/>
            <w:hideMark/>
          </w:tcPr>
          <w:p w:rsidR="00655688" w:rsidP="00257E12">
            <w:pPr>
              <w:bidi w:val="0"/>
              <w:rPr>
                <w:rFonts w:ascii="Times New Roman" w:hAnsi="Times New Roman" w:cs="Times New Roman"/>
                <w:sz w:val="20"/>
                <w:szCs w:val="20"/>
                <w:lang w:eastAsia="sk-SK"/>
              </w:rPr>
            </w:pPr>
          </w:p>
        </w:tc>
        <w:tc>
          <w:tcPr>
            <w:tcW w:w="439" w:type="pct"/>
            <w:tcBorders>
              <w:top w:val="none" w:sz="0" w:space="0" w:color="auto"/>
              <w:left w:val="none" w:sz="0" w:space="0" w:color="auto"/>
              <w:bottom w:val="none" w:sz="0" w:space="0" w:color="auto"/>
              <w:right w:val="none" w:sz="0" w:space="0" w:color="auto"/>
            </w:tcBorders>
            <w:noWrap/>
            <w:textDirection w:val="lrTb"/>
            <w:vAlign w:val="bottom"/>
            <w:hideMark/>
          </w:tcPr>
          <w:p w:rsidR="00655688" w:rsidP="00257E12">
            <w:pPr>
              <w:bidi w:val="0"/>
              <w:rPr>
                <w:rFonts w:ascii="Times New Roman" w:hAnsi="Times New Roman" w:cs="Times New Roman"/>
                <w:sz w:val="20"/>
                <w:szCs w:val="20"/>
                <w:lang w:eastAsia="sk-SK"/>
              </w:rPr>
            </w:pPr>
          </w:p>
        </w:tc>
        <w:tc>
          <w:tcPr>
            <w:tcW w:w="439" w:type="pct"/>
            <w:tcBorders>
              <w:top w:val="none" w:sz="0" w:space="0" w:color="auto"/>
              <w:left w:val="none" w:sz="0" w:space="0" w:color="auto"/>
              <w:bottom w:val="none" w:sz="0" w:space="0" w:color="auto"/>
              <w:right w:val="none" w:sz="0" w:space="0" w:color="auto"/>
            </w:tcBorders>
            <w:noWrap/>
            <w:textDirection w:val="lrTb"/>
            <w:vAlign w:val="bottom"/>
            <w:hideMark/>
          </w:tcPr>
          <w:p w:rsidR="00655688" w:rsidP="00257E12">
            <w:pPr>
              <w:bidi w:val="0"/>
              <w:rPr>
                <w:rFonts w:ascii="Times New Roman" w:hAnsi="Times New Roman" w:cs="Times New Roman"/>
                <w:sz w:val="20"/>
                <w:szCs w:val="20"/>
                <w:lang w:eastAsia="sk-SK"/>
              </w:rPr>
            </w:pPr>
          </w:p>
        </w:tc>
        <w:tc>
          <w:tcPr>
            <w:tcW w:w="439" w:type="pct"/>
            <w:tcBorders>
              <w:top w:val="none" w:sz="0" w:space="0" w:color="auto"/>
              <w:left w:val="none" w:sz="0" w:space="0" w:color="auto"/>
              <w:bottom w:val="none" w:sz="0" w:space="0" w:color="auto"/>
              <w:right w:val="none" w:sz="0" w:space="0" w:color="auto"/>
            </w:tcBorders>
            <w:noWrap/>
            <w:textDirection w:val="lrTb"/>
            <w:vAlign w:val="bottom"/>
            <w:hideMark/>
          </w:tcPr>
          <w:p w:rsidR="00655688" w:rsidP="00257E12">
            <w:pPr>
              <w:bidi w:val="0"/>
              <w:rPr>
                <w:rFonts w:ascii="Times New Roman" w:hAnsi="Times New Roman" w:cs="Times New Roman"/>
                <w:sz w:val="20"/>
                <w:szCs w:val="20"/>
                <w:lang w:eastAsia="sk-SK"/>
              </w:rPr>
            </w:pPr>
          </w:p>
        </w:tc>
        <w:tc>
          <w:tcPr>
            <w:tcW w:w="439" w:type="pct"/>
            <w:tcBorders>
              <w:top w:val="none" w:sz="0" w:space="0" w:color="auto"/>
              <w:left w:val="none" w:sz="0" w:space="0" w:color="auto"/>
              <w:bottom w:val="none" w:sz="0" w:space="0" w:color="auto"/>
              <w:right w:val="none" w:sz="0" w:space="0" w:color="auto"/>
            </w:tcBorders>
            <w:noWrap/>
            <w:textDirection w:val="lrTb"/>
            <w:vAlign w:val="bottom"/>
            <w:hideMark/>
          </w:tcPr>
          <w:p w:rsidR="00655688" w:rsidP="00257E12">
            <w:pPr>
              <w:bidi w:val="0"/>
              <w:rPr>
                <w:rFonts w:ascii="Times New Roman" w:hAnsi="Times New Roman" w:cs="Times New Roman"/>
                <w:sz w:val="20"/>
                <w:szCs w:val="20"/>
                <w:lang w:eastAsia="sk-SK"/>
              </w:rPr>
            </w:pPr>
          </w:p>
        </w:tc>
      </w:tr>
      <w:tr>
        <w:tblPrEx>
          <w:tblW w:w="5000" w:type="pct"/>
          <w:tblCellMar>
            <w:left w:w="70" w:type="dxa"/>
            <w:right w:w="70" w:type="dxa"/>
          </w:tblCellMar>
          <w:tblLook w:val="04A0"/>
        </w:tblPrEx>
        <w:trPr>
          <w:trHeight w:val="113"/>
        </w:trPr>
        <w:tc>
          <w:tcPr>
            <w:tcW w:w="5000" w:type="pct"/>
            <w:gridSpan w:val="9"/>
            <w:tcBorders>
              <w:top w:val="none" w:sz="0" w:space="0" w:color="auto"/>
              <w:left w:val="none" w:sz="0" w:space="0" w:color="auto"/>
              <w:bottom w:val="none" w:sz="0" w:space="0" w:color="auto"/>
              <w:right w:val="none" w:sz="0" w:space="0" w:color="auto"/>
            </w:tcBorders>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Očakávaná skutočnosť za r. 2011 vychádza zo skutočnosti za I. polrok 2011.</w:t>
            </w:r>
          </w:p>
        </w:tc>
      </w:tr>
    </w:tbl>
    <w:p w:rsidR="00655688" w:rsidP="00655688">
      <w:pPr>
        <w:bidi w:val="0"/>
        <w:jc w:val="both"/>
        <w:rPr>
          <w:rFonts w:ascii="Times New Roman" w:hAnsi="Times New Roman" w:cs="Times New Roman"/>
          <w:bCs/>
        </w:rPr>
      </w:pPr>
    </w:p>
    <w:p w:rsidR="00655688" w:rsidP="00655688">
      <w:pPr>
        <w:bidi w:val="0"/>
        <w:ind w:firstLine="708"/>
        <w:jc w:val="both"/>
        <w:rPr>
          <w:rFonts w:ascii="Times New Roman" w:hAnsi="Times New Roman" w:cs="Times New Roman"/>
          <w:bCs/>
        </w:rPr>
      </w:pPr>
      <w:r>
        <w:rPr>
          <w:rFonts w:ascii="Times New Roman" w:hAnsi="Times New Roman" w:cs="Times New Roman"/>
          <w:bCs/>
        </w:rPr>
        <w:t>Prehľad o skutočne dosiahnutých ukazovateľoch zamestnanosti v rokoch 2009 a 2010, o rozpočte a o očakávanej skutočnosti v r. 2011 až 2014 je uvedený v tabuľke.</w:t>
      </w:r>
    </w:p>
    <w:p w:rsidR="00655688" w:rsidP="00655688">
      <w:pPr>
        <w:bidi w:val="0"/>
        <w:ind w:firstLine="708"/>
        <w:jc w:val="both"/>
        <w:rPr>
          <w:rFonts w:ascii="Times New Roman" w:hAnsi="Times New Roman" w:cs="Times New Roman"/>
          <w:bCs/>
        </w:rPr>
      </w:pPr>
    </w:p>
    <w:tbl>
      <w:tblPr>
        <w:tblStyle w:val="TableNormal"/>
        <w:tblW w:w="9430" w:type="dxa"/>
        <w:jc w:val="center"/>
        <w:tblCellMar>
          <w:left w:w="70" w:type="dxa"/>
          <w:right w:w="70" w:type="dxa"/>
        </w:tblCellMar>
        <w:tblLook w:val="04A0"/>
      </w:tblPr>
      <w:tblGrid>
        <w:gridCol w:w="1980"/>
        <w:gridCol w:w="1040"/>
        <w:gridCol w:w="475"/>
        <w:gridCol w:w="1000"/>
        <w:gridCol w:w="1015"/>
        <w:gridCol w:w="980"/>
        <w:gridCol w:w="980"/>
        <w:gridCol w:w="980"/>
        <w:gridCol w:w="980"/>
      </w:tblGrid>
      <w:tr>
        <w:tblPrEx>
          <w:tblW w:w="9430" w:type="dxa"/>
          <w:jc w:val="center"/>
          <w:tblCellMar>
            <w:left w:w="70" w:type="dxa"/>
            <w:right w:w="70" w:type="dxa"/>
          </w:tblCellMar>
          <w:tblLook w:val="04A0"/>
        </w:tblPrEx>
        <w:trPr>
          <w:trHeight w:val="266"/>
          <w:jc w:val="center"/>
        </w:trPr>
        <w:tc>
          <w:tcPr>
            <w:tcW w:w="3495" w:type="dxa"/>
            <w:gridSpan w:val="3"/>
            <w:tcBorders>
              <w:top w:val="single" w:sz="4" w:space="0" w:color="auto"/>
              <w:left w:val="single" w:sz="4" w:space="0" w:color="auto"/>
              <w:bottom w:val="single" w:sz="4" w:space="0" w:color="auto"/>
              <w:right w:val="single" w:sz="4" w:space="0" w:color="auto"/>
            </w:tcBorders>
            <w:shd w:val="clear" w:color="auto" w:fill="A6A6A6"/>
            <w:textDirection w:val="lrTb"/>
            <w:vAlign w:val="bottom"/>
            <w:hideMark/>
          </w:tcPr>
          <w:p w:rsidR="00655688" w:rsidP="00257E12">
            <w:pPr>
              <w:bidi w:val="0"/>
              <w:rPr>
                <w:rFonts w:ascii="Times New Roman" w:hAnsi="Times New Roman" w:cs="Times New Roman"/>
                <w:b/>
                <w:bCs/>
                <w:sz w:val="14"/>
                <w:szCs w:val="14"/>
                <w:lang w:eastAsia="sk-SK"/>
              </w:rPr>
            </w:pPr>
            <w:r>
              <w:rPr>
                <w:rFonts w:ascii="Times New Roman" w:hAnsi="Times New Roman" w:cs="Times New Roman"/>
                <w:b/>
                <w:bCs/>
                <w:sz w:val="14"/>
                <w:szCs w:val="14"/>
                <w:lang w:eastAsia="sk-SK"/>
              </w:rPr>
              <w:t>Rozpočtové organizácie kapitol štátneho</w:t>
              <w:br/>
              <w:t>rozpočtu</w:t>
            </w:r>
          </w:p>
        </w:tc>
        <w:tc>
          <w:tcPr>
            <w:tcW w:w="100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2009</w:t>
            </w:r>
          </w:p>
        </w:tc>
        <w:tc>
          <w:tcPr>
            <w:tcW w:w="1015"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2010</w:t>
            </w:r>
          </w:p>
        </w:tc>
        <w:tc>
          <w:tcPr>
            <w:tcW w:w="98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2011</w:t>
            </w:r>
          </w:p>
        </w:tc>
        <w:tc>
          <w:tcPr>
            <w:tcW w:w="98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2012</w:t>
            </w:r>
          </w:p>
        </w:tc>
        <w:tc>
          <w:tcPr>
            <w:tcW w:w="98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2013</w:t>
            </w:r>
          </w:p>
        </w:tc>
        <w:tc>
          <w:tcPr>
            <w:tcW w:w="98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2014</w:t>
            </w:r>
          </w:p>
        </w:tc>
      </w:tr>
      <w:tr>
        <w:tblPrEx>
          <w:tblW w:w="9430" w:type="dxa"/>
          <w:jc w:val="center"/>
          <w:tblCellMar>
            <w:left w:w="70" w:type="dxa"/>
            <w:right w:w="70" w:type="dxa"/>
          </w:tblCellMar>
          <w:tblLook w:val="04A0"/>
        </w:tblPrEx>
        <w:trPr>
          <w:trHeight w:val="266"/>
          <w:jc w:val="center"/>
        </w:trPr>
        <w:tc>
          <w:tcPr>
            <w:tcW w:w="1980"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Počet zamestnancov</w:t>
            </w:r>
          </w:p>
        </w:tc>
        <w:tc>
          <w:tcPr>
            <w:tcW w:w="1040" w:type="dxa"/>
            <w:tcBorders>
              <w:top w:val="nil"/>
              <w:left w:val="nil"/>
              <w:bottom w:val="single" w:sz="4" w:space="0" w:color="auto"/>
              <w:right w:val="single" w:sz="4" w:space="0" w:color="auto"/>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Rozpočet</w:t>
            </w:r>
          </w:p>
        </w:tc>
        <w:tc>
          <w:tcPr>
            <w:tcW w:w="475"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osoby</w:t>
            </w:r>
          </w:p>
        </w:tc>
        <w:tc>
          <w:tcPr>
            <w:tcW w:w="10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134 428</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132 365</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128 681</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128 037</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128 200</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128 347</w:t>
            </w:r>
          </w:p>
        </w:tc>
      </w:tr>
      <w:tr>
        <w:tblPrEx>
          <w:tblW w:w="9430" w:type="dxa"/>
          <w:jc w:val="center"/>
          <w:tblCellMar>
            <w:left w:w="70" w:type="dxa"/>
            <w:right w:w="70" w:type="dxa"/>
          </w:tblCellMar>
          <w:tblLook w:val="04A0"/>
        </w:tblPrEx>
        <w:trPr>
          <w:trHeight w:val="266"/>
          <w:jc w:val="center"/>
        </w:trPr>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sz w:val="14"/>
                <w:szCs w:val="14"/>
                <w:lang w:eastAsia="sk-SK"/>
              </w:rPr>
            </w:pPr>
          </w:p>
        </w:tc>
        <w:tc>
          <w:tcPr>
            <w:tcW w:w="1040" w:type="dxa"/>
            <w:tcBorders>
              <w:top w:val="nil"/>
              <w:left w:val="nil"/>
              <w:bottom w:val="single" w:sz="4" w:space="0" w:color="auto"/>
              <w:right w:val="single" w:sz="4" w:space="0" w:color="auto"/>
            </w:tcBorders>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Skutočnosť</w:t>
              <w:br/>
            </w:r>
            <w:r>
              <w:rPr>
                <w:rFonts w:ascii="Times New Roman" w:hAnsi="Times New Roman" w:cs="Times New Roman"/>
                <w:i/>
                <w:iCs/>
                <w:sz w:val="14"/>
                <w:szCs w:val="14"/>
                <w:lang w:eastAsia="sk-SK"/>
              </w:rPr>
              <w:t>resp.OS</w:t>
            </w:r>
          </w:p>
        </w:tc>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sz w:val="14"/>
                <w:szCs w:val="14"/>
                <w:lang w:eastAsia="sk-SK"/>
              </w:rPr>
            </w:pPr>
          </w:p>
        </w:tc>
        <w:tc>
          <w:tcPr>
            <w:tcW w:w="10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127 759</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127 380</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122 588</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121 635</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121 790</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121 930</w:t>
            </w:r>
          </w:p>
        </w:tc>
      </w:tr>
      <w:tr>
        <w:tblPrEx>
          <w:tblW w:w="9430" w:type="dxa"/>
          <w:jc w:val="center"/>
          <w:tblCellMar>
            <w:left w:w="70" w:type="dxa"/>
            <w:right w:w="70" w:type="dxa"/>
          </w:tblCellMar>
          <w:tblLook w:val="04A0"/>
        </w:tblPrEx>
        <w:trPr>
          <w:trHeight w:val="266"/>
          <w:jc w:val="center"/>
        </w:trPr>
        <w:tc>
          <w:tcPr>
            <w:tcW w:w="1980"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Osobné výdavky</w:t>
            </w:r>
          </w:p>
        </w:tc>
        <w:tc>
          <w:tcPr>
            <w:tcW w:w="1040" w:type="dxa"/>
            <w:tcBorders>
              <w:top w:val="nil"/>
              <w:left w:val="nil"/>
              <w:bottom w:val="single" w:sz="4" w:space="0" w:color="auto"/>
              <w:right w:val="single" w:sz="4" w:space="0" w:color="auto"/>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Rozpočet</w:t>
            </w:r>
          </w:p>
        </w:tc>
        <w:tc>
          <w:tcPr>
            <w:tcW w:w="475"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eur</w:t>
            </w:r>
          </w:p>
        </w:tc>
        <w:tc>
          <w:tcPr>
            <w:tcW w:w="10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2 113 122 738</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2 068 321 734</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1 953 980 665</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2 053 576 058</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2 090 907 128</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2 149 537 873</w:t>
            </w:r>
          </w:p>
        </w:tc>
      </w:tr>
      <w:tr>
        <w:tblPrEx>
          <w:tblW w:w="9430" w:type="dxa"/>
          <w:jc w:val="center"/>
          <w:tblCellMar>
            <w:left w:w="70" w:type="dxa"/>
            <w:right w:w="70" w:type="dxa"/>
          </w:tblCellMar>
          <w:tblLook w:val="04A0"/>
        </w:tblPrEx>
        <w:trPr>
          <w:trHeight w:val="266"/>
          <w:jc w:val="center"/>
        </w:trPr>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sz w:val="14"/>
                <w:szCs w:val="14"/>
                <w:lang w:eastAsia="sk-SK"/>
              </w:rPr>
            </w:pPr>
          </w:p>
        </w:tc>
        <w:tc>
          <w:tcPr>
            <w:tcW w:w="1040" w:type="dxa"/>
            <w:tcBorders>
              <w:top w:val="nil"/>
              <w:left w:val="nil"/>
              <w:bottom w:val="single" w:sz="4" w:space="0" w:color="auto"/>
              <w:right w:val="single" w:sz="4" w:space="0" w:color="auto"/>
            </w:tcBorders>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Skutočnosť</w:t>
              <w:br/>
            </w:r>
            <w:r>
              <w:rPr>
                <w:rFonts w:ascii="Times New Roman" w:hAnsi="Times New Roman" w:cs="Times New Roman"/>
                <w:i/>
                <w:iCs/>
                <w:sz w:val="14"/>
                <w:szCs w:val="14"/>
                <w:lang w:eastAsia="sk-SK"/>
              </w:rPr>
              <w:t>resp.OS</w:t>
            </w:r>
          </w:p>
        </w:tc>
        <w:tc>
          <w:tcPr>
            <w:tcW w:w="475"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eur</w:t>
            </w:r>
          </w:p>
        </w:tc>
        <w:tc>
          <w:tcPr>
            <w:tcW w:w="10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2 041 283 543</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2 092 321 544</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i/>
                <w:iCs/>
                <w:sz w:val="14"/>
                <w:szCs w:val="14"/>
                <w:lang w:eastAsia="sk-SK"/>
              </w:rPr>
            </w:pPr>
            <w:r>
              <w:rPr>
                <w:rFonts w:ascii="Times New Roman" w:hAnsi="Times New Roman" w:cs="Times New Roman"/>
                <w:b/>
                <w:bCs/>
                <w:i/>
                <w:iCs/>
                <w:sz w:val="14"/>
                <w:szCs w:val="14"/>
                <w:lang w:eastAsia="sk-SK"/>
              </w:rPr>
              <w:t>2 006 712 419</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i/>
                <w:iCs/>
                <w:sz w:val="14"/>
                <w:szCs w:val="14"/>
                <w:lang w:eastAsia="sk-SK"/>
              </w:rPr>
            </w:pPr>
            <w:r>
              <w:rPr>
                <w:rFonts w:ascii="Times New Roman" w:hAnsi="Times New Roman" w:cs="Times New Roman"/>
                <w:b/>
                <w:bCs/>
                <w:i/>
                <w:iCs/>
                <w:sz w:val="14"/>
                <w:szCs w:val="14"/>
                <w:lang w:eastAsia="sk-SK"/>
              </w:rPr>
              <w:t>2 103 932 775</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i/>
                <w:iCs/>
                <w:sz w:val="14"/>
                <w:szCs w:val="14"/>
                <w:lang w:eastAsia="sk-SK"/>
              </w:rPr>
            </w:pPr>
            <w:r>
              <w:rPr>
                <w:rFonts w:ascii="Times New Roman" w:hAnsi="Times New Roman" w:cs="Times New Roman"/>
                <w:b/>
                <w:bCs/>
                <w:i/>
                <w:iCs/>
                <w:sz w:val="14"/>
                <w:szCs w:val="14"/>
                <w:lang w:eastAsia="sk-SK"/>
              </w:rPr>
              <w:t>2 141 263 845</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i/>
                <w:iCs/>
                <w:sz w:val="14"/>
                <w:szCs w:val="14"/>
                <w:lang w:eastAsia="sk-SK"/>
              </w:rPr>
            </w:pPr>
            <w:r>
              <w:rPr>
                <w:rFonts w:ascii="Times New Roman" w:hAnsi="Times New Roman" w:cs="Times New Roman"/>
                <w:b/>
                <w:bCs/>
                <w:i/>
                <w:iCs/>
                <w:sz w:val="14"/>
                <w:szCs w:val="14"/>
                <w:lang w:eastAsia="sk-SK"/>
              </w:rPr>
              <w:t>2 199 894 590</w:t>
            </w:r>
          </w:p>
        </w:tc>
      </w:tr>
      <w:tr>
        <w:tblPrEx>
          <w:tblW w:w="9430" w:type="dxa"/>
          <w:jc w:val="center"/>
          <w:tblCellMar>
            <w:left w:w="70" w:type="dxa"/>
            <w:right w:w="70" w:type="dxa"/>
          </w:tblCellMar>
          <w:tblLook w:val="04A0"/>
        </w:tblPrEx>
        <w:trPr>
          <w:trHeight w:val="266"/>
          <w:jc w:val="center"/>
        </w:trPr>
        <w:tc>
          <w:tcPr>
            <w:tcW w:w="1980" w:type="dxa"/>
            <w:tcBorders>
              <w:top w:val="nil"/>
              <w:left w:val="single" w:sz="4" w:space="0" w:color="auto"/>
              <w:bottom w:val="single" w:sz="4" w:space="0" w:color="auto"/>
              <w:right w:val="single" w:sz="4" w:space="0" w:color="auto"/>
            </w:tcBorders>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z toho:</w:t>
            </w:r>
          </w:p>
        </w:tc>
        <w:tc>
          <w:tcPr>
            <w:tcW w:w="1040" w:type="dxa"/>
            <w:tcBorders>
              <w:top w:val="nil"/>
              <w:left w:val="nil"/>
              <w:bottom w:val="single" w:sz="4" w:space="0" w:color="auto"/>
              <w:right w:val="single" w:sz="4" w:space="0" w:color="auto"/>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Rozpočet</w:t>
            </w:r>
          </w:p>
        </w:tc>
        <w:tc>
          <w:tcPr>
            <w:tcW w:w="475"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eur</w:t>
            </w:r>
          </w:p>
        </w:tc>
        <w:tc>
          <w:tcPr>
            <w:tcW w:w="10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1 589 183 987</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1 555 176 258</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1 463 426 525</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1 486 194 500</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 xml:space="preserve">1 514 822 389 </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1 558 618 507</w:t>
            </w:r>
          </w:p>
        </w:tc>
      </w:tr>
      <w:tr>
        <w:tblPrEx>
          <w:tblW w:w="9430" w:type="dxa"/>
          <w:jc w:val="center"/>
          <w:tblCellMar>
            <w:left w:w="70" w:type="dxa"/>
            <w:right w:w="70" w:type="dxa"/>
          </w:tblCellMar>
          <w:tblLook w:val="04A0"/>
        </w:tblPrEx>
        <w:trPr>
          <w:trHeight w:val="266"/>
          <w:jc w:val="center"/>
        </w:trPr>
        <w:tc>
          <w:tcPr>
            <w:tcW w:w="1980" w:type="dxa"/>
            <w:tcBorders>
              <w:top w:val="nil"/>
              <w:left w:val="single" w:sz="4" w:space="0" w:color="auto"/>
              <w:bottom w:val="single" w:sz="4" w:space="0" w:color="auto"/>
              <w:right w:val="single" w:sz="4" w:space="0" w:color="auto"/>
            </w:tcBorders>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mzdové výdavky</w:t>
            </w:r>
          </w:p>
        </w:tc>
        <w:tc>
          <w:tcPr>
            <w:tcW w:w="1040" w:type="dxa"/>
            <w:tcBorders>
              <w:top w:val="nil"/>
              <w:left w:val="nil"/>
              <w:bottom w:val="single" w:sz="4" w:space="0" w:color="auto"/>
              <w:right w:val="single" w:sz="4" w:space="0" w:color="auto"/>
            </w:tcBorders>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Skutočnosť</w:t>
              <w:br/>
            </w:r>
            <w:r>
              <w:rPr>
                <w:rFonts w:ascii="Times New Roman" w:hAnsi="Times New Roman" w:cs="Times New Roman"/>
                <w:i/>
                <w:iCs/>
                <w:sz w:val="14"/>
                <w:szCs w:val="14"/>
                <w:lang w:eastAsia="sk-SK"/>
              </w:rPr>
              <w:t>resp.OS</w:t>
            </w:r>
          </w:p>
        </w:tc>
        <w:tc>
          <w:tcPr>
            <w:tcW w:w="475"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eur</w:t>
            </w:r>
          </w:p>
        </w:tc>
        <w:tc>
          <w:tcPr>
            <w:tcW w:w="10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1 543 925 025</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1 581 767 964</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1 502 611 003</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1 523 702 413</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1 552 330 302</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1 596 126 420</w:t>
            </w:r>
          </w:p>
        </w:tc>
      </w:tr>
      <w:tr>
        <w:tblPrEx>
          <w:tblW w:w="9430" w:type="dxa"/>
          <w:jc w:val="center"/>
          <w:tblCellMar>
            <w:left w:w="70" w:type="dxa"/>
            <w:right w:w="70" w:type="dxa"/>
          </w:tblCellMar>
          <w:tblLook w:val="04A0"/>
        </w:tblPrEx>
        <w:trPr>
          <w:trHeight w:val="266"/>
          <w:jc w:val="center"/>
        </w:trPr>
        <w:tc>
          <w:tcPr>
            <w:tcW w:w="3020" w:type="dxa"/>
            <w:gridSpan w:val="2"/>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Priemerný mzdový výdavok – S, resp. OS</w:t>
            </w:r>
          </w:p>
        </w:tc>
        <w:tc>
          <w:tcPr>
            <w:tcW w:w="475"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eur</w:t>
            </w:r>
          </w:p>
        </w:tc>
        <w:tc>
          <w:tcPr>
            <w:tcW w:w="10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1 007,06</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1 034,81</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1 021,45</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1 043,89</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1 062,16</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1 090,88</w:t>
            </w:r>
          </w:p>
        </w:tc>
      </w:tr>
      <w:tr>
        <w:tblPrEx>
          <w:tblW w:w="9430" w:type="dxa"/>
          <w:jc w:val="center"/>
          <w:tblCellMar>
            <w:left w:w="70" w:type="dxa"/>
            <w:right w:w="70" w:type="dxa"/>
          </w:tblCellMar>
          <w:tblLook w:val="04A0"/>
        </w:tblPrEx>
        <w:trPr>
          <w:trHeight w:val="266"/>
          <w:jc w:val="center"/>
        </w:trPr>
        <w:tc>
          <w:tcPr>
            <w:tcW w:w="3020" w:type="dxa"/>
            <w:gridSpan w:val="2"/>
            <w:tcBorders>
              <w:top w:val="single" w:sz="4" w:space="0" w:color="auto"/>
              <w:left w:val="single" w:sz="4" w:space="0" w:color="auto"/>
              <w:bottom w:val="single" w:sz="4" w:space="0" w:color="auto"/>
              <w:right w:val="single" w:sz="4" w:space="0" w:color="auto"/>
            </w:tcBorders>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Priemerná mzda zamestnanca v</w:t>
              <w:br/>
              <w:t>hospodárstve SR </w:t>
            </w:r>
          </w:p>
        </w:tc>
        <w:tc>
          <w:tcPr>
            <w:tcW w:w="475"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eur</w:t>
            </w:r>
          </w:p>
        </w:tc>
        <w:tc>
          <w:tcPr>
            <w:tcW w:w="100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745</w:t>
            </w:r>
          </w:p>
        </w:tc>
        <w:tc>
          <w:tcPr>
            <w:tcW w:w="1015"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769</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796</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839</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886</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942</w:t>
            </w:r>
          </w:p>
        </w:tc>
      </w:tr>
      <w:tr>
        <w:tblPrEx>
          <w:tblW w:w="9430" w:type="dxa"/>
          <w:jc w:val="center"/>
          <w:tblCellMar>
            <w:left w:w="70" w:type="dxa"/>
            <w:right w:w="70" w:type="dxa"/>
          </w:tblCellMar>
          <w:tblLook w:val="04A0"/>
        </w:tblPrEx>
        <w:trPr>
          <w:trHeight w:val="266"/>
          <w:jc w:val="center"/>
        </w:trPr>
        <w:tc>
          <w:tcPr>
            <w:tcW w:w="3020" w:type="dxa"/>
            <w:gridSpan w:val="2"/>
            <w:tcBorders>
              <w:top w:val="single" w:sz="4" w:space="0" w:color="auto"/>
              <w:left w:val="single" w:sz="4" w:space="0" w:color="auto"/>
              <w:bottom w:val="nil"/>
              <w:right w:val="single" w:sz="4" w:space="0" w:color="auto"/>
            </w:tcBorders>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Index</w:t>
            </w:r>
          </w:p>
        </w:tc>
        <w:tc>
          <w:tcPr>
            <w:tcW w:w="475"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w:t>
            </w:r>
          </w:p>
        </w:tc>
        <w:tc>
          <w:tcPr>
            <w:tcW w:w="1000"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135,2</w:t>
            </w:r>
          </w:p>
        </w:tc>
        <w:tc>
          <w:tcPr>
            <w:tcW w:w="1015"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134,6</w:t>
            </w:r>
          </w:p>
        </w:tc>
        <w:tc>
          <w:tcPr>
            <w:tcW w:w="980"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128,3</w:t>
            </w:r>
          </w:p>
        </w:tc>
        <w:tc>
          <w:tcPr>
            <w:tcW w:w="980"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124,4</w:t>
            </w:r>
          </w:p>
        </w:tc>
        <w:tc>
          <w:tcPr>
            <w:tcW w:w="980"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119,9</w:t>
            </w:r>
          </w:p>
        </w:tc>
        <w:tc>
          <w:tcPr>
            <w:tcW w:w="980"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115,8</w:t>
            </w:r>
          </w:p>
        </w:tc>
      </w:tr>
      <w:tr>
        <w:tblPrEx>
          <w:tblW w:w="9430" w:type="dxa"/>
          <w:jc w:val="center"/>
          <w:tblCellMar>
            <w:left w:w="70" w:type="dxa"/>
            <w:right w:w="70" w:type="dxa"/>
          </w:tblCellMar>
          <w:tblLook w:val="04A0"/>
        </w:tblPrEx>
        <w:trPr>
          <w:trHeight w:val="266"/>
          <w:jc w:val="center"/>
        </w:trPr>
        <w:tc>
          <w:tcPr>
            <w:tcW w:w="3020" w:type="dxa"/>
            <w:gridSpan w:val="2"/>
            <w:tcBorders>
              <w:top w:val="nil"/>
              <w:left w:val="single" w:sz="4" w:space="0" w:color="auto"/>
              <w:bottom w:val="single" w:sz="4" w:space="0" w:color="auto"/>
              <w:right w:val="single" w:sz="4" w:space="0" w:color="auto"/>
            </w:tcBorders>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(Priemerný mzdový výdavok/Priemerná mzda zam. v hosp. SR)</w:t>
            </w:r>
          </w:p>
        </w:tc>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sz w:val="14"/>
                <w:szCs w:val="14"/>
                <w:lang w:eastAsia="sk-SK"/>
              </w:rPr>
            </w:pPr>
          </w:p>
        </w:tc>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b/>
                <w:bCs/>
                <w:sz w:val="14"/>
                <w:szCs w:val="14"/>
                <w:lang w:eastAsia="sk-SK"/>
              </w:rPr>
            </w:pPr>
          </w:p>
        </w:tc>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b/>
                <w:bCs/>
                <w:sz w:val="14"/>
                <w:szCs w:val="14"/>
                <w:lang w:eastAsia="sk-SK"/>
              </w:rPr>
            </w:pPr>
          </w:p>
        </w:tc>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b/>
                <w:bCs/>
                <w:sz w:val="14"/>
                <w:szCs w:val="14"/>
                <w:lang w:eastAsia="sk-SK"/>
              </w:rPr>
            </w:pPr>
          </w:p>
        </w:tc>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b/>
                <w:bCs/>
                <w:sz w:val="14"/>
                <w:szCs w:val="14"/>
                <w:lang w:eastAsia="sk-SK"/>
              </w:rPr>
            </w:pPr>
          </w:p>
        </w:tc>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b/>
                <w:bCs/>
                <w:sz w:val="14"/>
                <w:szCs w:val="14"/>
                <w:lang w:eastAsia="sk-SK"/>
              </w:rPr>
            </w:pPr>
          </w:p>
        </w:tc>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b/>
                <w:bCs/>
                <w:sz w:val="14"/>
                <w:szCs w:val="14"/>
                <w:lang w:eastAsia="sk-SK"/>
              </w:rPr>
            </w:pPr>
          </w:p>
        </w:tc>
      </w:tr>
    </w:tbl>
    <w:p w:rsidR="00655688" w:rsidP="00655688">
      <w:pPr>
        <w:bidi w:val="0"/>
        <w:jc w:val="center"/>
        <w:rPr>
          <w:rFonts w:ascii="Times New Roman" w:hAnsi="Times New Roman" w:cs="Times New Roman"/>
          <w:bCs/>
        </w:rPr>
      </w:pPr>
    </w:p>
    <w:p w:rsidR="00655688" w:rsidP="00655688">
      <w:pPr>
        <w:bidi w:val="0"/>
        <w:ind w:firstLine="708"/>
        <w:jc w:val="both"/>
        <w:rPr>
          <w:rFonts w:ascii="Times New Roman" w:hAnsi="Times New Roman" w:cs="Times New Roman"/>
          <w:bCs/>
        </w:rPr>
      </w:pPr>
      <w:r>
        <w:rPr>
          <w:rFonts w:ascii="Times New Roman" w:hAnsi="Times New Roman" w:cs="Times New Roman"/>
          <w:bCs/>
        </w:rPr>
        <w:t>V rozpočte na rok 2011 bolo realizované 10% zníženie osobných výdavkov s osobitným prístupom k niektorým skupinám zamestnancov, na základe čoho boli vylúčení zo znižovania pedagogickí zamestnanci a profesionálni vojaci. Zmiernenie zníženia bolo realizované aj v prípade policajtov, hasičov, vedeckých a výskumných pracovníkov SAV, zamestnancov Generálnej prokuratúry SR a ďalších. Výsledkom uplatnenia týchto výnimiek došlo k medziročnému zníženiu osobných výdavkov o 5,5 %. Časť tohto zníženia bola vykompenzovaná znížením počtu zamestnancov  a časť znížením platov.</w:t>
      </w:r>
    </w:p>
    <w:p w:rsidR="00655688" w:rsidP="00655688">
      <w:pPr>
        <w:bidi w:val="0"/>
        <w:jc w:val="both"/>
        <w:rPr>
          <w:rFonts w:ascii="Times New Roman" w:hAnsi="Times New Roman" w:cs="Times New Roman"/>
          <w:bCs/>
        </w:rPr>
      </w:pPr>
    </w:p>
    <w:p w:rsidR="00655688" w:rsidP="00655688">
      <w:pPr>
        <w:bidi w:val="0"/>
        <w:jc w:val="both"/>
        <w:rPr>
          <w:rFonts w:ascii="Times New Roman" w:hAnsi="Times New Roman" w:cs="Times New Roman"/>
          <w:bCs/>
        </w:rPr>
      </w:pPr>
      <w:r>
        <w:rPr>
          <w:rFonts w:ascii="Times New Roman" w:hAnsi="Times New Roman" w:cs="Times New Roman"/>
          <w:bCs/>
        </w:rPr>
        <w:tab/>
        <w:t xml:space="preserve">Znižovanie počtu zamestnancov začalo v druhom polroku 2010 a prebiehalo aj počas prvého polroku 2011. Priemerné počty zamestnancov za rok 2010 boli teda týmto prepúšťaním čiastočne znížené a  v plnej výške sa znižovanie prejaví až v údajoch za rok 2012. Komplexnejšiu informáciu o rozsahu znižovania počtov poskytne teda porovnanie rokov 2009 a 2012. Pri porovnaní počtu zamestnancov rozpočtových organizácií za rok 2009 a očakávanej skutočnosti za rok 2012 prichádza k poklesu o 4,8 %.  </w:t>
      </w:r>
    </w:p>
    <w:p w:rsidR="00655688" w:rsidP="00655688">
      <w:pPr>
        <w:bidi w:val="0"/>
        <w:ind w:firstLine="360"/>
        <w:jc w:val="both"/>
        <w:rPr>
          <w:rFonts w:ascii="Times New Roman" w:hAnsi="Times New Roman" w:cs="Times New Roman"/>
        </w:rPr>
      </w:pPr>
    </w:p>
    <w:p w:rsidR="00655688" w:rsidP="00655688">
      <w:pPr>
        <w:bidi w:val="0"/>
        <w:ind w:firstLine="708"/>
        <w:jc w:val="both"/>
        <w:rPr>
          <w:rFonts w:ascii="Times New Roman" w:hAnsi="Times New Roman" w:cs="Times New Roman"/>
        </w:rPr>
      </w:pPr>
      <w:r>
        <w:rPr>
          <w:rFonts w:ascii="Times New Roman" w:hAnsi="Times New Roman" w:cs="Times New Roman"/>
        </w:rPr>
        <w:t xml:space="preserve">Návrh rozpočtu osobných výdavkov rozpočtových organizácií na rok 2012 predstavuje sumu 2 053 576 tis. eur (bez iných zdrojov) pre 128 037 zamestnancov, čo v porovnaní so schváleným rozpočtom na rok 2011 predstavuje nárast 5,1 %, t. j. 99 595 tis. eur. </w:t>
      </w:r>
    </w:p>
    <w:p w:rsidR="00655688" w:rsidP="00655688">
      <w:pPr>
        <w:bidi w:val="0"/>
        <w:ind w:firstLine="708"/>
        <w:jc w:val="both"/>
        <w:rPr>
          <w:rFonts w:ascii="Times New Roman" w:hAnsi="Times New Roman" w:cs="Times New Roman"/>
        </w:rPr>
      </w:pPr>
    </w:p>
    <w:p w:rsidR="00655688" w:rsidP="00655688">
      <w:pPr>
        <w:bidi w:val="0"/>
        <w:ind w:firstLine="708"/>
        <w:jc w:val="both"/>
        <w:rPr>
          <w:rFonts w:ascii="Times New Roman" w:hAnsi="Times New Roman" w:cs="Times New Roman"/>
        </w:rPr>
      </w:pPr>
      <w:r>
        <w:rPr>
          <w:rFonts w:ascii="Times New Roman" w:hAnsi="Times New Roman" w:cs="Times New Roman"/>
        </w:rPr>
        <w:t>K rozhodujúcim faktorom medziročného zvýšenia osobných výdavkov patrí najmä:</w:t>
      </w:r>
    </w:p>
    <w:p w:rsidR="00655688" w:rsidP="00655688">
      <w:pPr>
        <w:bidi w:val="0"/>
        <w:jc w:val="both"/>
        <w:rPr>
          <w:rFonts w:ascii="Times New Roman" w:hAnsi="Times New Roman" w:cs="Times New Roman"/>
        </w:rPr>
      </w:pPr>
    </w:p>
    <w:p w:rsidR="00655688" w:rsidP="00655688">
      <w:pPr>
        <w:numPr>
          <w:numId w:val="50"/>
        </w:numPr>
        <w:bidi w:val="0"/>
        <w:jc w:val="both"/>
        <w:rPr>
          <w:rFonts w:ascii="Times New Roman" w:hAnsi="Times New Roman" w:cs="Times New Roman"/>
        </w:rPr>
      </w:pPr>
      <w:r>
        <w:rPr>
          <w:rFonts w:ascii="Times New Roman" w:hAnsi="Times New Roman" w:cs="Times New Roman"/>
        </w:rPr>
        <w:t>krytie vplyvu zavedenia superhrubej mzdy u ozbrojených zložiek a u Hasičského a záchranného zboru  v sume 70 171 tis. eur,</w:t>
      </w:r>
    </w:p>
    <w:p w:rsidR="00655688" w:rsidP="00655688">
      <w:pPr>
        <w:numPr>
          <w:numId w:val="50"/>
        </w:numPr>
        <w:bidi w:val="0"/>
        <w:jc w:val="both"/>
        <w:rPr>
          <w:rFonts w:ascii="Times New Roman" w:hAnsi="Times New Roman" w:cs="Times New Roman"/>
          <w:bCs/>
        </w:rPr>
      </w:pPr>
      <w:r>
        <w:rPr>
          <w:rFonts w:ascii="Times New Roman" w:hAnsi="Times New Roman" w:cs="Times New Roman"/>
        </w:rPr>
        <w:t>realizácia ustanovení zákona č. 120/1993 Z. z. o platových pomeroch niektorých ústavných činiteľov Slovenskej republiky v znení neskorších predpisov, v zmysle ktorých dochádza k medziročnému zvýšeniu osobných výdavkov o 22 646 tis. eur. Nárast osobných výdavkov ústavných činiteľov, sudcov, prokurátorov a štátnych zamestnancov vo verejných funkciách v roku 2012 predstavuje v porovnaní s rokom 2011 v priemere 18,8 % zohľadňujúc uznesenie Ústavného súdu SR o pozastavení účinnosti niektorých ustanovení zákona č. 120/1993 Z. z. o platových pomeroch niektorých ústavných činiteľov SR v znení neskorších predpisov,</w:t>
      </w:r>
    </w:p>
    <w:p w:rsidR="00655688" w:rsidP="00655688">
      <w:pPr>
        <w:numPr>
          <w:numId w:val="50"/>
        </w:numPr>
        <w:bidi w:val="0"/>
        <w:jc w:val="both"/>
        <w:rPr>
          <w:rFonts w:ascii="Times New Roman" w:hAnsi="Times New Roman" w:cs="Times New Roman"/>
          <w:bCs/>
        </w:rPr>
      </w:pPr>
      <w:r>
        <w:rPr>
          <w:rFonts w:ascii="Times New Roman" w:hAnsi="Times New Roman" w:cs="Times New Roman"/>
        </w:rPr>
        <w:t>v rámci osobných výdavkov štátnych rozpočtových organizácií sa v kapitole Ministerstva školstva, vedy, výskumu a športu SR rozpočtujú osobné výdavky pre 10 028 zamestnancov špeciálneho regionálneho školstva. Tieto výdavky medziročne rastú o 4 132 tis. eur.</w:t>
      </w:r>
    </w:p>
    <w:p w:rsidR="00655688" w:rsidP="00655688">
      <w:pPr>
        <w:bidi w:val="0"/>
        <w:jc w:val="both"/>
        <w:rPr>
          <w:rFonts w:ascii="Times New Roman" w:hAnsi="Times New Roman" w:cs="Times New Roman"/>
          <w:bCs/>
        </w:rPr>
      </w:pPr>
    </w:p>
    <w:p w:rsidR="00655688" w:rsidP="00655688">
      <w:pPr>
        <w:bidi w:val="0"/>
        <w:ind w:firstLine="708"/>
        <w:jc w:val="both"/>
        <w:rPr>
          <w:rFonts w:ascii="Times New Roman" w:hAnsi="Times New Roman" w:cs="Times New Roman"/>
          <w:bCs/>
        </w:rPr>
      </w:pPr>
      <w:r>
        <w:rPr>
          <w:rFonts w:ascii="Times New Roman" w:hAnsi="Times New Roman" w:cs="Times New Roman"/>
          <w:bCs/>
        </w:rPr>
        <w:t xml:space="preserve">Na rast platov zamestnancov, s výnimkou ústavných činiteľov, sudcov,  prokurátorov a zamestnancov rozpočtových špeciálnych škôl sú v rozpočte kapitoly Všeobecná pokladničná správa na rok 2013 zabezpečené finančné prostriedky na úrovni 1 % a od roku 2014 na úrovni ďalších 2 %.  </w:t>
      </w:r>
    </w:p>
    <w:p w:rsidR="00655688" w:rsidP="00655688">
      <w:pPr>
        <w:bidi w:val="0"/>
        <w:ind w:firstLine="709"/>
        <w:jc w:val="both"/>
        <w:rPr>
          <w:rFonts w:ascii="Times New Roman" w:hAnsi="Times New Roman" w:cs="Times New Roman"/>
        </w:rPr>
      </w:pPr>
    </w:p>
    <w:p w:rsidR="00655688" w:rsidP="00655688">
      <w:pPr>
        <w:bidi w:val="0"/>
        <w:ind w:firstLine="709"/>
        <w:jc w:val="both"/>
        <w:rPr>
          <w:rFonts w:ascii="Times New Roman" w:hAnsi="Times New Roman" w:cs="Times New Roman"/>
        </w:rPr>
      </w:pPr>
      <w:r>
        <w:rPr>
          <w:rFonts w:ascii="Times New Roman" w:hAnsi="Times New Roman" w:cs="Times New Roman"/>
        </w:rPr>
        <w:t xml:space="preserve">Úroveň rozpočtovaného priemerného mzdového výdavku zamestnanca rozpočtových organizácií a osobitne aparátov ústredných orgánov jednotlivých kapitol štátneho rozpočtu je značne diferencovaná. Tento stav je spôsobený predovšetkým štruktúrou zamestnancov odmeňovaných podľa aplikovaných odmeňovacích predpisov, štruktúrou funkcií v rámci jedného odmeňovacieho predpisu, vekovou štruktúrou zamestnancov, jednorazovým rozhodnutím o zlepšení mzdových podmienok realizovaných v minulosti a v posledných rokoch najmä v aparátoch ústredných orgánov aj zahrnutím tzv. administratívnych kapacít, ktorých osobné výdavky majú byť v plnej miere zabezpečené z refundovaných mzdových prostriedkov, do záväzného limitu počtu zamestnancov kapitoly.  </w:t>
      </w:r>
    </w:p>
    <w:p w:rsidR="00655688" w:rsidP="00655688">
      <w:pPr>
        <w:bidi w:val="0"/>
        <w:ind w:left="720"/>
        <w:rPr>
          <w:rFonts w:ascii="Times New Roman" w:hAnsi="Times New Roman" w:cs="Times New Roman"/>
          <w:bCs/>
          <w:u w:val="single"/>
        </w:rPr>
      </w:pPr>
    </w:p>
    <w:p w:rsidR="00655688" w:rsidP="00655688">
      <w:pPr>
        <w:bidi w:val="0"/>
        <w:ind w:left="720"/>
        <w:rPr>
          <w:rFonts w:ascii="Times New Roman" w:hAnsi="Times New Roman" w:cs="Times New Roman"/>
          <w:bCs/>
          <w:u w:val="single"/>
        </w:rPr>
      </w:pPr>
    </w:p>
    <w:p w:rsidR="00655688" w:rsidP="00655688">
      <w:pPr>
        <w:bidi w:val="0"/>
        <w:ind w:left="720"/>
        <w:rPr>
          <w:rFonts w:ascii="Times New Roman" w:hAnsi="Times New Roman" w:cs="Times New Roman"/>
          <w:bCs/>
          <w:u w:val="single"/>
        </w:rPr>
      </w:pPr>
    </w:p>
    <w:p w:rsidR="00655688" w:rsidP="00655688">
      <w:pPr>
        <w:bidi w:val="0"/>
        <w:ind w:left="720"/>
        <w:rPr>
          <w:rFonts w:ascii="Times New Roman" w:hAnsi="Times New Roman" w:cs="Times New Roman"/>
          <w:bCs/>
          <w:u w:val="single"/>
        </w:rPr>
      </w:pPr>
    </w:p>
    <w:p w:rsidR="00655688" w:rsidP="00655688">
      <w:pPr>
        <w:bidi w:val="0"/>
        <w:ind w:left="720"/>
        <w:rPr>
          <w:rFonts w:ascii="Times New Roman" w:hAnsi="Times New Roman" w:cs="Times New Roman"/>
          <w:bCs/>
          <w:u w:val="single"/>
        </w:rPr>
      </w:pPr>
      <w:r>
        <w:rPr>
          <w:rFonts w:ascii="Times New Roman" w:hAnsi="Times New Roman" w:cs="Times New Roman"/>
          <w:bCs/>
          <w:u w:val="single"/>
        </w:rPr>
        <w:t xml:space="preserve">Osobné výdavky štátnych príspevkových organizácií </w:t>
      </w:r>
    </w:p>
    <w:p w:rsidR="00655688" w:rsidP="00655688">
      <w:pPr>
        <w:bidi w:val="0"/>
        <w:ind w:firstLine="708"/>
        <w:rPr>
          <w:rFonts w:ascii="Times New Roman" w:hAnsi="Times New Roman" w:cs="Times New Roman"/>
        </w:rPr>
      </w:pPr>
    </w:p>
    <w:p w:rsidR="00655688" w:rsidP="00655688">
      <w:pPr>
        <w:bidi w:val="0"/>
        <w:ind w:firstLine="708"/>
        <w:jc w:val="both"/>
        <w:rPr>
          <w:rFonts w:ascii="Times New Roman" w:hAnsi="Times New Roman" w:cs="Times New Roman"/>
        </w:rPr>
      </w:pPr>
      <w:r>
        <w:rPr>
          <w:rFonts w:ascii="Times New Roman" w:hAnsi="Times New Roman" w:cs="Times New Roman"/>
        </w:rPr>
        <w:t xml:space="preserve">Návrh rozpočtu osobných výdavkov štátnych príspevkových organizácií na rok 2012 predstavuje sumu 121 607 tis. eur pre </w:t>
      </w:r>
      <w:r>
        <w:rPr>
          <w:rFonts w:ascii="Times New Roman" w:hAnsi="Times New Roman" w:cs="Times New Roman"/>
          <w:u w:val="single"/>
        </w:rPr>
        <w:t>10 526 zamestnancov.</w:t>
      </w:r>
      <w:r>
        <w:rPr>
          <w:rFonts w:ascii="Times New Roman" w:hAnsi="Times New Roman" w:cs="Times New Roman"/>
        </w:rPr>
        <w:t xml:space="preserve"> Medziročne osobné výdavky vzrastú o 5,3 % (6 071 tis. eur). Hlavným dôvodom je zohľadnenie reálnej úrovne osobných výdavkov v rozpise rozpočtu Slovenskej zdravotníckej univerzity v kapitole Ministerstva zdravotníctva SR, ktorý v minulých rokoch nereflektoval na skutočné osobné výdavky zamestnancov. Medziročný nárast v kapitole Ministerstva zdravotníctva SR preto  predstavuje 43,9 % (5 277 tis. eur). Po vylúčení vplyvu tejto zmeny nárast osobných výdavkov príspevkových organizácií činí 0,69 %. </w:t>
      </w:r>
    </w:p>
    <w:p w:rsidR="00655688" w:rsidP="00655688">
      <w:pPr>
        <w:bidi w:val="0"/>
        <w:ind w:firstLine="708"/>
        <w:jc w:val="both"/>
        <w:rPr>
          <w:rFonts w:ascii="Times New Roman" w:hAnsi="Times New Roman" w:cs="Times New Roman"/>
          <w:bCs/>
        </w:rPr>
      </w:pPr>
    </w:p>
    <w:tbl>
      <w:tblPr>
        <w:tblStyle w:val="TableNormal"/>
        <w:tblW w:w="9451" w:type="dxa"/>
        <w:jc w:val="center"/>
        <w:tblCellMar>
          <w:left w:w="70" w:type="dxa"/>
          <w:right w:w="70" w:type="dxa"/>
        </w:tblCellMar>
        <w:tblLook w:val="04A0"/>
      </w:tblPr>
      <w:tblGrid>
        <w:gridCol w:w="2033"/>
        <w:gridCol w:w="1143"/>
        <w:gridCol w:w="475"/>
        <w:gridCol w:w="940"/>
        <w:gridCol w:w="940"/>
        <w:gridCol w:w="980"/>
        <w:gridCol w:w="980"/>
        <w:gridCol w:w="980"/>
        <w:gridCol w:w="980"/>
      </w:tblGrid>
      <w:tr>
        <w:tblPrEx>
          <w:tblW w:w="9451" w:type="dxa"/>
          <w:jc w:val="center"/>
          <w:tblCellMar>
            <w:left w:w="70" w:type="dxa"/>
            <w:right w:w="70" w:type="dxa"/>
          </w:tblCellMar>
          <w:tblLook w:val="04A0"/>
        </w:tblPrEx>
        <w:trPr>
          <w:trHeight w:val="266"/>
          <w:jc w:val="center"/>
        </w:trPr>
        <w:tc>
          <w:tcPr>
            <w:tcW w:w="3651" w:type="dxa"/>
            <w:gridSpan w:val="3"/>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655688" w:rsidP="00257E12">
            <w:pPr>
              <w:bidi w:val="0"/>
              <w:rPr>
                <w:rFonts w:ascii="Times New Roman" w:hAnsi="Times New Roman" w:cs="Times New Roman"/>
                <w:b/>
                <w:bCs/>
                <w:sz w:val="14"/>
                <w:szCs w:val="14"/>
                <w:lang w:eastAsia="sk-SK"/>
              </w:rPr>
            </w:pPr>
            <w:r>
              <w:rPr>
                <w:rFonts w:ascii="Times New Roman" w:hAnsi="Times New Roman" w:cs="Times New Roman"/>
                <w:b/>
                <w:bCs/>
                <w:sz w:val="14"/>
                <w:szCs w:val="14"/>
                <w:lang w:eastAsia="sk-SK"/>
              </w:rPr>
              <w:t>Príspevkové organizácie kapitol štátneho rozpočtu</w:t>
            </w:r>
          </w:p>
        </w:tc>
        <w:tc>
          <w:tcPr>
            <w:tcW w:w="94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2009</w:t>
            </w:r>
          </w:p>
        </w:tc>
        <w:tc>
          <w:tcPr>
            <w:tcW w:w="94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2010</w:t>
            </w:r>
          </w:p>
        </w:tc>
        <w:tc>
          <w:tcPr>
            <w:tcW w:w="98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2011</w:t>
            </w:r>
          </w:p>
        </w:tc>
        <w:tc>
          <w:tcPr>
            <w:tcW w:w="98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2012</w:t>
            </w:r>
          </w:p>
        </w:tc>
        <w:tc>
          <w:tcPr>
            <w:tcW w:w="98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2013</w:t>
            </w:r>
          </w:p>
        </w:tc>
        <w:tc>
          <w:tcPr>
            <w:tcW w:w="98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2014</w:t>
            </w:r>
          </w:p>
        </w:tc>
      </w:tr>
      <w:tr>
        <w:tblPrEx>
          <w:tblW w:w="9451" w:type="dxa"/>
          <w:jc w:val="center"/>
          <w:tblCellMar>
            <w:left w:w="70" w:type="dxa"/>
            <w:right w:w="70" w:type="dxa"/>
          </w:tblCellMar>
          <w:tblLook w:val="04A0"/>
        </w:tblPrEx>
        <w:trPr>
          <w:trHeight w:val="266"/>
          <w:jc w:val="center"/>
        </w:trPr>
        <w:tc>
          <w:tcPr>
            <w:tcW w:w="2033"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Počet zamestnancov</w:t>
            </w:r>
          </w:p>
        </w:tc>
        <w:tc>
          <w:tcPr>
            <w:tcW w:w="1143" w:type="dxa"/>
            <w:tcBorders>
              <w:top w:val="nil"/>
              <w:left w:val="nil"/>
              <w:bottom w:val="single" w:sz="4" w:space="0" w:color="auto"/>
              <w:right w:val="single" w:sz="4" w:space="0" w:color="auto"/>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Rozpočet</w:t>
            </w:r>
          </w:p>
        </w:tc>
        <w:tc>
          <w:tcPr>
            <w:tcW w:w="475"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osoby</w:t>
            </w:r>
          </w:p>
        </w:tc>
        <w:tc>
          <w:tcPr>
            <w:tcW w:w="9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11 678</w:t>
            </w:r>
          </w:p>
        </w:tc>
        <w:tc>
          <w:tcPr>
            <w:tcW w:w="9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11 142</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10 589</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10 526</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10 525</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10 523</w:t>
            </w:r>
          </w:p>
        </w:tc>
      </w:tr>
      <w:tr>
        <w:tblPrEx>
          <w:tblW w:w="9451" w:type="dxa"/>
          <w:jc w:val="center"/>
          <w:tblCellMar>
            <w:left w:w="70" w:type="dxa"/>
            <w:right w:w="70" w:type="dxa"/>
          </w:tblCellMar>
          <w:tblLook w:val="04A0"/>
        </w:tblPrEx>
        <w:trPr>
          <w:trHeight w:val="266"/>
          <w:jc w:val="center"/>
        </w:trPr>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sz w:val="14"/>
                <w:szCs w:val="14"/>
                <w:lang w:eastAsia="sk-SK"/>
              </w:rPr>
            </w:pPr>
          </w:p>
        </w:tc>
        <w:tc>
          <w:tcPr>
            <w:tcW w:w="1143" w:type="dxa"/>
            <w:tcBorders>
              <w:top w:val="nil"/>
              <w:left w:val="nil"/>
              <w:bottom w:val="single" w:sz="4" w:space="0" w:color="auto"/>
              <w:right w:val="single" w:sz="4" w:space="0" w:color="auto"/>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Skutočnosť</w:t>
              <w:br/>
            </w:r>
            <w:r>
              <w:rPr>
                <w:rFonts w:ascii="Times New Roman" w:hAnsi="Times New Roman" w:cs="Times New Roman"/>
                <w:i/>
                <w:iCs/>
                <w:sz w:val="14"/>
                <w:szCs w:val="14"/>
                <w:lang w:eastAsia="sk-SK"/>
              </w:rPr>
              <w:t>resp.OS</w:t>
            </w:r>
          </w:p>
        </w:tc>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sz w:val="14"/>
                <w:szCs w:val="14"/>
                <w:lang w:eastAsia="sk-SK"/>
              </w:rPr>
            </w:pPr>
          </w:p>
        </w:tc>
        <w:tc>
          <w:tcPr>
            <w:tcW w:w="9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10 446</w:t>
            </w:r>
          </w:p>
        </w:tc>
        <w:tc>
          <w:tcPr>
            <w:tcW w:w="9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10 307</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10 053</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10 000</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9 999</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9 997</w:t>
            </w:r>
          </w:p>
        </w:tc>
      </w:tr>
      <w:tr>
        <w:tblPrEx>
          <w:tblW w:w="9451" w:type="dxa"/>
          <w:jc w:val="center"/>
          <w:tblCellMar>
            <w:left w:w="70" w:type="dxa"/>
            <w:right w:w="70" w:type="dxa"/>
          </w:tblCellMar>
          <w:tblLook w:val="04A0"/>
        </w:tblPrEx>
        <w:trPr>
          <w:trHeight w:val="266"/>
          <w:jc w:val="center"/>
        </w:trPr>
        <w:tc>
          <w:tcPr>
            <w:tcW w:w="2033"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Osobné výdavky</w:t>
            </w:r>
          </w:p>
        </w:tc>
        <w:tc>
          <w:tcPr>
            <w:tcW w:w="1143" w:type="dxa"/>
            <w:tcBorders>
              <w:top w:val="nil"/>
              <w:left w:val="nil"/>
              <w:bottom w:val="single" w:sz="4" w:space="0" w:color="auto"/>
              <w:right w:val="single" w:sz="4" w:space="0" w:color="auto"/>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Rozpočet</w:t>
            </w:r>
          </w:p>
        </w:tc>
        <w:tc>
          <w:tcPr>
            <w:tcW w:w="475"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eur</w:t>
            </w:r>
          </w:p>
        </w:tc>
        <w:tc>
          <w:tcPr>
            <w:tcW w:w="9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123 086 868</w:t>
            </w:r>
          </w:p>
        </w:tc>
        <w:tc>
          <w:tcPr>
            <w:tcW w:w="9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120 165 445</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115 536 275</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121 606 842</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124 434 993</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126 650 901</w:t>
            </w:r>
          </w:p>
        </w:tc>
      </w:tr>
      <w:tr>
        <w:tblPrEx>
          <w:tblW w:w="9451" w:type="dxa"/>
          <w:jc w:val="center"/>
          <w:tblCellMar>
            <w:left w:w="70" w:type="dxa"/>
            <w:right w:w="70" w:type="dxa"/>
          </w:tblCellMar>
          <w:tblLook w:val="04A0"/>
        </w:tblPrEx>
        <w:trPr>
          <w:trHeight w:val="266"/>
          <w:jc w:val="center"/>
        </w:trPr>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sz w:val="14"/>
                <w:szCs w:val="14"/>
                <w:lang w:eastAsia="sk-SK"/>
              </w:rPr>
            </w:pPr>
          </w:p>
        </w:tc>
        <w:tc>
          <w:tcPr>
            <w:tcW w:w="1143" w:type="dxa"/>
            <w:tcBorders>
              <w:top w:val="nil"/>
              <w:left w:val="nil"/>
              <w:bottom w:val="single" w:sz="4" w:space="0" w:color="auto"/>
              <w:right w:val="single" w:sz="4" w:space="0" w:color="auto"/>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Skutočnosť</w:t>
              <w:br/>
            </w:r>
            <w:r>
              <w:rPr>
                <w:rFonts w:ascii="Times New Roman" w:hAnsi="Times New Roman" w:cs="Times New Roman"/>
                <w:i/>
                <w:iCs/>
                <w:sz w:val="14"/>
                <w:szCs w:val="14"/>
                <w:lang w:eastAsia="sk-SK"/>
              </w:rPr>
              <w:t>resp.OS</w:t>
            </w:r>
          </w:p>
        </w:tc>
        <w:tc>
          <w:tcPr>
            <w:tcW w:w="475"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eur</w:t>
            </w:r>
          </w:p>
        </w:tc>
        <w:tc>
          <w:tcPr>
            <w:tcW w:w="9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138 427 676</w:t>
            </w:r>
          </w:p>
        </w:tc>
        <w:tc>
          <w:tcPr>
            <w:tcW w:w="9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141 683 708</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i/>
                <w:iCs/>
                <w:sz w:val="14"/>
                <w:szCs w:val="14"/>
                <w:lang w:eastAsia="sk-SK"/>
              </w:rPr>
            </w:pPr>
            <w:r>
              <w:rPr>
                <w:rFonts w:ascii="Times New Roman" w:hAnsi="Times New Roman" w:cs="Times New Roman"/>
                <w:b/>
                <w:bCs/>
                <w:i/>
                <w:iCs/>
                <w:sz w:val="14"/>
                <w:szCs w:val="14"/>
                <w:lang w:eastAsia="sk-SK"/>
              </w:rPr>
              <w:t>138 415 130</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i/>
                <w:iCs/>
                <w:sz w:val="14"/>
                <w:szCs w:val="14"/>
                <w:lang w:eastAsia="sk-SK"/>
              </w:rPr>
            </w:pPr>
            <w:r>
              <w:rPr>
                <w:rFonts w:ascii="Times New Roman" w:hAnsi="Times New Roman" w:cs="Times New Roman"/>
                <w:b/>
                <w:bCs/>
                <w:i/>
                <w:iCs/>
                <w:sz w:val="14"/>
                <w:szCs w:val="14"/>
                <w:lang w:eastAsia="sk-SK"/>
              </w:rPr>
              <w:t>144 628 278</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i/>
                <w:iCs/>
                <w:sz w:val="14"/>
                <w:szCs w:val="14"/>
                <w:lang w:eastAsia="sk-SK"/>
              </w:rPr>
            </w:pPr>
            <w:r>
              <w:rPr>
                <w:rFonts w:ascii="Times New Roman" w:hAnsi="Times New Roman" w:cs="Times New Roman"/>
                <w:b/>
                <w:bCs/>
                <w:i/>
                <w:iCs/>
                <w:sz w:val="14"/>
                <w:szCs w:val="14"/>
                <w:lang w:eastAsia="sk-SK"/>
              </w:rPr>
              <w:t>147 456 429</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i/>
                <w:iCs/>
                <w:sz w:val="14"/>
                <w:szCs w:val="14"/>
                <w:lang w:eastAsia="sk-SK"/>
              </w:rPr>
            </w:pPr>
            <w:r>
              <w:rPr>
                <w:rFonts w:ascii="Times New Roman" w:hAnsi="Times New Roman" w:cs="Times New Roman"/>
                <w:b/>
                <w:bCs/>
                <w:i/>
                <w:iCs/>
                <w:sz w:val="14"/>
                <w:szCs w:val="14"/>
                <w:lang w:eastAsia="sk-SK"/>
              </w:rPr>
              <w:t>149 672 337</w:t>
            </w:r>
          </w:p>
        </w:tc>
      </w:tr>
      <w:tr>
        <w:tblPrEx>
          <w:tblW w:w="9451" w:type="dxa"/>
          <w:jc w:val="center"/>
          <w:tblCellMar>
            <w:left w:w="70" w:type="dxa"/>
            <w:right w:w="70" w:type="dxa"/>
          </w:tblCellMar>
          <w:tblLook w:val="04A0"/>
        </w:tblPrEx>
        <w:trPr>
          <w:trHeight w:val="266"/>
          <w:jc w:val="center"/>
        </w:trPr>
        <w:tc>
          <w:tcPr>
            <w:tcW w:w="2033" w:type="dxa"/>
            <w:tcBorders>
              <w:top w:val="nil"/>
              <w:left w:val="single" w:sz="4" w:space="0" w:color="auto"/>
              <w:bottom w:val="single" w:sz="4" w:space="0" w:color="auto"/>
              <w:right w:val="single" w:sz="4" w:space="0" w:color="auto"/>
            </w:tcBorders>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z toho:</w:t>
            </w:r>
          </w:p>
        </w:tc>
        <w:tc>
          <w:tcPr>
            <w:tcW w:w="1143" w:type="dxa"/>
            <w:tcBorders>
              <w:top w:val="nil"/>
              <w:left w:val="nil"/>
              <w:bottom w:val="single" w:sz="4" w:space="0" w:color="auto"/>
              <w:right w:val="single" w:sz="4" w:space="0" w:color="auto"/>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Rozpočet</w:t>
            </w:r>
          </w:p>
        </w:tc>
        <w:tc>
          <w:tcPr>
            <w:tcW w:w="475"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eur</w:t>
            </w:r>
          </w:p>
        </w:tc>
        <w:tc>
          <w:tcPr>
            <w:tcW w:w="9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91 367 089</w:t>
            </w:r>
          </w:p>
        </w:tc>
        <w:tc>
          <w:tcPr>
            <w:tcW w:w="9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88 840 634</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85 426 630</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89 497 068</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92 031 042</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93 824 840</w:t>
            </w:r>
          </w:p>
        </w:tc>
      </w:tr>
      <w:tr>
        <w:tblPrEx>
          <w:tblW w:w="9451" w:type="dxa"/>
          <w:jc w:val="center"/>
          <w:tblCellMar>
            <w:left w:w="70" w:type="dxa"/>
            <w:right w:w="70" w:type="dxa"/>
          </w:tblCellMar>
          <w:tblLook w:val="04A0"/>
        </w:tblPrEx>
        <w:trPr>
          <w:trHeight w:val="266"/>
          <w:jc w:val="center"/>
        </w:trPr>
        <w:tc>
          <w:tcPr>
            <w:tcW w:w="2033" w:type="dxa"/>
            <w:tcBorders>
              <w:top w:val="nil"/>
              <w:left w:val="single" w:sz="4" w:space="0" w:color="auto"/>
              <w:bottom w:val="single" w:sz="4" w:space="0" w:color="auto"/>
              <w:right w:val="single" w:sz="4" w:space="0" w:color="auto"/>
            </w:tcBorders>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mzdové výdavky</w:t>
            </w:r>
          </w:p>
        </w:tc>
        <w:tc>
          <w:tcPr>
            <w:tcW w:w="1143" w:type="dxa"/>
            <w:tcBorders>
              <w:top w:val="nil"/>
              <w:left w:val="nil"/>
              <w:bottom w:val="single" w:sz="4" w:space="0" w:color="auto"/>
              <w:right w:val="single" w:sz="4" w:space="0" w:color="auto"/>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Skutočnosť</w:t>
              <w:br/>
            </w:r>
            <w:r>
              <w:rPr>
                <w:rFonts w:ascii="Times New Roman" w:hAnsi="Times New Roman" w:cs="Times New Roman"/>
                <w:i/>
                <w:iCs/>
                <w:sz w:val="14"/>
                <w:szCs w:val="14"/>
                <w:lang w:eastAsia="sk-SK"/>
              </w:rPr>
              <w:t>resp.OS</w:t>
            </w:r>
          </w:p>
        </w:tc>
        <w:tc>
          <w:tcPr>
            <w:tcW w:w="475"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eur</w:t>
            </w:r>
          </w:p>
        </w:tc>
        <w:tc>
          <w:tcPr>
            <w:tcW w:w="9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104 897 806</w:t>
            </w:r>
          </w:p>
        </w:tc>
        <w:tc>
          <w:tcPr>
            <w:tcW w:w="9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105 899 868</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102 380 209</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106 556 302</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109 090 276</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i/>
                <w:iCs/>
                <w:sz w:val="14"/>
                <w:szCs w:val="14"/>
                <w:lang w:eastAsia="sk-SK"/>
              </w:rPr>
            </w:pPr>
            <w:r>
              <w:rPr>
                <w:rFonts w:ascii="Times New Roman" w:hAnsi="Times New Roman" w:cs="Times New Roman"/>
                <w:i/>
                <w:iCs/>
                <w:sz w:val="14"/>
                <w:szCs w:val="14"/>
                <w:lang w:eastAsia="sk-SK"/>
              </w:rPr>
              <w:t>110 884 074</w:t>
            </w:r>
          </w:p>
        </w:tc>
      </w:tr>
      <w:tr>
        <w:tblPrEx>
          <w:tblW w:w="9451" w:type="dxa"/>
          <w:jc w:val="center"/>
          <w:tblCellMar>
            <w:left w:w="70" w:type="dxa"/>
            <w:right w:w="70" w:type="dxa"/>
          </w:tblCellMar>
          <w:tblLook w:val="04A0"/>
        </w:tblPrEx>
        <w:trPr>
          <w:trHeight w:val="266"/>
          <w:jc w:val="center"/>
        </w:trPr>
        <w:tc>
          <w:tcPr>
            <w:tcW w:w="3176" w:type="dxa"/>
            <w:gridSpan w:val="2"/>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Priemerný mzdový výdavok – S, resp. OS</w:t>
            </w:r>
          </w:p>
        </w:tc>
        <w:tc>
          <w:tcPr>
            <w:tcW w:w="475"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eur</w:t>
            </w:r>
          </w:p>
        </w:tc>
        <w:tc>
          <w:tcPr>
            <w:tcW w:w="9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836,83</w:t>
            </w:r>
          </w:p>
        </w:tc>
        <w:tc>
          <w:tcPr>
            <w:tcW w:w="9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856,21</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848,67</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887,97</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909,18</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924,31</w:t>
            </w:r>
          </w:p>
        </w:tc>
      </w:tr>
      <w:tr>
        <w:tblPrEx>
          <w:tblW w:w="9451" w:type="dxa"/>
          <w:jc w:val="center"/>
          <w:tblCellMar>
            <w:left w:w="70" w:type="dxa"/>
            <w:right w:w="70" w:type="dxa"/>
          </w:tblCellMar>
          <w:tblLook w:val="04A0"/>
        </w:tblPrEx>
        <w:trPr>
          <w:trHeight w:val="266"/>
          <w:jc w:val="center"/>
        </w:trPr>
        <w:tc>
          <w:tcPr>
            <w:tcW w:w="3176" w:type="dxa"/>
            <w:gridSpan w:val="2"/>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ind w:left="120"/>
              <w:rPr>
                <w:rFonts w:ascii="Times New Roman" w:hAnsi="Times New Roman" w:cs="Times New Roman"/>
                <w:sz w:val="14"/>
                <w:szCs w:val="14"/>
                <w:lang w:eastAsia="sk-SK"/>
              </w:rPr>
            </w:pPr>
            <w:r>
              <w:rPr>
                <w:rFonts w:ascii="Times New Roman" w:hAnsi="Times New Roman" w:cs="Times New Roman"/>
                <w:sz w:val="14"/>
                <w:szCs w:val="14"/>
                <w:lang w:eastAsia="sk-SK"/>
              </w:rPr>
              <w:t>Priemerná mzda zamestnanca v      hospodárstve SR </w:t>
            </w:r>
          </w:p>
        </w:tc>
        <w:tc>
          <w:tcPr>
            <w:tcW w:w="475"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eur</w:t>
            </w:r>
          </w:p>
        </w:tc>
        <w:tc>
          <w:tcPr>
            <w:tcW w:w="9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745</w:t>
            </w:r>
          </w:p>
        </w:tc>
        <w:tc>
          <w:tcPr>
            <w:tcW w:w="9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769</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796</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839</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886</w:t>
            </w:r>
          </w:p>
        </w:tc>
        <w:tc>
          <w:tcPr>
            <w:tcW w:w="98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942</w:t>
            </w:r>
          </w:p>
        </w:tc>
      </w:tr>
      <w:tr>
        <w:tblPrEx>
          <w:tblW w:w="9451" w:type="dxa"/>
          <w:jc w:val="center"/>
          <w:tblCellMar>
            <w:left w:w="70" w:type="dxa"/>
            <w:right w:w="70" w:type="dxa"/>
          </w:tblCellMar>
          <w:tblLook w:val="04A0"/>
        </w:tblPrEx>
        <w:trPr>
          <w:trHeight w:val="266"/>
          <w:jc w:val="center"/>
        </w:trPr>
        <w:tc>
          <w:tcPr>
            <w:tcW w:w="3176" w:type="dxa"/>
            <w:gridSpan w:val="2"/>
            <w:tcBorders>
              <w:top w:val="single" w:sz="4" w:space="0" w:color="auto"/>
              <w:left w:val="single" w:sz="4" w:space="0" w:color="auto"/>
              <w:bottom w:val="nil"/>
              <w:right w:val="single" w:sz="4" w:space="0" w:color="auto"/>
            </w:tcBorders>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Index</w:t>
            </w:r>
          </w:p>
        </w:tc>
        <w:tc>
          <w:tcPr>
            <w:tcW w:w="475"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w:t>
            </w:r>
          </w:p>
        </w:tc>
        <w:tc>
          <w:tcPr>
            <w:tcW w:w="940"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112,3</w:t>
            </w:r>
          </w:p>
        </w:tc>
        <w:tc>
          <w:tcPr>
            <w:tcW w:w="940"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111,3</w:t>
            </w:r>
          </w:p>
        </w:tc>
        <w:tc>
          <w:tcPr>
            <w:tcW w:w="980"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106,6</w:t>
            </w:r>
          </w:p>
        </w:tc>
        <w:tc>
          <w:tcPr>
            <w:tcW w:w="980"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105,8</w:t>
            </w:r>
          </w:p>
        </w:tc>
        <w:tc>
          <w:tcPr>
            <w:tcW w:w="980"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102,6</w:t>
            </w:r>
          </w:p>
        </w:tc>
        <w:tc>
          <w:tcPr>
            <w:tcW w:w="980"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98,1</w:t>
            </w:r>
          </w:p>
        </w:tc>
      </w:tr>
      <w:tr>
        <w:tblPrEx>
          <w:tblW w:w="9451" w:type="dxa"/>
          <w:jc w:val="center"/>
          <w:tblCellMar>
            <w:left w:w="70" w:type="dxa"/>
            <w:right w:w="70" w:type="dxa"/>
          </w:tblCellMar>
          <w:tblLook w:val="04A0"/>
        </w:tblPrEx>
        <w:trPr>
          <w:trHeight w:val="266"/>
          <w:jc w:val="center"/>
        </w:trPr>
        <w:tc>
          <w:tcPr>
            <w:tcW w:w="3176" w:type="dxa"/>
            <w:gridSpan w:val="2"/>
            <w:tcBorders>
              <w:top w:val="nil"/>
              <w:left w:val="single" w:sz="4" w:space="0" w:color="auto"/>
              <w:bottom w:val="single" w:sz="4" w:space="0" w:color="auto"/>
              <w:right w:val="single" w:sz="4" w:space="0" w:color="auto"/>
            </w:tcBorders>
            <w:textDirection w:val="lrTb"/>
            <w:vAlign w:val="bottom"/>
            <w:hideMark/>
          </w:tcPr>
          <w:p w:rsidR="00655688" w:rsidP="00257E12">
            <w:pPr>
              <w:bidi w:val="0"/>
              <w:ind w:left="120" w:firstLine="15" w:firstLineChars="11"/>
              <w:rPr>
                <w:rFonts w:ascii="Times New Roman" w:hAnsi="Times New Roman" w:cs="Times New Roman"/>
                <w:sz w:val="14"/>
                <w:szCs w:val="14"/>
                <w:lang w:eastAsia="sk-SK"/>
              </w:rPr>
            </w:pPr>
            <w:r>
              <w:rPr>
                <w:rFonts w:ascii="Times New Roman" w:hAnsi="Times New Roman" w:cs="Times New Roman"/>
                <w:sz w:val="14"/>
                <w:szCs w:val="14"/>
                <w:lang w:eastAsia="sk-SK"/>
              </w:rPr>
              <w:t>(Priemerný mzdový výdavok/Priemerná mzda zam. v hosp. SR)</w:t>
            </w:r>
          </w:p>
        </w:tc>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sz w:val="14"/>
                <w:szCs w:val="14"/>
                <w:lang w:eastAsia="sk-SK"/>
              </w:rPr>
            </w:pPr>
          </w:p>
        </w:tc>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b/>
                <w:bCs/>
                <w:sz w:val="14"/>
                <w:szCs w:val="14"/>
                <w:lang w:eastAsia="sk-SK"/>
              </w:rPr>
            </w:pPr>
          </w:p>
        </w:tc>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b/>
                <w:bCs/>
                <w:sz w:val="14"/>
                <w:szCs w:val="14"/>
                <w:lang w:eastAsia="sk-SK"/>
              </w:rPr>
            </w:pPr>
          </w:p>
        </w:tc>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b/>
                <w:bCs/>
                <w:sz w:val="14"/>
                <w:szCs w:val="14"/>
                <w:lang w:eastAsia="sk-SK"/>
              </w:rPr>
            </w:pPr>
          </w:p>
        </w:tc>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b/>
                <w:bCs/>
                <w:sz w:val="14"/>
                <w:szCs w:val="14"/>
                <w:lang w:eastAsia="sk-SK"/>
              </w:rPr>
            </w:pPr>
          </w:p>
        </w:tc>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b/>
                <w:bCs/>
                <w:sz w:val="14"/>
                <w:szCs w:val="14"/>
                <w:lang w:eastAsia="sk-SK"/>
              </w:rPr>
            </w:pPr>
          </w:p>
        </w:tc>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b/>
                <w:bCs/>
                <w:sz w:val="14"/>
                <w:szCs w:val="14"/>
                <w:lang w:eastAsia="sk-SK"/>
              </w:rPr>
            </w:pPr>
          </w:p>
        </w:tc>
      </w:tr>
    </w:tbl>
    <w:p w:rsidR="00655688" w:rsidP="00655688">
      <w:pPr>
        <w:bidi w:val="0"/>
        <w:ind w:firstLine="708"/>
        <w:jc w:val="both"/>
        <w:rPr>
          <w:rFonts w:ascii="Times New Roman" w:hAnsi="Times New Roman" w:cs="Times New Roman"/>
        </w:rPr>
      </w:pPr>
    </w:p>
    <w:p w:rsidR="00655688" w:rsidP="00655688">
      <w:pPr>
        <w:bidi w:val="0"/>
        <w:ind w:firstLine="708"/>
        <w:jc w:val="both"/>
        <w:rPr>
          <w:rFonts w:ascii="Times New Roman" w:hAnsi="Times New Roman" w:cs="Times New Roman"/>
          <w:bCs/>
        </w:rPr>
      </w:pPr>
      <w:r>
        <w:rPr>
          <w:rFonts w:ascii="Times New Roman" w:hAnsi="Times New Roman" w:cs="Times New Roman"/>
          <w:bCs/>
        </w:rPr>
        <w:t xml:space="preserve">Návrh rozpočtu štátnych príspevkových organizácií na roky 2012 až 2014 predpokladá pre rok 2012 čerpanie osobných výdavkov v sume 144 628 tis. eur (vrátane iných zdrojov, ktoré zohľadňujú ich úroveň z roku 2010 aj pre roky 2011 až 2014). Za predpokladu 5% neplnenia počtu zamestnancov sa očakáva v príspevkových organizáciách priemerný mesačný mzdový výdavok v sume 887,97 eur. </w:t>
      </w:r>
    </w:p>
    <w:p w:rsidR="00655688" w:rsidP="00655688">
      <w:pPr>
        <w:bidi w:val="0"/>
        <w:ind w:firstLine="708"/>
        <w:rPr>
          <w:rFonts w:ascii="Times New Roman" w:hAnsi="Times New Roman" w:cs="Times New Roman"/>
          <w:b/>
          <w:bCs/>
        </w:rPr>
      </w:pPr>
      <w:bookmarkStart w:id="63" w:name="_Toc273474209"/>
    </w:p>
    <w:p w:rsidR="00655688" w:rsidP="00655688">
      <w:pPr>
        <w:bidi w:val="0"/>
        <w:ind w:left="720"/>
        <w:rPr>
          <w:rFonts w:ascii="Times New Roman" w:hAnsi="Times New Roman" w:cs="Times New Roman"/>
          <w:bCs/>
          <w:i/>
          <w:iCs/>
          <w:u w:val="single"/>
        </w:rPr>
      </w:pPr>
      <w:r>
        <w:rPr>
          <w:rFonts w:ascii="Times New Roman" w:hAnsi="Times New Roman" w:cs="Times New Roman"/>
          <w:bCs/>
          <w:u w:val="single"/>
        </w:rPr>
        <w:t>Osobné výdavky regionálneho školstva financovaného zo štátneho rozpočtu</w:t>
      </w:r>
      <w:bookmarkEnd w:id="63"/>
    </w:p>
    <w:p w:rsidR="00655688" w:rsidP="00655688">
      <w:pPr>
        <w:bidi w:val="0"/>
        <w:ind w:firstLine="709"/>
        <w:jc w:val="both"/>
        <w:rPr>
          <w:rFonts w:ascii="Times New Roman" w:hAnsi="Times New Roman" w:cs="Times New Roman"/>
        </w:rPr>
      </w:pPr>
    </w:p>
    <w:p w:rsidR="00655688" w:rsidP="00655688">
      <w:pPr>
        <w:bidi w:val="0"/>
        <w:ind w:firstLine="709"/>
        <w:jc w:val="both"/>
        <w:rPr>
          <w:rFonts w:ascii="Times New Roman" w:hAnsi="Times New Roman" w:cs="Times New Roman"/>
        </w:rPr>
      </w:pPr>
      <w:r>
        <w:rPr>
          <w:rFonts w:ascii="Times New Roman" w:hAnsi="Times New Roman" w:cs="Times New Roman"/>
        </w:rPr>
        <w:t>Financovanie zamestnancov regionálneho školstva upravuje zákon č. 597/2003 Z. z. o financovaní základných škôl, stredných škôl a školských zariadení v znení neskorších predpisov. Z kapitoly Ministerstva školstva, vedy, výskumu a športu SR sú financované prostredníctvom krajských školských úradov rozpočtové špeciálne školy a školské zariadenia, príspevkové špeciálne školy a zariadenia a školy v obciach a vyšších územných celkoch v rámci preneseného výkonu štátnej správy a školy cirkevných a súkromných zriaďovateľov.</w:t>
      </w:r>
    </w:p>
    <w:p w:rsidR="00655688" w:rsidP="00655688">
      <w:pPr>
        <w:bidi w:val="0"/>
        <w:ind w:firstLine="709"/>
        <w:jc w:val="both"/>
        <w:rPr>
          <w:rFonts w:ascii="Times New Roman" w:hAnsi="Times New Roman" w:cs="Times New Roman"/>
        </w:rPr>
      </w:pPr>
    </w:p>
    <w:p w:rsidR="00655688" w:rsidP="00655688">
      <w:pPr>
        <w:bidi w:val="0"/>
        <w:ind w:firstLine="709"/>
        <w:jc w:val="both"/>
        <w:rPr>
          <w:rFonts w:ascii="Times New Roman" w:hAnsi="Times New Roman" w:cs="Times New Roman"/>
        </w:rPr>
      </w:pPr>
      <w:r>
        <w:rPr>
          <w:rFonts w:ascii="Times New Roman" w:hAnsi="Times New Roman" w:cs="Times New Roman"/>
        </w:rPr>
        <w:t xml:space="preserve">Návrh rozpočtu osobných výdavkov zamestnancov regionálneho školstva v roku 2012 oproti schválenému rozpočtu na rok 2011 vzrástol o 4,1 % (41 372  tis. eur) na sumu 1 051 803 tis. eur pre </w:t>
      </w:r>
      <w:r>
        <w:rPr>
          <w:rFonts w:ascii="Times New Roman" w:hAnsi="Times New Roman" w:cs="Times New Roman"/>
          <w:u w:val="single"/>
        </w:rPr>
        <w:t>81 458 zamestnancov</w:t>
      </w:r>
      <w:r>
        <w:rPr>
          <w:rFonts w:ascii="Times New Roman" w:hAnsi="Times New Roman" w:cs="Times New Roman"/>
        </w:rPr>
        <w:t xml:space="preserve">, z toho pre 10 028 zamestnancov v štátnych rozpočtových organizáciách, 296 zamestnancov v štátnych príspevkových organizáciách a 71 134 zamestnancov územnej samosprávy, cirkevných a súkromných zriaďovateľov. V kapitole Všeobecná pokladničná správa nie je alokovaná žiadna rezerva na platy v regionálnom školstve na roky 2012 až 2014. </w:t>
      </w:r>
    </w:p>
    <w:p w:rsidR="00655688" w:rsidP="00655688">
      <w:pPr>
        <w:bidi w:val="0"/>
        <w:ind w:firstLine="709"/>
        <w:jc w:val="both"/>
        <w:rPr>
          <w:rFonts w:ascii="Times New Roman" w:hAnsi="Times New Roman" w:cs="Times New Roman"/>
        </w:rPr>
      </w:pPr>
    </w:p>
    <w:p w:rsidR="00655688" w:rsidP="00655688">
      <w:pPr>
        <w:bidi w:val="0"/>
        <w:ind w:firstLine="709"/>
        <w:jc w:val="both"/>
        <w:rPr>
          <w:rFonts w:ascii="Times New Roman" w:hAnsi="Times New Roman" w:cs="Times New Roman"/>
        </w:rPr>
      </w:pPr>
      <w:r>
        <w:rPr>
          <w:rFonts w:ascii="Times New Roman" w:hAnsi="Times New Roman" w:cs="Times New Roman"/>
        </w:rPr>
        <w:t xml:space="preserve">V návrhu rozpočtu osobných výdavkov regionálneho školstva financovaného zo štátneho rozpočtu pre pedagogických zamestnancov zostal v návrhu rozpočtu verejnej správy na roky 2012 až 2014 zachovaný postup z roku 2011, tzn. nerealizovanie 10% zníženia ich osobných výdavkov. Naopak, na zlepšenie mzdového ohodnotenia pedagogických zamestnancov regionálneho školstva  je v súlade s Programovým vyhlásením  vlády SR  v návrhu rozpočtu osobných výdavkov kapitoly Ministerstva školstva, vedy, výskumu a športu SR zabezpečené ich zvýšenie v sume 41 372 tis. eur na rok 2012, 69 993 tis. eur na rok 2013 a 112 841 tis. eur na rok 2014.  </w:t>
      </w:r>
    </w:p>
    <w:p w:rsidR="00655688" w:rsidP="00655688">
      <w:pPr>
        <w:bidi w:val="0"/>
        <w:ind w:firstLine="709"/>
        <w:jc w:val="both"/>
        <w:rPr>
          <w:rFonts w:ascii="Times New Roman" w:hAnsi="Times New Roman" w:cs="Times New Roman"/>
        </w:rPr>
      </w:pPr>
    </w:p>
    <w:p w:rsidR="00655688" w:rsidP="00655688">
      <w:pPr>
        <w:bidi w:val="0"/>
        <w:ind w:firstLine="708"/>
        <w:jc w:val="both"/>
        <w:rPr>
          <w:rFonts w:ascii="Times New Roman" w:hAnsi="Times New Roman" w:cs="Times New Roman"/>
        </w:rPr>
      </w:pPr>
      <w:r>
        <w:rPr>
          <w:rFonts w:ascii="Times New Roman" w:hAnsi="Times New Roman" w:cs="Times New Roman"/>
          <w:bCs/>
        </w:rPr>
        <w:t>Pomer žiakov a učiteľov na Slovensku klesá už veľa rokov, do budúcnosti je potrebné tento pomer stabilizovať. V návrhu rozpočtu sa očakáva, že podiel žiakov na jedného pedagogického zamestnanca zostane zachovaný na úrovni roka 2009 tak, ako je uvedené v nasledovnej tabuľke. Pokles počtu pedagogických zamestnancov sa neprejaví ihneď, ale bude závislý od prijatých opatrení vrátane úprav legislatívy. Skutočné tempo rastu platov učiteľov bude závisieť aj od toho, ako sa bude znižovať ich počet. Ak sa podarí stabilizovať pomer počtu žiakov a učiteľov na úrovni roku 2009 už v roku 2012, bude rast platov výrazný. Ak sa bude znižovať počet učiteľov pomalšie, zvyšovanie ich platov bude prirodzene postupnejšie.</w:t>
      </w:r>
    </w:p>
    <w:p w:rsidR="00655688" w:rsidP="00655688">
      <w:pPr>
        <w:bidi w:val="0"/>
        <w:ind w:firstLine="708"/>
        <w:jc w:val="both"/>
        <w:rPr>
          <w:rFonts w:ascii="Times New Roman" w:hAnsi="Times New Roman" w:cs="Times New Roman"/>
          <w:bCs/>
        </w:rPr>
      </w:pPr>
    </w:p>
    <w:tbl>
      <w:tblPr>
        <w:tblStyle w:val="TableNormal"/>
        <w:tblW w:w="92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80"/>
        <w:gridCol w:w="1260"/>
        <w:gridCol w:w="960"/>
        <w:gridCol w:w="960"/>
        <w:gridCol w:w="960"/>
        <w:gridCol w:w="960"/>
        <w:gridCol w:w="960"/>
      </w:tblGrid>
      <w:tr>
        <w:tblPrEx>
          <w:tblW w:w="92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66"/>
        </w:trPr>
        <w:tc>
          <w:tcPr>
            <w:tcW w:w="318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55688" w:rsidP="00257E12">
            <w:pPr>
              <w:bidi w:val="0"/>
              <w:rPr>
                <w:rFonts w:ascii="Times New Roman" w:hAnsi="Times New Roman" w:cs="Times New Roman"/>
                <w:sz w:val="14"/>
                <w:szCs w:val="16"/>
                <w:lang w:eastAsia="sk-SK"/>
              </w:rPr>
            </w:pPr>
            <w:r>
              <w:rPr>
                <w:rFonts w:ascii="Times New Roman" w:hAnsi="Times New Roman" w:cs="Times New Roman"/>
                <w:sz w:val="14"/>
                <w:szCs w:val="16"/>
                <w:lang w:eastAsia="sk-SK"/>
              </w:rPr>
              <w:t> (osoby)</w:t>
            </w:r>
          </w:p>
        </w:tc>
        <w:tc>
          <w:tcPr>
            <w:tcW w:w="126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55688" w:rsidP="00257E12">
            <w:pPr>
              <w:bidi w:val="0"/>
              <w:jc w:val="center"/>
              <w:rPr>
                <w:rFonts w:ascii="Times New Roman" w:hAnsi="Times New Roman" w:cs="Times New Roman"/>
                <w:b/>
                <w:bCs/>
                <w:sz w:val="14"/>
                <w:szCs w:val="16"/>
                <w:lang w:eastAsia="sk-SK"/>
              </w:rPr>
            </w:pPr>
            <w:r>
              <w:rPr>
                <w:rFonts w:ascii="Times New Roman" w:hAnsi="Times New Roman" w:cs="Times New Roman"/>
                <w:b/>
                <w:bCs/>
                <w:sz w:val="14"/>
                <w:szCs w:val="16"/>
                <w:lang w:eastAsia="sk-SK"/>
              </w:rPr>
              <w:t>2009 S</w:t>
            </w:r>
          </w:p>
        </w:tc>
        <w:tc>
          <w:tcPr>
            <w:tcW w:w="96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55688" w:rsidP="00257E12">
            <w:pPr>
              <w:bidi w:val="0"/>
              <w:jc w:val="center"/>
              <w:rPr>
                <w:rFonts w:ascii="Times New Roman" w:hAnsi="Times New Roman" w:cs="Times New Roman"/>
                <w:b/>
                <w:bCs/>
                <w:sz w:val="14"/>
                <w:szCs w:val="16"/>
                <w:lang w:eastAsia="sk-SK"/>
              </w:rPr>
            </w:pPr>
            <w:r>
              <w:rPr>
                <w:rFonts w:ascii="Times New Roman" w:hAnsi="Times New Roman" w:cs="Times New Roman"/>
                <w:b/>
                <w:bCs/>
                <w:sz w:val="14"/>
                <w:szCs w:val="16"/>
                <w:lang w:eastAsia="sk-SK"/>
              </w:rPr>
              <w:t>2010 S</w:t>
            </w:r>
          </w:p>
        </w:tc>
        <w:tc>
          <w:tcPr>
            <w:tcW w:w="96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55688" w:rsidP="00257E12">
            <w:pPr>
              <w:bidi w:val="0"/>
              <w:jc w:val="center"/>
              <w:rPr>
                <w:rFonts w:ascii="Times New Roman" w:hAnsi="Times New Roman" w:cs="Times New Roman"/>
                <w:b/>
                <w:bCs/>
                <w:sz w:val="14"/>
                <w:szCs w:val="16"/>
                <w:lang w:eastAsia="sk-SK"/>
              </w:rPr>
            </w:pPr>
            <w:r>
              <w:rPr>
                <w:rFonts w:ascii="Times New Roman" w:hAnsi="Times New Roman" w:cs="Times New Roman"/>
                <w:b/>
                <w:bCs/>
                <w:sz w:val="14"/>
                <w:szCs w:val="16"/>
                <w:lang w:eastAsia="sk-SK"/>
              </w:rPr>
              <w:t>2011 R</w:t>
            </w:r>
          </w:p>
        </w:tc>
        <w:tc>
          <w:tcPr>
            <w:tcW w:w="96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55688" w:rsidP="00257E12">
            <w:pPr>
              <w:bidi w:val="0"/>
              <w:jc w:val="center"/>
              <w:rPr>
                <w:rFonts w:ascii="Times New Roman" w:hAnsi="Times New Roman" w:cs="Times New Roman"/>
                <w:b/>
                <w:bCs/>
                <w:sz w:val="14"/>
                <w:szCs w:val="16"/>
                <w:lang w:eastAsia="sk-SK"/>
              </w:rPr>
            </w:pPr>
            <w:r>
              <w:rPr>
                <w:rFonts w:ascii="Times New Roman" w:hAnsi="Times New Roman" w:cs="Times New Roman"/>
                <w:b/>
                <w:bCs/>
                <w:sz w:val="14"/>
                <w:szCs w:val="16"/>
                <w:lang w:eastAsia="sk-SK"/>
              </w:rPr>
              <w:t>2012 N</w:t>
            </w:r>
          </w:p>
        </w:tc>
        <w:tc>
          <w:tcPr>
            <w:tcW w:w="96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55688" w:rsidP="00257E12">
            <w:pPr>
              <w:bidi w:val="0"/>
              <w:jc w:val="center"/>
              <w:rPr>
                <w:rFonts w:ascii="Times New Roman" w:hAnsi="Times New Roman" w:cs="Times New Roman"/>
                <w:b/>
                <w:bCs/>
                <w:sz w:val="14"/>
                <w:szCs w:val="16"/>
                <w:lang w:eastAsia="sk-SK"/>
              </w:rPr>
            </w:pPr>
            <w:r>
              <w:rPr>
                <w:rFonts w:ascii="Times New Roman" w:hAnsi="Times New Roman" w:cs="Times New Roman"/>
                <w:b/>
                <w:bCs/>
                <w:sz w:val="14"/>
                <w:szCs w:val="16"/>
                <w:lang w:eastAsia="sk-SK"/>
              </w:rPr>
              <w:t>2013 N</w:t>
            </w:r>
          </w:p>
        </w:tc>
        <w:tc>
          <w:tcPr>
            <w:tcW w:w="96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655688" w:rsidP="00257E12">
            <w:pPr>
              <w:bidi w:val="0"/>
              <w:jc w:val="center"/>
              <w:rPr>
                <w:rFonts w:ascii="Times New Roman" w:hAnsi="Times New Roman" w:cs="Times New Roman"/>
                <w:b/>
                <w:bCs/>
                <w:sz w:val="14"/>
                <w:szCs w:val="16"/>
                <w:lang w:eastAsia="sk-SK"/>
              </w:rPr>
            </w:pPr>
            <w:r>
              <w:rPr>
                <w:rFonts w:ascii="Times New Roman" w:hAnsi="Times New Roman" w:cs="Times New Roman"/>
                <w:b/>
                <w:bCs/>
                <w:sz w:val="14"/>
                <w:szCs w:val="16"/>
                <w:lang w:eastAsia="sk-SK"/>
              </w:rPr>
              <w:t>2014 N</w:t>
            </w:r>
          </w:p>
        </w:tc>
      </w:tr>
      <w:tr>
        <w:tblPrEx>
          <w:tblW w:w="9240" w:type="dxa"/>
          <w:tblInd w:w="55" w:type="dxa"/>
          <w:tblCellMar>
            <w:left w:w="70" w:type="dxa"/>
            <w:right w:w="70" w:type="dxa"/>
          </w:tblCellMar>
          <w:tblLook w:val="04A0"/>
        </w:tblPrEx>
        <w:trPr>
          <w:trHeight w:val="266"/>
        </w:trPr>
        <w:tc>
          <w:tcPr>
            <w:tcW w:w="3180" w:type="dxa"/>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rPr>
                <w:rFonts w:ascii="Times New Roman" w:hAnsi="Times New Roman" w:cs="Times New Roman"/>
                <w:sz w:val="14"/>
                <w:szCs w:val="16"/>
                <w:lang w:eastAsia="sk-SK"/>
              </w:rPr>
            </w:pPr>
            <w:r>
              <w:rPr>
                <w:rFonts w:ascii="Times New Roman" w:hAnsi="Times New Roman" w:cs="Times New Roman"/>
                <w:sz w:val="14"/>
                <w:szCs w:val="16"/>
                <w:lang w:eastAsia="sk-SK"/>
              </w:rPr>
              <w:t>Počet  žiakov v školách</w:t>
            </w:r>
          </w:p>
        </w:tc>
        <w:tc>
          <w:tcPr>
            <w:tcW w:w="1260" w:type="dxa"/>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771 265</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749 106</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736 274</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722 304</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712 718</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708 978</w:t>
            </w:r>
          </w:p>
        </w:tc>
      </w:tr>
      <w:tr>
        <w:tblPrEx>
          <w:tblW w:w="9240" w:type="dxa"/>
          <w:tblInd w:w="55" w:type="dxa"/>
          <w:tblCellMar>
            <w:left w:w="70" w:type="dxa"/>
            <w:right w:w="70" w:type="dxa"/>
          </w:tblCellMar>
          <w:tblLook w:val="04A0"/>
        </w:tblPrEx>
        <w:trPr>
          <w:trHeight w:val="266"/>
        </w:trPr>
        <w:tc>
          <w:tcPr>
            <w:tcW w:w="3180" w:type="dxa"/>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rPr>
                <w:rFonts w:ascii="Times New Roman" w:hAnsi="Times New Roman" w:cs="Times New Roman"/>
                <w:sz w:val="14"/>
                <w:szCs w:val="16"/>
                <w:lang w:eastAsia="sk-SK"/>
              </w:rPr>
            </w:pPr>
            <w:r>
              <w:rPr>
                <w:rFonts w:ascii="Times New Roman" w:hAnsi="Times New Roman" w:cs="Times New Roman"/>
                <w:sz w:val="14"/>
                <w:szCs w:val="16"/>
                <w:lang w:eastAsia="sk-SK"/>
              </w:rPr>
              <w:t>Počet pedagogických zamestnancov</w:t>
            </w:r>
          </w:p>
        </w:tc>
        <w:tc>
          <w:tcPr>
            <w:tcW w:w="1260" w:type="dxa"/>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63 970</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64 744</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65 000</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59 909</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59 114</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58 804</w:t>
            </w:r>
          </w:p>
        </w:tc>
      </w:tr>
      <w:tr>
        <w:tblPrEx>
          <w:tblW w:w="9240" w:type="dxa"/>
          <w:tblInd w:w="55" w:type="dxa"/>
          <w:tblCellMar>
            <w:left w:w="70" w:type="dxa"/>
            <w:right w:w="70" w:type="dxa"/>
          </w:tblCellMar>
          <w:tblLook w:val="04A0"/>
        </w:tblPrEx>
        <w:trPr>
          <w:trHeight w:val="266"/>
        </w:trPr>
        <w:tc>
          <w:tcPr>
            <w:tcW w:w="3180" w:type="dxa"/>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rPr>
                <w:rFonts w:ascii="Times New Roman" w:hAnsi="Times New Roman" w:cs="Times New Roman"/>
                <w:sz w:val="14"/>
                <w:szCs w:val="16"/>
                <w:lang w:eastAsia="sk-SK"/>
              </w:rPr>
            </w:pPr>
            <w:r>
              <w:rPr>
                <w:rFonts w:ascii="Times New Roman" w:hAnsi="Times New Roman" w:cs="Times New Roman"/>
                <w:sz w:val="14"/>
                <w:szCs w:val="16"/>
                <w:lang w:eastAsia="sk-SK"/>
              </w:rPr>
              <w:t>Počet žiakov na pedagogického zam.</w:t>
            </w:r>
          </w:p>
        </w:tc>
        <w:tc>
          <w:tcPr>
            <w:tcW w:w="1260" w:type="dxa"/>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12,06</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11,57</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11,33</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12,06</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12,06</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12,06</w:t>
            </w:r>
          </w:p>
        </w:tc>
      </w:tr>
    </w:tbl>
    <w:p w:rsidR="00655688" w:rsidP="00655688">
      <w:pPr>
        <w:bidi w:val="0"/>
        <w:ind w:firstLine="709"/>
        <w:jc w:val="both"/>
        <w:rPr>
          <w:rFonts w:ascii="Times New Roman" w:hAnsi="Times New Roman" w:cs="Times New Roman"/>
        </w:rPr>
      </w:pPr>
    </w:p>
    <w:p w:rsidR="00655688" w:rsidP="00655688">
      <w:pPr>
        <w:bidi w:val="0"/>
        <w:ind w:firstLine="709"/>
        <w:jc w:val="both"/>
        <w:rPr>
          <w:rFonts w:ascii="Times New Roman" w:hAnsi="Times New Roman" w:cs="Times New Roman"/>
        </w:rPr>
      </w:pPr>
      <w:r>
        <w:rPr>
          <w:rFonts w:ascii="Times New Roman" w:hAnsi="Times New Roman" w:cs="Times New Roman"/>
        </w:rPr>
        <w:t xml:space="preserve">Po zapracovaní predmetného zvýšenia osobných výdavkov a úprave počtu pedagogických zamestnancov sa oproti roku 2011 zvýši v roku 2012 ich priemerný mzdový výdavok o 13,6 %, v roku 2013 o 18,6 % a v roku 2014 o 24,3 %. </w:t>
      </w:r>
    </w:p>
    <w:p w:rsidR="00655688" w:rsidP="00655688">
      <w:pPr>
        <w:bidi w:val="0"/>
        <w:ind w:firstLine="708"/>
        <w:jc w:val="both"/>
        <w:rPr>
          <w:rFonts w:ascii="Times New Roman" w:hAnsi="Times New Roman" w:cs="Times New Roman"/>
          <w:bCs/>
        </w:rPr>
      </w:pPr>
    </w:p>
    <w:p w:rsidR="00655688" w:rsidP="00655688">
      <w:pPr>
        <w:bidi w:val="0"/>
        <w:ind w:firstLine="709"/>
        <w:jc w:val="both"/>
        <w:rPr>
          <w:rFonts w:ascii="Times New Roman" w:hAnsi="Times New Roman" w:cs="Times New Roman"/>
        </w:rPr>
      </w:pPr>
      <w:r>
        <w:rPr>
          <w:rFonts w:ascii="Times New Roman" w:hAnsi="Times New Roman" w:cs="Times New Roman"/>
        </w:rPr>
        <w:t>Pre nepedagogických zamestnancov regionálneho školstva sa 10% zníženie osobných výdavkov z roku 2011 premietlo aj do roku 2012. Spôsob realizácie zníženia osobných výdavkov aj naďalej zostáva v kompetencii zriaďovateľov škôl a školských zariadení a môže sa postupne prejaviť v racionalizácii prevádzky škôl a školských zariadení.</w:t>
      </w:r>
    </w:p>
    <w:p w:rsidR="00655688" w:rsidP="00655688">
      <w:pPr>
        <w:bidi w:val="0"/>
        <w:ind w:firstLine="708"/>
        <w:jc w:val="both"/>
        <w:rPr>
          <w:rFonts w:ascii="Times New Roman" w:hAnsi="Times New Roman" w:cs="Times New Roman"/>
          <w:bCs/>
        </w:rPr>
      </w:pPr>
    </w:p>
    <w:p w:rsidR="00F90A86" w:rsidP="00655688">
      <w:pPr>
        <w:bidi w:val="0"/>
        <w:ind w:firstLine="708"/>
        <w:jc w:val="both"/>
        <w:rPr>
          <w:rFonts w:ascii="Times New Roman" w:hAnsi="Times New Roman" w:cs="Times New Roman"/>
          <w:bCs/>
        </w:rPr>
      </w:pPr>
    </w:p>
    <w:p w:rsidR="00F90A86" w:rsidP="00655688">
      <w:pPr>
        <w:bidi w:val="0"/>
        <w:ind w:firstLine="708"/>
        <w:jc w:val="both"/>
        <w:rPr>
          <w:rFonts w:ascii="Times New Roman" w:hAnsi="Times New Roman" w:cs="Times New Roman"/>
          <w:bCs/>
        </w:rPr>
      </w:pPr>
    </w:p>
    <w:p w:rsidR="00F90A86" w:rsidP="00655688">
      <w:pPr>
        <w:bidi w:val="0"/>
        <w:ind w:firstLine="708"/>
        <w:jc w:val="both"/>
        <w:rPr>
          <w:rFonts w:ascii="Times New Roman" w:hAnsi="Times New Roman" w:cs="Times New Roman"/>
          <w:bCs/>
        </w:rPr>
      </w:pPr>
    </w:p>
    <w:p w:rsidR="00F90A86" w:rsidP="00655688">
      <w:pPr>
        <w:bidi w:val="0"/>
        <w:ind w:firstLine="708"/>
        <w:jc w:val="both"/>
        <w:rPr>
          <w:rFonts w:ascii="Times New Roman" w:hAnsi="Times New Roman" w:cs="Times New Roman"/>
          <w:bCs/>
        </w:rPr>
      </w:pPr>
    </w:p>
    <w:p w:rsidR="00F90A86" w:rsidP="00655688">
      <w:pPr>
        <w:bidi w:val="0"/>
        <w:ind w:firstLine="708"/>
        <w:jc w:val="both"/>
        <w:rPr>
          <w:rFonts w:ascii="Times New Roman" w:hAnsi="Times New Roman" w:cs="Times New Roman"/>
          <w:bCs/>
        </w:rPr>
      </w:pPr>
    </w:p>
    <w:p w:rsidR="00F90A86" w:rsidP="00655688">
      <w:pPr>
        <w:bidi w:val="0"/>
        <w:ind w:firstLine="708"/>
        <w:jc w:val="both"/>
        <w:rPr>
          <w:rFonts w:ascii="Times New Roman" w:hAnsi="Times New Roman" w:cs="Times New Roman"/>
          <w:bCs/>
        </w:rPr>
      </w:pPr>
    </w:p>
    <w:p w:rsidR="00F90A86" w:rsidP="00655688">
      <w:pPr>
        <w:bidi w:val="0"/>
        <w:ind w:firstLine="708"/>
        <w:jc w:val="both"/>
        <w:rPr>
          <w:rFonts w:ascii="Times New Roman" w:hAnsi="Times New Roman" w:cs="Times New Roman"/>
          <w:bCs/>
        </w:rPr>
      </w:pPr>
    </w:p>
    <w:p w:rsidR="00F90A86" w:rsidP="00655688">
      <w:pPr>
        <w:bidi w:val="0"/>
        <w:ind w:firstLine="708"/>
        <w:jc w:val="both"/>
        <w:rPr>
          <w:rFonts w:ascii="Times New Roman" w:hAnsi="Times New Roman" w:cs="Times New Roman"/>
          <w:bCs/>
        </w:rPr>
      </w:pPr>
    </w:p>
    <w:p w:rsidR="00F90A86" w:rsidP="00655688">
      <w:pPr>
        <w:bidi w:val="0"/>
        <w:ind w:firstLine="708"/>
        <w:jc w:val="both"/>
        <w:rPr>
          <w:rFonts w:ascii="Times New Roman" w:hAnsi="Times New Roman" w:cs="Times New Roman"/>
          <w:bCs/>
        </w:rPr>
      </w:pPr>
    </w:p>
    <w:p w:rsidR="00F90A86" w:rsidP="00655688">
      <w:pPr>
        <w:bidi w:val="0"/>
        <w:ind w:firstLine="708"/>
        <w:jc w:val="both"/>
        <w:rPr>
          <w:rFonts w:ascii="Times New Roman" w:hAnsi="Times New Roman" w:cs="Times New Roman"/>
          <w:bCs/>
        </w:rPr>
      </w:pPr>
    </w:p>
    <w:p w:rsidR="00F90A86" w:rsidP="00655688">
      <w:pPr>
        <w:bidi w:val="0"/>
        <w:ind w:firstLine="708"/>
        <w:jc w:val="both"/>
        <w:rPr>
          <w:rFonts w:ascii="Times New Roman" w:hAnsi="Times New Roman" w:cs="Times New Roman"/>
          <w:bCs/>
        </w:rPr>
      </w:pPr>
    </w:p>
    <w:p w:rsidR="00F90A86" w:rsidP="00655688">
      <w:pPr>
        <w:bidi w:val="0"/>
        <w:ind w:firstLine="708"/>
        <w:jc w:val="both"/>
        <w:rPr>
          <w:rFonts w:ascii="Times New Roman" w:hAnsi="Times New Roman" w:cs="Times New Roman"/>
          <w:bCs/>
        </w:rPr>
      </w:pPr>
    </w:p>
    <w:p w:rsidR="00F90A86" w:rsidP="00655688">
      <w:pPr>
        <w:bidi w:val="0"/>
        <w:ind w:firstLine="708"/>
        <w:jc w:val="both"/>
        <w:rPr>
          <w:rFonts w:ascii="Times New Roman" w:hAnsi="Times New Roman" w:cs="Times New Roman"/>
          <w:bCs/>
        </w:rPr>
      </w:pPr>
    </w:p>
    <w:p w:rsidR="00F90A86" w:rsidP="00655688">
      <w:pPr>
        <w:bidi w:val="0"/>
        <w:ind w:firstLine="708"/>
        <w:jc w:val="both"/>
        <w:rPr>
          <w:rFonts w:ascii="Times New Roman" w:hAnsi="Times New Roman" w:cs="Times New Roman"/>
          <w:bCs/>
        </w:rPr>
      </w:pPr>
    </w:p>
    <w:p w:rsidR="00F90A86" w:rsidP="00655688">
      <w:pPr>
        <w:bidi w:val="0"/>
        <w:ind w:firstLine="708"/>
        <w:jc w:val="both"/>
        <w:rPr>
          <w:rFonts w:ascii="Times New Roman" w:hAnsi="Times New Roman" w:cs="Times New Roman"/>
          <w:bCs/>
        </w:rPr>
      </w:pPr>
    </w:p>
    <w:p w:rsidR="00F90A86" w:rsidP="00655688">
      <w:pPr>
        <w:bidi w:val="0"/>
        <w:ind w:firstLine="708"/>
        <w:jc w:val="both"/>
        <w:rPr>
          <w:rFonts w:ascii="Times New Roman" w:hAnsi="Times New Roman" w:cs="Times New Roman"/>
          <w:bCs/>
        </w:rPr>
      </w:pPr>
    </w:p>
    <w:p w:rsidR="00F90A86" w:rsidP="00655688">
      <w:pPr>
        <w:bidi w:val="0"/>
        <w:ind w:firstLine="708"/>
        <w:jc w:val="both"/>
        <w:rPr>
          <w:rFonts w:ascii="Times New Roman" w:hAnsi="Times New Roman" w:cs="Times New Roman"/>
          <w:bCs/>
        </w:rPr>
      </w:pPr>
    </w:p>
    <w:p w:rsidR="00F90A86" w:rsidP="00655688">
      <w:pPr>
        <w:bidi w:val="0"/>
        <w:ind w:firstLine="708"/>
        <w:jc w:val="both"/>
        <w:rPr>
          <w:rFonts w:ascii="Times New Roman" w:hAnsi="Times New Roman" w:cs="Times New Roman"/>
          <w:bCs/>
        </w:rPr>
      </w:pPr>
    </w:p>
    <w:p w:rsidR="00F90A86" w:rsidP="00655688">
      <w:pPr>
        <w:bidi w:val="0"/>
        <w:ind w:firstLine="708"/>
        <w:jc w:val="both"/>
        <w:rPr>
          <w:rFonts w:ascii="Times New Roman" w:hAnsi="Times New Roman" w:cs="Times New Roman"/>
          <w:bCs/>
        </w:rPr>
      </w:pPr>
    </w:p>
    <w:p w:rsidR="00F90A86" w:rsidP="00655688">
      <w:pPr>
        <w:bidi w:val="0"/>
        <w:ind w:firstLine="708"/>
        <w:jc w:val="both"/>
        <w:rPr>
          <w:rFonts w:ascii="Times New Roman" w:hAnsi="Times New Roman" w:cs="Times New Roman"/>
          <w:bCs/>
        </w:rPr>
      </w:pPr>
    </w:p>
    <w:p w:rsidR="00655688" w:rsidP="00655688">
      <w:pPr>
        <w:bidi w:val="0"/>
        <w:ind w:firstLine="708"/>
        <w:jc w:val="both"/>
        <w:rPr>
          <w:rFonts w:ascii="Times New Roman" w:hAnsi="Times New Roman" w:cs="Times New Roman"/>
          <w:bCs/>
        </w:rPr>
      </w:pPr>
      <w:r>
        <w:rPr>
          <w:rFonts w:ascii="Times New Roman" w:hAnsi="Times New Roman" w:cs="Times New Roman"/>
          <w:bCs/>
        </w:rPr>
        <w:t>Prehľad o skutočne dosiahnutých ukazovateľoch zamestnanosti v rokoch 2009 a 2010, očakávanej skutočnosti v r. 2011 a návrhu rozpočtu na roky 2012 až 2014 je uvedený v priloženej tabuľke.</w:t>
      </w:r>
    </w:p>
    <w:p w:rsidR="00655688" w:rsidP="00655688">
      <w:pPr>
        <w:bidi w:val="0"/>
        <w:ind w:left="720"/>
        <w:rPr>
          <w:rFonts w:ascii="Times New Roman" w:hAnsi="Times New Roman" w:cs="Times New Roman"/>
          <w:bCs/>
          <w:u w:val="single"/>
        </w:rPr>
      </w:pPr>
      <w:bookmarkStart w:id="64" w:name="_Toc273474210"/>
    </w:p>
    <w:tbl>
      <w:tblPr>
        <w:tblStyle w:val="TableNormal"/>
        <w:tblW w:w="9375" w:type="dxa"/>
        <w:tblLayout w:type="fixed"/>
        <w:tblCellMar>
          <w:left w:w="70" w:type="dxa"/>
          <w:right w:w="70" w:type="dxa"/>
        </w:tblCellMar>
        <w:tblLook w:val="04A0"/>
      </w:tblPr>
      <w:tblGrid>
        <w:gridCol w:w="2055"/>
        <w:gridCol w:w="566"/>
        <w:gridCol w:w="964"/>
        <w:gridCol w:w="965"/>
        <w:gridCol w:w="965"/>
        <w:gridCol w:w="965"/>
        <w:gridCol w:w="965"/>
        <w:gridCol w:w="965"/>
        <w:gridCol w:w="965"/>
      </w:tblGrid>
      <w:tr>
        <w:tblPrEx>
          <w:tblW w:w="9375" w:type="dxa"/>
          <w:tblLayout w:type="fixed"/>
          <w:tblCellMar>
            <w:left w:w="70" w:type="dxa"/>
            <w:right w:w="70" w:type="dxa"/>
          </w:tblCellMar>
          <w:tblLook w:val="04A0"/>
        </w:tblPrEx>
        <w:trPr>
          <w:trHeight w:val="263"/>
        </w:trPr>
        <w:tc>
          <w:tcPr>
            <w:tcW w:w="205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655688" w:rsidP="00257E12">
            <w:pPr>
              <w:bidi w:val="0"/>
              <w:rPr>
                <w:rFonts w:ascii="Times New Roman" w:hAnsi="Times New Roman" w:cs="Times New Roman"/>
                <w:b/>
                <w:bCs/>
                <w:sz w:val="14"/>
                <w:szCs w:val="14"/>
                <w:lang w:eastAsia="sk-SK"/>
              </w:rPr>
            </w:pPr>
            <w:r>
              <w:rPr>
                <w:rFonts w:ascii="Times New Roman" w:hAnsi="Times New Roman" w:cs="Times New Roman"/>
                <w:b/>
                <w:bCs/>
                <w:sz w:val="14"/>
                <w:szCs w:val="14"/>
                <w:lang w:eastAsia="sk-SK"/>
              </w:rPr>
              <w:t>Regionálne školstvo</w:t>
            </w:r>
          </w:p>
        </w:tc>
        <w:tc>
          <w:tcPr>
            <w:tcW w:w="567"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 </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2009 S</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2010 S</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2011 R</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2011 OS</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2012 N</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2013 N</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2014 N</w:t>
            </w:r>
          </w:p>
        </w:tc>
      </w:tr>
      <w:tr>
        <w:tblPrEx>
          <w:tblW w:w="9375" w:type="dxa"/>
          <w:tblLayout w:type="fixed"/>
          <w:tblCellMar>
            <w:left w:w="70" w:type="dxa"/>
            <w:right w:w="70" w:type="dxa"/>
          </w:tblCellMar>
          <w:tblLook w:val="04A0"/>
        </w:tblPrEx>
        <w:trPr>
          <w:trHeight w:val="263"/>
        </w:trPr>
        <w:tc>
          <w:tcPr>
            <w:tcW w:w="2055" w:type="dxa"/>
            <w:tcBorders>
              <w:top w:val="nil"/>
              <w:left w:val="single" w:sz="4" w:space="0" w:color="auto"/>
              <w:bottom w:val="single" w:sz="4" w:space="0" w:color="auto"/>
              <w:right w:val="single" w:sz="4" w:space="0" w:color="auto"/>
            </w:tcBorders>
            <w:shd w:val="clear" w:color="auto" w:fill="FFFFFF"/>
            <w:noWrap/>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Počet zamestnancov</w:t>
            </w:r>
          </w:p>
        </w:tc>
        <w:tc>
          <w:tcPr>
            <w:tcW w:w="567"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osoby</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85 556</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85 514</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86 549</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85 785</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81 458</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80 663</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80 353</w:t>
            </w:r>
          </w:p>
        </w:tc>
      </w:tr>
      <w:tr>
        <w:tblPrEx>
          <w:tblW w:w="9375" w:type="dxa"/>
          <w:tblLayout w:type="fixed"/>
          <w:tblCellMar>
            <w:left w:w="70" w:type="dxa"/>
            <w:right w:w="70" w:type="dxa"/>
          </w:tblCellMar>
          <w:tblLook w:val="04A0"/>
        </w:tblPrEx>
        <w:trPr>
          <w:trHeight w:val="263"/>
        </w:trPr>
        <w:tc>
          <w:tcPr>
            <w:tcW w:w="2055"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 xml:space="preserve">Osobné výdavky </w:t>
            </w:r>
          </w:p>
        </w:tc>
        <w:tc>
          <w:tcPr>
            <w:tcW w:w="567"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eur</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976 254 495</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999 938 919</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1 010 430 302</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1 010 430 302</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1 051 802 617</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1 080 423 507</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1 123 271 332</w:t>
            </w:r>
          </w:p>
        </w:tc>
      </w:tr>
      <w:tr>
        <w:tblPrEx>
          <w:tblW w:w="9375" w:type="dxa"/>
          <w:tblLayout w:type="fixed"/>
          <w:tblCellMar>
            <w:left w:w="70" w:type="dxa"/>
            <w:right w:w="70" w:type="dxa"/>
          </w:tblCellMar>
          <w:tblLook w:val="04A0"/>
        </w:tblPrEx>
        <w:trPr>
          <w:trHeight w:val="263"/>
        </w:trPr>
        <w:tc>
          <w:tcPr>
            <w:tcW w:w="2055"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ind w:firstLine="420" w:firstLineChars="300"/>
              <w:rPr>
                <w:rFonts w:ascii="Times New Roman" w:hAnsi="Times New Roman" w:cs="Times New Roman"/>
                <w:i/>
                <w:iCs/>
                <w:sz w:val="14"/>
                <w:szCs w:val="14"/>
                <w:lang w:eastAsia="sk-SK"/>
              </w:rPr>
            </w:pPr>
            <w:r>
              <w:rPr>
                <w:rFonts w:ascii="Times New Roman" w:hAnsi="Times New Roman" w:cs="Times New Roman"/>
                <w:i/>
                <w:iCs/>
                <w:sz w:val="14"/>
                <w:szCs w:val="14"/>
                <w:lang w:eastAsia="sk-SK"/>
              </w:rPr>
              <w:t>z toho:</w:t>
            </w:r>
            <w:r>
              <w:rPr>
                <w:rFonts w:ascii="Times New Roman" w:hAnsi="Times New Roman" w:cs="Times New Roman"/>
                <w:sz w:val="14"/>
                <w:szCs w:val="14"/>
                <w:lang w:eastAsia="sk-SK"/>
              </w:rPr>
              <w:t xml:space="preserve"> mzdové výdavky</w:t>
            </w:r>
          </w:p>
        </w:tc>
        <w:tc>
          <w:tcPr>
            <w:tcW w:w="567"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eur</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722 291 905</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740 952 189</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749 133 490</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749 133 490</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779 740 157</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800 913 587</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832 611 967</w:t>
            </w:r>
          </w:p>
        </w:tc>
      </w:tr>
      <w:tr>
        <w:tblPrEx>
          <w:tblW w:w="9375" w:type="dxa"/>
          <w:tblLayout w:type="fixed"/>
          <w:tblCellMar>
            <w:left w:w="70" w:type="dxa"/>
            <w:right w:w="70" w:type="dxa"/>
          </w:tblCellMar>
          <w:tblLook w:val="04A0"/>
        </w:tblPrEx>
        <w:trPr>
          <w:trHeight w:val="263"/>
        </w:trPr>
        <w:tc>
          <w:tcPr>
            <w:tcW w:w="2055" w:type="dxa"/>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Priemerný mzdový výdavok</w:t>
            </w:r>
          </w:p>
        </w:tc>
        <w:tc>
          <w:tcPr>
            <w:tcW w:w="567"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eur</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703,53</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722,06</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721,30</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727,72</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797,69</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827,43</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863,49</w:t>
            </w:r>
          </w:p>
        </w:tc>
      </w:tr>
      <w:tr>
        <w:tblPrEx>
          <w:tblW w:w="9375" w:type="dxa"/>
          <w:tblLayout w:type="fixed"/>
          <w:tblCellMar>
            <w:left w:w="70" w:type="dxa"/>
            <w:right w:w="70" w:type="dxa"/>
          </w:tblCellMar>
          <w:tblLook w:val="04A0"/>
        </w:tblPrEx>
        <w:trPr>
          <w:trHeight w:val="263"/>
        </w:trPr>
        <w:tc>
          <w:tcPr>
            <w:tcW w:w="2055" w:type="dxa"/>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Priemerná mzda zamestnanca v hospodárstve SR</w:t>
            </w:r>
          </w:p>
        </w:tc>
        <w:tc>
          <w:tcPr>
            <w:tcW w:w="567"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eur</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745</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769</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796</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796</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839</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886</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942</w:t>
            </w:r>
          </w:p>
        </w:tc>
      </w:tr>
      <w:tr>
        <w:tblPrEx>
          <w:tblW w:w="9375" w:type="dxa"/>
          <w:tblLayout w:type="fixed"/>
          <w:tblCellMar>
            <w:left w:w="70" w:type="dxa"/>
            <w:right w:w="70" w:type="dxa"/>
          </w:tblCellMar>
          <w:tblLook w:val="04A0"/>
        </w:tblPrEx>
        <w:trPr>
          <w:trHeight w:val="263"/>
        </w:trPr>
        <w:tc>
          <w:tcPr>
            <w:tcW w:w="2055" w:type="dxa"/>
            <w:tcBorders>
              <w:top w:val="single" w:sz="4" w:space="0" w:color="auto"/>
              <w:left w:val="single" w:sz="4" w:space="0" w:color="auto"/>
              <w:bottom w:val="single" w:sz="4" w:space="0" w:color="auto"/>
              <w:right w:val="single" w:sz="4" w:space="0" w:color="auto"/>
            </w:tcBorders>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Index (Priemerný mzdový výdavok/Priemerná mzda zam. v hosp. SR)</w:t>
            </w:r>
          </w:p>
        </w:tc>
        <w:tc>
          <w:tcPr>
            <w:tcW w:w="567"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w:t>
            </w:r>
          </w:p>
        </w:tc>
        <w:tc>
          <w:tcPr>
            <w:tcW w:w="964"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94,4</w:t>
            </w:r>
          </w:p>
        </w:tc>
        <w:tc>
          <w:tcPr>
            <w:tcW w:w="964"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93,9</w:t>
            </w:r>
          </w:p>
        </w:tc>
        <w:tc>
          <w:tcPr>
            <w:tcW w:w="964"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90,6</w:t>
            </w:r>
          </w:p>
        </w:tc>
        <w:tc>
          <w:tcPr>
            <w:tcW w:w="964"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91,4</w:t>
            </w:r>
          </w:p>
        </w:tc>
        <w:tc>
          <w:tcPr>
            <w:tcW w:w="964"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95,1</w:t>
            </w:r>
          </w:p>
        </w:tc>
        <w:tc>
          <w:tcPr>
            <w:tcW w:w="964"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93,4</w:t>
            </w:r>
          </w:p>
        </w:tc>
        <w:tc>
          <w:tcPr>
            <w:tcW w:w="964"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91,7</w:t>
            </w:r>
          </w:p>
        </w:tc>
      </w:tr>
      <w:tr>
        <w:tblPrEx>
          <w:tblW w:w="9375" w:type="dxa"/>
          <w:tblLayout w:type="fixed"/>
          <w:tblCellMar>
            <w:left w:w="70" w:type="dxa"/>
            <w:right w:w="70" w:type="dxa"/>
          </w:tblCellMar>
          <w:tblLook w:val="04A0"/>
        </w:tblPrEx>
        <w:trPr>
          <w:trHeight w:val="266"/>
        </w:trPr>
        <w:tc>
          <w:tcPr>
            <w:tcW w:w="2055" w:type="dxa"/>
            <w:tcBorders>
              <w:top w:val="single" w:sz="4" w:space="0" w:color="auto"/>
              <w:left w:val="single" w:sz="4" w:space="0" w:color="auto"/>
              <w:bottom w:val="single" w:sz="4" w:space="0" w:color="auto"/>
              <w:right w:val="nil"/>
            </w:tcBorders>
            <w:noWrap/>
            <w:textDirection w:val="lrTb"/>
            <w:vAlign w:val="bottom"/>
            <w:hideMark/>
          </w:tcPr>
          <w:p w:rsidR="00655688" w:rsidP="00257E12">
            <w:pPr>
              <w:bidi w:val="0"/>
              <w:ind w:firstLine="140" w:firstLineChars="100"/>
              <w:rPr>
                <w:rFonts w:ascii="Times New Roman" w:hAnsi="Times New Roman" w:cs="Times New Roman"/>
                <w:i/>
                <w:iCs/>
                <w:sz w:val="14"/>
                <w:szCs w:val="14"/>
                <w:lang w:eastAsia="sk-SK"/>
              </w:rPr>
            </w:pPr>
            <w:r>
              <w:rPr>
                <w:rFonts w:ascii="Times New Roman" w:hAnsi="Times New Roman" w:cs="Times New Roman"/>
                <w:i/>
                <w:iCs/>
                <w:sz w:val="14"/>
                <w:szCs w:val="14"/>
                <w:lang w:eastAsia="sk-SK"/>
              </w:rPr>
              <w:t>z toho:</w:t>
            </w:r>
          </w:p>
        </w:tc>
        <w:tc>
          <w:tcPr>
            <w:tcW w:w="567" w:type="dxa"/>
            <w:tcBorders>
              <w:top w:val="nil"/>
              <w:left w:val="nil"/>
              <w:bottom w:val="single" w:sz="4" w:space="0" w:color="auto"/>
              <w:right w:val="nil"/>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p>
        </w:tc>
        <w:tc>
          <w:tcPr>
            <w:tcW w:w="964" w:type="dxa"/>
            <w:tcBorders>
              <w:top w:val="nil"/>
              <w:left w:val="nil"/>
              <w:bottom w:val="single" w:sz="4" w:space="0" w:color="auto"/>
              <w:right w:val="nil"/>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p>
        </w:tc>
        <w:tc>
          <w:tcPr>
            <w:tcW w:w="964" w:type="dxa"/>
            <w:tcBorders>
              <w:top w:val="nil"/>
              <w:left w:val="nil"/>
              <w:bottom w:val="single" w:sz="4" w:space="0" w:color="auto"/>
              <w:right w:val="nil"/>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p>
        </w:tc>
        <w:tc>
          <w:tcPr>
            <w:tcW w:w="964" w:type="dxa"/>
            <w:tcBorders>
              <w:top w:val="nil"/>
              <w:left w:val="nil"/>
              <w:bottom w:val="single" w:sz="4" w:space="0" w:color="auto"/>
              <w:right w:val="nil"/>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p>
        </w:tc>
        <w:tc>
          <w:tcPr>
            <w:tcW w:w="964" w:type="dxa"/>
            <w:tcBorders>
              <w:top w:val="nil"/>
              <w:left w:val="nil"/>
              <w:bottom w:val="single" w:sz="4" w:space="0" w:color="auto"/>
              <w:right w:val="nil"/>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p>
        </w:tc>
        <w:tc>
          <w:tcPr>
            <w:tcW w:w="964" w:type="dxa"/>
            <w:tcBorders>
              <w:top w:val="nil"/>
              <w:left w:val="nil"/>
              <w:bottom w:val="single" w:sz="4" w:space="0" w:color="auto"/>
              <w:right w:val="nil"/>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p>
        </w:tc>
        <w:tc>
          <w:tcPr>
            <w:tcW w:w="964" w:type="dxa"/>
            <w:tcBorders>
              <w:top w:val="nil"/>
              <w:left w:val="nil"/>
              <w:bottom w:val="single" w:sz="4" w:space="0" w:color="auto"/>
              <w:right w:val="nil"/>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p>
        </w:tc>
      </w:tr>
      <w:tr>
        <w:tblPrEx>
          <w:tblW w:w="9375" w:type="dxa"/>
          <w:tblLayout w:type="fixed"/>
          <w:tblCellMar>
            <w:left w:w="70" w:type="dxa"/>
            <w:right w:w="70" w:type="dxa"/>
          </w:tblCellMar>
          <w:tblLook w:val="04A0"/>
        </w:tblPrEx>
        <w:trPr>
          <w:trHeight w:val="263"/>
        </w:trPr>
        <w:tc>
          <w:tcPr>
            <w:tcW w:w="2055" w:type="dxa"/>
            <w:tcBorders>
              <w:top w:val="nil"/>
              <w:left w:val="single" w:sz="4" w:space="0" w:color="auto"/>
              <w:bottom w:val="single" w:sz="4" w:space="0" w:color="auto"/>
              <w:right w:val="single" w:sz="4" w:space="0" w:color="auto"/>
            </w:tcBorders>
            <w:shd w:val="clear" w:color="auto" w:fill="BFBFBF"/>
            <w:noWrap/>
            <w:textDirection w:val="lrTb"/>
            <w:vAlign w:val="bottom"/>
            <w:hideMark/>
          </w:tcPr>
          <w:p w:rsidR="00655688" w:rsidP="00257E12">
            <w:pPr>
              <w:bidi w:val="0"/>
              <w:ind w:firstLine="140" w:firstLineChars="100"/>
              <w:rPr>
                <w:rFonts w:ascii="Times New Roman" w:hAnsi="Times New Roman" w:cs="Times New Roman"/>
                <w:b/>
                <w:bCs/>
                <w:sz w:val="14"/>
                <w:szCs w:val="14"/>
                <w:lang w:eastAsia="sk-SK"/>
              </w:rPr>
            </w:pPr>
            <w:r>
              <w:rPr>
                <w:rFonts w:ascii="Times New Roman" w:hAnsi="Times New Roman" w:cs="Times New Roman"/>
                <w:b/>
                <w:bCs/>
                <w:sz w:val="14"/>
                <w:szCs w:val="14"/>
                <w:lang w:eastAsia="sk-SK"/>
              </w:rPr>
              <w:t>Pedagogickí zamestnanci</w:t>
            </w:r>
          </w:p>
        </w:tc>
        <w:tc>
          <w:tcPr>
            <w:tcW w:w="567" w:type="dxa"/>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 </w:t>
            </w:r>
          </w:p>
        </w:tc>
        <w:tc>
          <w:tcPr>
            <w:tcW w:w="964" w:type="dxa"/>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2009 S</w:t>
            </w:r>
          </w:p>
        </w:tc>
        <w:tc>
          <w:tcPr>
            <w:tcW w:w="964" w:type="dxa"/>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2010 S</w:t>
            </w:r>
          </w:p>
        </w:tc>
        <w:tc>
          <w:tcPr>
            <w:tcW w:w="964" w:type="dxa"/>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2011 R</w:t>
            </w:r>
          </w:p>
        </w:tc>
        <w:tc>
          <w:tcPr>
            <w:tcW w:w="964" w:type="dxa"/>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2011 OS</w:t>
            </w:r>
          </w:p>
        </w:tc>
        <w:tc>
          <w:tcPr>
            <w:tcW w:w="964" w:type="dxa"/>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2012 N</w:t>
            </w:r>
          </w:p>
        </w:tc>
        <w:tc>
          <w:tcPr>
            <w:tcW w:w="964" w:type="dxa"/>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2013 N</w:t>
            </w:r>
          </w:p>
        </w:tc>
        <w:tc>
          <w:tcPr>
            <w:tcW w:w="964" w:type="dxa"/>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2014 N</w:t>
            </w:r>
          </w:p>
        </w:tc>
      </w:tr>
      <w:tr>
        <w:tblPrEx>
          <w:tblW w:w="9375" w:type="dxa"/>
          <w:tblLayout w:type="fixed"/>
          <w:tblCellMar>
            <w:left w:w="70" w:type="dxa"/>
            <w:right w:w="70" w:type="dxa"/>
          </w:tblCellMar>
          <w:tblLook w:val="04A0"/>
        </w:tblPrEx>
        <w:trPr>
          <w:trHeight w:val="263"/>
        </w:trPr>
        <w:tc>
          <w:tcPr>
            <w:tcW w:w="2055" w:type="dxa"/>
            <w:tcBorders>
              <w:top w:val="nil"/>
              <w:left w:val="single" w:sz="4" w:space="0" w:color="auto"/>
              <w:bottom w:val="single" w:sz="4" w:space="0" w:color="auto"/>
              <w:right w:val="single" w:sz="4" w:space="0" w:color="auto"/>
            </w:tcBorders>
            <w:shd w:val="clear" w:color="auto" w:fill="FFFFFF"/>
            <w:noWrap/>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Počet zamestnancov</w:t>
            </w:r>
          </w:p>
        </w:tc>
        <w:tc>
          <w:tcPr>
            <w:tcW w:w="567"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osoby</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63 970</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64 744</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65 000</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64 990</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59 909</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59 114</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58 804</w:t>
            </w:r>
          </w:p>
        </w:tc>
      </w:tr>
      <w:tr>
        <w:tblPrEx>
          <w:tblW w:w="9375" w:type="dxa"/>
          <w:tblLayout w:type="fixed"/>
          <w:tblCellMar>
            <w:left w:w="70" w:type="dxa"/>
            <w:right w:w="70" w:type="dxa"/>
          </w:tblCellMar>
          <w:tblLook w:val="04A0"/>
        </w:tblPrEx>
        <w:trPr>
          <w:trHeight w:val="263"/>
        </w:trPr>
        <w:tc>
          <w:tcPr>
            <w:tcW w:w="2055"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Osobné výdavky</w:t>
            </w:r>
          </w:p>
        </w:tc>
        <w:tc>
          <w:tcPr>
            <w:tcW w:w="567"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eur</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807 149 777</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836 941 942</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865 952 484</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865 952 484</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907 324 799</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934 501 383</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974 431 713</w:t>
            </w:r>
          </w:p>
        </w:tc>
      </w:tr>
      <w:tr>
        <w:tblPrEx>
          <w:tblW w:w="9375" w:type="dxa"/>
          <w:tblLayout w:type="fixed"/>
          <w:tblCellMar>
            <w:left w:w="70" w:type="dxa"/>
            <w:right w:w="70" w:type="dxa"/>
          </w:tblCellMar>
          <w:tblLook w:val="04A0"/>
        </w:tblPrEx>
        <w:trPr>
          <w:trHeight w:val="263"/>
        </w:trPr>
        <w:tc>
          <w:tcPr>
            <w:tcW w:w="2055" w:type="dxa"/>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ind w:firstLine="420" w:firstLineChars="300"/>
              <w:rPr>
                <w:rFonts w:ascii="Times New Roman" w:hAnsi="Times New Roman" w:cs="Times New Roman"/>
                <w:i/>
                <w:iCs/>
                <w:sz w:val="14"/>
                <w:szCs w:val="14"/>
                <w:lang w:eastAsia="sk-SK"/>
              </w:rPr>
            </w:pPr>
            <w:r>
              <w:rPr>
                <w:rFonts w:ascii="Times New Roman" w:hAnsi="Times New Roman" w:cs="Times New Roman"/>
                <w:i/>
                <w:iCs/>
                <w:sz w:val="14"/>
                <w:szCs w:val="14"/>
                <w:lang w:eastAsia="sk-SK"/>
              </w:rPr>
              <w:t>z toho:</w:t>
            </w:r>
            <w:r>
              <w:rPr>
                <w:rFonts w:ascii="Times New Roman" w:hAnsi="Times New Roman" w:cs="Times New Roman"/>
                <w:sz w:val="14"/>
                <w:szCs w:val="14"/>
                <w:lang w:eastAsia="sk-SK"/>
              </w:rPr>
              <w:t xml:space="preserve"> mzdové výdavky</w:t>
            </w:r>
          </w:p>
        </w:tc>
        <w:tc>
          <w:tcPr>
            <w:tcW w:w="567"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597 178 044</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620 171 845</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642 271 199</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642 271 199</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672 877 866</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692 982 673</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722 522 435</w:t>
            </w:r>
          </w:p>
        </w:tc>
      </w:tr>
      <w:tr>
        <w:tblPrEx>
          <w:tblW w:w="9375" w:type="dxa"/>
          <w:tblLayout w:type="fixed"/>
          <w:tblCellMar>
            <w:left w:w="70" w:type="dxa"/>
            <w:right w:w="70" w:type="dxa"/>
          </w:tblCellMar>
          <w:tblLook w:val="04A0"/>
        </w:tblPrEx>
        <w:trPr>
          <w:trHeight w:val="263"/>
        </w:trPr>
        <w:tc>
          <w:tcPr>
            <w:tcW w:w="2055" w:type="dxa"/>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Priemerný mzdový výdavok</w:t>
            </w:r>
          </w:p>
        </w:tc>
        <w:tc>
          <w:tcPr>
            <w:tcW w:w="567"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777,94</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798,24</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823,42</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823,55</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935,97</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976,90</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1 023,91</w:t>
            </w:r>
          </w:p>
        </w:tc>
      </w:tr>
      <w:tr>
        <w:tblPrEx>
          <w:tblW w:w="9375" w:type="dxa"/>
          <w:tblLayout w:type="fixed"/>
          <w:tblCellMar>
            <w:left w:w="70" w:type="dxa"/>
            <w:right w:w="70" w:type="dxa"/>
          </w:tblCellMar>
          <w:tblLook w:val="04A0"/>
        </w:tblPrEx>
        <w:trPr>
          <w:trHeight w:val="263"/>
        </w:trPr>
        <w:tc>
          <w:tcPr>
            <w:tcW w:w="2055" w:type="dxa"/>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Priemerná mzda zamestnanca v hospodárstve SR</w:t>
            </w:r>
          </w:p>
        </w:tc>
        <w:tc>
          <w:tcPr>
            <w:tcW w:w="567"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745</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769</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796</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796</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839</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886</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942</w:t>
            </w:r>
          </w:p>
        </w:tc>
      </w:tr>
      <w:tr>
        <w:tblPrEx>
          <w:tblW w:w="9375" w:type="dxa"/>
          <w:tblLayout w:type="fixed"/>
          <w:tblCellMar>
            <w:left w:w="70" w:type="dxa"/>
            <w:right w:w="70" w:type="dxa"/>
          </w:tblCellMar>
          <w:tblLook w:val="04A0"/>
        </w:tblPrEx>
        <w:trPr>
          <w:trHeight w:val="219"/>
        </w:trPr>
        <w:tc>
          <w:tcPr>
            <w:tcW w:w="2055" w:type="dxa"/>
            <w:tcBorders>
              <w:top w:val="single" w:sz="4" w:space="0" w:color="auto"/>
              <w:left w:val="single" w:sz="4" w:space="0" w:color="auto"/>
              <w:bottom w:val="single" w:sz="4" w:space="0" w:color="auto"/>
              <w:right w:val="single" w:sz="4" w:space="0" w:color="auto"/>
            </w:tcBorders>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Index (Priemerný mzdový výdavok/Priemerná mzda zam. v hosp. SR)</w:t>
            </w:r>
          </w:p>
        </w:tc>
        <w:tc>
          <w:tcPr>
            <w:tcW w:w="567"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w:t>
            </w:r>
          </w:p>
        </w:tc>
        <w:tc>
          <w:tcPr>
            <w:tcW w:w="964"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104,4</w:t>
            </w:r>
          </w:p>
        </w:tc>
        <w:tc>
          <w:tcPr>
            <w:tcW w:w="964"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103,8</w:t>
            </w:r>
          </w:p>
        </w:tc>
        <w:tc>
          <w:tcPr>
            <w:tcW w:w="964"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103,4</w:t>
            </w:r>
          </w:p>
        </w:tc>
        <w:tc>
          <w:tcPr>
            <w:tcW w:w="964"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103,5</w:t>
            </w:r>
          </w:p>
        </w:tc>
        <w:tc>
          <w:tcPr>
            <w:tcW w:w="964"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111,6</w:t>
            </w:r>
          </w:p>
        </w:tc>
        <w:tc>
          <w:tcPr>
            <w:tcW w:w="964"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110,3</w:t>
            </w:r>
          </w:p>
        </w:tc>
        <w:tc>
          <w:tcPr>
            <w:tcW w:w="964"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108,7</w:t>
            </w:r>
          </w:p>
        </w:tc>
      </w:tr>
      <w:tr>
        <w:tblPrEx>
          <w:tblW w:w="9375" w:type="dxa"/>
          <w:tblLayout w:type="fixed"/>
          <w:tblCellMar>
            <w:left w:w="70" w:type="dxa"/>
            <w:right w:w="70" w:type="dxa"/>
          </w:tblCellMar>
          <w:tblLook w:val="04A0"/>
        </w:tblPrEx>
        <w:trPr>
          <w:trHeight w:val="266"/>
        </w:trPr>
        <w:tc>
          <w:tcPr>
            <w:tcW w:w="2055" w:type="dxa"/>
            <w:tcBorders>
              <w:top w:val="single" w:sz="4" w:space="0" w:color="auto"/>
              <w:left w:val="single" w:sz="4" w:space="0" w:color="auto"/>
              <w:bottom w:val="single" w:sz="4" w:space="0" w:color="auto"/>
              <w:right w:val="nil"/>
            </w:tcBorders>
            <w:noWrap/>
            <w:textDirection w:val="lrTb"/>
            <w:vAlign w:val="bottom"/>
            <w:hideMark/>
          </w:tcPr>
          <w:p w:rsidR="00655688" w:rsidP="00257E12">
            <w:pPr>
              <w:bidi w:val="0"/>
              <w:ind w:firstLine="140" w:firstLineChars="100"/>
              <w:rPr>
                <w:rFonts w:ascii="Times New Roman" w:hAnsi="Times New Roman" w:cs="Times New Roman"/>
                <w:i/>
                <w:iCs/>
                <w:sz w:val="14"/>
                <w:szCs w:val="14"/>
                <w:lang w:eastAsia="sk-SK"/>
              </w:rPr>
            </w:pPr>
            <w:r>
              <w:rPr>
                <w:rFonts w:ascii="Times New Roman" w:hAnsi="Times New Roman" w:cs="Times New Roman"/>
                <w:i/>
                <w:iCs/>
                <w:sz w:val="14"/>
                <w:szCs w:val="14"/>
                <w:lang w:eastAsia="sk-SK"/>
              </w:rPr>
              <w:t> </w:t>
            </w:r>
          </w:p>
        </w:tc>
        <w:tc>
          <w:tcPr>
            <w:tcW w:w="567" w:type="dxa"/>
            <w:tcBorders>
              <w:top w:val="nil"/>
              <w:left w:val="nil"/>
              <w:bottom w:val="single" w:sz="4" w:space="0" w:color="auto"/>
              <w:right w:val="nil"/>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p>
        </w:tc>
        <w:tc>
          <w:tcPr>
            <w:tcW w:w="964" w:type="dxa"/>
            <w:tcBorders>
              <w:top w:val="nil"/>
              <w:left w:val="nil"/>
              <w:bottom w:val="single" w:sz="4" w:space="0" w:color="auto"/>
              <w:right w:val="nil"/>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p>
        </w:tc>
        <w:tc>
          <w:tcPr>
            <w:tcW w:w="964" w:type="dxa"/>
            <w:tcBorders>
              <w:top w:val="nil"/>
              <w:left w:val="nil"/>
              <w:bottom w:val="single" w:sz="4" w:space="0" w:color="auto"/>
              <w:right w:val="nil"/>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p>
        </w:tc>
        <w:tc>
          <w:tcPr>
            <w:tcW w:w="964" w:type="dxa"/>
            <w:tcBorders>
              <w:top w:val="nil"/>
              <w:left w:val="nil"/>
              <w:bottom w:val="single" w:sz="4" w:space="0" w:color="auto"/>
              <w:right w:val="nil"/>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p>
        </w:tc>
        <w:tc>
          <w:tcPr>
            <w:tcW w:w="964" w:type="dxa"/>
            <w:tcBorders>
              <w:top w:val="nil"/>
              <w:left w:val="nil"/>
              <w:bottom w:val="single" w:sz="4" w:space="0" w:color="auto"/>
              <w:right w:val="nil"/>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p>
        </w:tc>
        <w:tc>
          <w:tcPr>
            <w:tcW w:w="964" w:type="dxa"/>
            <w:tcBorders>
              <w:top w:val="nil"/>
              <w:left w:val="nil"/>
              <w:bottom w:val="single" w:sz="4" w:space="0" w:color="auto"/>
              <w:right w:val="nil"/>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p>
        </w:tc>
        <w:tc>
          <w:tcPr>
            <w:tcW w:w="964" w:type="dxa"/>
            <w:tcBorders>
              <w:top w:val="nil"/>
              <w:left w:val="nil"/>
              <w:bottom w:val="single" w:sz="4" w:space="0" w:color="auto"/>
              <w:right w:val="nil"/>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p>
        </w:tc>
      </w:tr>
      <w:tr>
        <w:tblPrEx>
          <w:tblW w:w="9375" w:type="dxa"/>
          <w:tblLayout w:type="fixed"/>
          <w:tblCellMar>
            <w:left w:w="70" w:type="dxa"/>
            <w:right w:w="70" w:type="dxa"/>
          </w:tblCellMar>
          <w:tblLook w:val="04A0"/>
        </w:tblPrEx>
        <w:trPr>
          <w:trHeight w:val="263"/>
        </w:trPr>
        <w:tc>
          <w:tcPr>
            <w:tcW w:w="2055" w:type="dxa"/>
            <w:tcBorders>
              <w:top w:val="nil"/>
              <w:left w:val="single" w:sz="4" w:space="0" w:color="auto"/>
              <w:bottom w:val="single" w:sz="4" w:space="0" w:color="auto"/>
              <w:right w:val="single" w:sz="4" w:space="0" w:color="auto"/>
            </w:tcBorders>
            <w:shd w:val="clear" w:color="auto" w:fill="BFBFBF"/>
            <w:noWrap/>
            <w:textDirection w:val="lrTb"/>
            <w:vAlign w:val="bottom"/>
            <w:hideMark/>
          </w:tcPr>
          <w:p w:rsidR="00655688" w:rsidP="00257E12">
            <w:pPr>
              <w:bidi w:val="0"/>
              <w:ind w:firstLine="140" w:firstLineChars="100"/>
              <w:rPr>
                <w:rFonts w:ascii="Times New Roman" w:hAnsi="Times New Roman" w:cs="Times New Roman"/>
                <w:b/>
                <w:bCs/>
                <w:sz w:val="14"/>
                <w:szCs w:val="14"/>
                <w:lang w:eastAsia="sk-SK"/>
              </w:rPr>
            </w:pPr>
            <w:r>
              <w:rPr>
                <w:rFonts w:ascii="Times New Roman" w:hAnsi="Times New Roman" w:cs="Times New Roman"/>
                <w:b/>
                <w:bCs/>
                <w:sz w:val="14"/>
                <w:szCs w:val="14"/>
                <w:lang w:eastAsia="sk-SK"/>
              </w:rPr>
              <w:t>Nepedagogickí zamestnanci</w:t>
            </w:r>
          </w:p>
        </w:tc>
        <w:tc>
          <w:tcPr>
            <w:tcW w:w="567" w:type="dxa"/>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 </w:t>
            </w:r>
          </w:p>
        </w:tc>
        <w:tc>
          <w:tcPr>
            <w:tcW w:w="964" w:type="dxa"/>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2009 S</w:t>
            </w:r>
          </w:p>
        </w:tc>
        <w:tc>
          <w:tcPr>
            <w:tcW w:w="964" w:type="dxa"/>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2010 S</w:t>
            </w:r>
          </w:p>
        </w:tc>
        <w:tc>
          <w:tcPr>
            <w:tcW w:w="964" w:type="dxa"/>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2011 R</w:t>
            </w:r>
          </w:p>
        </w:tc>
        <w:tc>
          <w:tcPr>
            <w:tcW w:w="964" w:type="dxa"/>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2011 OS</w:t>
            </w:r>
          </w:p>
        </w:tc>
        <w:tc>
          <w:tcPr>
            <w:tcW w:w="964" w:type="dxa"/>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2012 N</w:t>
            </w:r>
          </w:p>
        </w:tc>
        <w:tc>
          <w:tcPr>
            <w:tcW w:w="964" w:type="dxa"/>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2013 N</w:t>
            </w:r>
          </w:p>
        </w:tc>
        <w:tc>
          <w:tcPr>
            <w:tcW w:w="964" w:type="dxa"/>
            <w:tcBorders>
              <w:top w:val="nil"/>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2014 N</w:t>
            </w:r>
          </w:p>
        </w:tc>
      </w:tr>
      <w:tr>
        <w:tblPrEx>
          <w:tblW w:w="9375" w:type="dxa"/>
          <w:tblLayout w:type="fixed"/>
          <w:tblCellMar>
            <w:left w:w="70" w:type="dxa"/>
            <w:right w:w="70" w:type="dxa"/>
          </w:tblCellMar>
          <w:tblLook w:val="04A0"/>
        </w:tblPrEx>
        <w:trPr>
          <w:trHeight w:val="263"/>
        </w:trPr>
        <w:tc>
          <w:tcPr>
            <w:tcW w:w="2055" w:type="dxa"/>
            <w:tcBorders>
              <w:top w:val="nil"/>
              <w:left w:val="single" w:sz="4" w:space="0" w:color="auto"/>
              <w:bottom w:val="single" w:sz="4" w:space="0" w:color="auto"/>
              <w:right w:val="single" w:sz="4" w:space="0" w:color="auto"/>
            </w:tcBorders>
            <w:shd w:val="clear" w:color="auto" w:fill="FFFFFF"/>
            <w:noWrap/>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Počet zamestnancov</w:t>
            </w:r>
          </w:p>
        </w:tc>
        <w:tc>
          <w:tcPr>
            <w:tcW w:w="567"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osoby</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21 586</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20 770</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21 549</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20 795</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21 549</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21 549</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21 549</w:t>
            </w:r>
          </w:p>
        </w:tc>
      </w:tr>
      <w:tr>
        <w:tblPrEx>
          <w:tblW w:w="9375" w:type="dxa"/>
          <w:tblLayout w:type="fixed"/>
          <w:tblCellMar>
            <w:left w:w="70" w:type="dxa"/>
            <w:right w:w="70" w:type="dxa"/>
          </w:tblCellMar>
          <w:tblLook w:val="04A0"/>
        </w:tblPrEx>
        <w:trPr>
          <w:trHeight w:val="263"/>
        </w:trPr>
        <w:tc>
          <w:tcPr>
            <w:tcW w:w="2055"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Osobné výdavky</w:t>
            </w:r>
          </w:p>
        </w:tc>
        <w:tc>
          <w:tcPr>
            <w:tcW w:w="567"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169 104 718</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162 996 977</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144 477 818</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144 477 818</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144 477 818</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145 922 124</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148 839 619</w:t>
            </w:r>
          </w:p>
        </w:tc>
      </w:tr>
      <w:tr>
        <w:tblPrEx>
          <w:tblW w:w="9375" w:type="dxa"/>
          <w:tblLayout w:type="fixed"/>
          <w:tblCellMar>
            <w:left w:w="70" w:type="dxa"/>
            <w:right w:w="70" w:type="dxa"/>
          </w:tblCellMar>
          <w:tblLook w:val="04A0"/>
        </w:tblPrEx>
        <w:trPr>
          <w:trHeight w:val="263"/>
        </w:trPr>
        <w:tc>
          <w:tcPr>
            <w:tcW w:w="2055"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ind w:firstLine="420" w:firstLineChars="300"/>
              <w:rPr>
                <w:rFonts w:ascii="Times New Roman" w:hAnsi="Times New Roman" w:cs="Times New Roman"/>
                <w:i/>
                <w:iCs/>
                <w:sz w:val="14"/>
                <w:szCs w:val="14"/>
                <w:lang w:eastAsia="sk-SK"/>
              </w:rPr>
            </w:pPr>
            <w:r>
              <w:rPr>
                <w:rFonts w:ascii="Times New Roman" w:hAnsi="Times New Roman" w:cs="Times New Roman"/>
                <w:i/>
                <w:iCs/>
                <w:sz w:val="14"/>
                <w:szCs w:val="14"/>
                <w:lang w:eastAsia="sk-SK"/>
              </w:rPr>
              <w:t>z toho:</w:t>
            </w:r>
            <w:r>
              <w:rPr>
                <w:rFonts w:ascii="Times New Roman" w:hAnsi="Times New Roman" w:cs="Times New Roman"/>
                <w:sz w:val="14"/>
                <w:szCs w:val="14"/>
                <w:lang w:eastAsia="sk-SK"/>
              </w:rPr>
              <w:t xml:space="preserve"> mzdové výdavky</w:t>
            </w:r>
          </w:p>
        </w:tc>
        <w:tc>
          <w:tcPr>
            <w:tcW w:w="567"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125 113 861</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120 780 344</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106 862 291</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106 862 291</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106 862 291</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107 930 914</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110 089 532</w:t>
            </w:r>
          </w:p>
        </w:tc>
      </w:tr>
      <w:tr>
        <w:tblPrEx>
          <w:tblW w:w="9375" w:type="dxa"/>
          <w:tblLayout w:type="fixed"/>
          <w:tblCellMar>
            <w:left w:w="70" w:type="dxa"/>
            <w:right w:w="70" w:type="dxa"/>
          </w:tblCellMar>
          <w:tblLook w:val="04A0"/>
        </w:tblPrEx>
        <w:trPr>
          <w:trHeight w:val="263"/>
        </w:trPr>
        <w:tc>
          <w:tcPr>
            <w:tcW w:w="2055"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Priemerný mzdový výdavok</w:t>
            </w:r>
          </w:p>
        </w:tc>
        <w:tc>
          <w:tcPr>
            <w:tcW w:w="567"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483,01</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484,59</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413,25</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428,24</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413,25</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417,39</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425,73</w:t>
            </w:r>
          </w:p>
        </w:tc>
      </w:tr>
      <w:tr>
        <w:tblPrEx>
          <w:tblW w:w="9375" w:type="dxa"/>
          <w:tblLayout w:type="fixed"/>
          <w:tblCellMar>
            <w:left w:w="70" w:type="dxa"/>
            <w:right w:w="70" w:type="dxa"/>
          </w:tblCellMar>
          <w:tblLook w:val="04A0"/>
        </w:tblPrEx>
        <w:trPr>
          <w:trHeight w:val="263"/>
        </w:trPr>
        <w:tc>
          <w:tcPr>
            <w:tcW w:w="2055"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Priemerná mzda zamestnanca v hospodárstve SR</w:t>
            </w:r>
          </w:p>
        </w:tc>
        <w:tc>
          <w:tcPr>
            <w:tcW w:w="567"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745</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769</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796</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796</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839</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886</w:t>
            </w:r>
          </w:p>
        </w:tc>
        <w:tc>
          <w:tcPr>
            <w:tcW w:w="964"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942</w:t>
            </w:r>
          </w:p>
        </w:tc>
      </w:tr>
      <w:tr>
        <w:tblPrEx>
          <w:tblW w:w="9375" w:type="dxa"/>
          <w:tblLayout w:type="fixed"/>
          <w:tblCellMar>
            <w:left w:w="70" w:type="dxa"/>
            <w:right w:w="70" w:type="dxa"/>
          </w:tblCellMar>
          <w:tblLook w:val="04A0"/>
        </w:tblPrEx>
        <w:trPr>
          <w:trHeight w:val="263"/>
        </w:trPr>
        <w:tc>
          <w:tcPr>
            <w:tcW w:w="2055" w:type="dxa"/>
            <w:tcBorders>
              <w:top w:val="nil"/>
              <w:left w:val="single" w:sz="4" w:space="0" w:color="auto"/>
              <w:bottom w:val="single" w:sz="4" w:space="0" w:color="auto"/>
              <w:right w:val="single" w:sz="4" w:space="0" w:color="auto"/>
            </w:tcBorders>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Index  (Priemerný mzdový výdavok/Priemerná mzda zam. v hosp. SR)</w:t>
            </w:r>
          </w:p>
        </w:tc>
        <w:tc>
          <w:tcPr>
            <w:tcW w:w="567"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w:t>
            </w:r>
          </w:p>
        </w:tc>
        <w:tc>
          <w:tcPr>
            <w:tcW w:w="964"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64,8</w:t>
            </w:r>
          </w:p>
        </w:tc>
        <w:tc>
          <w:tcPr>
            <w:tcW w:w="964"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63,0</w:t>
            </w:r>
          </w:p>
        </w:tc>
        <w:tc>
          <w:tcPr>
            <w:tcW w:w="964"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51,9</w:t>
            </w:r>
          </w:p>
        </w:tc>
        <w:tc>
          <w:tcPr>
            <w:tcW w:w="964"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53,8</w:t>
            </w:r>
          </w:p>
        </w:tc>
        <w:tc>
          <w:tcPr>
            <w:tcW w:w="964"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49,3</w:t>
            </w:r>
          </w:p>
        </w:tc>
        <w:tc>
          <w:tcPr>
            <w:tcW w:w="964"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47,1</w:t>
            </w:r>
          </w:p>
        </w:tc>
        <w:tc>
          <w:tcPr>
            <w:tcW w:w="964"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45,2</w:t>
            </w:r>
          </w:p>
        </w:tc>
      </w:tr>
    </w:tbl>
    <w:p w:rsidR="00655688" w:rsidP="00655688">
      <w:pPr>
        <w:bidi w:val="0"/>
        <w:ind w:left="720"/>
        <w:rPr>
          <w:rFonts w:ascii="Times New Roman" w:hAnsi="Times New Roman" w:cs="Times New Roman"/>
          <w:bCs/>
          <w:u w:val="single"/>
        </w:rPr>
      </w:pPr>
    </w:p>
    <w:p w:rsidR="00655688" w:rsidP="00655688">
      <w:pPr>
        <w:bidi w:val="0"/>
        <w:ind w:left="720"/>
        <w:rPr>
          <w:rFonts w:ascii="Times New Roman" w:hAnsi="Times New Roman" w:cs="Times New Roman"/>
          <w:bCs/>
          <w:i/>
          <w:iCs/>
          <w:u w:val="single"/>
        </w:rPr>
      </w:pPr>
      <w:r>
        <w:rPr>
          <w:rFonts w:ascii="Times New Roman" w:hAnsi="Times New Roman" w:cs="Times New Roman"/>
          <w:bCs/>
          <w:u w:val="single"/>
        </w:rPr>
        <w:t>Osobné výdavky verejných vysokých škôl</w:t>
      </w:r>
      <w:bookmarkEnd w:id="64"/>
    </w:p>
    <w:p w:rsidR="00655688" w:rsidP="00655688">
      <w:pPr>
        <w:bidi w:val="0"/>
        <w:jc w:val="both"/>
        <w:rPr>
          <w:rFonts w:ascii="Times New Roman" w:hAnsi="Times New Roman" w:cs="Times New Roman"/>
        </w:rPr>
      </w:pPr>
    </w:p>
    <w:p w:rsidR="00655688" w:rsidP="00655688">
      <w:pPr>
        <w:bidi w:val="0"/>
        <w:ind w:firstLine="709"/>
        <w:jc w:val="both"/>
        <w:rPr>
          <w:rFonts w:ascii="Times New Roman" w:hAnsi="Times New Roman" w:cs="Times New Roman"/>
        </w:rPr>
      </w:pPr>
      <w:r>
        <w:rPr>
          <w:rFonts w:ascii="Times New Roman" w:hAnsi="Times New Roman" w:cs="Times New Roman"/>
        </w:rPr>
        <w:t xml:space="preserve">Hospodárenie verejných vysokých škôl je upravené zákonom o verejných vysokých školách č. 131/2002 Z. z. o vysokých školách a o zmene a doplnení niektorých zákonov v znení neskorších predpisov. </w:t>
      </w:r>
    </w:p>
    <w:p w:rsidR="00655688" w:rsidP="00655688">
      <w:pPr>
        <w:bidi w:val="0"/>
        <w:ind w:firstLine="709"/>
        <w:jc w:val="both"/>
        <w:rPr>
          <w:rFonts w:ascii="Times New Roman" w:hAnsi="Times New Roman" w:cs="Times New Roman"/>
        </w:rPr>
      </w:pPr>
    </w:p>
    <w:p w:rsidR="00655688" w:rsidP="00655688">
      <w:pPr>
        <w:bidi w:val="0"/>
        <w:ind w:firstLine="709"/>
        <w:jc w:val="both"/>
        <w:rPr>
          <w:rFonts w:ascii="Times New Roman" w:hAnsi="Times New Roman" w:cs="Times New Roman"/>
        </w:rPr>
      </w:pPr>
      <w:r>
        <w:rPr>
          <w:rFonts w:ascii="Times New Roman" w:hAnsi="Times New Roman" w:cs="Times New Roman"/>
        </w:rPr>
        <w:t xml:space="preserve">Rozpis finančných prostriedkov na osobné výdavky rozpočtované v návrhu rozpočtu na roky 2012 až 2014 vychádza z  nezávislého postavenia verejných vysokých škôl, čo v praxi znamená, že verejné vysoké školy si prijatý transfer rozpisujú plne vo svojej kompetencii. Návrh rozpočtu osobných výdavkov verejných vysokých škôl v roku 2012 oproti schválenému rozpočtu na rok  2011 predpokladá rast osobných výdavkov o 5 % (14 535 tis. eur) na sumu  307 649 tis. eur pre </w:t>
      </w:r>
      <w:r>
        <w:rPr>
          <w:rFonts w:ascii="Times New Roman" w:hAnsi="Times New Roman" w:cs="Times New Roman"/>
          <w:u w:val="single"/>
        </w:rPr>
        <w:t>19 666 zamestnancov</w:t>
      </w:r>
      <w:r>
        <w:rPr>
          <w:rFonts w:ascii="Times New Roman" w:hAnsi="Times New Roman" w:cs="Times New Roman"/>
        </w:rPr>
        <w:t xml:space="preserve">. </w:t>
      </w:r>
    </w:p>
    <w:p w:rsidR="00655688" w:rsidP="00655688">
      <w:pPr>
        <w:bidi w:val="0"/>
        <w:ind w:firstLine="709"/>
        <w:jc w:val="both"/>
        <w:rPr>
          <w:rFonts w:ascii="Times New Roman" w:hAnsi="Times New Roman" w:cs="Times New Roman"/>
        </w:rPr>
      </w:pPr>
    </w:p>
    <w:p w:rsidR="00655688" w:rsidP="00655688">
      <w:pPr>
        <w:bidi w:val="0"/>
        <w:ind w:firstLine="709"/>
        <w:jc w:val="both"/>
        <w:rPr>
          <w:rFonts w:ascii="Times New Roman" w:hAnsi="Times New Roman" w:cs="Times New Roman"/>
        </w:rPr>
      </w:pPr>
      <w:r>
        <w:rPr>
          <w:rFonts w:ascii="Times New Roman" w:hAnsi="Times New Roman" w:cs="Times New Roman"/>
        </w:rPr>
        <w:t>V kapitole Všeobecná pokladničná správa  na jednotlivé roky nie je alokovaná žiadna rezerva na platy zamestnancov vysokých škôl a návrh rozpočtu predpokladá zachovanie pomeru študentov na jedného zamestnanca na úrovni roka 2009.</w:t>
      </w:r>
    </w:p>
    <w:p w:rsidR="00F90A86" w:rsidP="00655688">
      <w:pPr>
        <w:bidi w:val="0"/>
        <w:ind w:firstLine="709"/>
        <w:jc w:val="both"/>
        <w:rPr>
          <w:rFonts w:ascii="Times New Roman" w:hAnsi="Times New Roman" w:cs="Times New Roman"/>
        </w:rPr>
      </w:pPr>
    </w:p>
    <w:p w:rsidR="00F90A86" w:rsidP="00655688">
      <w:pPr>
        <w:bidi w:val="0"/>
        <w:ind w:firstLine="709"/>
        <w:jc w:val="both"/>
        <w:rPr>
          <w:rFonts w:ascii="Times New Roman" w:hAnsi="Times New Roman" w:cs="Times New Roman"/>
        </w:rPr>
      </w:pPr>
    </w:p>
    <w:p w:rsidR="00655688" w:rsidP="00655688">
      <w:pPr>
        <w:bidi w:val="0"/>
        <w:ind w:firstLine="709"/>
        <w:jc w:val="both"/>
        <w:rPr>
          <w:rFonts w:ascii="Times New Roman" w:hAnsi="Times New Roman" w:cs="Times New Roman"/>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871"/>
        <w:gridCol w:w="1139"/>
        <w:gridCol w:w="868"/>
        <w:gridCol w:w="868"/>
        <w:gridCol w:w="868"/>
        <w:gridCol w:w="868"/>
        <w:gridCol w:w="868"/>
        <w:gridCol w:w="86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66"/>
        </w:trPr>
        <w:tc>
          <w:tcPr>
            <w:tcW w:w="15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655688" w:rsidP="00257E12">
            <w:pPr>
              <w:bidi w:val="0"/>
              <w:rPr>
                <w:rFonts w:ascii="Times New Roman" w:hAnsi="Times New Roman" w:cs="Times New Roman"/>
                <w:b/>
                <w:bCs/>
                <w:sz w:val="14"/>
                <w:szCs w:val="16"/>
                <w:lang w:eastAsia="sk-SK"/>
              </w:rPr>
            </w:pPr>
            <w:r>
              <w:rPr>
                <w:rFonts w:ascii="Times New Roman" w:hAnsi="Times New Roman" w:cs="Times New Roman"/>
                <w:b/>
                <w:bCs/>
                <w:sz w:val="14"/>
                <w:szCs w:val="16"/>
                <w:lang w:eastAsia="sk-SK"/>
              </w:rPr>
              <w:t>osoby</w:t>
            </w:r>
          </w:p>
        </w:tc>
        <w:tc>
          <w:tcPr>
            <w:tcW w:w="61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655688" w:rsidP="00257E12">
            <w:pPr>
              <w:bidi w:val="0"/>
              <w:jc w:val="center"/>
              <w:rPr>
                <w:rFonts w:ascii="Times New Roman" w:hAnsi="Times New Roman" w:cs="Times New Roman"/>
                <w:b/>
                <w:bCs/>
                <w:sz w:val="14"/>
                <w:szCs w:val="16"/>
                <w:lang w:eastAsia="sk-SK"/>
              </w:rPr>
            </w:pPr>
            <w:r>
              <w:rPr>
                <w:rFonts w:ascii="Times New Roman" w:hAnsi="Times New Roman" w:cs="Times New Roman"/>
                <w:b/>
                <w:bCs/>
                <w:sz w:val="14"/>
                <w:szCs w:val="16"/>
                <w:lang w:eastAsia="sk-SK"/>
              </w:rPr>
              <w:t>2009 S</w:t>
            </w:r>
          </w:p>
        </w:tc>
        <w:tc>
          <w:tcPr>
            <w:tcW w:w="47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655688" w:rsidP="00257E12">
            <w:pPr>
              <w:bidi w:val="0"/>
              <w:jc w:val="center"/>
              <w:rPr>
                <w:rFonts w:ascii="Times New Roman" w:hAnsi="Times New Roman" w:cs="Times New Roman"/>
                <w:b/>
                <w:bCs/>
                <w:sz w:val="14"/>
                <w:szCs w:val="16"/>
                <w:lang w:eastAsia="sk-SK"/>
              </w:rPr>
            </w:pPr>
            <w:r>
              <w:rPr>
                <w:rFonts w:ascii="Times New Roman" w:hAnsi="Times New Roman" w:cs="Times New Roman"/>
                <w:b/>
                <w:bCs/>
                <w:sz w:val="14"/>
                <w:szCs w:val="16"/>
                <w:lang w:eastAsia="sk-SK"/>
              </w:rPr>
              <w:t>2010 S</w:t>
            </w:r>
          </w:p>
        </w:tc>
        <w:tc>
          <w:tcPr>
            <w:tcW w:w="47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655688" w:rsidP="00257E12">
            <w:pPr>
              <w:bidi w:val="0"/>
              <w:jc w:val="center"/>
              <w:rPr>
                <w:rFonts w:ascii="Times New Roman" w:hAnsi="Times New Roman" w:cs="Times New Roman"/>
                <w:b/>
                <w:bCs/>
                <w:sz w:val="14"/>
                <w:szCs w:val="16"/>
                <w:lang w:eastAsia="sk-SK"/>
              </w:rPr>
            </w:pPr>
            <w:r>
              <w:rPr>
                <w:rFonts w:ascii="Times New Roman" w:hAnsi="Times New Roman" w:cs="Times New Roman"/>
                <w:b/>
                <w:bCs/>
                <w:sz w:val="14"/>
                <w:szCs w:val="16"/>
                <w:lang w:eastAsia="sk-SK"/>
              </w:rPr>
              <w:t>2011 R</w:t>
            </w:r>
          </w:p>
        </w:tc>
        <w:tc>
          <w:tcPr>
            <w:tcW w:w="47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655688" w:rsidP="00257E12">
            <w:pPr>
              <w:bidi w:val="0"/>
              <w:jc w:val="center"/>
              <w:rPr>
                <w:rFonts w:ascii="Times New Roman" w:hAnsi="Times New Roman" w:cs="Times New Roman"/>
                <w:b/>
                <w:bCs/>
                <w:sz w:val="14"/>
                <w:szCs w:val="16"/>
                <w:lang w:eastAsia="sk-SK"/>
              </w:rPr>
            </w:pPr>
            <w:r>
              <w:rPr>
                <w:rFonts w:ascii="Times New Roman" w:hAnsi="Times New Roman" w:cs="Times New Roman"/>
                <w:b/>
                <w:bCs/>
                <w:sz w:val="14"/>
                <w:szCs w:val="16"/>
                <w:lang w:eastAsia="sk-SK"/>
              </w:rPr>
              <w:t>2011 OS</w:t>
            </w:r>
          </w:p>
        </w:tc>
        <w:tc>
          <w:tcPr>
            <w:tcW w:w="47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655688" w:rsidP="00257E12">
            <w:pPr>
              <w:bidi w:val="0"/>
              <w:jc w:val="center"/>
              <w:rPr>
                <w:rFonts w:ascii="Times New Roman" w:hAnsi="Times New Roman" w:cs="Times New Roman"/>
                <w:b/>
                <w:bCs/>
                <w:sz w:val="14"/>
                <w:szCs w:val="16"/>
                <w:lang w:eastAsia="sk-SK"/>
              </w:rPr>
            </w:pPr>
            <w:r>
              <w:rPr>
                <w:rFonts w:ascii="Times New Roman" w:hAnsi="Times New Roman" w:cs="Times New Roman"/>
                <w:b/>
                <w:bCs/>
                <w:sz w:val="14"/>
                <w:szCs w:val="16"/>
                <w:lang w:eastAsia="sk-SK"/>
              </w:rPr>
              <w:t>2012 N</w:t>
            </w:r>
          </w:p>
        </w:tc>
        <w:tc>
          <w:tcPr>
            <w:tcW w:w="47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655688" w:rsidP="00257E12">
            <w:pPr>
              <w:bidi w:val="0"/>
              <w:jc w:val="center"/>
              <w:rPr>
                <w:rFonts w:ascii="Times New Roman" w:hAnsi="Times New Roman" w:cs="Times New Roman"/>
                <w:b/>
                <w:bCs/>
                <w:sz w:val="14"/>
                <w:szCs w:val="16"/>
                <w:lang w:eastAsia="sk-SK"/>
              </w:rPr>
            </w:pPr>
            <w:r>
              <w:rPr>
                <w:rFonts w:ascii="Times New Roman" w:hAnsi="Times New Roman" w:cs="Times New Roman"/>
                <w:b/>
                <w:bCs/>
                <w:sz w:val="14"/>
                <w:szCs w:val="16"/>
                <w:lang w:eastAsia="sk-SK"/>
              </w:rPr>
              <w:t>2013 N</w:t>
            </w:r>
          </w:p>
        </w:tc>
        <w:tc>
          <w:tcPr>
            <w:tcW w:w="47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655688" w:rsidP="00257E12">
            <w:pPr>
              <w:bidi w:val="0"/>
              <w:jc w:val="center"/>
              <w:rPr>
                <w:rFonts w:ascii="Times New Roman" w:hAnsi="Times New Roman" w:cs="Times New Roman"/>
                <w:b/>
                <w:bCs/>
                <w:sz w:val="14"/>
                <w:szCs w:val="16"/>
                <w:lang w:eastAsia="sk-SK"/>
              </w:rPr>
            </w:pPr>
            <w:r>
              <w:rPr>
                <w:rFonts w:ascii="Times New Roman" w:hAnsi="Times New Roman" w:cs="Times New Roman"/>
                <w:b/>
                <w:bCs/>
                <w:sz w:val="14"/>
                <w:szCs w:val="16"/>
                <w:lang w:eastAsia="sk-SK"/>
              </w:rPr>
              <w:t>2014 N</w:t>
            </w:r>
          </w:p>
        </w:tc>
      </w:tr>
      <w:tr>
        <w:tblPrEx>
          <w:tblW w:w="5000" w:type="pct"/>
          <w:tblCellMar>
            <w:left w:w="70" w:type="dxa"/>
            <w:right w:w="70" w:type="dxa"/>
          </w:tblCellMar>
          <w:tblLook w:val="04A0"/>
        </w:tblPrEx>
        <w:trPr>
          <w:trHeight w:val="266"/>
        </w:trPr>
        <w:tc>
          <w:tcPr>
            <w:tcW w:w="1559" w:type="pct"/>
            <w:tcBorders>
              <w:top w:val="single" w:sz="4" w:space="0" w:color="auto"/>
              <w:left w:val="single" w:sz="4" w:space="0" w:color="auto"/>
              <w:bottom w:val="single" w:sz="4" w:space="0" w:color="auto"/>
              <w:right w:val="single" w:sz="4" w:space="0" w:color="auto"/>
            </w:tcBorders>
            <w:noWrap/>
            <w:textDirection w:val="lrTb"/>
            <w:vAlign w:val="center"/>
            <w:hideMark/>
          </w:tcPr>
          <w:p w:rsidR="00655688" w:rsidP="00257E12">
            <w:pPr>
              <w:bidi w:val="0"/>
              <w:rPr>
                <w:rFonts w:ascii="Times New Roman" w:hAnsi="Times New Roman" w:cs="Times New Roman"/>
                <w:sz w:val="14"/>
                <w:szCs w:val="16"/>
                <w:lang w:eastAsia="sk-SK"/>
              </w:rPr>
            </w:pPr>
            <w:r>
              <w:rPr>
                <w:rFonts w:ascii="Times New Roman" w:hAnsi="Times New Roman" w:cs="Times New Roman"/>
                <w:sz w:val="14"/>
                <w:szCs w:val="16"/>
                <w:lang w:eastAsia="sk-SK"/>
              </w:rPr>
              <w:t>Počet študentov (denní a externí) spolu</w:t>
            </w:r>
          </w:p>
        </w:tc>
        <w:tc>
          <w:tcPr>
            <w:tcW w:w="618" w:type="pct"/>
            <w:tcBorders>
              <w:top w:val="single" w:sz="4" w:space="0" w:color="auto"/>
              <w:left w:val="single" w:sz="4" w:space="0" w:color="auto"/>
              <w:bottom w:val="single" w:sz="4" w:space="0" w:color="auto"/>
              <w:right w:val="single" w:sz="4" w:space="0" w:color="auto"/>
            </w:tcBorders>
            <w:noWrap/>
            <w:textDirection w:val="lrTb"/>
            <w:vAlign w:val="center"/>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174 107</w:t>
            </w:r>
          </w:p>
        </w:tc>
        <w:tc>
          <w:tcPr>
            <w:tcW w:w="471" w:type="pct"/>
            <w:tcBorders>
              <w:top w:val="single" w:sz="4" w:space="0" w:color="auto"/>
              <w:left w:val="single" w:sz="4" w:space="0" w:color="auto"/>
              <w:bottom w:val="single" w:sz="4" w:space="0" w:color="auto"/>
              <w:right w:val="single" w:sz="4" w:space="0" w:color="auto"/>
            </w:tcBorders>
            <w:noWrap/>
            <w:textDirection w:val="lrTb"/>
            <w:vAlign w:val="center"/>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165 160</w:t>
            </w:r>
          </w:p>
        </w:tc>
        <w:tc>
          <w:tcPr>
            <w:tcW w:w="471" w:type="pct"/>
            <w:tcBorders>
              <w:top w:val="single" w:sz="4" w:space="0" w:color="auto"/>
              <w:left w:val="single" w:sz="4" w:space="0" w:color="auto"/>
              <w:bottom w:val="single" w:sz="4" w:space="0" w:color="auto"/>
              <w:right w:val="single" w:sz="4" w:space="0" w:color="auto"/>
            </w:tcBorders>
            <w:noWrap/>
            <w:textDirection w:val="lrTb"/>
            <w:vAlign w:val="center"/>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161 552</w:t>
            </w:r>
          </w:p>
        </w:tc>
        <w:tc>
          <w:tcPr>
            <w:tcW w:w="471" w:type="pct"/>
            <w:tcBorders>
              <w:top w:val="single" w:sz="4" w:space="0" w:color="auto"/>
              <w:left w:val="single" w:sz="4" w:space="0" w:color="auto"/>
              <w:bottom w:val="single" w:sz="4" w:space="0" w:color="auto"/>
              <w:right w:val="single" w:sz="4" w:space="0" w:color="auto"/>
            </w:tcBorders>
            <w:noWrap/>
            <w:textDirection w:val="lrTb"/>
            <w:vAlign w:val="center"/>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161 552</w:t>
            </w:r>
          </w:p>
        </w:tc>
        <w:tc>
          <w:tcPr>
            <w:tcW w:w="471" w:type="pct"/>
            <w:tcBorders>
              <w:top w:val="single" w:sz="4" w:space="0" w:color="auto"/>
              <w:left w:val="single" w:sz="4" w:space="0" w:color="auto"/>
              <w:bottom w:val="single" w:sz="4" w:space="0" w:color="auto"/>
              <w:right w:val="single" w:sz="4" w:space="0" w:color="auto"/>
            </w:tcBorders>
            <w:noWrap/>
            <w:textDirection w:val="lrTb"/>
            <w:vAlign w:val="center"/>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159 678</w:t>
            </w:r>
          </w:p>
        </w:tc>
        <w:tc>
          <w:tcPr>
            <w:tcW w:w="471" w:type="pct"/>
            <w:tcBorders>
              <w:top w:val="single" w:sz="4" w:space="0" w:color="auto"/>
              <w:left w:val="single" w:sz="4" w:space="0" w:color="auto"/>
              <w:bottom w:val="single" w:sz="4" w:space="0" w:color="auto"/>
              <w:right w:val="single" w:sz="4" w:space="0" w:color="auto"/>
            </w:tcBorders>
            <w:noWrap/>
            <w:textDirection w:val="lrTb"/>
            <w:vAlign w:val="center"/>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156 365</w:t>
            </w:r>
          </w:p>
        </w:tc>
        <w:tc>
          <w:tcPr>
            <w:tcW w:w="471" w:type="pct"/>
            <w:tcBorders>
              <w:top w:val="single" w:sz="4" w:space="0" w:color="auto"/>
              <w:left w:val="single" w:sz="4" w:space="0" w:color="auto"/>
              <w:bottom w:val="single" w:sz="4" w:space="0" w:color="auto"/>
              <w:right w:val="single" w:sz="4" w:space="0" w:color="auto"/>
            </w:tcBorders>
            <w:noWrap/>
            <w:textDirection w:val="lrTb"/>
            <w:vAlign w:val="center"/>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151 263</w:t>
            </w:r>
          </w:p>
        </w:tc>
      </w:tr>
      <w:tr>
        <w:tblPrEx>
          <w:tblW w:w="5000" w:type="pct"/>
          <w:tblCellMar>
            <w:left w:w="70" w:type="dxa"/>
            <w:right w:w="70" w:type="dxa"/>
          </w:tblCellMar>
          <w:tblLook w:val="04A0"/>
        </w:tblPrEx>
        <w:trPr>
          <w:trHeight w:val="266"/>
        </w:trPr>
        <w:tc>
          <w:tcPr>
            <w:tcW w:w="1559" w:type="pct"/>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rPr>
                <w:rFonts w:ascii="Times New Roman" w:hAnsi="Times New Roman" w:cs="Times New Roman"/>
                <w:sz w:val="14"/>
                <w:szCs w:val="16"/>
                <w:lang w:eastAsia="sk-SK"/>
              </w:rPr>
            </w:pPr>
            <w:r>
              <w:rPr>
                <w:rFonts w:ascii="Times New Roman" w:hAnsi="Times New Roman" w:cs="Times New Roman"/>
                <w:sz w:val="14"/>
                <w:szCs w:val="16"/>
                <w:lang w:eastAsia="sk-SK"/>
              </w:rPr>
              <w:t>Počet zamestnancov</w:t>
            </w:r>
          </w:p>
        </w:tc>
        <w:tc>
          <w:tcPr>
            <w:tcW w:w="618" w:type="pct"/>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21 443</w:t>
            </w:r>
          </w:p>
        </w:tc>
        <w:tc>
          <w:tcPr>
            <w:tcW w:w="471" w:type="pct"/>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21 673</w:t>
            </w:r>
          </w:p>
        </w:tc>
        <w:tc>
          <w:tcPr>
            <w:tcW w:w="471" w:type="pct"/>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21 529</w:t>
            </w:r>
          </w:p>
        </w:tc>
        <w:tc>
          <w:tcPr>
            <w:tcW w:w="471" w:type="pct"/>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21 727</w:t>
            </w:r>
          </w:p>
        </w:tc>
        <w:tc>
          <w:tcPr>
            <w:tcW w:w="471" w:type="pct"/>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19 666</w:t>
            </w:r>
          </w:p>
        </w:tc>
        <w:tc>
          <w:tcPr>
            <w:tcW w:w="471" w:type="pct"/>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19 258</w:t>
            </w:r>
          </w:p>
        </w:tc>
        <w:tc>
          <w:tcPr>
            <w:tcW w:w="471" w:type="pct"/>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18 630</w:t>
            </w:r>
          </w:p>
        </w:tc>
      </w:tr>
      <w:tr>
        <w:tblPrEx>
          <w:tblW w:w="5000" w:type="pct"/>
          <w:tblCellMar>
            <w:left w:w="70" w:type="dxa"/>
            <w:right w:w="70" w:type="dxa"/>
          </w:tblCellMar>
          <w:tblLook w:val="04A0"/>
        </w:tblPrEx>
        <w:trPr>
          <w:trHeight w:val="266"/>
        </w:trPr>
        <w:tc>
          <w:tcPr>
            <w:tcW w:w="1559" w:type="pct"/>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rPr>
                <w:rFonts w:ascii="Times New Roman" w:hAnsi="Times New Roman" w:cs="Times New Roman"/>
                <w:sz w:val="14"/>
                <w:szCs w:val="16"/>
                <w:lang w:eastAsia="sk-SK"/>
              </w:rPr>
            </w:pPr>
            <w:r>
              <w:rPr>
                <w:rFonts w:ascii="Times New Roman" w:hAnsi="Times New Roman" w:cs="Times New Roman"/>
                <w:sz w:val="14"/>
                <w:szCs w:val="16"/>
                <w:lang w:eastAsia="sk-SK"/>
              </w:rPr>
              <w:t>Počet študentov na 1 zamestnanca</w:t>
            </w:r>
          </w:p>
        </w:tc>
        <w:tc>
          <w:tcPr>
            <w:tcW w:w="618" w:type="pct"/>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8,12</w:t>
            </w:r>
          </w:p>
        </w:tc>
        <w:tc>
          <w:tcPr>
            <w:tcW w:w="471" w:type="pct"/>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7,62</w:t>
            </w:r>
          </w:p>
        </w:tc>
        <w:tc>
          <w:tcPr>
            <w:tcW w:w="471" w:type="pct"/>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7,50</w:t>
            </w:r>
          </w:p>
        </w:tc>
        <w:tc>
          <w:tcPr>
            <w:tcW w:w="471" w:type="pct"/>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7,44</w:t>
            </w:r>
          </w:p>
        </w:tc>
        <w:tc>
          <w:tcPr>
            <w:tcW w:w="471" w:type="pct"/>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8,12</w:t>
            </w:r>
          </w:p>
        </w:tc>
        <w:tc>
          <w:tcPr>
            <w:tcW w:w="471" w:type="pct"/>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8,12</w:t>
            </w:r>
          </w:p>
        </w:tc>
        <w:tc>
          <w:tcPr>
            <w:tcW w:w="471" w:type="pct"/>
            <w:tcBorders>
              <w:top w:val="single" w:sz="4" w:space="0" w:color="auto"/>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6"/>
                <w:lang w:eastAsia="sk-SK"/>
              </w:rPr>
            </w:pPr>
            <w:r>
              <w:rPr>
                <w:rFonts w:ascii="Times New Roman" w:hAnsi="Times New Roman" w:cs="Times New Roman"/>
                <w:sz w:val="14"/>
                <w:szCs w:val="16"/>
                <w:lang w:eastAsia="sk-SK"/>
              </w:rPr>
              <w:t>8,12</w:t>
            </w:r>
          </w:p>
        </w:tc>
      </w:tr>
    </w:tbl>
    <w:p w:rsidR="00655688" w:rsidP="00655688">
      <w:pPr>
        <w:bidi w:val="0"/>
        <w:ind w:firstLine="708"/>
        <w:jc w:val="both"/>
        <w:rPr>
          <w:rFonts w:ascii="Times New Roman" w:hAnsi="Times New Roman" w:cs="Times New Roman"/>
          <w:bCs/>
        </w:rPr>
      </w:pPr>
    </w:p>
    <w:p w:rsidR="00655688" w:rsidP="00655688">
      <w:pPr>
        <w:bidi w:val="0"/>
        <w:ind w:firstLine="708"/>
        <w:jc w:val="both"/>
        <w:rPr>
          <w:rFonts w:ascii="Times New Roman" w:hAnsi="Times New Roman" w:cs="Times New Roman"/>
          <w:bCs/>
        </w:rPr>
      </w:pPr>
      <w:r>
        <w:rPr>
          <w:rFonts w:ascii="Times New Roman" w:hAnsi="Times New Roman" w:cs="Times New Roman"/>
          <w:bCs/>
        </w:rPr>
        <w:t>Prehľad o skutočne dosiahnutých ukazovateľoch zamestnanosti v rokoch 2009 a 2010, očakávanej skutočnosti v r. 2011 a návrhu rozpočtu na roky 2012 až 2014 je uvedený v priloženej tabuľke.</w:t>
      </w:r>
    </w:p>
    <w:p w:rsidR="00655688" w:rsidP="00655688">
      <w:pPr>
        <w:bidi w:val="0"/>
        <w:ind w:firstLine="708"/>
        <w:jc w:val="both"/>
        <w:rPr>
          <w:rFonts w:ascii="Times New Roman" w:hAnsi="Times New Roman" w:cs="Times New Roman"/>
          <w:bCs/>
        </w:rPr>
      </w:pPr>
    </w:p>
    <w:tbl>
      <w:tblPr>
        <w:tblStyle w:val="TableNormal"/>
        <w:tblW w:w="9474" w:type="dxa"/>
        <w:jc w:val="center"/>
        <w:tblInd w:w="212" w:type="dxa"/>
        <w:tblCellMar>
          <w:left w:w="70" w:type="dxa"/>
          <w:right w:w="70" w:type="dxa"/>
        </w:tblCellMar>
        <w:tblLook w:val="04A0"/>
      </w:tblPr>
      <w:tblGrid>
        <w:gridCol w:w="3119"/>
        <w:gridCol w:w="475"/>
        <w:gridCol w:w="840"/>
        <w:gridCol w:w="840"/>
        <w:gridCol w:w="840"/>
        <w:gridCol w:w="840"/>
        <w:gridCol w:w="840"/>
        <w:gridCol w:w="840"/>
        <w:gridCol w:w="840"/>
      </w:tblGrid>
      <w:tr>
        <w:tblPrEx>
          <w:tblW w:w="9474" w:type="dxa"/>
          <w:jc w:val="center"/>
          <w:tblInd w:w="212" w:type="dxa"/>
          <w:tblCellMar>
            <w:left w:w="70" w:type="dxa"/>
            <w:right w:w="70" w:type="dxa"/>
          </w:tblCellMar>
          <w:tblLook w:val="04A0"/>
        </w:tblPrEx>
        <w:trPr>
          <w:trHeight w:val="270"/>
          <w:jc w:val="center"/>
        </w:trPr>
        <w:tc>
          <w:tcPr>
            <w:tcW w:w="3119"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655688" w:rsidP="00257E12">
            <w:pPr>
              <w:bidi w:val="0"/>
              <w:rPr>
                <w:rFonts w:ascii="Times New Roman" w:hAnsi="Times New Roman" w:cs="Times New Roman"/>
                <w:b/>
                <w:bCs/>
                <w:sz w:val="14"/>
                <w:szCs w:val="14"/>
                <w:lang w:eastAsia="sk-SK"/>
              </w:rPr>
            </w:pPr>
            <w:r>
              <w:rPr>
                <w:rFonts w:ascii="Times New Roman" w:hAnsi="Times New Roman" w:cs="Times New Roman"/>
                <w:b/>
                <w:bCs/>
                <w:sz w:val="14"/>
                <w:szCs w:val="14"/>
                <w:lang w:eastAsia="sk-SK"/>
              </w:rPr>
              <w:t>Verejné vysoké školy</w:t>
            </w:r>
          </w:p>
        </w:tc>
        <w:tc>
          <w:tcPr>
            <w:tcW w:w="475"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655688" w:rsidP="00257E12">
            <w:pPr>
              <w:bidi w:val="0"/>
              <w:rPr>
                <w:rFonts w:ascii="Times New Roman" w:hAnsi="Times New Roman" w:cs="Times New Roman"/>
                <w:b/>
                <w:bCs/>
                <w:sz w:val="14"/>
                <w:szCs w:val="14"/>
                <w:lang w:eastAsia="sk-SK"/>
              </w:rPr>
            </w:pPr>
            <w:r>
              <w:rPr>
                <w:rFonts w:ascii="Times New Roman" w:hAnsi="Times New Roman" w:cs="Times New Roman"/>
                <w:b/>
                <w:bCs/>
                <w:sz w:val="14"/>
                <w:szCs w:val="14"/>
                <w:lang w:eastAsia="sk-SK"/>
              </w:rPr>
              <w:t> </w:t>
            </w:r>
          </w:p>
        </w:tc>
        <w:tc>
          <w:tcPr>
            <w:tcW w:w="84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2009 S</w:t>
            </w:r>
          </w:p>
        </w:tc>
        <w:tc>
          <w:tcPr>
            <w:tcW w:w="84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2010 S</w:t>
            </w:r>
          </w:p>
        </w:tc>
        <w:tc>
          <w:tcPr>
            <w:tcW w:w="84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2011 R</w:t>
            </w:r>
          </w:p>
        </w:tc>
        <w:tc>
          <w:tcPr>
            <w:tcW w:w="84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2011 OS</w:t>
            </w:r>
          </w:p>
        </w:tc>
        <w:tc>
          <w:tcPr>
            <w:tcW w:w="84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2012 N</w:t>
            </w:r>
          </w:p>
        </w:tc>
        <w:tc>
          <w:tcPr>
            <w:tcW w:w="84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2013 N</w:t>
            </w:r>
          </w:p>
        </w:tc>
        <w:tc>
          <w:tcPr>
            <w:tcW w:w="84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655688" w:rsidP="00257E12">
            <w:pPr>
              <w:bidi w:val="0"/>
              <w:jc w:val="center"/>
              <w:rPr>
                <w:rFonts w:ascii="Times New Roman" w:hAnsi="Times New Roman" w:cs="Times New Roman"/>
                <w:b/>
                <w:bCs/>
                <w:sz w:val="14"/>
                <w:szCs w:val="14"/>
                <w:lang w:eastAsia="sk-SK"/>
              </w:rPr>
            </w:pPr>
            <w:r>
              <w:rPr>
                <w:rFonts w:ascii="Times New Roman" w:hAnsi="Times New Roman" w:cs="Times New Roman"/>
                <w:b/>
                <w:bCs/>
                <w:sz w:val="14"/>
                <w:szCs w:val="14"/>
                <w:lang w:eastAsia="sk-SK"/>
              </w:rPr>
              <w:t>2014 N</w:t>
            </w:r>
          </w:p>
        </w:tc>
      </w:tr>
      <w:tr>
        <w:tblPrEx>
          <w:tblW w:w="9474" w:type="dxa"/>
          <w:jc w:val="center"/>
          <w:tblInd w:w="212" w:type="dxa"/>
          <w:tblCellMar>
            <w:left w:w="70" w:type="dxa"/>
            <w:right w:w="70" w:type="dxa"/>
          </w:tblCellMar>
          <w:tblLook w:val="04A0"/>
        </w:tblPrEx>
        <w:trPr>
          <w:trHeight w:val="270"/>
          <w:jc w:val="center"/>
        </w:trPr>
        <w:tc>
          <w:tcPr>
            <w:tcW w:w="3119"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Počet zamestnancov</w:t>
            </w:r>
          </w:p>
        </w:tc>
        <w:tc>
          <w:tcPr>
            <w:tcW w:w="475"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osoby</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21 443</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21 673</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21 529</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21 727</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19 666</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19 258</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18 630</w:t>
            </w:r>
          </w:p>
        </w:tc>
      </w:tr>
      <w:tr>
        <w:tblPrEx>
          <w:tblW w:w="9474" w:type="dxa"/>
          <w:jc w:val="center"/>
          <w:tblInd w:w="212" w:type="dxa"/>
          <w:tblCellMar>
            <w:left w:w="70" w:type="dxa"/>
            <w:right w:w="70" w:type="dxa"/>
          </w:tblCellMar>
          <w:tblLook w:val="04A0"/>
        </w:tblPrEx>
        <w:trPr>
          <w:trHeight w:val="270"/>
          <w:jc w:val="center"/>
        </w:trPr>
        <w:tc>
          <w:tcPr>
            <w:tcW w:w="3119"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Osobné výdavky</w:t>
            </w:r>
          </w:p>
        </w:tc>
        <w:tc>
          <w:tcPr>
            <w:tcW w:w="475"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eur</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286 133 501</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307 246 636</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293 113 216</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301 945 618</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307 648 707</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311 605 195</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313 258 279</w:t>
            </w:r>
          </w:p>
        </w:tc>
      </w:tr>
      <w:tr>
        <w:tblPrEx>
          <w:tblW w:w="9474" w:type="dxa"/>
          <w:jc w:val="center"/>
          <w:tblInd w:w="212" w:type="dxa"/>
          <w:tblCellMar>
            <w:left w:w="70" w:type="dxa"/>
            <w:right w:w="70" w:type="dxa"/>
          </w:tblCellMar>
          <w:tblLook w:val="04A0"/>
        </w:tblPrEx>
        <w:trPr>
          <w:trHeight w:val="270"/>
          <w:jc w:val="center"/>
        </w:trPr>
        <w:tc>
          <w:tcPr>
            <w:tcW w:w="3119"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ind w:firstLine="420" w:firstLineChars="300"/>
              <w:rPr>
                <w:rFonts w:ascii="Times New Roman" w:hAnsi="Times New Roman" w:cs="Times New Roman"/>
                <w:i/>
                <w:iCs/>
                <w:sz w:val="14"/>
                <w:szCs w:val="14"/>
                <w:lang w:eastAsia="sk-SK"/>
              </w:rPr>
            </w:pPr>
            <w:r>
              <w:rPr>
                <w:rFonts w:ascii="Times New Roman" w:hAnsi="Times New Roman" w:cs="Times New Roman"/>
                <w:i/>
                <w:iCs/>
                <w:sz w:val="14"/>
                <w:szCs w:val="14"/>
                <w:lang w:eastAsia="sk-SK"/>
              </w:rPr>
              <w:t>z toho:</w:t>
            </w:r>
            <w:r>
              <w:rPr>
                <w:rFonts w:ascii="Times New Roman" w:hAnsi="Times New Roman" w:cs="Times New Roman"/>
                <w:sz w:val="14"/>
                <w:szCs w:val="14"/>
                <w:lang w:eastAsia="sk-SK"/>
              </w:rPr>
              <w:t xml:space="preserve"> mzdové výdavky</w:t>
            </w:r>
          </w:p>
        </w:tc>
        <w:tc>
          <w:tcPr>
            <w:tcW w:w="475"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eur</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213 248 396</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229 154 969</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217 771 086</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223 332 558</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227 550 819</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230 477 215</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231 699 910</w:t>
            </w:r>
          </w:p>
        </w:tc>
      </w:tr>
      <w:tr>
        <w:tblPrEx>
          <w:tblW w:w="9474" w:type="dxa"/>
          <w:jc w:val="center"/>
          <w:tblInd w:w="212" w:type="dxa"/>
          <w:tblCellMar>
            <w:left w:w="70" w:type="dxa"/>
            <w:right w:w="70" w:type="dxa"/>
          </w:tblCellMar>
          <w:tblLook w:val="04A0"/>
        </w:tblPrEx>
        <w:trPr>
          <w:trHeight w:val="270"/>
          <w:jc w:val="center"/>
        </w:trPr>
        <w:tc>
          <w:tcPr>
            <w:tcW w:w="3119"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Priemerný mzdový výdavok</w:t>
            </w:r>
          </w:p>
        </w:tc>
        <w:tc>
          <w:tcPr>
            <w:tcW w:w="475"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eur</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828,74</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881,11</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842,94</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856,59</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964,23</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997,32</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1 036,41</w:t>
            </w:r>
          </w:p>
        </w:tc>
      </w:tr>
      <w:tr>
        <w:tblPrEx>
          <w:tblW w:w="9474" w:type="dxa"/>
          <w:jc w:val="center"/>
          <w:tblInd w:w="212" w:type="dxa"/>
          <w:tblCellMar>
            <w:left w:w="70" w:type="dxa"/>
            <w:right w:w="70" w:type="dxa"/>
          </w:tblCellMar>
          <w:tblLook w:val="04A0"/>
        </w:tblPrEx>
        <w:trPr>
          <w:trHeight w:val="270"/>
          <w:jc w:val="center"/>
        </w:trPr>
        <w:tc>
          <w:tcPr>
            <w:tcW w:w="3119" w:type="dxa"/>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Priemerná mzda zamestnanca v hospodárstve SR</w:t>
            </w:r>
          </w:p>
        </w:tc>
        <w:tc>
          <w:tcPr>
            <w:tcW w:w="475" w:type="dxa"/>
            <w:tcBorders>
              <w:top w:val="nil"/>
              <w:left w:val="nil"/>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eur</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745</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769</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796</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796</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839</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886</w:t>
            </w:r>
          </w:p>
        </w:tc>
        <w:tc>
          <w:tcPr>
            <w:tcW w:w="840" w:type="dxa"/>
            <w:tcBorders>
              <w:top w:val="nil"/>
              <w:left w:val="nil"/>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942</w:t>
            </w:r>
          </w:p>
        </w:tc>
      </w:tr>
      <w:tr>
        <w:tblPrEx>
          <w:tblW w:w="9474" w:type="dxa"/>
          <w:jc w:val="center"/>
          <w:tblInd w:w="212" w:type="dxa"/>
          <w:tblCellMar>
            <w:left w:w="70" w:type="dxa"/>
            <w:right w:w="70" w:type="dxa"/>
          </w:tblCellMar>
          <w:tblLook w:val="04A0"/>
        </w:tblPrEx>
        <w:trPr>
          <w:trHeight w:val="194"/>
          <w:jc w:val="center"/>
        </w:trPr>
        <w:tc>
          <w:tcPr>
            <w:tcW w:w="3119" w:type="dxa"/>
            <w:tcBorders>
              <w:top w:val="nil"/>
              <w:left w:val="single" w:sz="4" w:space="0" w:color="auto"/>
              <w:bottom w:val="nil"/>
              <w:right w:val="single" w:sz="4" w:space="0" w:color="auto"/>
            </w:tcBorders>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Index</w:t>
            </w:r>
          </w:p>
        </w:tc>
        <w:tc>
          <w:tcPr>
            <w:tcW w:w="475"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center"/>
              <w:rPr>
                <w:rFonts w:ascii="Times New Roman" w:hAnsi="Times New Roman" w:cs="Times New Roman"/>
                <w:sz w:val="14"/>
                <w:szCs w:val="14"/>
                <w:lang w:eastAsia="sk-SK"/>
              </w:rPr>
            </w:pPr>
            <w:r>
              <w:rPr>
                <w:rFonts w:ascii="Times New Roman" w:hAnsi="Times New Roman" w:cs="Times New Roman"/>
                <w:sz w:val="14"/>
                <w:szCs w:val="14"/>
                <w:lang w:eastAsia="sk-SK"/>
              </w:rPr>
              <w:t>(%)</w:t>
            </w:r>
          </w:p>
        </w:tc>
        <w:tc>
          <w:tcPr>
            <w:tcW w:w="840"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111,2</w:t>
            </w:r>
          </w:p>
        </w:tc>
        <w:tc>
          <w:tcPr>
            <w:tcW w:w="840"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114,6</w:t>
            </w:r>
          </w:p>
        </w:tc>
        <w:tc>
          <w:tcPr>
            <w:tcW w:w="840"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105,9</w:t>
            </w:r>
          </w:p>
        </w:tc>
        <w:tc>
          <w:tcPr>
            <w:tcW w:w="840"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107,6</w:t>
            </w:r>
          </w:p>
        </w:tc>
        <w:tc>
          <w:tcPr>
            <w:tcW w:w="840"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114,9</w:t>
            </w:r>
          </w:p>
        </w:tc>
        <w:tc>
          <w:tcPr>
            <w:tcW w:w="840"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112,6</w:t>
            </w:r>
          </w:p>
        </w:tc>
        <w:tc>
          <w:tcPr>
            <w:tcW w:w="840" w:type="dxa"/>
            <w:vMerge w:val="restart"/>
            <w:tcBorders>
              <w:top w:val="nil"/>
              <w:left w:val="single" w:sz="4" w:space="0" w:color="auto"/>
              <w:bottom w:val="single" w:sz="4" w:space="0" w:color="auto"/>
              <w:right w:val="single" w:sz="4" w:space="0" w:color="auto"/>
            </w:tcBorders>
            <w:noWrap/>
            <w:textDirection w:val="lrTb"/>
            <w:vAlign w:val="bottom"/>
            <w:hideMark/>
          </w:tcPr>
          <w:p w:rsidR="00655688" w:rsidP="00257E12">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110,0</w:t>
            </w:r>
          </w:p>
        </w:tc>
      </w:tr>
      <w:tr>
        <w:tblPrEx>
          <w:tblW w:w="9474" w:type="dxa"/>
          <w:jc w:val="center"/>
          <w:tblInd w:w="212" w:type="dxa"/>
          <w:tblCellMar>
            <w:left w:w="70" w:type="dxa"/>
            <w:right w:w="70" w:type="dxa"/>
          </w:tblCellMar>
          <w:tblLook w:val="04A0"/>
        </w:tblPrEx>
        <w:trPr>
          <w:trHeight w:val="254"/>
          <w:jc w:val="center"/>
        </w:trPr>
        <w:tc>
          <w:tcPr>
            <w:tcW w:w="3119" w:type="dxa"/>
            <w:tcBorders>
              <w:top w:val="nil"/>
              <w:left w:val="single" w:sz="4" w:space="0" w:color="auto"/>
              <w:bottom w:val="single" w:sz="4" w:space="0" w:color="auto"/>
              <w:right w:val="single" w:sz="4" w:space="0" w:color="auto"/>
            </w:tcBorders>
            <w:textDirection w:val="lrTb"/>
            <w:vAlign w:val="bottom"/>
            <w:hideMark/>
          </w:tcPr>
          <w:p w:rsidR="00655688" w:rsidP="00257E12">
            <w:pPr>
              <w:bidi w:val="0"/>
              <w:ind w:firstLine="140" w:firstLineChars="100"/>
              <w:rPr>
                <w:rFonts w:ascii="Times New Roman" w:hAnsi="Times New Roman" w:cs="Times New Roman"/>
                <w:sz w:val="14"/>
                <w:szCs w:val="14"/>
                <w:lang w:eastAsia="sk-SK"/>
              </w:rPr>
            </w:pPr>
            <w:r>
              <w:rPr>
                <w:rFonts w:ascii="Times New Roman" w:hAnsi="Times New Roman" w:cs="Times New Roman"/>
                <w:sz w:val="14"/>
                <w:szCs w:val="14"/>
                <w:lang w:eastAsia="sk-SK"/>
              </w:rPr>
              <w:t>(Priemerný mzdový výdavok/Priemerná mzda zam. v hosp. SR)</w:t>
            </w:r>
          </w:p>
        </w:tc>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sz w:val="14"/>
                <w:szCs w:val="14"/>
                <w:lang w:eastAsia="sk-SK"/>
              </w:rPr>
            </w:pPr>
          </w:p>
        </w:tc>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sz w:val="14"/>
                <w:szCs w:val="14"/>
                <w:lang w:eastAsia="sk-SK"/>
              </w:rPr>
            </w:pPr>
          </w:p>
        </w:tc>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sz w:val="14"/>
                <w:szCs w:val="14"/>
                <w:lang w:eastAsia="sk-SK"/>
              </w:rPr>
            </w:pPr>
          </w:p>
        </w:tc>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sz w:val="14"/>
                <w:szCs w:val="14"/>
                <w:lang w:eastAsia="sk-SK"/>
              </w:rPr>
            </w:pPr>
          </w:p>
        </w:tc>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sz w:val="14"/>
                <w:szCs w:val="14"/>
                <w:lang w:eastAsia="sk-SK"/>
              </w:rPr>
            </w:pPr>
          </w:p>
        </w:tc>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sz w:val="14"/>
                <w:szCs w:val="14"/>
                <w:lang w:eastAsia="sk-SK"/>
              </w:rPr>
            </w:pPr>
          </w:p>
        </w:tc>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sz w:val="14"/>
                <w:szCs w:val="14"/>
                <w:lang w:eastAsia="sk-SK"/>
              </w:rPr>
            </w:pPr>
          </w:p>
        </w:tc>
        <w:tc>
          <w:tcPr>
            <w:tcW w:w="0" w:type="auto"/>
            <w:vMerge/>
            <w:tcBorders>
              <w:top w:val="nil"/>
              <w:left w:val="single" w:sz="4" w:space="0" w:color="auto"/>
              <w:bottom w:val="single" w:sz="4" w:space="0" w:color="auto"/>
              <w:right w:val="single" w:sz="4" w:space="0" w:color="auto"/>
            </w:tcBorders>
            <w:textDirection w:val="lrTb"/>
            <w:vAlign w:val="center"/>
            <w:hideMark/>
          </w:tcPr>
          <w:p w:rsidR="00655688" w:rsidP="00257E12">
            <w:pPr>
              <w:bidi w:val="0"/>
              <w:rPr>
                <w:rFonts w:ascii="Times New Roman" w:hAnsi="Times New Roman" w:cs="Times New Roman"/>
                <w:sz w:val="14"/>
                <w:szCs w:val="14"/>
                <w:lang w:eastAsia="sk-SK"/>
              </w:rPr>
            </w:pPr>
          </w:p>
        </w:tc>
      </w:tr>
    </w:tbl>
    <w:p w:rsidR="00655688" w:rsidRPr="007C789C" w:rsidP="005313F8">
      <w:pPr>
        <w:bidi w:val="0"/>
        <w:rPr>
          <w:rFonts w:ascii="Times New Roman" w:hAnsi="Times New Roman" w:cs="Times New Roman"/>
        </w:rPr>
      </w:pPr>
      <w:r>
        <w:rPr>
          <w:rFonts w:ascii="Times New Roman" w:hAnsi="Times New Roman" w:cs="Times New Roman"/>
        </w:rPr>
        <w:t xml:space="preserve"> </w:t>
      </w:r>
    </w:p>
    <w:p w:rsidR="006F7083" w:rsidP="0017084C">
      <w:pPr>
        <w:pStyle w:val="Heading2"/>
        <w:bidi w:val="0"/>
        <w:spacing w:before="0" w:after="0"/>
        <w:rPr>
          <w:rFonts w:ascii="Times New Roman" w:hAnsi="Times New Roman"/>
          <w:bCs w:val="0"/>
          <w:i w:val="0"/>
          <w:iCs w:val="0"/>
          <w:sz w:val="24"/>
          <w:szCs w:val="24"/>
        </w:rPr>
      </w:pPr>
      <w:bookmarkStart w:id="65" w:name="_Toc306089068"/>
      <w:bookmarkEnd w:id="60"/>
      <w:r w:rsidRPr="007C789C" w:rsidR="00260649">
        <w:rPr>
          <w:rFonts w:ascii="Times New Roman" w:hAnsi="Times New Roman"/>
          <w:bCs w:val="0"/>
          <w:i w:val="0"/>
          <w:iCs w:val="0"/>
          <w:sz w:val="24"/>
          <w:szCs w:val="24"/>
        </w:rPr>
        <w:t>5</w:t>
      </w:r>
      <w:r w:rsidRPr="007C789C">
        <w:rPr>
          <w:rFonts w:ascii="Times New Roman" w:hAnsi="Times New Roman"/>
          <w:bCs w:val="0"/>
          <w:i w:val="0"/>
          <w:iCs w:val="0"/>
          <w:sz w:val="24"/>
          <w:szCs w:val="24"/>
        </w:rPr>
        <w:t>.3. Rozpočtovanie výdavkov podľa vybraných oblastí</w:t>
      </w:r>
      <w:bookmarkEnd w:id="65"/>
    </w:p>
    <w:p w:rsidR="0017084C" w:rsidRPr="0017084C" w:rsidP="0017084C">
      <w:pPr>
        <w:bidi w:val="0"/>
      </w:pPr>
    </w:p>
    <w:p w:rsidR="00CB350B" w:rsidRPr="00A1617C" w:rsidP="00CB350B">
      <w:pPr>
        <w:pBdr>
          <w:bottom w:val="single" w:sz="4" w:space="1" w:color="auto"/>
        </w:pBdr>
        <w:bidi w:val="0"/>
        <w:jc w:val="both"/>
        <w:rPr>
          <w:rFonts w:ascii="Times New Roman" w:hAnsi="Times New Roman" w:cs="Times New Roman"/>
          <w:b/>
          <w:bCs/>
        </w:rPr>
      </w:pPr>
      <w:r w:rsidRPr="00A1617C">
        <w:rPr>
          <w:rFonts w:ascii="Times New Roman" w:hAnsi="Times New Roman" w:cs="Times New Roman"/>
          <w:b/>
          <w:bCs/>
        </w:rPr>
        <w:t>Ministerstvo školstva, vedy, výskumu a športu SR</w:t>
      </w:r>
    </w:p>
    <w:p w:rsidR="00CB350B" w:rsidRPr="00A1617C" w:rsidP="00CB350B">
      <w:pPr>
        <w:bidi w:val="0"/>
        <w:jc w:val="both"/>
        <w:rPr>
          <w:rFonts w:ascii="Times New Roman" w:hAnsi="Times New Roman" w:cs="Times New Roman"/>
          <w:b/>
          <w:bCs/>
        </w:rPr>
      </w:pPr>
    </w:p>
    <w:tbl>
      <w:tblPr>
        <w:tblStyle w:val="TableNormal"/>
        <w:tblW w:w="5000" w:type="pct"/>
        <w:tblCellMar>
          <w:left w:w="70" w:type="dxa"/>
          <w:right w:w="70" w:type="dxa"/>
        </w:tblCellMar>
        <w:tblLook w:val="04A0"/>
      </w:tblPr>
      <w:tblGrid>
        <w:gridCol w:w="2357"/>
        <w:gridCol w:w="980"/>
        <w:gridCol w:w="980"/>
        <w:gridCol w:w="980"/>
        <w:gridCol w:w="980"/>
        <w:gridCol w:w="980"/>
        <w:gridCol w:w="980"/>
        <w:gridCol w:w="975"/>
      </w:tblGrid>
      <w:tr>
        <w:tblPrEx>
          <w:tblW w:w="5000" w:type="pct"/>
          <w:tblCellMar>
            <w:left w:w="70" w:type="dxa"/>
            <w:right w:w="70" w:type="dxa"/>
          </w:tblCellMar>
          <w:tblLook w:val="04A0"/>
        </w:tblPrEx>
        <w:trPr>
          <w:trHeight w:val="255"/>
        </w:trPr>
        <w:tc>
          <w:tcPr>
            <w:tcW w:w="127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B350B" w:rsidRPr="00E167C4" w:rsidP="00257E12">
            <w:pPr>
              <w:bidi w:val="0"/>
              <w:rPr>
                <w:rFonts w:ascii="Times New Roman" w:hAnsi="Times New Roman" w:cs="Times New Roman"/>
                <w:color w:val="000000"/>
                <w:sz w:val="14"/>
                <w:szCs w:val="14"/>
                <w:lang w:eastAsia="sk-SK"/>
              </w:rPr>
            </w:pPr>
            <w:r w:rsidRPr="00A94288">
              <w:rPr>
                <w:rFonts w:ascii="Times New Roman" w:hAnsi="Times New Roman" w:cs="Times New Roman"/>
                <w:b/>
                <w:sz w:val="14"/>
                <w:szCs w:val="14"/>
                <w:lang w:eastAsia="sk-SK"/>
              </w:rPr>
              <w:t>v eurách</w:t>
            </w:r>
          </w:p>
        </w:tc>
        <w:tc>
          <w:tcPr>
            <w:tcW w:w="532"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E167C4" w:rsidP="00257E12">
            <w:pPr>
              <w:bidi w:val="0"/>
              <w:jc w:val="center"/>
              <w:rPr>
                <w:rFonts w:ascii="Times New Roman" w:hAnsi="Times New Roman" w:cs="Times New Roman"/>
                <w:b/>
                <w:bCs/>
                <w:color w:val="000000"/>
                <w:sz w:val="14"/>
                <w:szCs w:val="14"/>
                <w:lang w:eastAsia="sk-SK"/>
              </w:rPr>
            </w:pPr>
            <w:r w:rsidRPr="00E167C4">
              <w:rPr>
                <w:rFonts w:ascii="Times New Roman" w:hAnsi="Times New Roman" w:cs="Times New Roman"/>
                <w:b/>
                <w:bCs/>
                <w:color w:val="000000"/>
                <w:sz w:val="14"/>
                <w:szCs w:val="14"/>
                <w:lang w:eastAsia="sk-SK"/>
              </w:rPr>
              <w:t>2009 S</w:t>
            </w:r>
          </w:p>
        </w:tc>
        <w:tc>
          <w:tcPr>
            <w:tcW w:w="532"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E167C4" w:rsidP="00257E12">
            <w:pPr>
              <w:bidi w:val="0"/>
              <w:jc w:val="center"/>
              <w:rPr>
                <w:rFonts w:ascii="Times New Roman" w:hAnsi="Times New Roman" w:cs="Times New Roman"/>
                <w:b/>
                <w:bCs/>
                <w:color w:val="000000"/>
                <w:sz w:val="14"/>
                <w:szCs w:val="14"/>
                <w:lang w:eastAsia="sk-SK"/>
              </w:rPr>
            </w:pPr>
            <w:r w:rsidRPr="00E167C4">
              <w:rPr>
                <w:rFonts w:ascii="Times New Roman" w:hAnsi="Times New Roman" w:cs="Times New Roman"/>
                <w:b/>
                <w:bCs/>
                <w:color w:val="000000"/>
                <w:sz w:val="14"/>
                <w:szCs w:val="14"/>
                <w:lang w:eastAsia="sk-SK"/>
              </w:rPr>
              <w:t>2010 S</w:t>
            </w:r>
          </w:p>
        </w:tc>
        <w:tc>
          <w:tcPr>
            <w:tcW w:w="532"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E167C4" w:rsidP="00257E12">
            <w:pPr>
              <w:bidi w:val="0"/>
              <w:jc w:val="center"/>
              <w:rPr>
                <w:rFonts w:ascii="Times New Roman" w:hAnsi="Times New Roman" w:cs="Times New Roman"/>
                <w:b/>
                <w:bCs/>
                <w:color w:val="000000"/>
                <w:sz w:val="14"/>
                <w:szCs w:val="14"/>
                <w:lang w:eastAsia="sk-SK"/>
              </w:rPr>
            </w:pPr>
            <w:r w:rsidRPr="00E167C4">
              <w:rPr>
                <w:rFonts w:ascii="Times New Roman" w:hAnsi="Times New Roman" w:cs="Times New Roman"/>
                <w:b/>
                <w:bCs/>
                <w:color w:val="000000"/>
                <w:sz w:val="14"/>
                <w:szCs w:val="14"/>
                <w:lang w:eastAsia="sk-SK"/>
              </w:rPr>
              <w:t>2011 R</w:t>
            </w:r>
          </w:p>
        </w:tc>
        <w:tc>
          <w:tcPr>
            <w:tcW w:w="532"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E167C4" w:rsidP="00257E12">
            <w:pPr>
              <w:bidi w:val="0"/>
              <w:jc w:val="center"/>
              <w:rPr>
                <w:rFonts w:ascii="Times New Roman" w:hAnsi="Times New Roman" w:cs="Times New Roman"/>
                <w:b/>
                <w:bCs/>
                <w:color w:val="000000"/>
                <w:sz w:val="14"/>
                <w:szCs w:val="14"/>
                <w:lang w:eastAsia="sk-SK"/>
              </w:rPr>
            </w:pPr>
            <w:r w:rsidRPr="00E167C4">
              <w:rPr>
                <w:rFonts w:ascii="Times New Roman" w:hAnsi="Times New Roman" w:cs="Times New Roman"/>
                <w:b/>
                <w:bCs/>
                <w:color w:val="000000"/>
                <w:sz w:val="14"/>
                <w:szCs w:val="14"/>
                <w:lang w:eastAsia="sk-SK"/>
              </w:rPr>
              <w:t>2011 OS</w:t>
            </w:r>
          </w:p>
        </w:tc>
        <w:tc>
          <w:tcPr>
            <w:tcW w:w="532"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E167C4" w:rsidP="00257E12">
            <w:pPr>
              <w:bidi w:val="0"/>
              <w:jc w:val="center"/>
              <w:rPr>
                <w:rFonts w:ascii="Times New Roman" w:hAnsi="Times New Roman" w:cs="Times New Roman"/>
                <w:b/>
                <w:bCs/>
                <w:color w:val="000000"/>
                <w:sz w:val="14"/>
                <w:szCs w:val="14"/>
                <w:lang w:eastAsia="sk-SK"/>
              </w:rPr>
            </w:pPr>
            <w:r w:rsidRPr="00E167C4">
              <w:rPr>
                <w:rFonts w:ascii="Times New Roman" w:hAnsi="Times New Roman" w:cs="Times New Roman"/>
                <w:b/>
                <w:bCs/>
                <w:color w:val="000000"/>
                <w:sz w:val="14"/>
                <w:szCs w:val="14"/>
                <w:lang w:eastAsia="sk-SK"/>
              </w:rPr>
              <w:t>2012 N</w:t>
            </w:r>
          </w:p>
        </w:tc>
        <w:tc>
          <w:tcPr>
            <w:tcW w:w="532"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E167C4" w:rsidP="00257E12">
            <w:pPr>
              <w:bidi w:val="0"/>
              <w:jc w:val="center"/>
              <w:rPr>
                <w:rFonts w:ascii="Times New Roman" w:hAnsi="Times New Roman" w:cs="Times New Roman"/>
                <w:b/>
                <w:bCs/>
                <w:color w:val="000000"/>
                <w:sz w:val="14"/>
                <w:szCs w:val="14"/>
                <w:lang w:eastAsia="sk-SK"/>
              </w:rPr>
            </w:pPr>
            <w:r w:rsidRPr="00E167C4">
              <w:rPr>
                <w:rFonts w:ascii="Times New Roman" w:hAnsi="Times New Roman" w:cs="Times New Roman"/>
                <w:b/>
                <w:bCs/>
                <w:color w:val="000000"/>
                <w:sz w:val="14"/>
                <w:szCs w:val="14"/>
                <w:lang w:eastAsia="sk-SK"/>
              </w:rPr>
              <w:t>2013 N</w:t>
            </w:r>
          </w:p>
        </w:tc>
        <w:tc>
          <w:tcPr>
            <w:tcW w:w="529"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E167C4" w:rsidP="00257E12">
            <w:pPr>
              <w:bidi w:val="0"/>
              <w:jc w:val="center"/>
              <w:rPr>
                <w:rFonts w:ascii="Times New Roman" w:hAnsi="Times New Roman" w:cs="Times New Roman"/>
                <w:b/>
                <w:bCs/>
                <w:color w:val="000000"/>
                <w:sz w:val="14"/>
                <w:szCs w:val="14"/>
                <w:lang w:eastAsia="sk-SK"/>
              </w:rPr>
            </w:pPr>
            <w:r w:rsidRPr="00E167C4">
              <w:rPr>
                <w:rFonts w:ascii="Times New Roman" w:hAnsi="Times New Roman" w:cs="Times New Roman"/>
                <w:b/>
                <w:bCs/>
                <w:color w:val="000000"/>
                <w:sz w:val="14"/>
                <w:szCs w:val="14"/>
                <w:lang w:eastAsia="sk-SK"/>
              </w:rPr>
              <w:t>2014 N</w:t>
            </w:r>
          </w:p>
        </w:tc>
      </w:tr>
      <w:tr>
        <w:tblPrEx>
          <w:tblW w:w="5000" w:type="pct"/>
          <w:tblCellMar>
            <w:left w:w="70" w:type="dxa"/>
            <w:right w:w="70" w:type="dxa"/>
          </w:tblCellMar>
          <w:tblLook w:val="04A0"/>
        </w:tblPrEx>
        <w:trPr>
          <w:trHeight w:val="270"/>
        </w:trPr>
        <w:tc>
          <w:tcPr>
            <w:tcW w:w="1279"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CB350B" w:rsidRPr="00E167C4" w:rsidP="00257E12">
            <w:pPr>
              <w:bidi w:val="0"/>
              <w:rPr>
                <w:rFonts w:ascii="Times New Roman" w:hAnsi="Times New Roman" w:cs="Times New Roman"/>
                <w:b/>
                <w:bCs/>
                <w:color w:val="000000"/>
                <w:sz w:val="14"/>
                <w:szCs w:val="14"/>
                <w:lang w:eastAsia="sk-SK"/>
              </w:rPr>
            </w:pPr>
            <w:r w:rsidRPr="00E167C4">
              <w:rPr>
                <w:rFonts w:ascii="Times New Roman" w:hAnsi="Times New Roman" w:cs="Times New Roman"/>
                <w:b/>
                <w:bCs/>
                <w:color w:val="000000"/>
                <w:sz w:val="14"/>
                <w:szCs w:val="14"/>
                <w:lang w:eastAsia="sk-SK"/>
              </w:rPr>
              <w:t>Zdroje príslušnej kapitoly z toho:</w:t>
            </w:r>
          </w:p>
        </w:tc>
        <w:tc>
          <w:tcPr>
            <w:tcW w:w="532"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565D8C" w:rsidP="00257E12">
            <w:pPr>
              <w:bidi w:val="0"/>
              <w:jc w:val="right"/>
              <w:rPr>
                <w:rFonts w:ascii="Times New Roman" w:hAnsi="Times New Roman" w:cs="Times New Roman"/>
                <w:b/>
                <w:bCs/>
                <w:sz w:val="14"/>
                <w:szCs w:val="14"/>
              </w:rPr>
            </w:pPr>
            <w:r w:rsidRPr="00565D8C">
              <w:rPr>
                <w:rFonts w:ascii="Times New Roman" w:hAnsi="Times New Roman" w:cs="Times New Roman"/>
                <w:b/>
                <w:bCs/>
                <w:sz w:val="14"/>
                <w:szCs w:val="14"/>
              </w:rPr>
              <w:t>2 018 521 811</w:t>
            </w:r>
          </w:p>
        </w:tc>
        <w:tc>
          <w:tcPr>
            <w:tcW w:w="532"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565D8C" w:rsidP="00257E12">
            <w:pPr>
              <w:bidi w:val="0"/>
              <w:jc w:val="right"/>
              <w:rPr>
                <w:rFonts w:ascii="Times New Roman" w:hAnsi="Times New Roman" w:cs="Times New Roman"/>
                <w:b/>
                <w:bCs/>
                <w:sz w:val="14"/>
                <w:szCs w:val="14"/>
              </w:rPr>
            </w:pPr>
            <w:r w:rsidRPr="00565D8C">
              <w:rPr>
                <w:rFonts w:ascii="Times New Roman" w:hAnsi="Times New Roman" w:cs="Times New Roman"/>
                <w:b/>
                <w:bCs/>
                <w:sz w:val="14"/>
                <w:szCs w:val="14"/>
              </w:rPr>
              <w:t>2 092 933 272</w:t>
            </w:r>
          </w:p>
        </w:tc>
        <w:tc>
          <w:tcPr>
            <w:tcW w:w="532"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565D8C" w:rsidP="00257E12">
            <w:pPr>
              <w:bidi w:val="0"/>
              <w:jc w:val="right"/>
              <w:rPr>
                <w:rFonts w:ascii="Times New Roman" w:hAnsi="Times New Roman" w:cs="Times New Roman"/>
                <w:b/>
                <w:bCs/>
                <w:sz w:val="14"/>
                <w:szCs w:val="14"/>
              </w:rPr>
            </w:pPr>
            <w:r w:rsidRPr="00565D8C">
              <w:rPr>
                <w:rFonts w:ascii="Times New Roman" w:hAnsi="Times New Roman" w:cs="Times New Roman"/>
                <w:b/>
                <w:bCs/>
                <w:sz w:val="14"/>
                <w:szCs w:val="14"/>
              </w:rPr>
              <w:t>2 323 259 742</w:t>
            </w:r>
          </w:p>
        </w:tc>
        <w:tc>
          <w:tcPr>
            <w:tcW w:w="532"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565D8C" w:rsidP="00257E12">
            <w:pPr>
              <w:bidi w:val="0"/>
              <w:jc w:val="right"/>
              <w:rPr>
                <w:rFonts w:ascii="Times New Roman" w:hAnsi="Times New Roman" w:cs="Times New Roman"/>
                <w:b/>
                <w:bCs/>
                <w:sz w:val="14"/>
                <w:szCs w:val="14"/>
              </w:rPr>
            </w:pPr>
            <w:r w:rsidRPr="00565D8C">
              <w:rPr>
                <w:rFonts w:ascii="Times New Roman" w:hAnsi="Times New Roman" w:cs="Times New Roman"/>
                <w:b/>
                <w:bCs/>
                <w:sz w:val="14"/>
                <w:szCs w:val="14"/>
              </w:rPr>
              <w:t>2 083 380 242</w:t>
            </w:r>
          </w:p>
        </w:tc>
        <w:tc>
          <w:tcPr>
            <w:tcW w:w="532"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565D8C" w:rsidP="00257E12">
            <w:pPr>
              <w:bidi w:val="0"/>
              <w:jc w:val="right"/>
              <w:rPr>
                <w:rFonts w:ascii="Times New Roman" w:hAnsi="Times New Roman" w:cs="Times New Roman"/>
                <w:b/>
                <w:bCs/>
                <w:sz w:val="14"/>
                <w:szCs w:val="14"/>
              </w:rPr>
            </w:pPr>
            <w:r w:rsidRPr="00565D8C">
              <w:rPr>
                <w:rFonts w:ascii="Times New Roman" w:hAnsi="Times New Roman" w:cs="Times New Roman"/>
                <w:b/>
                <w:bCs/>
                <w:sz w:val="14"/>
                <w:szCs w:val="14"/>
              </w:rPr>
              <w:t>2 434 807 768</w:t>
            </w:r>
          </w:p>
        </w:tc>
        <w:tc>
          <w:tcPr>
            <w:tcW w:w="532"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565D8C" w:rsidP="00257E12">
            <w:pPr>
              <w:bidi w:val="0"/>
              <w:jc w:val="right"/>
              <w:rPr>
                <w:rFonts w:ascii="Times New Roman" w:hAnsi="Times New Roman" w:cs="Times New Roman"/>
                <w:b/>
                <w:bCs/>
                <w:sz w:val="14"/>
                <w:szCs w:val="14"/>
              </w:rPr>
            </w:pPr>
            <w:r w:rsidRPr="00565D8C">
              <w:rPr>
                <w:rFonts w:ascii="Times New Roman" w:hAnsi="Times New Roman" w:cs="Times New Roman"/>
                <w:b/>
                <w:bCs/>
                <w:sz w:val="14"/>
                <w:szCs w:val="14"/>
              </w:rPr>
              <w:t>2 407 011 076</w:t>
            </w:r>
          </w:p>
        </w:tc>
        <w:tc>
          <w:tcPr>
            <w:tcW w:w="52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565D8C" w:rsidP="00257E12">
            <w:pPr>
              <w:bidi w:val="0"/>
              <w:jc w:val="right"/>
              <w:rPr>
                <w:rFonts w:ascii="Times New Roman" w:hAnsi="Times New Roman" w:cs="Times New Roman"/>
                <w:b/>
                <w:bCs/>
                <w:sz w:val="14"/>
                <w:szCs w:val="14"/>
              </w:rPr>
            </w:pPr>
            <w:r w:rsidRPr="00565D8C">
              <w:rPr>
                <w:rFonts w:ascii="Times New Roman" w:hAnsi="Times New Roman" w:cs="Times New Roman"/>
                <w:b/>
                <w:bCs/>
                <w:sz w:val="14"/>
                <w:szCs w:val="14"/>
              </w:rPr>
              <w:t>2 297 241 790</w:t>
            </w:r>
          </w:p>
        </w:tc>
      </w:tr>
      <w:tr>
        <w:tblPrEx>
          <w:tblW w:w="5000" w:type="pct"/>
          <w:tblCellMar>
            <w:left w:w="70" w:type="dxa"/>
            <w:right w:w="70" w:type="dxa"/>
          </w:tblCellMar>
          <w:tblLook w:val="04A0"/>
        </w:tblPrEx>
        <w:trPr>
          <w:trHeight w:val="270"/>
        </w:trPr>
        <w:tc>
          <w:tcPr>
            <w:tcW w:w="1279"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sz w:val="14"/>
                <w:szCs w:val="14"/>
                <w:lang w:eastAsia="sk-SK"/>
              </w:rPr>
            </w:pPr>
            <w:r w:rsidRPr="00E167C4">
              <w:rPr>
                <w:rFonts w:ascii="Times New Roman" w:hAnsi="Times New Roman" w:cs="Times New Roman"/>
                <w:sz w:val="14"/>
                <w:szCs w:val="14"/>
                <w:lang w:eastAsia="sk-SK"/>
              </w:rPr>
              <w:t xml:space="preserve">Výdavky na regionálne školstvo </w:t>
            </w:r>
          </w:p>
        </w:tc>
        <w:tc>
          <w:tcPr>
            <w:tcW w:w="532"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1 313 047 767</w:t>
            </w:r>
          </w:p>
        </w:tc>
        <w:tc>
          <w:tcPr>
            <w:tcW w:w="532"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1 299 366 840</w:t>
            </w:r>
          </w:p>
        </w:tc>
        <w:tc>
          <w:tcPr>
            <w:tcW w:w="532"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1 313 472 316</w:t>
            </w:r>
          </w:p>
        </w:tc>
        <w:tc>
          <w:tcPr>
            <w:tcW w:w="532"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1 311 359 959</w:t>
            </w:r>
          </w:p>
        </w:tc>
        <w:tc>
          <w:tcPr>
            <w:tcW w:w="532" w:type="pct"/>
            <w:tcBorders>
              <w:top w:val="nil"/>
              <w:left w:val="nil"/>
              <w:bottom w:val="single" w:sz="4" w:space="0" w:color="auto"/>
              <w:right w:val="single" w:sz="4" w:space="0" w:color="auto"/>
            </w:tcBorders>
            <w:noWrap/>
            <w:textDirection w:val="lrTb"/>
            <w:vAlign w:val="bottom"/>
            <w:hideMark/>
          </w:tcPr>
          <w:p w:rsidR="00CB350B" w:rsidRPr="00B953A4" w:rsidP="00257E12">
            <w:pPr>
              <w:bidi w:val="0"/>
              <w:jc w:val="right"/>
              <w:rPr>
                <w:rFonts w:ascii="Times New Roman" w:hAnsi="Times New Roman" w:cs="Times New Roman"/>
                <w:sz w:val="14"/>
                <w:szCs w:val="14"/>
              </w:rPr>
            </w:pPr>
            <w:r w:rsidRPr="00B953A4">
              <w:rPr>
                <w:rFonts w:ascii="Times New Roman" w:hAnsi="Times New Roman" w:cs="Times New Roman"/>
                <w:sz w:val="14"/>
                <w:szCs w:val="14"/>
              </w:rPr>
              <w:t>1 351 164 101</w:t>
            </w:r>
          </w:p>
        </w:tc>
        <w:tc>
          <w:tcPr>
            <w:tcW w:w="532" w:type="pct"/>
            <w:tcBorders>
              <w:top w:val="nil"/>
              <w:left w:val="nil"/>
              <w:bottom w:val="single" w:sz="4" w:space="0" w:color="auto"/>
              <w:right w:val="single" w:sz="4" w:space="0" w:color="auto"/>
            </w:tcBorders>
            <w:noWrap/>
            <w:textDirection w:val="lrTb"/>
            <w:vAlign w:val="bottom"/>
            <w:hideMark/>
          </w:tcPr>
          <w:p w:rsidR="00CB350B" w:rsidRPr="00B953A4" w:rsidP="00257E12">
            <w:pPr>
              <w:bidi w:val="0"/>
              <w:jc w:val="right"/>
              <w:rPr>
                <w:rFonts w:ascii="Times New Roman" w:hAnsi="Times New Roman" w:cs="Times New Roman"/>
                <w:sz w:val="14"/>
                <w:szCs w:val="14"/>
              </w:rPr>
            </w:pPr>
            <w:r w:rsidRPr="00B953A4">
              <w:rPr>
                <w:rFonts w:ascii="Times New Roman" w:hAnsi="Times New Roman" w:cs="Times New Roman"/>
                <w:sz w:val="14"/>
                <w:szCs w:val="14"/>
              </w:rPr>
              <w:t>1 379 618 930</w:t>
            </w:r>
          </w:p>
        </w:tc>
        <w:tc>
          <w:tcPr>
            <w:tcW w:w="529" w:type="pct"/>
            <w:tcBorders>
              <w:top w:val="nil"/>
              <w:left w:val="nil"/>
              <w:bottom w:val="single" w:sz="4" w:space="0" w:color="auto"/>
              <w:right w:val="single" w:sz="4" w:space="0" w:color="auto"/>
            </w:tcBorders>
            <w:noWrap/>
            <w:textDirection w:val="lrTb"/>
            <w:vAlign w:val="bottom"/>
            <w:hideMark/>
          </w:tcPr>
          <w:p w:rsidR="00CB350B" w:rsidRPr="00B953A4" w:rsidP="00257E12">
            <w:pPr>
              <w:bidi w:val="0"/>
              <w:jc w:val="right"/>
              <w:rPr>
                <w:rFonts w:ascii="Times New Roman" w:hAnsi="Times New Roman" w:cs="Times New Roman"/>
                <w:sz w:val="14"/>
                <w:szCs w:val="14"/>
              </w:rPr>
            </w:pPr>
            <w:r w:rsidRPr="00B953A4">
              <w:rPr>
                <w:rFonts w:ascii="Times New Roman" w:hAnsi="Times New Roman" w:cs="Times New Roman"/>
                <w:sz w:val="14"/>
                <w:szCs w:val="14"/>
              </w:rPr>
              <w:t>1 422 747 133</w:t>
            </w:r>
          </w:p>
        </w:tc>
      </w:tr>
      <w:tr>
        <w:tblPrEx>
          <w:tblW w:w="5000" w:type="pct"/>
          <w:tblCellMar>
            <w:left w:w="70" w:type="dxa"/>
            <w:right w:w="70" w:type="dxa"/>
          </w:tblCellMar>
          <w:tblLook w:val="04A0"/>
        </w:tblPrEx>
        <w:trPr>
          <w:trHeight w:val="270"/>
        </w:trPr>
        <w:tc>
          <w:tcPr>
            <w:tcW w:w="1279"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sz w:val="14"/>
                <w:szCs w:val="14"/>
                <w:lang w:eastAsia="sk-SK"/>
              </w:rPr>
            </w:pPr>
            <w:r w:rsidRPr="00E167C4">
              <w:rPr>
                <w:rFonts w:ascii="Times New Roman" w:hAnsi="Times New Roman" w:cs="Times New Roman"/>
                <w:sz w:val="14"/>
                <w:szCs w:val="14"/>
                <w:lang w:eastAsia="sk-SK"/>
              </w:rPr>
              <w:t>Výdavky na vysoké školy</w:t>
            </w:r>
          </w:p>
        </w:tc>
        <w:tc>
          <w:tcPr>
            <w:tcW w:w="532"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461 051 114</w:t>
            </w:r>
          </w:p>
        </w:tc>
        <w:tc>
          <w:tcPr>
            <w:tcW w:w="532"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459 347 732</w:t>
            </w:r>
          </w:p>
        </w:tc>
        <w:tc>
          <w:tcPr>
            <w:tcW w:w="532"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435 786 522</w:t>
            </w:r>
          </w:p>
        </w:tc>
        <w:tc>
          <w:tcPr>
            <w:tcW w:w="532"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437 503 402</w:t>
            </w:r>
          </w:p>
        </w:tc>
        <w:tc>
          <w:tcPr>
            <w:tcW w:w="532" w:type="pct"/>
            <w:tcBorders>
              <w:top w:val="nil"/>
              <w:left w:val="nil"/>
              <w:bottom w:val="single" w:sz="4" w:space="0" w:color="auto"/>
              <w:right w:val="single" w:sz="4" w:space="0" w:color="auto"/>
            </w:tcBorders>
            <w:noWrap/>
            <w:textDirection w:val="lrTb"/>
            <w:vAlign w:val="bottom"/>
            <w:hideMark/>
          </w:tcPr>
          <w:p w:rsidR="00CB350B" w:rsidRPr="00B953A4" w:rsidP="00257E12">
            <w:pPr>
              <w:bidi w:val="0"/>
              <w:jc w:val="right"/>
              <w:rPr>
                <w:rFonts w:ascii="Times New Roman" w:hAnsi="Times New Roman" w:cs="Times New Roman"/>
                <w:sz w:val="14"/>
                <w:szCs w:val="14"/>
              </w:rPr>
            </w:pPr>
            <w:r w:rsidRPr="00B953A4">
              <w:rPr>
                <w:rFonts w:ascii="Times New Roman" w:hAnsi="Times New Roman" w:cs="Times New Roman"/>
                <w:sz w:val="14"/>
                <w:szCs w:val="14"/>
              </w:rPr>
              <w:t>450 655 547</w:t>
            </w:r>
          </w:p>
        </w:tc>
        <w:tc>
          <w:tcPr>
            <w:tcW w:w="532" w:type="pct"/>
            <w:tcBorders>
              <w:top w:val="nil"/>
              <w:left w:val="nil"/>
              <w:bottom w:val="single" w:sz="4" w:space="0" w:color="auto"/>
              <w:right w:val="single" w:sz="4" w:space="0" w:color="auto"/>
            </w:tcBorders>
            <w:noWrap/>
            <w:textDirection w:val="lrTb"/>
            <w:vAlign w:val="bottom"/>
            <w:hideMark/>
          </w:tcPr>
          <w:p w:rsidR="00CB350B" w:rsidRPr="00B953A4" w:rsidP="00257E12">
            <w:pPr>
              <w:bidi w:val="0"/>
              <w:jc w:val="right"/>
              <w:rPr>
                <w:rFonts w:ascii="Times New Roman" w:hAnsi="Times New Roman" w:cs="Times New Roman"/>
                <w:sz w:val="14"/>
                <w:szCs w:val="14"/>
              </w:rPr>
            </w:pPr>
            <w:r w:rsidRPr="00B953A4">
              <w:rPr>
                <w:rFonts w:ascii="Times New Roman" w:hAnsi="Times New Roman" w:cs="Times New Roman"/>
                <w:sz w:val="14"/>
                <w:szCs w:val="14"/>
              </w:rPr>
              <w:t>454 612 035</w:t>
            </w:r>
          </w:p>
        </w:tc>
        <w:tc>
          <w:tcPr>
            <w:tcW w:w="529" w:type="pct"/>
            <w:tcBorders>
              <w:top w:val="nil"/>
              <w:left w:val="nil"/>
              <w:bottom w:val="single" w:sz="4" w:space="0" w:color="auto"/>
              <w:right w:val="single" w:sz="4" w:space="0" w:color="auto"/>
            </w:tcBorders>
            <w:noWrap/>
            <w:textDirection w:val="lrTb"/>
            <w:vAlign w:val="bottom"/>
            <w:hideMark/>
          </w:tcPr>
          <w:p w:rsidR="00CB350B" w:rsidRPr="00B953A4" w:rsidP="00257E12">
            <w:pPr>
              <w:bidi w:val="0"/>
              <w:jc w:val="right"/>
              <w:rPr>
                <w:rFonts w:ascii="Times New Roman" w:hAnsi="Times New Roman" w:cs="Times New Roman"/>
                <w:sz w:val="14"/>
                <w:szCs w:val="14"/>
              </w:rPr>
            </w:pPr>
            <w:r w:rsidRPr="00B953A4">
              <w:rPr>
                <w:rFonts w:ascii="Times New Roman" w:hAnsi="Times New Roman" w:cs="Times New Roman"/>
                <w:sz w:val="14"/>
                <w:szCs w:val="14"/>
              </w:rPr>
              <w:t>456 265 119</w:t>
            </w:r>
          </w:p>
        </w:tc>
      </w:tr>
      <w:tr>
        <w:tblPrEx>
          <w:tblW w:w="5000" w:type="pct"/>
          <w:tblCellMar>
            <w:left w:w="70" w:type="dxa"/>
            <w:right w:w="70" w:type="dxa"/>
          </w:tblCellMar>
          <w:tblLook w:val="04A0"/>
        </w:tblPrEx>
        <w:trPr>
          <w:trHeight w:val="270"/>
        </w:trPr>
        <w:tc>
          <w:tcPr>
            <w:tcW w:w="1279" w:type="pct"/>
            <w:tcBorders>
              <w:top w:val="nil"/>
              <w:left w:val="single" w:sz="4" w:space="0" w:color="auto"/>
              <w:bottom w:val="single" w:sz="4" w:space="0" w:color="auto"/>
              <w:right w:val="single" w:sz="4" w:space="0" w:color="auto"/>
            </w:tcBorders>
            <w:noWrap/>
            <w:textDirection w:val="lrTb"/>
            <w:vAlign w:val="bottom"/>
            <w:hideMark/>
          </w:tcPr>
          <w:p w:rsidR="00CB350B" w:rsidRPr="00565D8C" w:rsidP="00257E12">
            <w:pPr>
              <w:bidi w:val="0"/>
              <w:rPr>
                <w:rFonts w:ascii="Times New Roman" w:hAnsi="Times New Roman" w:cs="Times New Roman"/>
                <w:sz w:val="14"/>
                <w:szCs w:val="14"/>
                <w:lang w:eastAsia="sk-SK"/>
              </w:rPr>
            </w:pPr>
            <w:r w:rsidRPr="00565D8C">
              <w:rPr>
                <w:rFonts w:ascii="Times New Roman" w:hAnsi="Times New Roman" w:cs="Times New Roman"/>
                <w:sz w:val="14"/>
                <w:szCs w:val="14"/>
                <w:lang w:eastAsia="sk-SK"/>
              </w:rPr>
              <w:t>Výdavky na vedu a</w:t>
            </w:r>
            <w:r>
              <w:rPr>
                <w:rFonts w:ascii="Times New Roman" w:hAnsi="Times New Roman" w:cs="Times New Roman"/>
                <w:sz w:val="14"/>
                <w:szCs w:val="14"/>
                <w:lang w:eastAsia="sk-SK"/>
              </w:rPr>
              <w:t> </w:t>
            </w:r>
            <w:r w:rsidRPr="00565D8C">
              <w:rPr>
                <w:rFonts w:ascii="Times New Roman" w:hAnsi="Times New Roman" w:cs="Times New Roman"/>
                <w:sz w:val="14"/>
                <w:szCs w:val="14"/>
                <w:lang w:eastAsia="sk-SK"/>
              </w:rPr>
              <w:t>techniku</w:t>
            </w:r>
            <w:r>
              <w:rPr>
                <w:rFonts w:ascii="Times New Roman" w:hAnsi="Times New Roman" w:cs="Times New Roman"/>
                <w:sz w:val="14"/>
                <w:szCs w:val="14"/>
                <w:lang w:eastAsia="sk-SK"/>
              </w:rPr>
              <w:t>*</w:t>
            </w:r>
            <w:r w:rsidRPr="00565D8C">
              <w:rPr>
                <w:rFonts w:ascii="Times New Roman" w:hAnsi="Times New Roman" w:cs="Times New Roman"/>
                <w:sz w:val="14"/>
                <w:szCs w:val="14"/>
                <w:lang w:eastAsia="sk-SK"/>
              </w:rPr>
              <w:t xml:space="preserve"> </w:t>
            </w:r>
          </w:p>
        </w:tc>
        <w:tc>
          <w:tcPr>
            <w:tcW w:w="532"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108 016 968</w:t>
            </w:r>
          </w:p>
        </w:tc>
        <w:tc>
          <w:tcPr>
            <w:tcW w:w="532"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89 193 579</w:t>
            </w:r>
          </w:p>
        </w:tc>
        <w:tc>
          <w:tcPr>
            <w:tcW w:w="532"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347 334 499</w:t>
            </w:r>
          </w:p>
        </w:tc>
        <w:tc>
          <w:tcPr>
            <w:tcW w:w="532"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183 681 093</w:t>
            </w:r>
          </w:p>
        </w:tc>
        <w:tc>
          <w:tcPr>
            <w:tcW w:w="532"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403 512 290</w:t>
            </w:r>
          </w:p>
        </w:tc>
        <w:tc>
          <w:tcPr>
            <w:tcW w:w="532"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368 171 710</w:t>
            </w:r>
          </w:p>
        </w:tc>
        <w:tc>
          <w:tcPr>
            <w:tcW w:w="529"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234 290 925</w:t>
            </w:r>
          </w:p>
        </w:tc>
      </w:tr>
      <w:tr>
        <w:tblPrEx>
          <w:tblW w:w="5000" w:type="pct"/>
          <w:tblCellMar>
            <w:left w:w="70" w:type="dxa"/>
            <w:right w:w="70" w:type="dxa"/>
          </w:tblCellMar>
          <w:tblLook w:val="04A0"/>
        </w:tblPrEx>
        <w:trPr>
          <w:trHeight w:val="270"/>
        </w:trPr>
        <w:tc>
          <w:tcPr>
            <w:tcW w:w="1279" w:type="pct"/>
            <w:tcBorders>
              <w:top w:val="nil"/>
              <w:left w:val="single" w:sz="4" w:space="0" w:color="auto"/>
              <w:bottom w:val="single" w:sz="4" w:space="0" w:color="auto"/>
              <w:right w:val="single" w:sz="4" w:space="0" w:color="auto"/>
            </w:tcBorders>
            <w:noWrap/>
            <w:textDirection w:val="lrTb"/>
            <w:vAlign w:val="bottom"/>
            <w:hideMark/>
          </w:tcPr>
          <w:p w:rsidR="00CB350B" w:rsidRPr="00565D8C" w:rsidP="00257E12">
            <w:pPr>
              <w:bidi w:val="0"/>
              <w:rPr>
                <w:rFonts w:ascii="Times New Roman" w:hAnsi="Times New Roman" w:cs="Times New Roman"/>
                <w:sz w:val="14"/>
                <w:szCs w:val="14"/>
                <w:lang w:eastAsia="sk-SK"/>
              </w:rPr>
            </w:pPr>
            <w:r w:rsidRPr="00565D8C">
              <w:rPr>
                <w:rFonts w:ascii="Times New Roman" w:hAnsi="Times New Roman" w:cs="Times New Roman"/>
                <w:sz w:val="14"/>
                <w:szCs w:val="14"/>
                <w:lang w:eastAsia="sk-SK"/>
              </w:rPr>
              <w:t xml:space="preserve">Výdavky na šport </w:t>
            </w:r>
          </w:p>
        </w:tc>
        <w:tc>
          <w:tcPr>
            <w:tcW w:w="532"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39 606 334</w:t>
            </w:r>
          </w:p>
        </w:tc>
        <w:tc>
          <w:tcPr>
            <w:tcW w:w="532"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74 748 224</w:t>
            </w:r>
          </w:p>
        </w:tc>
        <w:tc>
          <w:tcPr>
            <w:tcW w:w="532"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27 458 020</w:t>
            </w:r>
          </w:p>
        </w:tc>
        <w:tc>
          <w:tcPr>
            <w:tcW w:w="532"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28 458 020</w:t>
            </w:r>
          </w:p>
        </w:tc>
        <w:tc>
          <w:tcPr>
            <w:tcW w:w="532"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30 414 925</w:t>
            </w:r>
          </w:p>
        </w:tc>
        <w:tc>
          <w:tcPr>
            <w:tcW w:w="532"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30 414 925</w:t>
            </w:r>
          </w:p>
        </w:tc>
        <w:tc>
          <w:tcPr>
            <w:tcW w:w="529"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30 414 925</w:t>
            </w:r>
          </w:p>
        </w:tc>
      </w:tr>
      <w:tr>
        <w:tblPrEx>
          <w:tblW w:w="5000" w:type="pct"/>
          <w:tblCellMar>
            <w:left w:w="70" w:type="dxa"/>
            <w:right w:w="70" w:type="dxa"/>
          </w:tblCellMar>
          <w:tblLook w:val="04A0"/>
        </w:tblPrEx>
        <w:trPr>
          <w:trHeight w:val="270"/>
        </w:trPr>
        <w:tc>
          <w:tcPr>
            <w:tcW w:w="1279"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65D8C" w:rsidP="00257E12">
            <w:pPr>
              <w:bidi w:val="0"/>
              <w:rPr>
                <w:rFonts w:ascii="Times New Roman" w:hAnsi="Times New Roman" w:cs="Times New Roman"/>
                <w:sz w:val="14"/>
                <w:szCs w:val="14"/>
                <w:lang w:eastAsia="sk-SK"/>
              </w:rPr>
            </w:pPr>
            <w:r w:rsidRPr="00565D8C">
              <w:rPr>
                <w:rFonts w:ascii="Times New Roman" w:hAnsi="Times New Roman" w:cs="Times New Roman"/>
                <w:sz w:val="14"/>
                <w:szCs w:val="14"/>
                <w:lang w:eastAsia="sk-SK"/>
              </w:rPr>
              <w:t>Výdavky na administratívu</w:t>
            </w:r>
          </w:p>
        </w:tc>
        <w:tc>
          <w:tcPr>
            <w:tcW w:w="532" w:type="pct"/>
            <w:tcBorders>
              <w:top w:val="single" w:sz="4" w:space="0" w:color="auto"/>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34 577 881</w:t>
            </w:r>
          </w:p>
        </w:tc>
        <w:tc>
          <w:tcPr>
            <w:tcW w:w="532" w:type="pct"/>
            <w:tcBorders>
              <w:top w:val="single" w:sz="4" w:space="0" w:color="auto"/>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29 756 984</w:t>
            </w:r>
          </w:p>
        </w:tc>
        <w:tc>
          <w:tcPr>
            <w:tcW w:w="532" w:type="pct"/>
            <w:tcBorders>
              <w:top w:val="single" w:sz="4" w:space="0" w:color="auto"/>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25 616 624</w:t>
            </w:r>
          </w:p>
        </w:tc>
        <w:tc>
          <w:tcPr>
            <w:tcW w:w="532" w:type="pct"/>
            <w:tcBorders>
              <w:top w:val="single" w:sz="4" w:space="0" w:color="auto"/>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25 465 121</w:t>
            </w:r>
          </w:p>
        </w:tc>
        <w:tc>
          <w:tcPr>
            <w:tcW w:w="532" w:type="pct"/>
            <w:tcBorders>
              <w:top w:val="single" w:sz="4" w:space="0" w:color="auto"/>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24 164 435</w:t>
            </w:r>
          </w:p>
        </w:tc>
        <w:tc>
          <w:tcPr>
            <w:tcW w:w="532" w:type="pct"/>
            <w:tcBorders>
              <w:top w:val="single" w:sz="4" w:space="0" w:color="auto"/>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28 417 453</w:t>
            </w:r>
          </w:p>
        </w:tc>
        <w:tc>
          <w:tcPr>
            <w:tcW w:w="529" w:type="pct"/>
            <w:tcBorders>
              <w:top w:val="single" w:sz="4" w:space="0" w:color="auto"/>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31 363 847</w:t>
            </w:r>
          </w:p>
        </w:tc>
      </w:tr>
      <w:tr>
        <w:tblPrEx>
          <w:tblW w:w="5000" w:type="pct"/>
          <w:tblCellMar>
            <w:left w:w="70" w:type="dxa"/>
            <w:right w:w="70" w:type="dxa"/>
          </w:tblCellMar>
          <w:tblLook w:val="04A0"/>
        </w:tblPrEx>
        <w:trPr>
          <w:trHeight w:val="270"/>
        </w:trPr>
        <w:tc>
          <w:tcPr>
            <w:tcW w:w="1279"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3F017B" w:rsidP="00257E12">
            <w:pPr>
              <w:bidi w:val="0"/>
              <w:rPr>
                <w:rFonts w:ascii="Times New Roman" w:hAnsi="Times New Roman" w:cs="Times New Roman"/>
                <w:sz w:val="14"/>
                <w:szCs w:val="14"/>
                <w:lang w:eastAsia="sk-SK"/>
              </w:rPr>
            </w:pPr>
            <w:r w:rsidRPr="003F017B">
              <w:rPr>
                <w:rFonts w:ascii="Times New Roman" w:hAnsi="Times New Roman" w:cs="Times New Roman"/>
                <w:bCs/>
                <w:sz w:val="14"/>
                <w:szCs w:val="14"/>
                <w:lang w:eastAsia="sk-SK"/>
              </w:rPr>
              <w:t>Výdavky EÚ a spolufinancovania**</w:t>
            </w:r>
          </w:p>
        </w:tc>
        <w:tc>
          <w:tcPr>
            <w:tcW w:w="532" w:type="pct"/>
            <w:tcBorders>
              <w:top w:val="single" w:sz="4" w:space="0" w:color="auto"/>
              <w:left w:val="nil"/>
              <w:bottom w:val="single" w:sz="4" w:space="0" w:color="auto"/>
              <w:right w:val="single" w:sz="4" w:space="0" w:color="auto"/>
            </w:tcBorders>
            <w:noWrap/>
            <w:textDirection w:val="lrTb"/>
            <w:vAlign w:val="bottom"/>
            <w:hideMark/>
          </w:tcPr>
          <w:p w:rsidR="00CB350B" w:rsidRPr="003F017B" w:rsidP="00257E12">
            <w:pPr>
              <w:bidi w:val="0"/>
              <w:jc w:val="right"/>
              <w:rPr>
                <w:rFonts w:ascii="Times New Roman" w:hAnsi="Times New Roman" w:cs="Times New Roman"/>
                <w:sz w:val="14"/>
                <w:szCs w:val="14"/>
              </w:rPr>
            </w:pPr>
            <w:r w:rsidRPr="003F017B">
              <w:rPr>
                <w:rFonts w:ascii="Times New Roman" w:hAnsi="Times New Roman" w:cs="Times New Roman"/>
                <w:sz w:val="14"/>
                <w:szCs w:val="14"/>
              </w:rPr>
              <w:t>62 221 747</w:t>
            </w:r>
          </w:p>
        </w:tc>
        <w:tc>
          <w:tcPr>
            <w:tcW w:w="532" w:type="pct"/>
            <w:tcBorders>
              <w:top w:val="single" w:sz="4" w:space="0" w:color="auto"/>
              <w:left w:val="nil"/>
              <w:bottom w:val="single" w:sz="4" w:space="0" w:color="auto"/>
              <w:right w:val="single" w:sz="4" w:space="0" w:color="auto"/>
            </w:tcBorders>
            <w:noWrap/>
            <w:textDirection w:val="lrTb"/>
            <w:vAlign w:val="bottom"/>
            <w:hideMark/>
          </w:tcPr>
          <w:p w:rsidR="00CB350B" w:rsidRPr="003F017B" w:rsidP="00257E12">
            <w:pPr>
              <w:bidi w:val="0"/>
              <w:jc w:val="right"/>
              <w:rPr>
                <w:rFonts w:ascii="Times New Roman" w:hAnsi="Times New Roman" w:cs="Times New Roman"/>
                <w:sz w:val="14"/>
                <w:szCs w:val="14"/>
              </w:rPr>
            </w:pPr>
            <w:r w:rsidRPr="003F017B">
              <w:rPr>
                <w:rFonts w:ascii="Times New Roman" w:hAnsi="Times New Roman" w:cs="Times New Roman"/>
                <w:sz w:val="14"/>
                <w:szCs w:val="14"/>
              </w:rPr>
              <w:t>140 519 913</w:t>
            </w:r>
          </w:p>
        </w:tc>
        <w:tc>
          <w:tcPr>
            <w:tcW w:w="532" w:type="pct"/>
            <w:tcBorders>
              <w:top w:val="single" w:sz="4" w:space="0" w:color="auto"/>
              <w:left w:val="nil"/>
              <w:bottom w:val="single" w:sz="4" w:space="0" w:color="auto"/>
              <w:right w:val="single" w:sz="4" w:space="0" w:color="auto"/>
            </w:tcBorders>
            <w:noWrap/>
            <w:textDirection w:val="lrTb"/>
            <w:vAlign w:val="bottom"/>
            <w:hideMark/>
          </w:tcPr>
          <w:p w:rsidR="00CB350B" w:rsidRPr="003F017B" w:rsidP="00257E12">
            <w:pPr>
              <w:bidi w:val="0"/>
              <w:jc w:val="right"/>
              <w:rPr>
                <w:rFonts w:ascii="Times New Roman" w:hAnsi="Times New Roman" w:cs="Times New Roman"/>
                <w:sz w:val="14"/>
                <w:szCs w:val="14"/>
              </w:rPr>
            </w:pPr>
            <w:r w:rsidRPr="003F017B">
              <w:rPr>
                <w:rFonts w:ascii="Times New Roman" w:hAnsi="Times New Roman" w:cs="Times New Roman"/>
                <w:sz w:val="14"/>
                <w:szCs w:val="14"/>
              </w:rPr>
              <w:t>173 591 761</w:t>
            </w:r>
          </w:p>
        </w:tc>
        <w:tc>
          <w:tcPr>
            <w:tcW w:w="532" w:type="pct"/>
            <w:tcBorders>
              <w:top w:val="single" w:sz="4" w:space="0" w:color="auto"/>
              <w:left w:val="nil"/>
              <w:bottom w:val="single" w:sz="4" w:space="0" w:color="auto"/>
              <w:right w:val="single" w:sz="4" w:space="0" w:color="auto"/>
            </w:tcBorders>
            <w:noWrap/>
            <w:textDirection w:val="lrTb"/>
            <w:vAlign w:val="bottom"/>
            <w:hideMark/>
          </w:tcPr>
          <w:p w:rsidR="00CB350B" w:rsidRPr="003F017B" w:rsidP="00257E12">
            <w:pPr>
              <w:bidi w:val="0"/>
              <w:jc w:val="right"/>
              <w:rPr>
                <w:rFonts w:ascii="Times New Roman" w:hAnsi="Times New Roman" w:cs="Times New Roman"/>
                <w:sz w:val="14"/>
                <w:szCs w:val="14"/>
              </w:rPr>
            </w:pPr>
            <w:r w:rsidRPr="003F017B">
              <w:rPr>
                <w:rFonts w:ascii="Times New Roman" w:hAnsi="Times New Roman" w:cs="Times New Roman"/>
                <w:sz w:val="14"/>
                <w:szCs w:val="14"/>
              </w:rPr>
              <w:t>96 912 647</w:t>
            </w:r>
          </w:p>
        </w:tc>
        <w:tc>
          <w:tcPr>
            <w:tcW w:w="532" w:type="pct"/>
            <w:tcBorders>
              <w:top w:val="single" w:sz="4" w:space="0" w:color="auto"/>
              <w:left w:val="nil"/>
              <w:bottom w:val="single" w:sz="4" w:space="0" w:color="auto"/>
              <w:right w:val="single" w:sz="4" w:space="0" w:color="auto"/>
            </w:tcBorders>
            <w:noWrap/>
            <w:textDirection w:val="lrTb"/>
            <w:vAlign w:val="bottom"/>
            <w:hideMark/>
          </w:tcPr>
          <w:p w:rsidR="00CB350B" w:rsidRPr="003F017B" w:rsidP="00257E12">
            <w:pPr>
              <w:bidi w:val="0"/>
              <w:jc w:val="right"/>
              <w:rPr>
                <w:rFonts w:ascii="Times New Roman" w:hAnsi="Times New Roman" w:cs="Times New Roman"/>
                <w:sz w:val="14"/>
                <w:szCs w:val="14"/>
              </w:rPr>
            </w:pPr>
            <w:r w:rsidRPr="003F017B">
              <w:rPr>
                <w:rFonts w:ascii="Times New Roman" w:hAnsi="Times New Roman" w:cs="Times New Roman"/>
                <w:sz w:val="14"/>
                <w:szCs w:val="14"/>
              </w:rPr>
              <w:t>174 896 470</w:t>
            </w:r>
          </w:p>
        </w:tc>
        <w:tc>
          <w:tcPr>
            <w:tcW w:w="532" w:type="pct"/>
            <w:tcBorders>
              <w:top w:val="single" w:sz="4" w:space="0" w:color="auto"/>
              <w:left w:val="nil"/>
              <w:bottom w:val="single" w:sz="4" w:space="0" w:color="auto"/>
              <w:right w:val="single" w:sz="4" w:space="0" w:color="auto"/>
            </w:tcBorders>
            <w:noWrap/>
            <w:textDirection w:val="lrTb"/>
            <w:vAlign w:val="bottom"/>
            <w:hideMark/>
          </w:tcPr>
          <w:p w:rsidR="00CB350B" w:rsidRPr="003F017B" w:rsidP="00257E12">
            <w:pPr>
              <w:bidi w:val="0"/>
              <w:jc w:val="right"/>
              <w:rPr>
                <w:rFonts w:ascii="Times New Roman" w:hAnsi="Times New Roman" w:cs="Times New Roman"/>
                <w:sz w:val="14"/>
                <w:szCs w:val="14"/>
              </w:rPr>
            </w:pPr>
            <w:r w:rsidRPr="003F017B">
              <w:rPr>
                <w:rFonts w:ascii="Times New Roman" w:hAnsi="Times New Roman" w:cs="Times New Roman"/>
                <w:sz w:val="14"/>
                <w:szCs w:val="14"/>
              </w:rPr>
              <w:t>145 776 023</w:t>
            </w:r>
          </w:p>
        </w:tc>
        <w:tc>
          <w:tcPr>
            <w:tcW w:w="529" w:type="pct"/>
            <w:tcBorders>
              <w:top w:val="single" w:sz="4" w:space="0" w:color="auto"/>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3F017B">
              <w:rPr>
                <w:rFonts w:ascii="Times New Roman" w:hAnsi="Times New Roman" w:cs="Times New Roman"/>
                <w:sz w:val="14"/>
                <w:szCs w:val="14"/>
              </w:rPr>
              <w:t>122 159 841</w:t>
            </w:r>
          </w:p>
        </w:tc>
      </w:tr>
    </w:tbl>
    <w:p w:rsidR="00CB350B" w:rsidP="00CB350B">
      <w:pPr>
        <w:bidi w:val="0"/>
        <w:jc w:val="both"/>
        <w:rPr>
          <w:rFonts w:ascii="Times New Roman" w:hAnsi="Times New Roman" w:cs="Times New Roman"/>
          <w:sz w:val="14"/>
          <w:szCs w:val="14"/>
        </w:rPr>
      </w:pPr>
      <w:r w:rsidRPr="00565D8C">
        <w:rPr>
          <w:rFonts w:ascii="Times New Roman" w:hAnsi="Times New Roman" w:cs="Times New Roman"/>
          <w:sz w:val="14"/>
          <w:szCs w:val="14"/>
        </w:rPr>
        <w:t xml:space="preserve">* </w:t>
      </w:r>
      <w:r>
        <w:rPr>
          <w:rFonts w:ascii="Times New Roman" w:hAnsi="Times New Roman" w:cs="Times New Roman"/>
          <w:sz w:val="14"/>
          <w:szCs w:val="14"/>
        </w:rPr>
        <w:t xml:space="preserve">  </w:t>
      </w:r>
      <w:r w:rsidRPr="00565D8C">
        <w:rPr>
          <w:rFonts w:ascii="Times New Roman" w:hAnsi="Times New Roman" w:cs="Times New Roman"/>
          <w:sz w:val="14"/>
          <w:szCs w:val="14"/>
        </w:rPr>
        <w:t>bez vysokoškolskej vedy</w:t>
      </w:r>
      <w:r>
        <w:rPr>
          <w:rFonts w:ascii="Times New Roman" w:hAnsi="Times New Roman" w:cs="Times New Roman"/>
          <w:sz w:val="14"/>
          <w:szCs w:val="14"/>
        </w:rPr>
        <w:t>, základného výskumu v štátnych organizáciách</w:t>
      </w:r>
      <w:r w:rsidRPr="00565D8C">
        <w:rPr>
          <w:rFonts w:ascii="Times New Roman" w:hAnsi="Times New Roman" w:cs="Times New Roman"/>
          <w:sz w:val="14"/>
          <w:szCs w:val="14"/>
        </w:rPr>
        <w:t>, rezortnej vedy ďalších kapitol a</w:t>
      </w:r>
      <w:r>
        <w:rPr>
          <w:rFonts w:ascii="Times New Roman" w:hAnsi="Times New Roman" w:cs="Times New Roman"/>
          <w:sz w:val="14"/>
          <w:szCs w:val="14"/>
        </w:rPr>
        <w:t> </w:t>
      </w:r>
      <w:r w:rsidRPr="00565D8C">
        <w:rPr>
          <w:rFonts w:ascii="Times New Roman" w:hAnsi="Times New Roman" w:cs="Times New Roman"/>
          <w:sz w:val="14"/>
          <w:szCs w:val="14"/>
        </w:rPr>
        <w:t>SAV</w:t>
      </w:r>
    </w:p>
    <w:p w:rsidR="00CB350B" w:rsidRPr="00565D8C" w:rsidP="00CB350B">
      <w:pPr>
        <w:bidi w:val="0"/>
        <w:jc w:val="both"/>
        <w:rPr>
          <w:rFonts w:ascii="Times New Roman" w:hAnsi="Times New Roman" w:cs="Times New Roman"/>
          <w:sz w:val="14"/>
          <w:szCs w:val="14"/>
        </w:rPr>
      </w:pPr>
      <w:r>
        <w:rPr>
          <w:rFonts w:ascii="Times New Roman" w:hAnsi="Times New Roman" w:cs="Times New Roman"/>
          <w:sz w:val="14"/>
          <w:szCs w:val="14"/>
        </w:rPr>
        <w:t>** bez výdavkov EÚ a spolufinancovania uvedených v oblasti veda a technika</w:t>
      </w:r>
      <w:r w:rsidRPr="00565D8C">
        <w:rPr>
          <w:rFonts w:ascii="Times New Roman" w:hAnsi="Times New Roman" w:cs="Times New Roman"/>
          <w:sz w:val="14"/>
          <w:szCs w:val="14"/>
        </w:rPr>
        <w:t xml:space="preserve">  </w:t>
      </w:r>
    </w:p>
    <w:p w:rsidR="00CB350B" w:rsidP="00CB350B">
      <w:pPr>
        <w:bidi w:val="0"/>
        <w:jc w:val="both"/>
        <w:rPr>
          <w:rFonts w:ascii="Times New Roman" w:hAnsi="Times New Roman" w:cs="Times New Roman"/>
        </w:rPr>
      </w:pPr>
    </w:p>
    <w:p w:rsidR="00CB350B" w:rsidRPr="00A1617C" w:rsidP="00CB350B">
      <w:pPr>
        <w:bidi w:val="0"/>
        <w:ind w:firstLine="708"/>
        <w:jc w:val="both"/>
        <w:rPr>
          <w:rFonts w:ascii="Times New Roman" w:hAnsi="Times New Roman" w:cs="Times New Roman"/>
        </w:rPr>
      </w:pPr>
      <w:r w:rsidRPr="00A1617C">
        <w:rPr>
          <w:rFonts w:ascii="Times New Roman" w:hAnsi="Times New Roman" w:cs="Times New Roman"/>
        </w:rPr>
        <w:t xml:space="preserve">Celkové </w:t>
      </w:r>
      <w:r w:rsidRPr="003F017B">
        <w:rPr>
          <w:rFonts w:ascii="Times New Roman" w:hAnsi="Times New Roman" w:cs="Times New Roman"/>
        </w:rPr>
        <w:t xml:space="preserve">výdavky kapitoly Ministerstva školstva, vedy, výskumu a športu SR (ďalej len „MŠVVŠ SR“) </w:t>
      </w:r>
      <w:r>
        <w:rPr>
          <w:rFonts w:ascii="Times New Roman" w:hAnsi="Times New Roman" w:cs="Times New Roman"/>
        </w:rPr>
        <w:t>na</w:t>
      </w:r>
      <w:r w:rsidRPr="003F017B">
        <w:rPr>
          <w:rFonts w:ascii="Times New Roman" w:hAnsi="Times New Roman" w:cs="Times New Roman"/>
        </w:rPr>
        <w:t xml:space="preserve"> rok </w:t>
      </w:r>
      <w:r>
        <w:rPr>
          <w:rFonts w:ascii="Times New Roman" w:hAnsi="Times New Roman" w:cs="Times New Roman"/>
        </w:rPr>
        <w:t>2012 sa navrhujú v </w:t>
      </w:r>
      <w:r w:rsidRPr="00997D58">
        <w:rPr>
          <w:rFonts w:ascii="Times New Roman" w:hAnsi="Times New Roman" w:cs="Times New Roman"/>
        </w:rPr>
        <w:t>sume 2,43 mld. eur</w:t>
      </w:r>
      <w:r>
        <w:rPr>
          <w:rFonts w:ascii="Times New Roman" w:hAnsi="Times New Roman" w:cs="Times New Roman"/>
        </w:rPr>
        <w:t xml:space="preserve"> </w:t>
      </w:r>
      <w:r w:rsidRPr="003F017B">
        <w:rPr>
          <w:rFonts w:ascii="Times New Roman" w:hAnsi="Times New Roman" w:cs="Times New Roman"/>
        </w:rPr>
        <w:t>a oproti schválenému rozpočtu  roku 2011 rastú o 111 mil. eur, t. j. o 4,80 %, a to napriek klesajúcemu počtu žiakov v regionálnom školstve a študentov verejných vysokých škôl.</w:t>
      </w:r>
    </w:p>
    <w:p w:rsidR="00CB350B" w:rsidRPr="00A1617C" w:rsidP="00CB350B">
      <w:pPr>
        <w:bidi w:val="0"/>
        <w:jc w:val="both"/>
        <w:rPr>
          <w:rFonts w:ascii="Times New Roman" w:hAnsi="Times New Roman" w:cs="Times New Roman"/>
        </w:rPr>
      </w:pPr>
    </w:p>
    <w:p w:rsidR="00CB350B" w:rsidP="00CB350B">
      <w:pPr>
        <w:bidi w:val="0"/>
        <w:jc w:val="both"/>
        <w:rPr>
          <w:rFonts w:ascii="Times New Roman" w:hAnsi="Times New Roman" w:cs="Times New Roman"/>
          <w:b/>
        </w:rPr>
      </w:pPr>
      <w:r w:rsidRPr="00A1617C">
        <w:rPr>
          <w:rFonts w:ascii="Times New Roman" w:hAnsi="Times New Roman" w:cs="Times New Roman"/>
          <w:b/>
        </w:rPr>
        <w:t xml:space="preserve">Regionálne školstvo </w:t>
      </w:r>
    </w:p>
    <w:p w:rsidR="00CB350B" w:rsidRPr="00A1617C" w:rsidP="00CB350B">
      <w:pPr>
        <w:bidi w:val="0"/>
        <w:jc w:val="both"/>
        <w:rPr>
          <w:rFonts w:ascii="Times New Roman" w:hAnsi="Times New Roman" w:cs="Times New Roman"/>
          <w:b/>
        </w:rPr>
      </w:pPr>
    </w:p>
    <w:p w:rsidR="00CB350B" w:rsidP="00CB350B">
      <w:pPr>
        <w:bidi w:val="0"/>
        <w:ind w:firstLine="708"/>
        <w:jc w:val="both"/>
        <w:rPr>
          <w:rFonts w:ascii="Times New Roman" w:hAnsi="Times New Roman" w:cs="Times New Roman"/>
        </w:rPr>
      </w:pPr>
      <w:r w:rsidRPr="00A1617C">
        <w:rPr>
          <w:rFonts w:ascii="Times New Roman" w:hAnsi="Times New Roman" w:cs="Times New Roman"/>
        </w:rPr>
        <w:t xml:space="preserve">Výdavky </w:t>
      </w:r>
      <w:r>
        <w:rPr>
          <w:rFonts w:ascii="Times New Roman" w:hAnsi="Times New Roman" w:cs="Times New Roman"/>
        </w:rPr>
        <w:t xml:space="preserve">štátneho rozpočtu bez zdrojov EÚ a príslušného spolufinancovania určené </w:t>
      </w:r>
      <w:r w:rsidRPr="00A1617C">
        <w:rPr>
          <w:rFonts w:ascii="Times New Roman" w:hAnsi="Times New Roman" w:cs="Times New Roman"/>
        </w:rPr>
        <w:t xml:space="preserve">pre oblasť regionálneho školstva medziročne rastú. </w:t>
      </w:r>
    </w:p>
    <w:p w:rsidR="00CB350B" w:rsidRPr="00A1617C" w:rsidP="00CB350B">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356"/>
        <w:gridCol w:w="980"/>
        <w:gridCol w:w="980"/>
        <w:gridCol w:w="980"/>
        <w:gridCol w:w="980"/>
        <w:gridCol w:w="980"/>
        <w:gridCol w:w="980"/>
        <w:gridCol w:w="976"/>
      </w:tblGrid>
      <w:tr>
        <w:tblPrEx>
          <w:tblW w:w="5000" w:type="pct"/>
          <w:tblCellMar>
            <w:left w:w="70" w:type="dxa"/>
            <w:right w:w="70" w:type="dxa"/>
          </w:tblCellMar>
          <w:tblLook w:val="04A0"/>
        </w:tblPrEx>
        <w:trPr>
          <w:trHeight w:val="255"/>
        </w:trPr>
        <w:tc>
          <w:tcPr>
            <w:tcW w:w="127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CB350B" w:rsidRPr="00A94288" w:rsidP="00257E12">
            <w:pPr>
              <w:bidi w:val="0"/>
              <w:rPr>
                <w:rFonts w:ascii="Times New Roman" w:hAnsi="Times New Roman" w:cs="Times New Roman"/>
                <w:b/>
                <w:sz w:val="14"/>
                <w:szCs w:val="14"/>
                <w:lang w:eastAsia="sk-SK"/>
              </w:rPr>
            </w:pPr>
            <w:r w:rsidRPr="00A94288">
              <w:rPr>
                <w:rFonts w:ascii="Times New Roman" w:hAnsi="Times New Roman" w:cs="Times New Roman"/>
                <w:b/>
                <w:sz w:val="14"/>
                <w:szCs w:val="14"/>
                <w:lang w:eastAsia="sk-SK"/>
              </w:rPr>
              <w:t>v eurách</w:t>
            </w:r>
          </w:p>
        </w:tc>
        <w:tc>
          <w:tcPr>
            <w:tcW w:w="532" w:type="pct"/>
            <w:tcBorders>
              <w:top w:val="single" w:sz="4" w:space="0" w:color="auto"/>
              <w:left w:val="nil"/>
              <w:bottom w:val="single" w:sz="4" w:space="0" w:color="auto"/>
              <w:right w:val="single" w:sz="4" w:space="0" w:color="auto"/>
            </w:tcBorders>
            <w:shd w:val="clear" w:color="auto" w:fill="A6A6A6"/>
            <w:textDirection w:val="lrTb"/>
            <w:vAlign w:val="center"/>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2009 S</w:t>
            </w:r>
          </w:p>
        </w:tc>
        <w:tc>
          <w:tcPr>
            <w:tcW w:w="532" w:type="pct"/>
            <w:tcBorders>
              <w:top w:val="single" w:sz="4" w:space="0" w:color="auto"/>
              <w:left w:val="nil"/>
              <w:bottom w:val="single" w:sz="4" w:space="0" w:color="auto"/>
              <w:right w:val="single" w:sz="4" w:space="0" w:color="auto"/>
            </w:tcBorders>
            <w:shd w:val="clear" w:color="auto" w:fill="A6A6A6"/>
            <w:textDirection w:val="lrTb"/>
            <w:vAlign w:val="center"/>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2010 S</w:t>
            </w:r>
          </w:p>
        </w:tc>
        <w:tc>
          <w:tcPr>
            <w:tcW w:w="532" w:type="pct"/>
            <w:tcBorders>
              <w:top w:val="single" w:sz="4" w:space="0" w:color="auto"/>
              <w:left w:val="nil"/>
              <w:bottom w:val="single" w:sz="4" w:space="0" w:color="auto"/>
              <w:right w:val="single" w:sz="4" w:space="0" w:color="auto"/>
            </w:tcBorders>
            <w:shd w:val="clear" w:color="auto" w:fill="A6A6A6"/>
            <w:textDirection w:val="lrTb"/>
            <w:vAlign w:val="center"/>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2011 R</w:t>
            </w:r>
          </w:p>
        </w:tc>
        <w:tc>
          <w:tcPr>
            <w:tcW w:w="532" w:type="pct"/>
            <w:tcBorders>
              <w:top w:val="single" w:sz="4" w:space="0" w:color="auto"/>
              <w:left w:val="nil"/>
              <w:bottom w:val="single" w:sz="4" w:space="0" w:color="auto"/>
              <w:right w:val="single" w:sz="4" w:space="0" w:color="auto"/>
            </w:tcBorders>
            <w:shd w:val="clear" w:color="auto" w:fill="A6A6A6"/>
            <w:textDirection w:val="lrTb"/>
            <w:vAlign w:val="center"/>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2011 OS</w:t>
            </w:r>
          </w:p>
        </w:tc>
        <w:tc>
          <w:tcPr>
            <w:tcW w:w="532" w:type="pct"/>
            <w:tcBorders>
              <w:top w:val="single" w:sz="4" w:space="0" w:color="auto"/>
              <w:left w:val="nil"/>
              <w:bottom w:val="single" w:sz="4" w:space="0" w:color="auto"/>
              <w:right w:val="single" w:sz="4" w:space="0" w:color="auto"/>
            </w:tcBorders>
            <w:shd w:val="clear" w:color="auto" w:fill="A6A6A6"/>
            <w:textDirection w:val="lrTb"/>
            <w:vAlign w:val="center"/>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2012 N</w:t>
            </w:r>
          </w:p>
        </w:tc>
        <w:tc>
          <w:tcPr>
            <w:tcW w:w="532" w:type="pct"/>
            <w:tcBorders>
              <w:top w:val="single" w:sz="4" w:space="0" w:color="auto"/>
              <w:left w:val="nil"/>
              <w:bottom w:val="single" w:sz="4" w:space="0" w:color="auto"/>
              <w:right w:val="single" w:sz="4" w:space="0" w:color="auto"/>
            </w:tcBorders>
            <w:shd w:val="clear" w:color="auto" w:fill="A6A6A6"/>
            <w:textDirection w:val="lrTb"/>
            <w:vAlign w:val="center"/>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2013 N</w:t>
            </w:r>
          </w:p>
        </w:tc>
        <w:tc>
          <w:tcPr>
            <w:tcW w:w="531" w:type="pct"/>
            <w:tcBorders>
              <w:top w:val="single" w:sz="4" w:space="0" w:color="auto"/>
              <w:left w:val="nil"/>
              <w:bottom w:val="single" w:sz="4" w:space="0" w:color="auto"/>
              <w:right w:val="single" w:sz="4" w:space="0" w:color="auto"/>
            </w:tcBorders>
            <w:shd w:val="clear" w:color="auto" w:fill="A6A6A6"/>
            <w:textDirection w:val="lrTb"/>
            <w:vAlign w:val="center"/>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2014 N</w:t>
            </w:r>
          </w:p>
        </w:tc>
      </w:tr>
      <w:tr>
        <w:tblPrEx>
          <w:tblW w:w="5000" w:type="pct"/>
          <w:tblCellMar>
            <w:left w:w="70" w:type="dxa"/>
            <w:right w:w="70" w:type="dxa"/>
          </w:tblCellMar>
          <w:tblLook w:val="04A0"/>
        </w:tblPrEx>
        <w:trPr>
          <w:trHeight w:val="255"/>
        </w:trPr>
        <w:tc>
          <w:tcPr>
            <w:tcW w:w="127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CB350B" w:rsidRPr="00A94288" w:rsidP="00257E12">
            <w:pPr>
              <w:bidi w:val="0"/>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Výdavky kapitoly MŠVVŠ SR</w:t>
            </w:r>
          </w:p>
        </w:tc>
        <w:tc>
          <w:tcPr>
            <w:tcW w:w="532"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1 313 047 767</w:t>
            </w:r>
          </w:p>
        </w:tc>
        <w:tc>
          <w:tcPr>
            <w:tcW w:w="532"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right"/>
              <w:rPr>
                <w:rFonts w:ascii="Times New Roman" w:hAnsi="Times New Roman" w:cs="Times New Roman"/>
                <w:b/>
                <w:sz w:val="14"/>
                <w:szCs w:val="14"/>
                <w:lang w:eastAsia="sk-SK"/>
              </w:rPr>
            </w:pPr>
            <w:r w:rsidRPr="00A94288">
              <w:rPr>
                <w:rFonts w:ascii="Times New Roman" w:hAnsi="Times New Roman" w:cs="Times New Roman"/>
                <w:b/>
                <w:sz w:val="14"/>
                <w:szCs w:val="14"/>
                <w:lang w:eastAsia="sk-SK"/>
              </w:rPr>
              <w:t>1 313 472 316</w:t>
            </w:r>
          </w:p>
        </w:tc>
        <w:tc>
          <w:tcPr>
            <w:tcW w:w="532"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right"/>
              <w:rPr>
                <w:rFonts w:ascii="Times New Roman" w:hAnsi="Times New Roman" w:cs="Times New Roman"/>
                <w:b/>
                <w:sz w:val="14"/>
                <w:szCs w:val="14"/>
                <w:lang w:eastAsia="sk-SK"/>
              </w:rPr>
            </w:pPr>
            <w:r w:rsidRPr="00A94288">
              <w:rPr>
                <w:rFonts w:ascii="Times New Roman" w:hAnsi="Times New Roman" w:cs="Times New Roman"/>
                <w:b/>
                <w:sz w:val="14"/>
                <w:szCs w:val="14"/>
                <w:lang w:eastAsia="sk-SK"/>
              </w:rPr>
              <w:t>1 311 359 959</w:t>
            </w:r>
          </w:p>
        </w:tc>
        <w:tc>
          <w:tcPr>
            <w:tcW w:w="532"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right"/>
              <w:rPr>
                <w:rFonts w:ascii="Times New Roman" w:hAnsi="Times New Roman" w:cs="Times New Roman"/>
                <w:b/>
                <w:sz w:val="14"/>
                <w:szCs w:val="14"/>
                <w:lang w:eastAsia="sk-SK"/>
              </w:rPr>
            </w:pPr>
            <w:r w:rsidRPr="00A94288">
              <w:rPr>
                <w:rFonts w:ascii="Times New Roman" w:hAnsi="Times New Roman" w:cs="Times New Roman"/>
                <w:b/>
                <w:sz w:val="14"/>
                <w:szCs w:val="14"/>
                <w:lang w:eastAsia="sk-SK"/>
              </w:rPr>
              <w:t>1 310 554 645</w:t>
            </w:r>
          </w:p>
        </w:tc>
        <w:tc>
          <w:tcPr>
            <w:tcW w:w="532"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B953A4" w:rsidP="00257E12">
            <w:pPr>
              <w:bidi w:val="0"/>
              <w:jc w:val="right"/>
              <w:rPr>
                <w:rFonts w:ascii="Times New Roman" w:hAnsi="Times New Roman" w:cs="Times New Roman"/>
                <w:b/>
                <w:sz w:val="14"/>
                <w:szCs w:val="14"/>
                <w:lang w:eastAsia="sk-SK"/>
              </w:rPr>
            </w:pPr>
            <w:r w:rsidRPr="00B953A4">
              <w:rPr>
                <w:rFonts w:ascii="Times New Roman" w:hAnsi="Times New Roman" w:cs="Times New Roman"/>
                <w:b/>
                <w:sz w:val="14"/>
                <w:szCs w:val="14"/>
                <w:lang w:eastAsia="sk-SK"/>
              </w:rPr>
              <w:t>1 351 164 101</w:t>
            </w:r>
          </w:p>
        </w:tc>
        <w:tc>
          <w:tcPr>
            <w:tcW w:w="532"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B953A4" w:rsidP="00257E12">
            <w:pPr>
              <w:bidi w:val="0"/>
              <w:jc w:val="right"/>
              <w:rPr>
                <w:rFonts w:ascii="Times New Roman" w:hAnsi="Times New Roman" w:cs="Times New Roman"/>
                <w:b/>
                <w:sz w:val="14"/>
                <w:szCs w:val="14"/>
                <w:lang w:eastAsia="sk-SK"/>
              </w:rPr>
            </w:pPr>
            <w:r w:rsidRPr="00B953A4">
              <w:rPr>
                <w:rFonts w:ascii="Times New Roman" w:hAnsi="Times New Roman" w:cs="Times New Roman"/>
                <w:b/>
                <w:sz w:val="14"/>
                <w:szCs w:val="14"/>
                <w:lang w:eastAsia="sk-SK"/>
              </w:rPr>
              <w:t>1 379 618 930</w:t>
            </w:r>
          </w:p>
        </w:tc>
        <w:tc>
          <w:tcPr>
            <w:tcW w:w="531"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B953A4" w:rsidP="00257E12">
            <w:pPr>
              <w:bidi w:val="0"/>
              <w:jc w:val="right"/>
              <w:rPr>
                <w:rFonts w:ascii="Times New Roman" w:hAnsi="Times New Roman" w:cs="Times New Roman"/>
                <w:b/>
                <w:sz w:val="14"/>
                <w:szCs w:val="14"/>
                <w:lang w:eastAsia="sk-SK"/>
              </w:rPr>
            </w:pPr>
            <w:r w:rsidRPr="00B953A4">
              <w:rPr>
                <w:rFonts w:ascii="Times New Roman" w:hAnsi="Times New Roman" w:cs="Times New Roman"/>
                <w:b/>
                <w:sz w:val="14"/>
                <w:szCs w:val="14"/>
                <w:lang w:eastAsia="sk-SK"/>
              </w:rPr>
              <w:t>1 422 747 133</w:t>
            </w:r>
          </w:p>
        </w:tc>
      </w:tr>
      <w:tr>
        <w:tblPrEx>
          <w:tblW w:w="5000" w:type="pct"/>
          <w:tblCellMar>
            <w:left w:w="70" w:type="dxa"/>
            <w:right w:w="70" w:type="dxa"/>
          </w:tblCellMar>
          <w:tblLook w:val="04A0"/>
        </w:tblPrEx>
        <w:trPr>
          <w:trHeight w:val="270"/>
        </w:trPr>
        <w:tc>
          <w:tcPr>
            <w:tcW w:w="1278"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 xml:space="preserve">Normatívne výdavky </w:t>
            </w:r>
          </w:p>
        </w:tc>
        <w:tc>
          <w:tcPr>
            <w:tcW w:w="53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1 195 894 542</w:t>
            </w:r>
          </w:p>
        </w:tc>
        <w:tc>
          <w:tcPr>
            <w:tcW w:w="53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1 213 170 465</w:t>
            </w:r>
          </w:p>
        </w:tc>
        <w:tc>
          <w:tcPr>
            <w:tcW w:w="53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1 204 999 759</w:t>
            </w:r>
          </w:p>
        </w:tc>
        <w:tc>
          <w:tcPr>
            <w:tcW w:w="53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1 201 251 551</w:t>
            </w:r>
          </w:p>
        </w:tc>
        <w:tc>
          <w:tcPr>
            <w:tcW w:w="532" w:type="pct"/>
            <w:tcBorders>
              <w:top w:val="nil"/>
              <w:left w:val="nil"/>
              <w:bottom w:val="single" w:sz="4" w:space="0" w:color="auto"/>
              <w:right w:val="single" w:sz="4" w:space="0" w:color="auto"/>
            </w:tcBorders>
            <w:noWrap/>
            <w:textDirection w:val="lrTb"/>
            <w:vAlign w:val="bottom"/>
            <w:hideMark/>
          </w:tcPr>
          <w:p w:rsidR="00CB350B" w:rsidRPr="00B953A4" w:rsidP="00257E12">
            <w:pPr>
              <w:bidi w:val="0"/>
              <w:jc w:val="right"/>
              <w:rPr>
                <w:rFonts w:ascii="Times New Roman" w:hAnsi="Times New Roman" w:cs="Times New Roman"/>
                <w:sz w:val="14"/>
                <w:szCs w:val="14"/>
                <w:lang w:eastAsia="sk-SK"/>
              </w:rPr>
            </w:pPr>
            <w:r w:rsidRPr="00B953A4">
              <w:rPr>
                <w:rFonts w:ascii="Times New Roman" w:hAnsi="Times New Roman" w:cs="Times New Roman"/>
                <w:sz w:val="14"/>
                <w:szCs w:val="14"/>
                <w:lang w:eastAsia="sk-SK"/>
              </w:rPr>
              <w:t>1 245 574 165</w:t>
            </w:r>
          </w:p>
        </w:tc>
        <w:tc>
          <w:tcPr>
            <w:tcW w:w="532" w:type="pct"/>
            <w:tcBorders>
              <w:top w:val="nil"/>
              <w:left w:val="nil"/>
              <w:bottom w:val="single" w:sz="4" w:space="0" w:color="auto"/>
              <w:right w:val="single" w:sz="4" w:space="0" w:color="auto"/>
            </w:tcBorders>
            <w:noWrap/>
            <w:textDirection w:val="lrTb"/>
            <w:vAlign w:val="bottom"/>
            <w:hideMark/>
          </w:tcPr>
          <w:p w:rsidR="00CB350B" w:rsidRPr="00B953A4" w:rsidP="00257E12">
            <w:pPr>
              <w:bidi w:val="0"/>
              <w:jc w:val="right"/>
              <w:rPr>
                <w:rFonts w:ascii="Times New Roman" w:hAnsi="Times New Roman" w:cs="Times New Roman"/>
                <w:sz w:val="14"/>
                <w:szCs w:val="14"/>
                <w:lang w:eastAsia="sk-SK"/>
              </w:rPr>
            </w:pPr>
            <w:r w:rsidRPr="00B953A4">
              <w:rPr>
                <w:rFonts w:ascii="Times New Roman" w:hAnsi="Times New Roman" w:cs="Times New Roman"/>
                <w:sz w:val="14"/>
                <w:szCs w:val="14"/>
                <w:lang w:eastAsia="sk-SK"/>
              </w:rPr>
              <w:t>1 274 195 055</w:t>
            </w:r>
          </w:p>
        </w:tc>
        <w:tc>
          <w:tcPr>
            <w:tcW w:w="531" w:type="pct"/>
            <w:tcBorders>
              <w:top w:val="nil"/>
              <w:left w:val="nil"/>
              <w:bottom w:val="single" w:sz="4" w:space="0" w:color="auto"/>
              <w:right w:val="single" w:sz="4" w:space="0" w:color="auto"/>
            </w:tcBorders>
            <w:noWrap/>
            <w:textDirection w:val="lrTb"/>
            <w:vAlign w:val="bottom"/>
            <w:hideMark/>
          </w:tcPr>
          <w:p w:rsidR="00CB350B" w:rsidRPr="00B953A4" w:rsidP="00257E12">
            <w:pPr>
              <w:bidi w:val="0"/>
              <w:jc w:val="right"/>
              <w:rPr>
                <w:rFonts w:ascii="Times New Roman" w:hAnsi="Times New Roman" w:cs="Times New Roman"/>
                <w:sz w:val="14"/>
                <w:szCs w:val="14"/>
                <w:lang w:eastAsia="sk-SK"/>
              </w:rPr>
            </w:pPr>
            <w:r w:rsidRPr="00B953A4">
              <w:rPr>
                <w:rFonts w:ascii="Times New Roman" w:hAnsi="Times New Roman" w:cs="Times New Roman"/>
                <w:sz w:val="14"/>
                <w:szCs w:val="14"/>
                <w:lang w:eastAsia="sk-SK"/>
              </w:rPr>
              <w:t>1 317 042 880</w:t>
            </w:r>
          </w:p>
        </w:tc>
      </w:tr>
      <w:tr>
        <w:tblPrEx>
          <w:tblW w:w="5000" w:type="pct"/>
          <w:tblCellMar>
            <w:left w:w="70" w:type="dxa"/>
            <w:right w:w="70" w:type="dxa"/>
          </w:tblCellMar>
          <w:tblLook w:val="04A0"/>
        </w:tblPrEx>
        <w:trPr>
          <w:trHeight w:val="240"/>
        </w:trPr>
        <w:tc>
          <w:tcPr>
            <w:tcW w:w="1278" w:type="pct"/>
            <w:tcBorders>
              <w:top w:val="nil"/>
              <w:left w:val="single" w:sz="4" w:space="0" w:color="auto"/>
              <w:bottom w:val="single" w:sz="4" w:space="0" w:color="auto"/>
              <w:right w:val="single" w:sz="4" w:space="0" w:color="auto"/>
            </w:tcBorders>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 xml:space="preserve">Nenormatívne  výdavky </w:t>
            </w:r>
          </w:p>
        </w:tc>
        <w:tc>
          <w:tcPr>
            <w:tcW w:w="53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74 514 595</w:t>
            </w:r>
          </w:p>
        </w:tc>
        <w:tc>
          <w:tcPr>
            <w:tcW w:w="53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67 335 495</w:t>
            </w:r>
          </w:p>
        </w:tc>
        <w:tc>
          <w:tcPr>
            <w:tcW w:w="53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72 328 268</w:t>
            </w:r>
          </w:p>
        </w:tc>
        <w:tc>
          <w:tcPr>
            <w:tcW w:w="53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72 622 311</w:t>
            </w:r>
          </w:p>
        </w:tc>
        <w:tc>
          <w:tcPr>
            <w:tcW w:w="532" w:type="pct"/>
            <w:tcBorders>
              <w:top w:val="nil"/>
              <w:left w:val="nil"/>
              <w:bottom w:val="single" w:sz="4" w:space="0" w:color="auto"/>
              <w:right w:val="single" w:sz="4" w:space="0" w:color="auto"/>
            </w:tcBorders>
            <w:noWrap/>
            <w:textDirection w:val="lrTb"/>
            <w:vAlign w:val="bottom"/>
            <w:hideMark/>
          </w:tcPr>
          <w:p w:rsidR="00CB350B" w:rsidRPr="00B953A4" w:rsidP="00257E12">
            <w:pPr>
              <w:bidi w:val="0"/>
              <w:jc w:val="right"/>
              <w:rPr>
                <w:rFonts w:ascii="Times New Roman" w:hAnsi="Times New Roman" w:cs="Times New Roman"/>
                <w:sz w:val="14"/>
                <w:szCs w:val="14"/>
                <w:lang w:eastAsia="sk-SK"/>
              </w:rPr>
            </w:pPr>
            <w:r w:rsidRPr="00B953A4">
              <w:rPr>
                <w:rFonts w:ascii="Times New Roman" w:hAnsi="Times New Roman" w:cs="Times New Roman"/>
                <w:sz w:val="14"/>
                <w:szCs w:val="14"/>
                <w:lang w:eastAsia="sk-SK"/>
              </w:rPr>
              <w:t>75 933 687</w:t>
            </w:r>
          </w:p>
        </w:tc>
        <w:tc>
          <w:tcPr>
            <w:tcW w:w="532" w:type="pct"/>
            <w:tcBorders>
              <w:top w:val="nil"/>
              <w:left w:val="nil"/>
              <w:bottom w:val="single" w:sz="4" w:space="0" w:color="auto"/>
              <w:right w:val="single" w:sz="4" w:space="0" w:color="auto"/>
            </w:tcBorders>
            <w:noWrap/>
            <w:textDirection w:val="lrTb"/>
            <w:vAlign w:val="bottom"/>
            <w:hideMark/>
          </w:tcPr>
          <w:p w:rsidR="00CB350B" w:rsidRPr="00B953A4" w:rsidP="00257E12">
            <w:pPr>
              <w:bidi w:val="0"/>
              <w:jc w:val="right"/>
              <w:rPr>
                <w:rFonts w:ascii="Times New Roman" w:hAnsi="Times New Roman" w:cs="Times New Roman"/>
                <w:sz w:val="14"/>
                <w:szCs w:val="14"/>
                <w:lang w:eastAsia="sk-SK"/>
              </w:rPr>
            </w:pPr>
            <w:r w:rsidRPr="00B953A4">
              <w:rPr>
                <w:rFonts w:ascii="Times New Roman" w:hAnsi="Times New Roman" w:cs="Times New Roman"/>
                <w:sz w:val="14"/>
                <w:szCs w:val="14"/>
                <w:lang w:eastAsia="sk-SK"/>
              </w:rPr>
              <w:t>75 933 687</w:t>
            </w:r>
          </w:p>
        </w:tc>
        <w:tc>
          <w:tcPr>
            <w:tcW w:w="531" w:type="pct"/>
            <w:tcBorders>
              <w:top w:val="nil"/>
              <w:left w:val="nil"/>
              <w:bottom w:val="single" w:sz="4" w:space="0" w:color="auto"/>
              <w:right w:val="single" w:sz="4" w:space="0" w:color="auto"/>
            </w:tcBorders>
            <w:noWrap/>
            <w:textDirection w:val="lrTb"/>
            <w:vAlign w:val="bottom"/>
            <w:hideMark/>
          </w:tcPr>
          <w:p w:rsidR="00CB350B" w:rsidRPr="00B953A4" w:rsidP="00257E12">
            <w:pPr>
              <w:bidi w:val="0"/>
              <w:jc w:val="right"/>
              <w:rPr>
                <w:rFonts w:ascii="Times New Roman" w:hAnsi="Times New Roman" w:cs="Times New Roman"/>
                <w:sz w:val="14"/>
                <w:szCs w:val="14"/>
                <w:lang w:eastAsia="sk-SK"/>
              </w:rPr>
            </w:pPr>
            <w:r w:rsidRPr="00B953A4">
              <w:rPr>
                <w:rFonts w:ascii="Times New Roman" w:hAnsi="Times New Roman" w:cs="Times New Roman"/>
                <w:sz w:val="14"/>
                <w:szCs w:val="14"/>
                <w:lang w:eastAsia="sk-SK"/>
              </w:rPr>
              <w:t>75 933 687</w:t>
            </w:r>
          </w:p>
        </w:tc>
      </w:tr>
      <w:tr>
        <w:tblPrEx>
          <w:tblW w:w="5000" w:type="pct"/>
          <w:tblCellMar>
            <w:left w:w="70" w:type="dxa"/>
            <w:right w:w="70" w:type="dxa"/>
          </w:tblCellMar>
          <w:tblLook w:val="04A0"/>
        </w:tblPrEx>
        <w:trPr>
          <w:trHeight w:val="255"/>
        </w:trPr>
        <w:tc>
          <w:tcPr>
            <w:tcW w:w="1278"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 xml:space="preserve">Administratívne výdavky </w:t>
            </w:r>
          </w:p>
        </w:tc>
        <w:tc>
          <w:tcPr>
            <w:tcW w:w="53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39 741 312</w:t>
            </w:r>
          </w:p>
        </w:tc>
        <w:tc>
          <w:tcPr>
            <w:tcW w:w="53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29 515 788</w:t>
            </w:r>
          </w:p>
        </w:tc>
        <w:tc>
          <w:tcPr>
            <w:tcW w:w="53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30 629 415</w:t>
            </w:r>
          </w:p>
        </w:tc>
        <w:tc>
          <w:tcPr>
            <w:tcW w:w="53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33 278 266</w:t>
            </w:r>
          </w:p>
        </w:tc>
        <w:tc>
          <w:tcPr>
            <w:tcW w:w="53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26 265 917</w:t>
            </w:r>
          </w:p>
        </w:tc>
        <w:tc>
          <w:tcPr>
            <w:tcW w:w="53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26 087 671</w:t>
            </w:r>
          </w:p>
        </w:tc>
        <w:tc>
          <w:tcPr>
            <w:tcW w:w="53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26 368 049</w:t>
            </w:r>
          </w:p>
        </w:tc>
      </w:tr>
      <w:tr>
        <w:tblPrEx>
          <w:tblW w:w="5000" w:type="pct"/>
          <w:tblCellMar>
            <w:left w:w="70" w:type="dxa"/>
            <w:right w:w="70" w:type="dxa"/>
          </w:tblCellMar>
          <w:tblLook w:val="04A0"/>
        </w:tblPrEx>
        <w:trPr>
          <w:trHeight w:val="255"/>
        </w:trPr>
        <w:tc>
          <w:tcPr>
            <w:tcW w:w="1278"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 xml:space="preserve">Výdavky na štipendiá </w:t>
            </w:r>
          </w:p>
        </w:tc>
        <w:tc>
          <w:tcPr>
            <w:tcW w:w="53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2 897 318</w:t>
            </w:r>
          </w:p>
        </w:tc>
        <w:tc>
          <w:tcPr>
            <w:tcW w:w="53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3 450 568</w:t>
            </w:r>
          </w:p>
        </w:tc>
        <w:tc>
          <w:tcPr>
            <w:tcW w:w="53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3 402 517</w:t>
            </w:r>
          </w:p>
        </w:tc>
        <w:tc>
          <w:tcPr>
            <w:tcW w:w="53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3 402 517</w:t>
            </w:r>
          </w:p>
        </w:tc>
        <w:tc>
          <w:tcPr>
            <w:tcW w:w="53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3 390 332</w:t>
            </w:r>
          </w:p>
        </w:tc>
        <w:tc>
          <w:tcPr>
            <w:tcW w:w="53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3 402 517</w:t>
            </w:r>
          </w:p>
        </w:tc>
        <w:tc>
          <w:tcPr>
            <w:tcW w:w="53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3 402 517</w:t>
            </w:r>
          </w:p>
        </w:tc>
      </w:tr>
    </w:tbl>
    <w:p w:rsidR="00CB350B" w:rsidRPr="00474C0B" w:rsidP="00CB350B">
      <w:pPr>
        <w:bidi w:val="0"/>
        <w:jc w:val="both"/>
        <w:rPr>
          <w:rFonts w:ascii="Times New Roman" w:hAnsi="Times New Roman" w:cs="Times New Roman"/>
        </w:rPr>
      </w:pPr>
    </w:p>
    <w:p w:rsidR="00CB350B" w:rsidP="00CB350B">
      <w:pPr>
        <w:bidi w:val="0"/>
        <w:ind w:firstLine="708"/>
        <w:jc w:val="both"/>
        <w:rPr>
          <w:rFonts w:ascii="Times New Roman" w:hAnsi="Times New Roman" w:cs="Times New Roman"/>
        </w:rPr>
      </w:pPr>
      <w:r w:rsidRPr="00432A91">
        <w:rPr>
          <w:rFonts w:ascii="Times New Roman" w:hAnsi="Times New Roman" w:cs="Times New Roman"/>
        </w:rPr>
        <w:t xml:space="preserve">Výdavky štátneho rozpočtu poskytované prostredníctvom MŠVVŠ SR na regionálne školstvo v roku 2012 rastú oproti schválenému rozpočtu </w:t>
      </w:r>
      <w:r w:rsidRPr="00B953A4">
        <w:rPr>
          <w:rFonts w:ascii="Times New Roman" w:hAnsi="Times New Roman" w:cs="Times New Roman"/>
        </w:rPr>
        <w:t>roku 2011 o 39,8 mil. eur, t.</w:t>
      </w:r>
      <w:r>
        <w:rPr>
          <w:rFonts w:ascii="Times New Roman" w:hAnsi="Times New Roman" w:cs="Times New Roman"/>
        </w:rPr>
        <w:t xml:space="preserve"> </w:t>
      </w:r>
      <w:r w:rsidRPr="00B953A4">
        <w:rPr>
          <w:rFonts w:ascii="Times New Roman" w:hAnsi="Times New Roman" w:cs="Times New Roman"/>
        </w:rPr>
        <w:t xml:space="preserve">j. </w:t>
      </w:r>
      <w:r>
        <w:rPr>
          <w:rFonts w:ascii="Times New Roman" w:hAnsi="Times New Roman" w:cs="Times New Roman"/>
        </w:rPr>
        <w:t xml:space="preserve">o </w:t>
      </w:r>
      <w:r w:rsidRPr="00B953A4">
        <w:rPr>
          <w:rFonts w:ascii="Times New Roman" w:hAnsi="Times New Roman" w:cs="Times New Roman"/>
        </w:rPr>
        <w:t>3,04</w:t>
      </w:r>
      <w:r>
        <w:rPr>
          <w:rFonts w:ascii="Times New Roman" w:hAnsi="Times New Roman" w:cs="Times New Roman"/>
        </w:rPr>
        <w:t> </w:t>
      </w:r>
      <w:r w:rsidRPr="00B953A4">
        <w:rPr>
          <w:rFonts w:ascii="Times New Roman" w:hAnsi="Times New Roman" w:cs="Times New Roman"/>
        </w:rPr>
        <w:t>%</w:t>
      </w:r>
      <w:r w:rsidRPr="000623A8">
        <w:rPr>
          <w:rFonts w:ascii="Times New Roman" w:hAnsi="Times New Roman" w:cs="Times New Roman"/>
          <w:bCs/>
        </w:rPr>
        <w:t>.</w:t>
      </w:r>
      <w:r w:rsidRPr="00B953A4">
        <w:rPr>
          <w:rFonts w:ascii="Times New Roman" w:hAnsi="Times New Roman" w:cs="Times New Roman"/>
          <w:b/>
          <w:bCs/>
        </w:rPr>
        <w:t xml:space="preserve"> </w:t>
      </w:r>
      <w:r w:rsidRPr="00B953A4">
        <w:rPr>
          <w:rFonts w:ascii="Times New Roman" w:hAnsi="Times New Roman" w:cs="Times New Roman"/>
        </w:rPr>
        <w:t>Zvýšenie výdavkov sa týka najmä normatívnych výdavkov, ktoré rastú o </w:t>
      </w:r>
      <w:r w:rsidR="00450760">
        <w:rPr>
          <w:rFonts w:ascii="Times New Roman" w:hAnsi="Times New Roman" w:cs="Times New Roman"/>
        </w:rPr>
        <w:br/>
      </w:r>
      <w:r w:rsidRPr="00B953A4">
        <w:rPr>
          <w:rFonts w:ascii="Times New Roman" w:hAnsi="Times New Roman" w:cs="Times New Roman"/>
        </w:rPr>
        <w:t>40,6 mil. eur, t.</w:t>
      </w:r>
      <w:r>
        <w:rPr>
          <w:rFonts w:ascii="Times New Roman" w:hAnsi="Times New Roman" w:cs="Times New Roman"/>
        </w:rPr>
        <w:t xml:space="preserve"> </w:t>
      </w:r>
      <w:r w:rsidRPr="00B953A4">
        <w:rPr>
          <w:rFonts w:ascii="Times New Roman" w:hAnsi="Times New Roman" w:cs="Times New Roman"/>
        </w:rPr>
        <w:t>j. o 3,37 % (osobné výdavky) a nenormatívnych výdavkoch, ktoré rastú o 3,60 mil. eur, čo je 4,98 %.</w:t>
      </w:r>
      <w:r w:rsidRPr="00432A91">
        <w:rPr>
          <w:rFonts w:ascii="Times New Roman" w:hAnsi="Times New Roman" w:cs="Times New Roman"/>
        </w:rPr>
        <w:t xml:space="preserve"> </w:t>
      </w:r>
    </w:p>
    <w:p w:rsidR="00CB350B" w:rsidRPr="00432A91" w:rsidP="00CB350B">
      <w:pPr>
        <w:bidi w:val="0"/>
        <w:ind w:firstLine="708"/>
        <w:jc w:val="both"/>
        <w:rPr>
          <w:rFonts w:ascii="Times New Roman" w:hAnsi="Times New Roman" w:cs="Times New Roman"/>
        </w:rPr>
      </w:pPr>
    </w:p>
    <w:p w:rsidR="00CB350B" w:rsidRPr="00432A91" w:rsidP="00CB350B">
      <w:pPr>
        <w:bidi w:val="0"/>
        <w:ind w:firstLine="708"/>
        <w:jc w:val="both"/>
        <w:rPr>
          <w:rFonts w:ascii="Times New Roman" w:hAnsi="Times New Roman" w:cs="Times New Roman"/>
        </w:rPr>
      </w:pPr>
      <w:r w:rsidRPr="00432A91">
        <w:rPr>
          <w:rFonts w:ascii="Times New Roman" w:hAnsi="Times New Roman" w:cs="Times New Roman"/>
        </w:rPr>
        <w:t>V limite výdavkov sú zabezpečené normatívne výdavky, nenormatívne výdavky, administratívne výdavky pre organizácie rezortu, ktoré vykonávajú činnosť súvisiacu s regionálnym školstvom</w:t>
      </w:r>
      <w:r>
        <w:rPr>
          <w:rFonts w:ascii="Times New Roman" w:hAnsi="Times New Roman" w:cs="Times New Roman"/>
        </w:rPr>
        <w:t>,</w:t>
      </w:r>
      <w:r w:rsidRPr="00432A91">
        <w:rPr>
          <w:rFonts w:ascii="Times New Roman" w:hAnsi="Times New Roman" w:cs="Times New Roman"/>
        </w:rPr>
        <w:t xml:space="preserve"> a výdavky na štipendiá. </w:t>
      </w:r>
    </w:p>
    <w:p w:rsidR="00CB350B" w:rsidRPr="00432A91" w:rsidP="00CB350B">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3100"/>
        <w:gridCol w:w="975"/>
        <w:gridCol w:w="1019"/>
        <w:gridCol w:w="1019"/>
        <w:gridCol w:w="1019"/>
        <w:gridCol w:w="1019"/>
        <w:gridCol w:w="1061"/>
      </w:tblGrid>
      <w:tr>
        <w:tblPrEx>
          <w:tblW w:w="5000" w:type="pct"/>
          <w:tblCellMar>
            <w:left w:w="70" w:type="dxa"/>
            <w:right w:w="70" w:type="dxa"/>
          </w:tblCellMar>
          <w:tblLook w:val="04A0"/>
        </w:tblPrEx>
        <w:trPr>
          <w:trHeight w:val="255"/>
        </w:trPr>
        <w:tc>
          <w:tcPr>
            <w:tcW w:w="1683"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 </w:t>
            </w:r>
          </w:p>
        </w:tc>
        <w:tc>
          <w:tcPr>
            <w:tcW w:w="529"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2009 S</w:t>
            </w:r>
          </w:p>
        </w:tc>
        <w:tc>
          <w:tcPr>
            <w:tcW w:w="553"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2010 S</w:t>
            </w:r>
          </w:p>
        </w:tc>
        <w:tc>
          <w:tcPr>
            <w:tcW w:w="553"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2011</w:t>
            </w:r>
          </w:p>
        </w:tc>
        <w:tc>
          <w:tcPr>
            <w:tcW w:w="553"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2012</w:t>
            </w:r>
          </w:p>
        </w:tc>
        <w:tc>
          <w:tcPr>
            <w:tcW w:w="553"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2013</w:t>
            </w:r>
          </w:p>
        </w:tc>
        <w:tc>
          <w:tcPr>
            <w:tcW w:w="576"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2014</w:t>
            </w:r>
          </w:p>
        </w:tc>
      </w:tr>
      <w:tr>
        <w:tblPrEx>
          <w:tblW w:w="5000" w:type="pct"/>
          <w:tblCellMar>
            <w:left w:w="70" w:type="dxa"/>
            <w:right w:w="70" w:type="dxa"/>
          </w:tblCellMar>
          <w:tblLook w:val="04A0"/>
        </w:tblPrEx>
        <w:trPr>
          <w:trHeight w:val="255"/>
        </w:trPr>
        <w:tc>
          <w:tcPr>
            <w:tcW w:w="1683"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Počet  žiakov v školách</w:t>
            </w:r>
          </w:p>
        </w:tc>
        <w:tc>
          <w:tcPr>
            <w:tcW w:w="52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771 265</w:t>
            </w:r>
          </w:p>
        </w:tc>
        <w:tc>
          <w:tcPr>
            <w:tcW w:w="553"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749 106</w:t>
            </w:r>
          </w:p>
        </w:tc>
        <w:tc>
          <w:tcPr>
            <w:tcW w:w="553"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736 274</w:t>
            </w:r>
          </w:p>
        </w:tc>
        <w:tc>
          <w:tcPr>
            <w:tcW w:w="553" w:type="pct"/>
            <w:tcBorders>
              <w:top w:val="nil"/>
              <w:left w:val="nil"/>
              <w:bottom w:val="single" w:sz="4" w:space="0" w:color="auto"/>
              <w:right w:val="single" w:sz="4" w:space="0" w:color="auto"/>
            </w:tcBorders>
            <w:noWrap/>
            <w:textDirection w:val="lrTb"/>
            <w:vAlign w:val="bottom"/>
            <w:hideMark/>
          </w:tcPr>
          <w:p w:rsidR="00CB350B" w:rsidRPr="00B953A4" w:rsidP="00257E12">
            <w:pPr>
              <w:bidi w:val="0"/>
              <w:jc w:val="right"/>
              <w:rPr>
                <w:rFonts w:ascii="Times New Roman" w:hAnsi="Times New Roman" w:cs="Times New Roman"/>
                <w:color w:val="000000"/>
                <w:sz w:val="14"/>
                <w:szCs w:val="14"/>
              </w:rPr>
            </w:pPr>
            <w:r w:rsidRPr="00B953A4">
              <w:rPr>
                <w:rFonts w:ascii="Times New Roman" w:hAnsi="Times New Roman" w:cs="Times New Roman"/>
                <w:color w:val="000000"/>
                <w:sz w:val="14"/>
                <w:szCs w:val="14"/>
              </w:rPr>
              <w:t>722 304</w:t>
            </w:r>
          </w:p>
        </w:tc>
        <w:tc>
          <w:tcPr>
            <w:tcW w:w="553" w:type="pct"/>
            <w:tcBorders>
              <w:top w:val="nil"/>
              <w:left w:val="nil"/>
              <w:bottom w:val="single" w:sz="4" w:space="0" w:color="auto"/>
              <w:right w:val="single" w:sz="4" w:space="0" w:color="auto"/>
            </w:tcBorders>
            <w:noWrap/>
            <w:textDirection w:val="lrTb"/>
            <w:vAlign w:val="bottom"/>
            <w:hideMark/>
          </w:tcPr>
          <w:p w:rsidR="00CB350B" w:rsidRPr="00B953A4" w:rsidP="00257E12">
            <w:pPr>
              <w:bidi w:val="0"/>
              <w:jc w:val="right"/>
              <w:rPr>
                <w:rFonts w:ascii="Times New Roman" w:hAnsi="Times New Roman" w:cs="Times New Roman"/>
                <w:color w:val="000000"/>
                <w:sz w:val="14"/>
                <w:szCs w:val="14"/>
              </w:rPr>
            </w:pPr>
            <w:r w:rsidRPr="00B953A4">
              <w:rPr>
                <w:rFonts w:ascii="Times New Roman" w:hAnsi="Times New Roman" w:cs="Times New Roman"/>
                <w:color w:val="000000"/>
                <w:sz w:val="14"/>
                <w:szCs w:val="14"/>
              </w:rPr>
              <w:t>712 718</w:t>
            </w:r>
          </w:p>
        </w:tc>
        <w:tc>
          <w:tcPr>
            <w:tcW w:w="576" w:type="pct"/>
            <w:tcBorders>
              <w:top w:val="nil"/>
              <w:left w:val="nil"/>
              <w:bottom w:val="single" w:sz="4" w:space="0" w:color="auto"/>
              <w:right w:val="single" w:sz="4" w:space="0" w:color="auto"/>
            </w:tcBorders>
            <w:noWrap/>
            <w:textDirection w:val="lrTb"/>
            <w:vAlign w:val="bottom"/>
            <w:hideMark/>
          </w:tcPr>
          <w:p w:rsidR="00CB350B" w:rsidRPr="00B953A4" w:rsidP="00257E12">
            <w:pPr>
              <w:bidi w:val="0"/>
              <w:jc w:val="right"/>
              <w:rPr>
                <w:rFonts w:ascii="Times New Roman" w:hAnsi="Times New Roman" w:cs="Times New Roman"/>
                <w:color w:val="000000"/>
                <w:sz w:val="14"/>
                <w:szCs w:val="14"/>
              </w:rPr>
            </w:pPr>
            <w:r w:rsidRPr="00B953A4">
              <w:rPr>
                <w:rFonts w:ascii="Times New Roman" w:hAnsi="Times New Roman" w:cs="Times New Roman"/>
                <w:color w:val="000000"/>
                <w:sz w:val="14"/>
                <w:szCs w:val="14"/>
              </w:rPr>
              <w:t>708 978</w:t>
            </w:r>
          </w:p>
        </w:tc>
      </w:tr>
      <w:tr>
        <w:tblPrEx>
          <w:tblW w:w="5000" w:type="pct"/>
          <w:tblCellMar>
            <w:left w:w="70" w:type="dxa"/>
            <w:right w:w="70" w:type="dxa"/>
          </w:tblCellMar>
          <w:tblLook w:val="04A0"/>
        </w:tblPrEx>
        <w:trPr>
          <w:trHeight w:val="255"/>
        </w:trPr>
        <w:tc>
          <w:tcPr>
            <w:tcW w:w="168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medziročná zmena v %</w:t>
            </w:r>
          </w:p>
        </w:tc>
        <w:tc>
          <w:tcPr>
            <w:tcW w:w="52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-2,94%</w:t>
            </w:r>
          </w:p>
        </w:tc>
        <w:tc>
          <w:tcPr>
            <w:tcW w:w="553"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-2,87%</w:t>
            </w:r>
          </w:p>
        </w:tc>
        <w:tc>
          <w:tcPr>
            <w:tcW w:w="553"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-1,71%</w:t>
            </w:r>
          </w:p>
        </w:tc>
        <w:tc>
          <w:tcPr>
            <w:tcW w:w="553"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B953A4" w:rsidP="00257E12">
            <w:pPr>
              <w:bidi w:val="0"/>
              <w:jc w:val="right"/>
              <w:rPr>
                <w:rFonts w:ascii="Times New Roman" w:hAnsi="Times New Roman" w:cs="Times New Roman"/>
                <w:color w:val="000000"/>
                <w:sz w:val="14"/>
                <w:szCs w:val="14"/>
              </w:rPr>
            </w:pPr>
            <w:r w:rsidRPr="00B953A4">
              <w:rPr>
                <w:rFonts w:ascii="Times New Roman" w:hAnsi="Times New Roman" w:cs="Times New Roman"/>
                <w:color w:val="000000"/>
                <w:sz w:val="14"/>
                <w:szCs w:val="14"/>
              </w:rPr>
              <w:t>-1,90%</w:t>
            </w:r>
          </w:p>
        </w:tc>
        <w:tc>
          <w:tcPr>
            <w:tcW w:w="553"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B953A4" w:rsidP="00257E12">
            <w:pPr>
              <w:bidi w:val="0"/>
              <w:jc w:val="right"/>
              <w:rPr>
                <w:rFonts w:ascii="Times New Roman" w:hAnsi="Times New Roman" w:cs="Times New Roman"/>
                <w:color w:val="000000"/>
                <w:sz w:val="14"/>
                <w:szCs w:val="14"/>
              </w:rPr>
            </w:pPr>
            <w:r w:rsidRPr="00B953A4">
              <w:rPr>
                <w:rFonts w:ascii="Times New Roman" w:hAnsi="Times New Roman" w:cs="Times New Roman"/>
                <w:color w:val="000000"/>
                <w:sz w:val="14"/>
                <w:szCs w:val="14"/>
              </w:rPr>
              <w:t>-1,33%</w:t>
            </w:r>
          </w:p>
        </w:tc>
        <w:tc>
          <w:tcPr>
            <w:tcW w:w="576"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B953A4" w:rsidP="00257E12">
            <w:pPr>
              <w:bidi w:val="0"/>
              <w:jc w:val="right"/>
              <w:rPr>
                <w:rFonts w:ascii="Times New Roman" w:hAnsi="Times New Roman" w:cs="Times New Roman"/>
                <w:color w:val="000000"/>
                <w:sz w:val="14"/>
                <w:szCs w:val="14"/>
              </w:rPr>
            </w:pPr>
            <w:r w:rsidRPr="00B953A4">
              <w:rPr>
                <w:rFonts w:ascii="Times New Roman" w:hAnsi="Times New Roman" w:cs="Times New Roman"/>
                <w:color w:val="000000"/>
                <w:sz w:val="14"/>
                <w:szCs w:val="14"/>
              </w:rPr>
              <w:t>-0,52%</w:t>
            </w:r>
          </w:p>
        </w:tc>
      </w:tr>
      <w:tr>
        <w:tblPrEx>
          <w:tblW w:w="5000" w:type="pct"/>
          <w:tblCellMar>
            <w:left w:w="70" w:type="dxa"/>
            <w:right w:w="70" w:type="dxa"/>
          </w:tblCellMar>
          <w:tblLook w:val="04A0"/>
        </w:tblPrEx>
        <w:trPr>
          <w:trHeight w:val="255"/>
        </w:trPr>
        <w:tc>
          <w:tcPr>
            <w:tcW w:w="1683"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Výdavky na žiaka školy v eurách</w:t>
            </w:r>
          </w:p>
        </w:tc>
        <w:tc>
          <w:tcPr>
            <w:tcW w:w="52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 xml:space="preserve">1 </w:t>
            </w:r>
            <w:r>
              <w:rPr>
                <w:rFonts w:ascii="Times New Roman" w:hAnsi="Times New Roman" w:cs="Times New Roman"/>
                <w:sz w:val="14"/>
                <w:szCs w:val="14"/>
              </w:rPr>
              <w:t>702</w:t>
            </w:r>
          </w:p>
        </w:tc>
        <w:tc>
          <w:tcPr>
            <w:tcW w:w="553"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1 75</w:t>
            </w:r>
            <w:r>
              <w:rPr>
                <w:rFonts w:ascii="Times New Roman" w:hAnsi="Times New Roman" w:cs="Times New Roman"/>
                <w:sz w:val="14"/>
                <w:szCs w:val="14"/>
              </w:rPr>
              <w:t>3</w:t>
            </w:r>
          </w:p>
        </w:tc>
        <w:tc>
          <w:tcPr>
            <w:tcW w:w="553" w:type="pct"/>
            <w:tcBorders>
              <w:top w:val="nil"/>
              <w:left w:val="nil"/>
              <w:bottom w:val="single" w:sz="4" w:space="0" w:color="auto"/>
              <w:right w:val="single" w:sz="4" w:space="0" w:color="auto"/>
            </w:tcBorders>
            <w:noWrap/>
            <w:textDirection w:val="lrTb"/>
            <w:vAlign w:val="bottom"/>
            <w:hideMark/>
          </w:tcPr>
          <w:p w:rsidR="00CB350B" w:rsidRPr="003D6865" w:rsidP="00257E12">
            <w:pPr>
              <w:bidi w:val="0"/>
              <w:jc w:val="right"/>
              <w:rPr>
                <w:rFonts w:ascii="Times New Roman" w:hAnsi="Times New Roman" w:cs="Times New Roman"/>
                <w:sz w:val="14"/>
                <w:szCs w:val="14"/>
                <w:highlight w:val="yellow"/>
              </w:rPr>
            </w:pPr>
            <w:r w:rsidRPr="00997D58">
              <w:rPr>
                <w:rFonts w:ascii="Times New Roman" w:hAnsi="Times New Roman" w:cs="Times New Roman"/>
                <w:sz w:val="14"/>
                <w:szCs w:val="14"/>
              </w:rPr>
              <w:t>1 781</w:t>
            </w:r>
          </w:p>
        </w:tc>
        <w:tc>
          <w:tcPr>
            <w:tcW w:w="553" w:type="pct"/>
            <w:tcBorders>
              <w:top w:val="nil"/>
              <w:left w:val="nil"/>
              <w:bottom w:val="single" w:sz="4" w:space="0" w:color="auto"/>
              <w:right w:val="single" w:sz="4" w:space="0" w:color="auto"/>
            </w:tcBorders>
            <w:noWrap/>
            <w:textDirection w:val="lrTb"/>
            <w:vAlign w:val="bottom"/>
            <w:hideMark/>
          </w:tcPr>
          <w:p w:rsidR="00CB350B" w:rsidRPr="00B953A4" w:rsidP="00257E12">
            <w:pPr>
              <w:bidi w:val="0"/>
              <w:jc w:val="right"/>
              <w:rPr>
                <w:rFonts w:ascii="Times New Roman" w:hAnsi="Times New Roman" w:cs="Times New Roman"/>
                <w:color w:val="000000"/>
                <w:sz w:val="14"/>
                <w:szCs w:val="14"/>
              </w:rPr>
            </w:pPr>
            <w:r w:rsidRPr="00B953A4">
              <w:rPr>
                <w:rFonts w:ascii="Times New Roman" w:hAnsi="Times New Roman" w:cs="Times New Roman"/>
                <w:color w:val="000000"/>
                <w:sz w:val="14"/>
                <w:szCs w:val="14"/>
              </w:rPr>
              <w:t>1 871</w:t>
            </w:r>
          </w:p>
        </w:tc>
        <w:tc>
          <w:tcPr>
            <w:tcW w:w="553" w:type="pct"/>
            <w:tcBorders>
              <w:top w:val="nil"/>
              <w:left w:val="nil"/>
              <w:bottom w:val="single" w:sz="4" w:space="0" w:color="auto"/>
              <w:right w:val="single" w:sz="4" w:space="0" w:color="auto"/>
            </w:tcBorders>
            <w:noWrap/>
            <w:textDirection w:val="lrTb"/>
            <w:vAlign w:val="bottom"/>
            <w:hideMark/>
          </w:tcPr>
          <w:p w:rsidR="00CB350B" w:rsidRPr="00B953A4" w:rsidP="00257E12">
            <w:pPr>
              <w:bidi w:val="0"/>
              <w:jc w:val="right"/>
              <w:rPr>
                <w:rFonts w:ascii="Times New Roman" w:hAnsi="Times New Roman" w:cs="Times New Roman"/>
                <w:color w:val="000000"/>
                <w:sz w:val="14"/>
                <w:szCs w:val="14"/>
              </w:rPr>
            </w:pPr>
            <w:r w:rsidRPr="00B953A4">
              <w:rPr>
                <w:rFonts w:ascii="Times New Roman" w:hAnsi="Times New Roman" w:cs="Times New Roman"/>
                <w:color w:val="000000"/>
                <w:sz w:val="14"/>
                <w:szCs w:val="14"/>
              </w:rPr>
              <w:t>1 936</w:t>
            </w:r>
          </w:p>
        </w:tc>
        <w:tc>
          <w:tcPr>
            <w:tcW w:w="576" w:type="pct"/>
            <w:tcBorders>
              <w:top w:val="nil"/>
              <w:left w:val="nil"/>
              <w:bottom w:val="single" w:sz="4" w:space="0" w:color="auto"/>
              <w:right w:val="single" w:sz="4" w:space="0" w:color="auto"/>
            </w:tcBorders>
            <w:noWrap/>
            <w:textDirection w:val="lrTb"/>
            <w:vAlign w:val="bottom"/>
            <w:hideMark/>
          </w:tcPr>
          <w:p w:rsidR="00CB350B" w:rsidRPr="00B953A4" w:rsidP="00257E12">
            <w:pPr>
              <w:bidi w:val="0"/>
              <w:jc w:val="right"/>
              <w:rPr>
                <w:rFonts w:ascii="Times New Roman" w:hAnsi="Times New Roman" w:cs="Times New Roman"/>
                <w:color w:val="000000"/>
                <w:sz w:val="14"/>
                <w:szCs w:val="14"/>
              </w:rPr>
            </w:pPr>
            <w:r w:rsidRPr="00B953A4">
              <w:rPr>
                <w:rFonts w:ascii="Times New Roman" w:hAnsi="Times New Roman" w:cs="Times New Roman"/>
                <w:color w:val="000000"/>
                <w:sz w:val="14"/>
                <w:szCs w:val="14"/>
              </w:rPr>
              <w:t>2 007</w:t>
            </w:r>
          </w:p>
        </w:tc>
      </w:tr>
      <w:tr>
        <w:tblPrEx>
          <w:tblW w:w="5000" w:type="pct"/>
          <w:tblCellMar>
            <w:left w:w="70" w:type="dxa"/>
            <w:right w:w="70" w:type="dxa"/>
          </w:tblCellMar>
          <w:tblLook w:val="04A0"/>
        </w:tblPrEx>
        <w:trPr>
          <w:trHeight w:val="255"/>
        </w:trPr>
        <w:tc>
          <w:tcPr>
            <w:tcW w:w="1683" w:type="pct"/>
            <w:tcBorders>
              <w:top w:val="nil"/>
              <w:left w:val="single" w:sz="4" w:space="0" w:color="auto"/>
              <w:bottom w:val="single" w:sz="4" w:space="0" w:color="auto"/>
              <w:right w:val="single" w:sz="4" w:space="0" w:color="auto"/>
            </w:tcBorders>
            <w:shd w:val="clear" w:color="000000" w:fill="BFBFBF"/>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medziročná zmena v %</w:t>
            </w:r>
          </w:p>
        </w:tc>
        <w:tc>
          <w:tcPr>
            <w:tcW w:w="529" w:type="pct"/>
            <w:tcBorders>
              <w:top w:val="nil"/>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right"/>
              <w:rPr>
                <w:rFonts w:ascii="Times New Roman" w:hAnsi="Times New Roman" w:cs="Times New Roman"/>
                <w:b/>
                <w:bCs/>
                <w:sz w:val="14"/>
                <w:szCs w:val="14"/>
              </w:rPr>
            </w:pPr>
            <w:r>
              <w:rPr>
                <w:rFonts w:ascii="Times New Roman" w:hAnsi="Times New Roman" w:cs="Times New Roman"/>
                <w:b/>
                <w:bCs/>
                <w:sz w:val="14"/>
                <w:szCs w:val="14"/>
              </w:rPr>
              <w:t>12,1</w:t>
            </w:r>
            <w:r w:rsidRPr="00A94288">
              <w:rPr>
                <w:rFonts w:ascii="Times New Roman" w:hAnsi="Times New Roman" w:cs="Times New Roman"/>
                <w:b/>
                <w:bCs/>
                <w:sz w:val="14"/>
                <w:szCs w:val="14"/>
              </w:rPr>
              <w:t>%</w:t>
            </w:r>
          </w:p>
        </w:tc>
        <w:tc>
          <w:tcPr>
            <w:tcW w:w="553" w:type="pct"/>
            <w:tcBorders>
              <w:top w:val="nil"/>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right"/>
              <w:rPr>
                <w:rFonts w:ascii="Times New Roman" w:hAnsi="Times New Roman" w:cs="Times New Roman"/>
                <w:b/>
                <w:bCs/>
                <w:sz w:val="14"/>
                <w:szCs w:val="14"/>
              </w:rPr>
            </w:pPr>
            <w:r>
              <w:rPr>
                <w:rFonts w:ascii="Times New Roman" w:hAnsi="Times New Roman" w:cs="Times New Roman"/>
                <w:b/>
                <w:bCs/>
                <w:sz w:val="14"/>
                <w:szCs w:val="14"/>
              </w:rPr>
              <w:t>2</w:t>
            </w:r>
            <w:r w:rsidRPr="00A94288">
              <w:rPr>
                <w:rFonts w:ascii="Times New Roman" w:hAnsi="Times New Roman" w:cs="Times New Roman"/>
                <w:b/>
                <w:bCs/>
                <w:sz w:val="14"/>
                <w:szCs w:val="14"/>
              </w:rPr>
              <w:t>,9</w:t>
            </w:r>
            <w:r>
              <w:rPr>
                <w:rFonts w:ascii="Times New Roman" w:hAnsi="Times New Roman" w:cs="Times New Roman"/>
                <w:b/>
                <w:bCs/>
                <w:sz w:val="14"/>
                <w:szCs w:val="14"/>
              </w:rPr>
              <w:t>9</w:t>
            </w:r>
            <w:r w:rsidRPr="00A94288">
              <w:rPr>
                <w:rFonts w:ascii="Times New Roman" w:hAnsi="Times New Roman" w:cs="Times New Roman"/>
                <w:b/>
                <w:bCs/>
                <w:sz w:val="14"/>
                <w:szCs w:val="14"/>
              </w:rPr>
              <w:t>%</w:t>
            </w:r>
          </w:p>
        </w:tc>
        <w:tc>
          <w:tcPr>
            <w:tcW w:w="553" w:type="pct"/>
            <w:tcBorders>
              <w:top w:val="nil"/>
              <w:left w:val="nil"/>
              <w:bottom w:val="single" w:sz="4" w:space="0" w:color="auto"/>
              <w:right w:val="single" w:sz="4" w:space="0" w:color="auto"/>
            </w:tcBorders>
            <w:shd w:val="clear" w:color="000000" w:fill="BFBFBF"/>
            <w:noWrap/>
            <w:textDirection w:val="lrTb"/>
            <w:vAlign w:val="bottom"/>
            <w:hideMark/>
          </w:tcPr>
          <w:p w:rsidR="00CB350B" w:rsidRPr="00997D58" w:rsidP="00257E12">
            <w:pPr>
              <w:bidi w:val="0"/>
              <w:jc w:val="right"/>
              <w:rPr>
                <w:rFonts w:ascii="Times New Roman" w:hAnsi="Times New Roman" w:cs="Times New Roman"/>
                <w:b/>
                <w:bCs/>
                <w:sz w:val="14"/>
                <w:szCs w:val="14"/>
              </w:rPr>
            </w:pPr>
            <w:r w:rsidRPr="00997D58">
              <w:rPr>
                <w:rFonts w:ascii="Times New Roman" w:hAnsi="Times New Roman" w:cs="Times New Roman"/>
                <w:b/>
                <w:bCs/>
                <w:sz w:val="14"/>
                <w:szCs w:val="14"/>
              </w:rPr>
              <w:t>1,58%</w:t>
            </w:r>
          </w:p>
        </w:tc>
        <w:tc>
          <w:tcPr>
            <w:tcW w:w="553" w:type="pct"/>
            <w:tcBorders>
              <w:top w:val="nil"/>
              <w:left w:val="nil"/>
              <w:bottom w:val="single" w:sz="4" w:space="0" w:color="auto"/>
              <w:right w:val="single" w:sz="4" w:space="0" w:color="auto"/>
            </w:tcBorders>
            <w:shd w:val="clear" w:color="000000" w:fill="BFBFBF"/>
            <w:noWrap/>
            <w:textDirection w:val="lrTb"/>
            <w:vAlign w:val="bottom"/>
            <w:hideMark/>
          </w:tcPr>
          <w:p w:rsidR="00CB350B" w:rsidRPr="00997D58" w:rsidP="00257E12">
            <w:pPr>
              <w:bidi w:val="0"/>
              <w:jc w:val="right"/>
              <w:rPr>
                <w:rFonts w:ascii="Times New Roman" w:hAnsi="Times New Roman" w:cs="Times New Roman"/>
                <w:b/>
                <w:bCs/>
                <w:sz w:val="14"/>
                <w:szCs w:val="14"/>
              </w:rPr>
            </w:pPr>
            <w:r w:rsidRPr="00997D58">
              <w:rPr>
                <w:rFonts w:ascii="Times New Roman" w:hAnsi="Times New Roman" w:cs="Times New Roman"/>
                <w:b/>
                <w:bCs/>
                <w:sz w:val="14"/>
                <w:szCs w:val="14"/>
              </w:rPr>
              <w:t>5,03%</w:t>
            </w:r>
          </w:p>
        </w:tc>
        <w:tc>
          <w:tcPr>
            <w:tcW w:w="553" w:type="pct"/>
            <w:tcBorders>
              <w:top w:val="nil"/>
              <w:left w:val="nil"/>
              <w:bottom w:val="single" w:sz="4" w:space="0" w:color="auto"/>
              <w:right w:val="single" w:sz="4" w:space="0" w:color="auto"/>
            </w:tcBorders>
            <w:shd w:val="clear" w:color="000000" w:fill="BFBFBF"/>
            <w:noWrap/>
            <w:textDirection w:val="lrTb"/>
            <w:vAlign w:val="bottom"/>
            <w:hideMark/>
          </w:tcPr>
          <w:p w:rsidR="00CB350B" w:rsidRPr="00997D58" w:rsidP="00257E12">
            <w:pPr>
              <w:bidi w:val="0"/>
              <w:jc w:val="right"/>
              <w:rPr>
                <w:rFonts w:ascii="Times New Roman" w:hAnsi="Times New Roman" w:cs="Times New Roman"/>
                <w:b/>
                <w:bCs/>
                <w:sz w:val="14"/>
                <w:szCs w:val="14"/>
              </w:rPr>
            </w:pPr>
            <w:r w:rsidRPr="00997D58">
              <w:rPr>
                <w:rFonts w:ascii="Times New Roman" w:hAnsi="Times New Roman" w:cs="Times New Roman"/>
                <w:b/>
                <w:bCs/>
                <w:sz w:val="14"/>
                <w:szCs w:val="14"/>
              </w:rPr>
              <w:t>3,48%</w:t>
            </w:r>
          </w:p>
        </w:tc>
        <w:tc>
          <w:tcPr>
            <w:tcW w:w="576" w:type="pct"/>
            <w:tcBorders>
              <w:top w:val="nil"/>
              <w:left w:val="nil"/>
              <w:bottom w:val="single" w:sz="4" w:space="0" w:color="auto"/>
              <w:right w:val="single" w:sz="4" w:space="0" w:color="auto"/>
            </w:tcBorders>
            <w:shd w:val="clear" w:color="000000" w:fill="BFBFBF"/>
            <w:noWrap/>
            <w:textDirection w:val="lrTb"/>
            <w:vAlign w:val="bottom"/>
            <w:hideMark/>
          </w:tcPr>
          <w:p w:rsidR="00CB350B" w:rsidRPr="003F0310" w:rsidP="00257E12">
            <w:pPr>
              <w:bidi w:val="0"/>
              <w:jc w:val="right"/>
              <w:rPr>
                <w:rFonts w:ascii="Times New Roman" w:hAnsi="Times New Roman" w:cs="Times New Roman"/>
                <w:b/>
                <w:color w:val="000000"/>
                <w:sz w:val="14"/>
                <w:szCs w:val="14"/>
              </w:rPr>
            </w:pPr>
            <w:r w:rsidRPr="003F0310">
              <w:rPr>
                <w:rFonts w:ascii="Times New Roman" w:hAnsi="Times New Roman" w:cs="Times New Roman"/>
                <w:b/>
                <w:color w:val="000000"/>
                <w:sz w:val="14"/>
                <w:szCs w:val="14"/>
              </w:rPr>
              <w:t>3,67%</w:t>
            </w:r>
          </w:p>
        </w:tc>
      </w:tr>
    </w:tbl>
    <w:p w:rsidR="00CB350B" w:rsidRPr="00F62CFA" w:rsidP="00CB350B">
      <w:pPr>
        <w:bidi w:val="0"/>
        <w:jc w:val="both"/>
        <w:rPr>
          <w:rFonts w:ascii="Times New Roman" w:hAnsi="Times New Roman" w:cs="Times New Roman"/>
          <w:sz w:val="14"/>
          <w:szCs w:val="14"/>
        </w:rPr>
      </w:pPr>
      <w:r w:rsidRPr="00F62CFA">
        <w:rPr>
          <w:rFonts w:ascii="Times New Roman" w:hAnsi="Times New Roman" w:cs="Times New Roman"/>
          <w:sz w:val="14"/>
          <w:szCs w:val="14"/>
        </w:rPr>
        <w:t xml:space="preserve">*zdroj MŠVVŠ SR počty žiakov </w:t>
      </w:r>
    </w:p>
    <w:p w:rsidR="00CB350B" w:rsidRPr="00432A91" w:rsidP="00CB350B">
      <w:pPr>
        <w:bidi w:val="0"/>
        <w:jc w:val="both"/>
        <w:rPr>
          <w:rFonts w:ascii="Times New Roman" w:hAnsi="Times New Roman" w:cs="Times New Roman"/>
        </w:rPr>
      </w:pPr>
    </w:p>
    <w:p w:rsidR="00CB350B" w:rsidRPr="00432A91" w:rsidP="00CB350B">
      <w:pPr>
        <w:bidi w:val="0"/>
        <w:ind w:firstLine="708"/>
        <w:jc w:val="both"/>
        <w:rPr>
          <w:rFonts w:ascii="Times New Roman" w:hAnsi="Times New Roman" w:cs="Times New Roman"/>
        </w:rPr>
      </w:pPr>
      <w:r w:rsidRPr="003F017B">
        <w:rPr>
          <w:rFonts w:ascii="Times New Roman" w:hAnsi="Times New Roman" w:cs="Times New Roman"/>
        </w:rPr>
        <w:t xml:space="preserve">Počty žiakov medziročne klesajú vplyvom demografického vývoja, pričom výdavky štátneho rozpočtu na jedného žiaka každoročne rastú. Výdavky na jedného žiaka v roku 2012 rastú oproti schválenému rozpočtu roku </w:t>
      </w:r>
      <w:r w:rsidRPr="00B953A4">
        <w:rPr>
          <w:rFonts w:ascii="Times New Roman" w:hAnsi="Times New Roman" w:cs="Times New Roman"/>
        </w:rPr>
        <w:t>2011 o </w:t>
      </w:r>
      <w:r w:rsidRPr="00997D58">
        <w:rPr>
          <w:rFonts w:ascii="Times New Roman" w:hAnsi="Times New Roman" w:cs="Times New Roman"/>
        </w:rPr>
        <w:t>90 eur, čo je nárast o 5,03</w:t>
      </w:r>
      <w:r w:rsidRPr="00B953A4">
        <w:rPr>
          <w:rFonts w:ascii="Times New Roman" w:hAnsi="Times New Roman" w:cs="Times New Roman"/>
        </w:rPr>
        <w:t xml:space="preserve"> %. V roku 2012 výdavky na jedného žiaka oproti skutočným výdavkom na jedného žiaka roku 2009 rastú o 168 eur, čo predstavuje 9,9</w:t>
      </w:r>
      <w:r>
        <w:rPr>
          <w:rFonts w:ascii="Times New Roman" w:hAnsi="Times New Roman" w:cs="Times New Roman"/>
        </w:rPr>
        <w:t xml:space="preserve"> </w:t>
      </w:r>
      <w:r w:rsidRPr="00B953A4">
        <w:rPr>
          <w:rFonts w:ascii="Times New Roman" w:hAnsi="Times New Roman" w:cs="Times New Roman"/>
        </w:rPr>
        <w:t>%.</w:t>
      </w:r>
    </w:p>
    <w:p w:rsidR="00CB350B" w:rsidRPr="003F017B" w:rsidP="00CB350B">
      <w:pPr>
        <w:bidi w:val="0"/>
        <w:ind w:firstLine="708"/>
        <w:jc w:val="both"/>
        <w:rPr>
          <w:rFonts w:ascii="Times New Roman" w:hAnsi="Times New Roman" w:cs="Times New Roman"/>
        </w:rPr>
      </w:pPr>
    </w:p>
    <w:p w:rsidR="00CB350B" w:rsidRPr="003F017B" w:rsidP="00CB350B">
      <w:pPr>
        <w:bidi w:val="0"/>
        <w:ind w:firstLine="708"/>
        <w:jc w:val="both"/>
        <w:rPr>
          <w:rFonts w:ascii="Times New Roman" w:hAnsi="Times New Roman" w:cs="Times New Roman"/>
        </w:rPr>
      </w:pPr>
      <w:r w:rsidRPr="003F017B">
        <w:rPr>
          <w:rFonts w:ascii="Times New Roman" w:hAnsi="Times New Roman" w:cs="Times New Roman"/>
        </w:rPr>
        <w:t xml:space="preserve">Pri financovaní regionálneho školstva sa uplatňuje financovanie prostredníctvom normatívu na žiaka. </w:t>
      </w:r>
      <w:r w:rsidRPr="00432A91">
        <w:rPr>
          <w:rFonts w:ascii="Times New Roman" w:hAnsi="Times New Roman" w:cs="Times New Roman"/>
        </w:rPr>
        <w:t xml:space="preserve">V navrhovanom </w:t>
      </w:r>
      <w:r w:rsidRPr="00B953A4">
        <w:rPr>
          <w:rFonts w:ascii="Times New Roman" w:hAnsi="Times New Roman" w:cs="Times New Roman"/>
        </w:rPr>
        <w:t>objeme bežných výdavkov 1,35  mld. eur, ktorý je vyšší oproti schválenému rozpočtu roku 2011 o 40,2 mil</w:t>
      </w:r>
      <w:r w:rsidRPr="00432A91">
        <w:rPr>
          <w:rFonts w:ascii="Times New Roman" w:hAnsi="Times New Roman" w:cs="Times New Roman"/>
        </w:rPr>
        <w:t xml:space="preserve">. eur, </w:t>
      </w:r>
      <w:r w:rsidRPr="003F017B">
        <w:rPr>
          <w:rFonts w:ascii="Times New Roman" w:hAnsi="Times New Roman" w:cs="Times New Roman"/>
        </w:rPr>
        <w:t xml:space="preserve">sú zahrnuté okrem prevádzky všetkých typov škôl aj výdavky na učebnice a prevádzku Infoveku, okruh špecifík ako </w:t>
      </w:r>
      <w:r>
        <w:rPr>
          <w:rFonts w:ascii="Times New Roman" w:hAnsi="Times New Roman" w:cs="Times New Roman"/>
        </w:rPr>
        <w:t>sú</w:t>
      </w:r>
      <w:r w:rsidRPr="003F017B">
        <w:rPr>
          <w:rFonts w:ascii="Times New Roman" w:hAnsi="Times New Roman" w:cs="Times New Roman"/>
        </w:rPr>
        <w:t xml:space="preserve"> dopravné, asistenti učiteľa, odchodné, vzdelávacie poukazy a ďalšie výdavky. Kapitálové výdavky kapitoly MŠVVŠ SR pre regionálne školstvo sú navrhované vo výške 5,60 mil. eur, čo je menej oproti schválenému rozpočtu roku 2011 o 25 tis. eur. Tieto sú určené na havarijné stavby a rekonštrukcie škôl a štátnych školských zariadení. </w:t>
      </w:r>
    </w:p>
    <w:p w:rsidR="00CB350B" w:rsidRPr="003F017B" w:rsidP="00CB350B">
      <w:pPr>
        <w:bidi w:val="0"/>
        <w:jc w:val="both"/>
        <w:rPr>
          <w:rFonts w:ascii="Times New Roman" w:hAnsi="Times New Roman" w:cs="Times New Roman"/>
        </w:rPr>
      </w:pPr>
    </w:p>
    <w:p w:rsidR="00CB350B" w:rsidP="00CB350B">
      <w:pPr>
        <w:bidi w:val="0"/>
        <w:ind w:firstLine="708"/>
        <w:jc w:val="both"/>
        <w:rPr>
          <w:rFonts w:ascii="Times New Roman" w:hAnsi="Times New Roman" w:cs="Times New Roman"/>
        </w:rPr>
      </w:pPr>
      <w:r w:rsidRPr="003F017B">
        <w:rPr>
          <w:rFonts w:ascii="Times New Roman" w:hAnsi="Times New Roman" w:cs="Times New Roman"/>
        </w:rPr>
        <w:t>Do disponibilných zdrojov na regionálne školstvo okrem výdavkov zo štátneho rozpočtu poskytovaných prostredníctvom MŠVVŠ SR vstupujú tiež výdavky MV SR, z ktorých sú financované stredné odborné školy v jeho zriaďovateľskej pôsobnosti v sume 11,9 mil. eur a prostriedky štrukturálnych fondov vrátane spolufinancovania zo štátneho rozpočtu z OP Vzdelávanie v sume  8,27 mil. eur, ako aj výdavky z OP Regionálny operačný program na financovanie infraštruktúry vzdelávania v sume 80,0</w:t>
      </w:r>
      <w:r w:rsidRPr="00432A91">
        <w:rPr>
          <w:rFonts w:ascii="Times New Roman" w:hAnsi="Times New Roman" w:cs="Times New Roman"/>
        </w:rPr>
        <w:t xml:space="preserve"> mil. eur.      </w:t>
      </w:r>
    </w:p>
    <w:p w:rsidR="00CB350B" w:rsidP="00CB350B">
      <w:pPr>
        <w:bidi w:val="0"/>
        <w:ind w:firstLine="708"/>
        <w:jc w:val="both"/>
        <w:rPr>
          <w:rFonts w:ascii="Times New Roman" w:hAnsi="Times New Roman" w:cs="Times New Roman"/>
        </w:rPr>
      </w:pPr>
    </w:p>
    <w:p w:rsidR="00CB350B" w:rsidP="00CB350B">
      <w:pPr>
        <w:bidi w:val="0"/>
        <w:ind w:firstLine="708"/>
        <w:jc w:val="both"/>
        <w:rPr>
          <w:rFonts w:ascii="Times New Roman" w:hAnsi="Times New Roman" w:cs="Times New Roman"/>
        </w:rPr>
      </w:pPr>
    </w:p>
    <w:p w:rsidR="00CB350B" w:rsidP="00CB350B">
      <w:pPr>
        <w:bidi w:val="0"/>
        <w:ind w:firstLine="708"/>
        <w:jc w:val="both"/>
        <w:rPr>
          <w:rFonts w:ascii="Times New Roman" w:hAnsi="Times New Roman" w:cs="Times New Roman"/>
        </w:rPr>
      </w:pPr>
    </w:p>
    <w:p w:rsidR="00CB350B" w:rsidP="00CB350B">
      <w:pPr>
        <w:bidi w:val="0"/>
        <w:ind w:firstLine="708"/>
        <w:jc w:val="both"/>
        <w:rPr>
          <w:rFonts w:ascii="Times New Roman" w:hAnsi="Times New Roman" w:cs="Times New Roman"/>
        </w:rPr>
      </w:pPr>
    </w:p>
    <w:p w:rsidR="00CB350B" w:rsidP="00CB350B">
      <w:pPr>
        <w:bidi w:val="0"/>
        <w:ind w:firstLine="708"/>
        <w:jc w:val="both"/>
        <w:rPr>
          <w:rFonts w:ascii="Times New Roman" w:hAnsi="Times New Roman" w:cs="Times New Roman"/>
        </w:rPr>
      </w:pPr>
    </w:p>
    <w:p w:rsidR="00CB350B" w:rsidP="00CB350B">
      <w:pPr>
        <w:bidi w:val="0"/>
        <w:ind w:firstLine="708"/>
        <w:jc w:val="both"/>
        <w:rPr>
          <w:rFonts w:ascii="Times New Roman" w:hAnsi="Times New Roman" w:cs="Times New Roman"/>
        </w:rPr>
      </w:pPr>
    </w:p>
    <w:p w:rsidR="00CB350B" w:rsidP="00CB350B">
      <w:pPr>
        <w:bidi w:val="0"/>
        <w:ind w:firstLine="708"/>
        <w:jc w:val="both"/>
        <w:rPr>
          <w:rFonts w:ascii="Times New Roman" w:hAnsi="Times New Roman" w:cs="Times New Roman"/>
        </w:rPr>
      </w:pPr>
    </w:p>
    <w:p w:rsidR="00CB350B" w:rsidP="00CB350B">
      <w:pPr>
        <w:bidi w:val="0"/>
        <w:ind w:firstLine="708"/>
        <w:jc w:val="both"/>
        <w:rPr>
          <w:rFonts w:ascii="Times New Roman" w:hAnsi="Times New Roman" w:cs="Times New Roman"/>
        </w:rPr>
      </w:pPr>
    </w:p>
    <w:p w:rsidR="00CB350B" w:rsidP="00CB350B">
      <w:pPr>
        <w:bidi w:val="0"/>
        <w:ind w:firstLine="708"/>
        <w:jc w:val="both"/>
        <w:rPr>
          <w:rFonts w:ascii="Times New Roman" w:hAnsi="Times New Roman" w:cs="Times New Roman"/>
        </w:rPr>
      </w:pPr>
    </w:p>
    <w:p w:rsidR="00CB350B" w:rsidP="00CB350B">
      <w:pPr>
        <w:bidi w:val="0"/>
        <w:ind w:firstLine="708"/>
        <w:jc w:val="both"/>
        <w:rPr>
          <w:rFonts w:ascii="Times New Roman" w:hAnsi="Times New Roman" w:cs="Times New Roman"/>
        </w:rPr>
      </w:pPr>
    </w:p>
    <w:p w:rsidR="00CB350B" w:rsidP="00CB350B">
      <w:pPr>
        <w:bidi w:val="0"/>
        <w:ind w:firstLine="708"/>
        <w:jc w:val="both"/>
        <w:rPr>
          <w:rFonts w:ascii="Times New Roman" w:hAnsi="Times New Roman" w:cs="Times New Roman"/>
        </w:rPr>
      </w:pPr>
    </w:p>
    <w:p w:rsidR="00CB350B" w:rsidP="00CB350B">
      <w:pPr>
        <w:bidi w:val="0"/>
        <w:ind w:firstLine="708"/>
        <w:jc w:val="both"/>
        <w:rPr>
          <w:rFonts w:ascii="Times New Roman" w:hAnsi="Times New Roman" w:cs="Times New Roman"/>
        </w:rPr>
      </w:pPr>
    </w:p>
    <w:p w:rsidR="00CB350B" w:rsidRPr="00432A91" w:rsidP="00CB350B">
      <w:pPr>
        <w:bidi w:val="0"/>
        <w:ind w:firstLine="708"/>
        <w:jc w:val="both"/>
        <w:rPr>
          <w:rFonts w:ascii="Times New Roman" w:hAnsi="Times New Roman" w:cs="Times New Roman"/>
        </w:rPr>
      </w:pPr>
      <w:r w:rsidRPr="00432A91">
        <w:rPr>
          <w:rFonts w:ascii="Times New Roman" w:hAnsi="Times New Roman" w:cs="Times New Roman"/>
        </w:rPr>
        <w:t xml:space="preserve">                                                                                                                                                                  </w:t>
      </w:r>
    </w:p>
    <w:tbl>
      <w:tblPr>
        <w:tblStyle w:val="TableNormal"/>
        <w:tblW w:w="5000" w:type="pct"/>
        <w:tblCellMar>
          <w:left w:w="70" w:type="dxa"/>
          <w:right w:w="70" w:type="dxa"/>
        </w:tblCellMar>
        <w:tblLook w:val="04A0"/>
      </w:tblPr>
      <w:tblGrid>
        <w:gridCol w:w="3278"/>
        <w:gridCol w:w="860"/>
        <w:gridCol w:w="846"/>
        <w:gridCol w:w="846"/>
        <w:gridCol w:w="846"/>
        <w:gridCol w:w="846"/>
        <w:gridCol w:w="846"/>
        <w:gridCol w:w="844"/>
      </w:tblGrid>
      <w:tr>
        <w:tblPrEx>
          <w:tblW w:w="5000" w:type="pct"/>
          <w:tblCellMar>
            <w:left w:w="70" w:type="dxa"/>
            <w:right w:w="70" w:type="dxa"/>
          </w:tblCellMar>
          <w:tblLook w:val="04A0"/>
        </w:tblPrEx>
        <w:trPr>
          <w:trHeight w:val="255"/>
        </w:trPr>
        <w:tc>
          <w:tcPr>
            <w:tcW w:w="177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CB350B" w:rsidRPr="00A94288" w:rsidP="00257E12">
            <w:pPr>
              <w:bidi w:val="0"/>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v eurách</w:t>
            </w:r>
          </w:p>
        </w:tc>
        <w:tc>
          <w:tcPr>
            <w:tcW w:w="46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2009 S</w:t>
            </w:r>
          </w:p>
        </w:tc>
        <w:tc>
          <w:tcPr>
            <w:tcW w:w="45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2010 S</w:t>
            </w:r>
          </w:p>
        </w:tc>
        <w:tc>
          <w:tcPr>
            <w:tcW w:w="45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2011 R</w:t>
            </w:r>
          </w:p>
        </w:tc>
        <w:tc>
          <w:tcPr>
            <w:tcW w:w="45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2011 OS</w:t>
            </w:r>
          </w:p>
        </w:tc>
        <w:tc>
          <w:tcPr>
            <w:tcW w:w="45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2012 N</w:t>
            </w:r>
          </w:p>
        </w:tc>
        <w:tc>
          <w:tcPr>
            <w:tcW w:w="45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2013 N</w:t>
            </w:r>
          </w:p>
        </w:tc>
        <w:tc>
          <w:tcPr>
            <w:tcW w:w="458"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2014 N</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CB350B" w:rsidRPr="00A94288" w:rsidP="00257E12">
            <w:pPr>
              <w:bidi w:val="0"/>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RO a PO spolu</w:t>
            </w:r>
          </w:p>
        </w:tc>
        <w:tc>
          <w:tcPr>
            <w:tcW w:w="467" w:type="pct"/>
            <w:tcBorders>
              <w:top w:val="nil"/>
              <w:left w:val="nil"/>
              <w:bottom w:val="single" w:sz="4" w:space="0" w:color="auto"/>
              <w:right w:val="single" w:sz="4" w:space="0" w:color="auto"/>
            </w:tcBorders>
            <w:shd w:val="clear" w:color="000000" w:fill="BFBFBF"/>
            <w:textDirection w:val="lrTb"/>
            <w:vAlign w:val="center"/>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39 741 312</w:t>
            </w:r>
          </w:p>
        </w:tc>
        <w:tc>
          <w:tcPr>
            <w:tcW w:w="459" w:type="pct"/>
            <w:tcBorders>
              <w:top w:val="nil"/>
              <w:left w:val="nil"/>
              <w:bottom w:val="single" w:sz="4" w:space="0" w:color="auto"/>
              <w:right w:val="single" w:sz="4" w:space="0" w:color="auto"/>
            </w:tcBorders>
            <w:shd w:val="clear" w:color="000000" w:fill="BFBFBF"/>
            <w:textDirection w:val="lrTb"/>
            <w:vAlign w:val="center"/>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29 515 788</w:t>
            </w:r>
          </w:p>
        </w:tc>
        <w:tc>
          <w:tcPr>
            <w:tcW w:w="459" w:type="pct"/>
            <w:tcBorders>
              <w:top w:val="nil"/>
              <w:left w:val="nil"/>
              <w:bottom w:val="single" w:sz="4" w:space="0" w:color="auto"/>
              <w:right w:val="single" w:sz="4" w:space="0" w:color="auto"/>
            </w:tcBorders>
            <w:shd w:val="clear" w:color="000000" w:fill="BFBFBF"/>
            <w:textDirection w:val="lrTb"/>
            <w:vAlign w:val="center"/>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30 629 415</w:t>
            </w:r>
          </w:p>
        </w:tc>
        <w:tc>
          <w:tcPr>
            <w:tcW w:w="459" w:type="pct"/>
            <w:tcBorders>
              <w:top w:val="nil"/>
              <w:left w:val="nil"/>
              <w:bottom w:val="single" w:sz="4" w:space="0" w:color="auto"/>
              <w:right w:val="single" w:sz="4" w:space="0" w:color="auto"/>
            </w:tcBorders>
            <w:shd w:val="clear" w:color="000000" w:fill="BFBFBF"/>
            <w:textDirection w:val="lrTb"/>
            <w:vAlign w:val="center"/>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33 278 266</w:t>
            </w:r>
          </w:p>
        </w:tc>
        <w:tc>
          <w:tcPr>
            <w:tcW w:w="459" w:type="pct"/>
            <w:tcBorders>
              <w:top w:val="nil"/>
              <w:left w:val="nil"/>
              <w:bottom w:val="single" w:sz="4" w:space="0" w:color="auto"/>
              <w:right w:val="single" w:sz="4" w:space="0" w:color="auto"/>
            </w:tcBorders>
            <w:shd w:val="clear" w:color="000000" w:fill="BFBFBF"/>
            <w:textDirection w:val="lrTb"/>
            <w:vAlign w:val="center"/>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26 265 917</w:t>
            </w:r>
          </w:p>
        </w:tc>
        <w:tc>
          <w:tcPr>
            <w:tcW w:w="459" w:type="pct"/>
            <w:tcBorders>
              <w:top w:val="nil"/>
              <w:left w:val="nil"/>
              <w:bottom w:val="single" w:sz="4" w:space="0" w:color="auto"/>
              <w:right w:val="single" w:sz="4" w:space="0" w:color="auto"/>
            </w:tcBorders>
            <w:shd w:val="clear" w:color="000000" w:fill="BFBFBF"/>
            <w:textDirection w:val="lrTb"/>
            <w:vAlign w:val="center"/>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26 087 671</w:t>
            </w:r>
          </w:p>
        </w:tc>
        <w:tc>
          <w:tcPr>
            <w:tcW w:w="458" w:type="pct"/>
            <w:tcBorders>
              <w:top w:val="nil"/>
              <w:left w:val="nil"/>
              <w:bottom w:val="single" w:sz="4" w:space="0" w:color="auto"/>
              <w:right w:val="single" w:sz="4" w:space="0" w:color="auto"/>
            </w:tcBorders>
            <w:shd w:val="clear" w:color="000000" w:fill="BFBFBF"/>
            <w:textDirection w:val="lrTb"/>
            <w:vAlign w:val="center"/>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26 368 049</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center"/>
            <w:hideMark/>
          </w:tcPr>
          <w:p w:rsidR="00CB350B" w:rsidRPr="00A94288" w:rsidP="00257E12">
            <w:pPr>
              <w:bidi w:val="0"/>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Rozpočtové organizácie spolu z toho:</w:t>
            </w:r>
          </w:p>
        </w:tc>
        <w:tc>
          <w:tcPr>
            <w:tcW w:w="467" w:type="pct"/>
            <w:tcBorders>
              <w:top w:val="nil"/>
              <w:left w:val="nil"/>
              <w:bottom w:val="single" w:sz="4" w:space="0" w:color="auto"/>
              <w:right w:val="single" w:sz="4" w:space="0" w:color="auto"/>
            </w:tcBorders>
            <w:textDirection w:val="lrTb"/>
            <w:vAlign w:val="center"/>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38 078 732</w:t>
            </w:r>
          </w:p>
        </w:tc>
        <w:tc>
          <w:tcPr>
            <w:tcW w:w="459" w:type="pct"/>
            <w:tcBorders>
              <w:top w:val="nil"/>
              <w:left w:val="nil"/>
              <w:bottom w:val="single" w:sz="4" w:space="0" w:color="auto"/>
              <w:right w:val="single" w:sz="4" w:space="0" w:color="auto"/>
            </w:tcBorders>
            <w:textDirection w:val="lrTb"/>
            <w:vAlign w:val="center"/>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27 866 935</w:t>
            </w:r>
          </w:p>
        </w:tc>
        <w:tc>
          <w:tcPr>
            <w:tcW w:w="459" w:type="pct"/>
            <w:tcBorders>
              <w:top w:val="nil"/>
              <w:left w:val="nil"/>
              <w:bottom w:val="single" w:sz="4" w:space="0" w:color="auto"/>
              <w:right w:val="single" w:sz="4" w:space="0" w:color="auto"/>
            </w:tcBorders>
            <w:textDirection w:val="lrTb"/>
            <w:vAlign w:val="center"/>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29 424 980</w:t>
            </w:r>
          </w:p>
        </w:tc>
        <w:tc>
          <w:tcPr>
            <w:tcW w:w="459" w:type="pct"/>
            <w:tcBorders>
              <w:top w:val="nil"/>
              <w:left w:val="nil"/>
              <w:bottom w:val="single" w:sz="4" w:space="0" w:color="auto"/>
              <w:right w:val="single" w:sz="4" w:space="0" w:color="auto"/>
            </w:tcBorders>
            <w:textDirection w:val="lrTb"/>
            <w:vAlign w:val="center"/>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32 200 036</w:t>
            </w:r>
          </w:p>
        </w:tc>
        <w:tc>
          <w:tcPr>
            <w:tcW w:w="459" w:type="pct"/>
            <w:tcBorders>
              <w:top w:val="nil"/>
              <w:left w:val="nil"/>
              <w:bottom w:val="single" w:sz="4" w:space="0" w:color="auto"/>
              <w:right w:val="single" w:sz="4" w:space="0" w:color="auto"/>
            </w:tcBorders>
            <w:textDirection w:val="lrTb"/>
            <w:vAlign w:val="center"/>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25 061 482</w:t>
            </w:r>
          </w:p>
        </w:tc>
        <w:tc>
          <w:tcPr>
            <w:tcW w:w="459" w:type="pct"/>
            <w:tcBorders>
              <w:top w:val="nil"/>
              <w:left w:val="nil"/>
              <w:bottom w:val="single" w:sz="4" w:space="0" w:color="auto"/>
              <w:right w:val="single" w:sz="4" w:space="0" w:color="auto"/>
            </w:tcBorders>
            <w:textDirection w:val="lrTb"/>
            <w:vAlign w:val="center"/>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24 883 236</w:t>
            </w:r>
          </w:p>
        </w:tc>
        <w:tc>
          <w:tcPr>
            <w:tcW w:w="458" w:type="pct"/>
            <w:tcBorders>
              <w:top w:val="nil"/>
              <w:left w:val="nil"/>
              <w:bottom w:val="single" w:sz="4" w:space="0" w:color="auto"/>
              <w:right w:val="single" w:sz="4" w:space="0" w:color="auto"/>
            </w:tcBorders>
            <w:textDirection w:val="lrTb"/>
            <w:vAlign w:val="center"/>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25 163 614</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Ústav informácií a prognóz školstva</w:t>
            </w:r>
          </w:p>
        </w:tc>
        <w:tc>
          <w:tcPr>
            <w:tcW w:w="467"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10 235 585</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2 832 053</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5 394 978</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5 805 038</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761 650</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761 650</w:t>
            </w:r>
          </w:p>
        </w:tc>
        <w:tc>
          <w:tcPr>
            <w:tcW w:w="45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761 650</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Metodicko-pedagogické centrum</w:t>
            </w:r>
          </w:p>
        </w:tc>
        <w:tc>
          <w:tcPr>
            <w:tcW w:w="467"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4 269 140</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3 214 508</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2 783 042</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3 043 278</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2 742 625</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2 742 625</w:t>
            </w:r>
          </w:p>
        </w:tc>
        <w:tc>
          <w:tcPr>
            <w:tcW w:w="45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2 742 625</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Štátny inštitút odborného vzdelávania</w:t>
            </w:r>
          </w:p>
        </w:tc>
        <w:tc>
          <w:tcPr>
            <w:tcW w:w="467"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1 765 529</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1 536 140</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834 063</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1 892 264</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832 873</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832 873</w:t>
            </w:r>
          </w:p>
        </w:tc>
        <w:tc>
          <w:tcPr>
            <w:tcW w:w="45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832 873</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Štátny pedagogický ústav</w:t>
            </w:r>
          </w:p>
        </w:tc>
        <w:tc>
          <w:tcPr>
            <w:tcW w:w="467"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2 500 597</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2 571 208</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1 364 773</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3 926 472</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1 539 332</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1 339 332</w:t>
            </w:r>
          </w:p>
        </w:tc>
        <w:tc>
          <w:tcPr>
            <w:tcW w:w="45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1 339 332</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Štátna školská inšpekcia</w:t>
            </w:r>
          </w:p>
        </w:tc>
        <w:tc>
          <w:tcPr>
            <w:tcW w:w="467"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4 549 579</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4 494 248</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3 982 864</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3 977 624</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4 110 307</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4 110 307</w:t>
            </w:r>
          </w:p>
        </w:tc>
        <w:tc>
          <w:tcPr>
            <w:tcW w:w="45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4 110 307</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Slovenská pedagogická knižnica</w:t>
            </w:r>
          </w:p>
        </w:tc>
        <w:tc>
          <w:tcPr>
            <w:tcW w:w="467"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338 303</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308 894</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281 629</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286 059</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281 629</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281 629</w:t>
            </w:r>
          </w:p>
        </w:tc>
        <w:tc>
          <w:tcPr>
            <w:tcW w:w="45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281 629</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Národný ústav certifikovaných meraní vzdelávania</w:t>
            </w:r>
          </w:p>
        </w:tc>
        <w:tc>
          <w:tcPr>
            <w:tcW w:w="467"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1 882 842</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2 479 835</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1 379 635</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2 378 417</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1 453 237</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1 393 237</w:t>
            </w:r>
          </w:p>
        </w:tc>
        <w:tc>
          <w:tcPr>
            <w:tcW w:w="45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1 393 237</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Krajský školský úrad Bratislava</w:t>
            </w:r>
          </w:p>
        </w:tc>
        <w:tc>
          <w:tcPr>
            <w:tcW w:w="467"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955 184</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616 762</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533 374</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545 464</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525 204</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525 204</w:t>
            </w:r>
          </w:p>
        </w:tc>
        <w:tc>
          <w:tcPr>
            <w:tcW w:w="45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525 204</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Krajský školský úrad Košice</w:t>
            </w:r>
          </w:p>
        </w:tc>
        <w:tc>
          <w:tcPr>
            <w:tcW w:w="467"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1 338 245</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851 258</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692 311</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695 218</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682 729</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682 729</w:t>
            </w:r>
          </w:p>
        </w:tc>
        <w:tc>
          <w:tcPr>
            <w:tcW w:w="45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682 729</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Krajský školský úrad Trnava</w:t>
            </w:r>
          </w:p>
        </w:tc>
        <w:tc>
          <w:tcPr>
            <w:tcW w:w="467"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1 027 458</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706 073</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606 801</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616 804</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598 143</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598 143</w:t>
            </w:r>
          </w:p>
        </w:tc>
        <w:tc>
          <w:tcPr>
            <w:tcW w:w="45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598 143</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Krajský školský úrad Žilina</w:t>
            </w:r>
          </w:p>
        </w:tc>
        <w:tc>
          <w:tcPr>
            <w:tcW w:w="467"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1 227 997</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782 836</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653 551</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691 636</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643 566</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643 566</w:t>
            </w:r>
          </w:p>
        </w:tc>
        <w:tc>
          <w:tcPr>
            <w:tcW w:w="45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643 566</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Krajský školský úrad Trenčín</w:t>
            </w:r>
          </w:p>
        </w:tc>
        <w:tc>
          <w:tcPr>
            <w:tcW w:w="467"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958 126</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580 366</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519 314</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605 847</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511 612</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511 612</w:t>
            </w:r>
          </w:p>
        </w:tc>
        <w:tc>
          <w:tcPr>
            <w:tcW w:w="45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511 612</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Krajský školský úrad Prešov</w:t>
            </w:r>
          </w:p>
        </w:tc>
        <w:tc>
          <w:tcPr>
            <w:tcW w:w="467"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1 434 287</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855 158</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725 170</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725 170</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715 682</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715 682</w:t>
            </w:r>
          </w:p>
        </w:tc>
        <w:tc>
          <w:tcPr>
            <w:tcW w:w="45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715 682</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Krajský školský úrad Banská Bystrica</w:t>
            </w:r>
          </w:p>
        </w:tc>
        <w:tc>
          <w:tcPr>
            <w:tcW w:w="467"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1 105 509</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812 314</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665 998</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669 969</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656 920</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656 920</w:t>
            </w:r>
          </w:p>
        </w:tc>
        <w:tc>
          <w:tcPr>
            <w:tcW w:w="45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656 920</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Krajský školský úrad Nitra</w:t>
            </w:r>
          </w:p>
        </w:tc>
        <w:tc>
          <w:tcPr>
            <w:tcW w:w="467"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1 104 331</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675 543</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603 639</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621 666</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594 235</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594 235</w:t>
            </w:r>
          </w:p>
        </w:tc>
        <w:tc>
          <w:tcPr>
            <w:tcW w:w="45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594 235</w:t>
            </w:r>
          </w:p>
        </w:tc>
      </w:tr>
      <w:tr>
        <w:tblPrEx>
          <w:tblW w:w="5000" w:type="pct"/>
          <w:tblCellMar>
            <w:left w:w="70" w:type="dxa"/>
            <w:right w:w="70" w:type="dxa"/>
          </w:tblCellMar>
          <w:tblLook w:val="04A0"/>
        </w:tblPrEx>
        <w:trPr>
          <w:trHeight w:val="255"/>
        </w:trPr>
        <w:tc>
          <w:tcPr>
            <w:tcW w:w="1779" w:type="pct"/>
            <w:tcBorders>
              <w:top w:val="nil"/>
              <w:left w:val="single" w:sz="8"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Školské úrady obcí, VÚC a cirkevný</w:t>
            </w:r>
            <w:r>
              <w:rPr>
                <w:rFonts w:ascii="Times New Roman" w:hAnsi="Times New Roman" w:cs="Times New Roman"/>
                <w:sz w:val="14"/>
                <w:szCs w:val="14"/>
                <w:lang w:eastAsia="sk-SK"/>
              </w:rPr>
              <w:t>ch</w:t>
            </w:r>
            <w:r w:rsidRPr="00A94288">
              <w:rPr>
                <w:rFonts w:ascii="Times New Roman" w:hAnsi="Times New Roman" w:cs="Times New Roman"/>
                <w:sz w:val="14"/>
                <w:szCs w:val="14"/>
                <w:lang w:eastAsia="sk-SK"/>
              </w:rPr>
              <w:t xml:space="preserve"> zriaď</w:t>
            </w:r>
            <w:r>
              <w:rPr>
                <w:rFonts w:ascii="Times New Roman" w:hAnsi="Times New Roman" w:cs="Times New Roman"/>
                <w:sz w:val="14"/>
                <w:szCs w:val="14"/>
                <w:lang w:eastAsia="sk-SK"/>
              </w:rPr>
              <w:t>ovateľov</w:t>
            </w:r>
          </w:p>
        </w:tc>
        <w:tc>
          <w:tcPr>
            <w:tcW w:w="467"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3 386 020</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3 699 674</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3 813 580</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3 721 296</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3 813 580</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3 813 580</w:t>
            </w:r>
          </w:p>
        </w:tc>
        <w:tc>
          <w:tcPr>
            <w:tcW w:w="45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3 813 580</w:t>
            </w:r>
          </w:p>
        </w:tc>
      </w:tr>
      <w:tr>
        <w:tblPrEx>
          <w:tblW w:w="5000" w:type="pct"/>
          <w:tblCellMar>
            <w:left w:w="70" w:type="dxa"/>
            <w:right w:w="70" w:type="dxa"/>
          </w:tblCellMar>
          <w:tblLook w:val="04A0"/>
        </w:tblPrEx>
        <w:trPr>
          <w:trHeight w:val="255"/>
        </w:trPr>
        <w:tc>
          <w:tcPr>
            <w:tcW w:w="1779"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Ministerstvo školstva, vedy, výskumu a športu SR</w:t>
            </w:r>
          </w:p>
        </w:tc>
        <w:tc>
          <w:tcPr>
            <w:tcW w:w="467"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850 065</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4 590 258</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1 997 814</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4 598 158</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4 679 912</w:t>
            </w:r>
          </w:p>
        </w:tc>
        <w:tc>
          <w:tcPr>
            <w:tcW w:w="45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4 960 290</w:t>
            </w:r>
          </w:p>
        </w:tc>
      </w:tr>
      <w:tr>
        <w:tblPrEx>
          <w:tblW w:w="5000" w:type="pct"/>
          <w:tblCellMar>
            <w:left w:w="70" w:type="dxa"/>
            <w:right w:w="70" w:type="dxa"/>
          </w:tblCellMar>
          <w:tblLook w:val="04A0"/>
        </w:tblPrEx>
        <w:trPr>
          <w:trHeight w:val="255"/>
        </w:trPr>
        <w:tc>
          <w:tcPr>
            <w:tcW w:w="1779"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Príspevkové organizácie spolu</w:t>
            </w:r>
          </w:p>
        </w:tc>
        <w:tc>
          <w:tcPr>
            <w:tcW w:w="467" w:type="pct"/>
            <w:tcBorders>
              <w:top w:val="single" w:sz="4" w:space="0" w:color="auto"/>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1 662 580</w:t>
            </w:r>
          </w:p>
        </w:tc>
        <w:tc>
          <w:tcPr>
            <w:tcW w:w="459" w:type="pct"/>
            <w:tcBorders>
              <w:top w:val="single" w:sz="4" w:space="0" w:color="auto"/>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1 648 854</w:t>
            </w:r>
          </w:p>
        </w:tc>
        <w:tc>
          <w:tcPr>
            <w:tcW w:w="459" w:type="pct"/>
            <w:tcBorders>
              <w:top w:val="single" w:sz="4" w:space="0" w:color="auto"/>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1 204 435</w:t>
            </w:r>
          </w:p>
        </w:tc>
        <w:tc>
          <w:tcPr>
            <w:tcW w:w="459" w:type="pct"/>
            <w:tcBorders>
              <w:top w:val="single" w:sz="4" w:space="0" w:color="auto"/>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1 078 230</w:t>
            </w:r>
          </w:p>
        </w:tc>
        <w:tc>
          <w:tcPr>
            <w:tcW w:w="459" w:type="pct"/>
            <w:tcBorders>
              <w:top w:val="single" w:sz="4" w:space="0" w:color="auto"/>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1 204 435</w:t>
            </w:r>
          </w:p>
        </w:tc>
        <w:tc>
          <w:tcPr>
            <w:tcW w:w="459" w:type="pct"/>
            <w:tcBorders>
              <w:top w:val="single" w:sz="4" w:space="0" w:color="auto"/>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1 204 435</w:t>
            </w:r>
          </w:p>
        </w:tc>
        <w:tc>
          <w:tcPr>
            <w:tcW w:w="458" w:type="pct"/>
            <w:tcBorders>
              <w:top w:val="single" w:sz="4" w:space="0" w:color="auto"/>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1 204 435</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IUVENTA</w:t>
            </w:r>
          </w:p>
        </w:tc>
        <w:tc>
          <w:tcPr>
            <w:tcW w:w="467"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322 114</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327 873</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278 405</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144 200</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278 405</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278 405</w:t>
            </w:r>
          </w:p>
        </w:tc>
        <w:tc>
          <w:tcPr>
            <w:tcW w:w="45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278 405</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Domov Speváckeho zboru slovenských učiteľov</w:t>
            </w:r>
          </w:p>
        </w:tc>
        <w:tc>
          <w:tcPr>
            <w:tcW w:w="467"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304 295</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258 348</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288 086</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288 086</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288 086</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288 086</w:t>
            </w:r>
          </w:p>
        </w:tc>
        <w:tc>
          <w:tcPr>
            <w:tcW w:w="45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288 086</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Výskumný ústav detskej psychológie a patopsychológie</w:t>
            </w:r>
          </w:p>
        </w:tc>
        <w:tc>
          <w:tcPr>
            <w:tcW w:w="467"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697 841</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1 062 633</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637 944</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645 944</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637 944</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637 944</w:t>
            </w:r>
          </w:p>
        </w:tc>
        <w:tc>
          <w:tcPr>
            <w:tcW w:w="45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637 944</w:t>
            </w:r>
          </w:p>
        </w:tc>
      </w:tr>
      <w:tr>
        <w:tblPrEx>
          <w:tblW w:w="5000" w:type="pct"/>
          <w:tblCellMar>
            <w:left w:w="70" w:type="dxa"/>
            <w:right w:w="70" w:type="dxa"/>
          </w:tblCellMar>
          <w:tblLook w:val="04A0"/>
        </w:tblPrEx>
        <w:trPr>
          <w:trHeight w:val="285"/>
        </w:trPr>
        <w:tc>
          <w:tcPr>
            <w:tcW w:w="1779"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Národný ústav celoživotného vzdelávania</w:t>
            </w:r>
          </w:p>
        </w:tc>
        <w:tc>
          <w:tcPr>
            <w:tcW w:w="467"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338 330</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w:t>
            </w:r>
          </w:p>
        </w:tc>
        <w:tc>
          <w:tcPr>
            <w:tcW w:w="45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w:t>
            </w:r>
          </w:p>
        </w:tc>
        <w:tc>
          <w:tcPr>
            <w:tcW w:w="45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w:t>
            </w:r>
          </w:p>
        </w:tc>
      </w:tr>
    </w:tbl>
    <w:p w:rsidR="00CB350B" w:rsidP="00CB350B">
      <w:pPr>
        <w:bidi w:val="0"/>
        <w:jc w:val="both"/>
        <w:rPr>
          <w:rFonts w:ascii="Times New Roman" w:hAnsi="Times New Roman" w:cs="Times New Roman"/>
          <w:b/>
        </w:rPr>
      </w:pPr>
    </w:p>
    <w:p w:rsidR="00CB350B" w:rsidRPr="00432A91" w:rsidP="00CB350B">
      <w:pPr>
        <w:bidi w:val="0"/>
        <w:jc w:val="both"/>
        <w:rPr>
          <w:rFonts w:ascii="Times New Roman" w:hAnsi="Times New Roman" w:cs="Times New Roman"/>
          <w:b/>
        </w:rPr>
      </w:pPr>
      <w:r w:rsidRPr="00432A91">
        <w:rPr>
          <w:rFonts w:ascii="Times New Roman" w:hAnsi="Times New Roman" w:cs="Times New Roman"/>
          <w:b/>
        </w:rPr>
        <w:t>Vysoké školstvo vrátane rezortného vysokého školstva</w:t>
      </w:r>
    </w:p>
    <w:p w:rsidR="00CB350B" w:rsidRPr="00432A91" w:rsidP="00CB350B">
      <w:pPr>
        <w:bidi w:val="0"/>
        <w:jc w:val="both"/>
        <w:rPr>
          <w:rFonts w:ascii="Times New Roman" w:hAnsi="Times New Roman" w:cs="Times New Roman"/>
          <w:b/>
        </w:rPr>
      </w:pPr>
    </w:p>
    <w:tbl>
      <w:tblPr>
        <w:tblStyle w:val="TableNormal"/>
        <w:tblW w:w="5000" w:type="pct"/>
        <w:tblCellMar>
          <w:left w:w="70" w:type="dxa"/>
          <w:right w:w="70" w:type="dxa"/>
        </w:tblCellMar>
        <w:tblLook w:val="04A0"/>
      </w:tblPr>
      <w:tblGrid>
        <w:gridCol w:w="3194"/>
        <w:gridCol w:w="861"/>
        <w:gridCol w:w="860"/>
        <w:gridCol w:w="860"/>
        <w:gridCol w:w="860"/>
        <w:gridCol w:w="860"/>
        <w:gridCol w:w="860"/>
        <w:gridCol w:w="857"/>
      </w:tblGrid>
      <w:tr>
        <w:tblPrEx>
          <w:tblW w:w="5000" w:type="pct"/>
          <w:tblCellMar>
            <w:left w:w="70" w:type="dxa"/>
            <w:right w:w="70" w:type="dxa"/>
          </w:tblCellMar>
          <w:tblLook w:val="04A0"/>
        </w:tblPrEx>
        <w:trPr>
          <w:trHeight w:val="255"/>
        </w:trPr>
        <w:tc>
          <w:tcPr>
            <w:tcW w:w="173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B350B" w:rsidRPr="00A94288" w:rsidP="00257E12">
            <w:pPr>
              <w:bidi w:val="0"/>
              <w:rPr>
                <w:rFonts w:ascii="Times New Roman" w:hAnsi="Times New Roman" w:cs="Times New Roman"/>
                <w:b/>
                <w:sz w:val="14"/>
                <w:szCs w:val="14"/>
                <w:lang w:eastAsia="sk-SK"/>
              </w:rPr>
            </w:pPr>
            <w:r w:rsidRPr="00A94288">
              <w:rPr>
                <w:rFonts w:ascii="Times New Roman" w:hAnsi="Times New Roman" w:cs="Times New Roman"/>
                <w:b/>
                <w:sz w:val="14"/>
                <w:szCs w:val="14"/>
                <w:lang w:eastAsia="sk-SK"/>
              </w:rPr>
              <w:t>v eurách</w:t>
            </w:r>
          </w:p>
        </w:tc>
        <w:tc>
          <w:tcPr>
            <w:tcW w:w="467"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2009 S</w:t>
            </w:r>
          </w:p>
        </w:tc>
        <w:tc>
          <w:tcPr>
            <w:tcW w:w="467"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2010 S</w:t>
            </w:r>
          </w:p>
        </w:tc>
        <w:tc>
          <w:tcPr>
            <w:tcW w:w="467"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2011 R</w:t>
            </w:r>
          </w:p>
        </w:tc>
        <w:tc>
          <w:tcPr>
            <w:tcW w:w="467"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2011 OS</w:t>
            </w:r>
          </w:p>
        </w:tc>
        <w:tc>
          <w:tcPr>
            <w:tcW w:w="467"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2012 N</w:t>
            </w:r>
          </w:p>
        </w:tc>
        <w:tc>
          <w:tcPr>
            <w:tcW w:w="467"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2013 N</w:t>
            </w:r>
          </w:p>
        </w:tc>
        <w:tc>
          <w:tcPr>
            <w:tcW w:w="465"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2014 N</w:t>
            </w:r>
          </w:p>
        </w:tc>
      </w:tr>
      <w:tr>
        <w:tblPrEx>
          <w:tblW w:w="5000" w:type="pct"/>
          <w:tblCellMar>
            <w:left w:w="70" w:type="dxa"/>
            <w:right w:w="70" w:type="dxa"/>
          </w:tblCellMar>
          <w:tblLook w:val="04A0"/>
        </w:tblPrEx>
        <w:trPr>
          <w:trHeight w:val="255"/>
        </w:trPr>
        <w:tc>
          <w:tcPr>
            <w:tcW w:w="1733"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3D2851" w:rsidP="00257E12">
            <w:pPr>
              <w:bidi w:val="0"/>
              <w:rPr>
                <w:rFonts w:ascii="Times New Roman" w:hAnsi="Times New Roman" w:cs="Times New Roman"/>
                <w:b/>
                <w:bCs/>
                <w:sz w:val="14"/>
                <w:szCs w:val="14"/>
                <w:lang w:eastAsia="sk-SK"/>
              </w:rPr>
            </w:pPr>
            <w:r w:rsidRPr="003D2851">
              <w:rPr>
                <w:rFonts w:ascii="Times New Roman" w:hAnsi="Times New Roman" w:cs="Times New Roman"/>
                <w:b/>
                <w:bCs/>
                <w:sz w:val="14"/>
                <w:szCs w:val="14"/>
                <w:lang w:eastAsia="sk-SK"/>
              </w:rPr>
              <w:t>Výdavky pre VVŠ spolu cez MŠVVŠ SR</w:t>
            </w:r>
          </w:p>
        </w:tc>
        <w:tc>
          <w:tcPr>
            <w:tcW w:w="467" w:type="pct"/>
            <w:tcBorders>
              <w:top w:val="single" w:sz="4" w:space="0" w:color="auto"/>
              <w:left w:val="nil"/>
              <w:bottom w:val="single" w:sz="4" w:space="0" w:color="auto"/>
              <w:right w:val="single" w:sz="4" w:space="0" w:color="auto"/>
            </w:tcBorders>
            <w:noWrap/>
            <w:textDirection w:val="lrTb"/>
            <w:vAlign w:val="bottom"/>
            <w:hideMark/>
          </w:tcPr>
          <w:p w:rsidR="00CB350B" w:rsidRPr="00367B58" w:rsidP="00257E12">
            <w:pPr>
              <w:bidi w:val="0"/>
              <w:jc w:val="right"/>
              <w:rPr>
                <w:rFonts w:ascii="Times New Roman" w:hAnsi="Times New Roman" w:cs="Times New Roman"/>
                <w:b/>
                <w:bCs/>
                <w:sz w:val="14"/>
                <w:szCs w:val="14"/>
                <w:lang w:eastAsia="sk-SK"/>
              </w:rPr>
            </w:pPr>
            <w:r w:rsidRPr="00367B58">
              <w:rPr>
                <w:rFonts w:ascii="Times New Roman" w:hAnsi="Times New Roman" w:cs="Times New Roman"/>
                <w:b/>
                <w:bCs/>
                <w:sz w:val="14"/>
                <w:szCs w:val="14"/>
                <w:lang w:eastAsia="sk-SK"/>
              </w:rPr>
              <w:t>461 051 114</w:t>
            </w:r>
          </w:p>
        </w:tc>
        <w:tc>
          <w:tcPr>
            <w:tcW w:w="467" w:type="pct"/>
            <w:tcBorders>
              <w:top w:val="single" w:sz="4" w:space="0" w:color="auto"/>
              <w:left w:val="nil"/>
              <w:bottom w:val="single" w:sz="4" w:space="0" w:color="auto"/>
              <w:right w:val="single" w:sz="4" w:space="0" w:color="auto"/>
            </w:tcBorders>
            <w:noWrap/>
            <w:textDirection w:val="lrTb"/>
            <w:vAlign w:val="bottom"/>
            <w:hideMark/>
          </w:tcPr>
          <w:p w:rsidR="00CB350B" w:rsidRPr="003D2851" w:rsidP="00257E12">
            <w:pPr>
              <w:bidi w:val="0"/>
              <w:jc w:val="center"/>
              <w:rPr>
                <w:rFonts w:ascii="Times New Roman" w:hAnsi="Times New Roman" w:cs="Times New Roman"/>
                <w:b/>
                <w:bCs/>
                <w:sz w:val="14"/>
                <w:szCs w:val="14"/>
                <w:lang w:eastAsia="sk-SK"/>
              </w:rPr>
            </w:pPr>
            <w:r w:rsidRPr="003D2851">
              <w:rPr>
                <w:rFonts w:ascii="Times New Roman" w:hAnsi="Times New Roman" w:cs="Times New Roman"/>
                <w:b/>
                <w:bCs/>
                <w:sz w:val="14"/>
                <w:szCs w:val="14"/>
                <w:lang w:eastAsia="sk-SK"/>
              </w:rPr>
              <w:t>459 347 732</w:t>
            </w:r>
          </w:p>
        </w:tc>
        <w:tc>
          <w:tcPr>
            <w:tcW w:w="467" w:type="pct"/>
            <w:tcBorders>
              <w:top w:val="single" w:sz="4" w:space="0" w:color="auto"/>
              <w:left w:val="nil"/>
              <w:bottom w:val="single" w:sz="4" w:space="0" w:color="auto"/>
              <w:right w:val="single" w:sz="4" w:space="0" w:color="auto"/>
            </w:tcBorders>
            <w:noWrap/>
            <w:textDirection w:val="lrTb"/>
            <w:vAlign w:val="bottom"/>
            <w:hideMark/>
          </w:tcPr>
          <w:p w:rsidR="00CB350B" w:rsidRPr="003D2851" w:rsidP="00257E12">
            <w:pPr>
              <w:bidi w:val="0"/>
              <w:jc w:val="center"/>
              <w:rPr>
                <w:rFonts w:ascii="Times New Roman" w:hAnsi="Times New Roman" w:cs="Times New Roman"/>
                <w:b/>
                <w:bCs/>
                <w:sz w:val="14"/>
                <w:szCs w:val="14"/>
                <w:lang w:eastAsia="sk-SK"/>
              </w:rPr>
            </w:pPr>
            <w:r w:rsidRPr="003D2851">
              <w:rPr>
                <w:rFonts w:ascii="Times New Roman" w:hAnsi="Times New Roman" w:cs="Times New Roman"/>
                <w:b/>
                <w:bCs/>
                <w:sz w:val="14"/>
                <w:szCs w:val="14"/>
                <w:lang w:eastAsia="sk-SK"/>
              </w:rPr>
              <w:t>435 786 522</w:t>
            </w:r>
          </w:p>
        </w:tc>
        <w:tc>
          <w:tcPr>
            <w:tcW w:w="467" w:type="pct"/>
            <w:tcBorders>
              <w:top w:val="single" w:sz="4" w:space="0" w:color="auto"/>
              <w:left w:val="nil"/>
              <w:bottom w:val="single" w:sz="4" w:space="0" w:color="auto"/>
              <w:right w:val="single" w:sz="4" w:space="0" w:color="auto"/>
            </w:tcBorders>
            <w:noWrap/>
            <w:textDirection w:val="lrTb"/>
            <w:vAlign w:val="bottom"/>
            <w:hideMark/>
          </w:tcPr>
          <w:p w:rsidR="00CB350B" w:rsidRPr="003D2851" w:rsidP="00257E12">
            <w:pPr>
              <w:bidi w:val="0"/>
              <w:jc w:val="center"/>
              <w:rPr>
                <w:rFonts w:ascii="Times New Roman" w:hAnsi="Times New Roman" w:cs="Times New Roman"/>
                <w:b/>
                <w:bCs/>
                <w:sz w:val="14"/>
                <w:szCs w:val="14"/>
                <w:lang w:eastAsia="sk-SK"/>
              </w:rPr>
            </w:pPr>
            <w:r w:rsidRPr="003D2851">
              <w:rPr>
                <w:rFonts w:ascii="Times New Roman" w:hAnsi="Times New Roman" w:cs="Times New Roman"/>
                <w:b/>
                <w:bCs/>
                <w:sz w:val="14"/>
                <w:szCs w:val="14"/>
                <w:lang w:eastAsia="sk-SK"/>
              </w:rPr>
              <w:t>437 503 402</w:t>
            </w:r>
          </w:p>
        </w:tc>
        <w:tc>
          <w:tcPr>
            <w:tcW w:w="467" w:type="pct"/>
            <w:tcBorders>
              <w:top w:val="single" w:sz="4" w:space="0" w:color="auto"/>
              <w:left w:val="nil"/>
              <w:bottom w:val="single" w:sz="4" w:space="0" w:color="auto"/>
              <w:right w:val="single" w:sz="4" w:space="0" w:color="auto"/>
            </w:tcBorders>
            <w:noWrap/>
            <w:textDirection w:val="lrTb"/>
            <w:vAlign w:val="bottom"/>
            <w:hideMark/>
          </w:tcPr>
          <w:p w:rsidR="00CB350B" w:rsidRPr="00B953A4" w:rsidP="00257E12">
            <w:pPr>
              <w:bidi w:val="0"/>
              <w:jc w:val="right"/>
              <w:rPr>
                <w:rFonts w:ascii="Times New Roman" w:hAnsi="Times New Roman" w:cs="Times New Roman"/>
                <w:b/>
                <w:bCs/>
                <w:sz w:val="14"/>
                <w:szCs w:val="14"/>
                <w:lang w:eastAsia="sk-SK"/>
              </w:rPr>
            </w:pPr>
            <w:r w:rsidRPr="00B953A4">
              <w:rPr>
                <w:rFonts w:ascii="Times New Roman" w:hAnsi="Times New Roman" w:cs="Times New Roman"/>
                <w:b/>
                <w:bCs/>
                <w:sz w:val="14"/>
                <w:szCs w:val="14"/>
                <w:lang w:eastAsia="sk-SK"/>
              </w:rPr>
              <w:t>450 655 547</w:t>
            </w:r>
          </w:p>
        </w:tc>
        <w:tc>
          <w:tcPr>
            <w:tcW w:w="467" w:type="pct"/>
            <w:tcBorders>
              <w:top w:val="single" w:sz="4" w:space="0" w:color="auto"/>
              <w:left w:val="nil"/>
              <w:bottom w:val="single" w:sz="4" w:space="0" w:color="auto"/>
              <w:right w:val="single" w:sz="4" w:space="0" w:color="auto"/>
            </w:tcBorders>
            <w:noWrap/>
            <w:textDirection w:val="lrTb"/>
            <w:vAlign w:val="bottom"/>
            <w:hideMark/>
          </w:tcPr>
          <w:p w:rsidR="00CB350B" w:rsidRPr="00B953A4" w:rsidP="00257E12">
            <w:pPr>
              <w:bidi w:val="0"/>
              <w:jc w:val="right"/>
              <w:rPr>
                <w:rFonts w:ascii="Times New Roman" w:hAnsi="Times New Roman" w:cs="Times New Roman"/>
                <w:b/>
                <w:bCs/>
                <w:sz w:val="14"/>
                <w:szCs w:val="14"/>
                <w:lang w:eastAsia="sk-SK"/>
              </w:rPr>
            </w:pPr>
            <w:r w:rsidRPr="00B953A4">
              <w:rPr>
                <w:rFonts w:ascii="Times New Roman" w:hAnsi="Times New Roman" w:cs="Times New Roman"/>
                <w:b/>
                <w:bCs/>
                <w:sz w:val="14"/>
                <w:szCs w:val="14"/>
                <w:lang w:eastAsia="sk-SK"/>
              </w:rPr>
              <w:t>454 612 035</w:t>
            </w:r>
          </w:p>
        </w:tc>
        <w:tc>
          <w:tcPr>
            <w:tcW w:w="465" w:type="pct"/>
            <w:tcBorders>
              <w:top w:val="single" w:sz="4" w:space="0" w:color="auto"/>
              <w:left w:val="nil"/>
              <w:bottom w:val="single" w:sz="4" w:space="0" w:color="auto"/>
              <w:right w:val="single" w:sz="4" w:space="0" w:color="auto"/>
            </w:tcBorders>
            <w:noWrap/>
            <w:textDirection w:val="lrTb"/>
            <w:vAlign w:val="bottom"/>
            <w:hideMark/>
          </w:tcPr>
          <w:p w:rsidR="00CB350B" w:rsidRPr="00B953A4" w:rsidP="00257E12">
            <w:pPr>
              <w:bidi w:val="0"/>
              <w:jc w:val="right"/>
              <w:rPr>
                <w:rFonts w:ascii="Times New Roman" w:hAnsi="Times New Roman" w:cs="Times New Roman"/>
                <w:b/>
                <w:bCs/>
                <w:sz w:val="14"/>
                <w:szCs w:val="14"/>
                <w:lang w:eastAsia="sk-SK"/>
              </w:rPr>
            </w:pPr>
            <w:r w:rsidRPr="00B953A4">
              <w:rPr>
                <w:rFonts w:ascii="Times New Roman" w:hAnsi="Times New Roman" w:cs="Times New Roman"/>
                <w:b/>
                <w:bCs/>
                <w:sz w:val="14"/>
                <w:szCs w:val="14"/>
                <w:lang w:eastAsia="sk-SK"/>
              </w:rPr>
              <w:t>456 265 119</w:t>
            </w:r>
          </w:p>
        </w:tc>
      </w:tr>
      <w:tr>
        <w:tblPrEx>
          <w:tblW w:w="5000" w:type="pct"/>
          <w:tblCellMar>
            <w:left w:w="70" w:type="dxa"/>
            <w:right w:w="70" w:type="dxa"/>
          </w:tblCellMar>
          <w:tblLook w:val="04A0"/>
        </w:tblPrEx>
        <w:trPr>
          <w:trHeight w:val="255"/>
        </w:trPr>
        <w:tc>
          <w:tcPr>
            <w:tcW w:w="1733"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Verejné vysoké školy cez MŠVVŠ SR</w:t>
            </w:r>
          </w:p>
        </w:tc>
        <w:tc>
          <w:tcPr>
            <w:tcW w:w="467" w:type="pct"/>
            <w:tcBorders>
              <w:top w:val="single" w:sz="4" w:space="0" w:color="auto"/>
              <w:left w:val="nil"/>
              <w:bottom w:val="single" w:sz="4" w:space="0" w:color="auto"/>
              <w:right w:val="single" w:sz="4" w:space="0" w:color="auto"/>
            </w:tcBorders>
            <w:noWrap/>
            <w:textDirection w:val="lrTb"/>
            <w:vAlign w:val="bottom"/>
            <w:hideMark/>
          </w:tcPr>
          <w:p w:rsidR="00CB350B" w:rsidRPr="00367B58" w:rsidP="00257E12">
            <w:pPr>
              <w:bidi w:val="0"/>
              <w:jc w:val="right"/>
              <w:rPr>
                <w:rFonts w:ascii="Times New Roman" w:hAnsi="Times New Roman" w:cs="Times New Roman"/>
                <w:bCs/>
                <w:sz w:val="14"/>
                <w:szCs w:val="14"/>
                <w:lang w:eastAsia="sk-SK"/>
              </w:rPr>
            </w:pPr>
            <w:r w:rsidRPr="00367B58">
              <w:rPr>
                <w:rFonts w:ascii="Times New Roman" w:hAnsi="Times New Roman" w:cs="Times New Roman"/>
                <w:bCs/>
                <w:sz w:val="14"/>
                <w:szCs w:val="14"/>
                <w:lang w:eastAsia="sk-SK"/>
              </w:rPr>
              <w:t>458 771 141</w:t>
            </w:r>
          </w:p>
        </w:tc>
        <w:tc>
          <w:tcPr>
            <w:tcW w:w="467" w:type="pct"/>
            <w:tcBorders>
              <w:top w:val="single" w:sz="4" w:space="0" w:color="auto"/>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455 983 062</w:t>
            </w:r>
          </w:p>
        </w:tc>
        <w:tc>
          <w:tcPr>
            <w:tcW w:w="467" w:type="pct"/>
            <w:tcBorders>
              <w:top w:val="single" w:sz="4" w:space="0" w:color="auto"/>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432 742 793</w:t>
            </w:r>
          </w:p>
        </w:tc>
        <w:tc>
          <w:tcPr>
            <w:tcW w:w="467" w:type="pct"/>
            <w:tcBorders>
              <w:top w:val="single" w:sz="4" w:space="0" w:color="auto"/>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434 532 036</w:t>
            </w:r>
          </w:p>
        </w:tc>
        <w:tc>
          <w:tcPr>
            <w:tcW w:w="467" w:type="pct"/>
            <w:tcBorders>
              <w:top w:val="single" w:sz="4" w:space="0" w:color="auto"/>
              <w:left w:val="nil"/>
              <w:bottom w:val="single" w:sz="4" w:space="0" w:color="auto"/>
              <w:right w:val="single" w:sz="4" w:space="0" w:color="auto"/>
            </w:tcBorders>
            <w:noWrap/>
            <w:textDirection w:val="lrTb"/>
            <w:vAlign w:val="bottom"/>
            <w:hideMark/>
          </w:tcPr>
          <w:p w:rsidR="00CB350B" w:rsidRPr="00B953A4" w:rsidP="00257E12">
            <w:pPr>
              <w:bidi w:val="0"/>
              <w:jc w:val="right"/>
              <w:rPr>
                <w:rFonts w:ascii="Times New Roman" w:hAnsi="Times New Roman" w:cs="Times New Roman"/>
                <w:bCs/>
                <w:sz w:val="14"/>
                <w:szCs w:val="14"/>
                <w:lang w:eastAsia="sk-SK"/>
              </w:rPr>
            </w:pPr>
            <w:r w:rsidRPr="00B953A4">
              <w:rPr>
                <w:rFonts w:ascii="Times New Roman" w:hAnsi="Times New Roman" w:cs="Times New Roman"/>
                <w:bCs/>
                <w:sz w:val="14"/>
                <w:szCs w:val="14"/>
                <w:lang w:eastAsia="sk-SK"/>
              </w:rPr>
              <w:t>447 790 176</w:t>
            </w:r>
          </w:p>
        </w:tc>
        <w:tc>
          <w:tcPr>
            <w:tcW w:w="467" w:type="pct"/>
            <w:tcBorders>
              <w:top w:val="single" w:sz="4" w:space="0" w:color="auto"/>
              <w:left w:val="nil"/>
              <w:bottom w:val="single" w:sz="4" w:space="0" w:color="auto"/>
              <w:right w:val="single" w:sz="4" w:space="0" w:color="auto"/>
            </w:tcBorders>
            <w:noWrap/>
            <w:textDirection w:val="lrTb"/>
            <w:vAlign w:val="bottom"/>
            <w:hideMark/>
          </w:tcPr>
          <w:p w:rsidR="00CB350B" w:rsidRPr="00B953A4" w:rsidP="00257E12">
            <w:pPr>
              <w:bidi w:val="0"/>
              <w:jc w:val="right"/>
              <w:rPr>
                <w:rFonts w:ascii="Times New Roman" w:hAnsi="Times New Roman" w:cs="Times New Roman"/>
                <w:bCs/>
                <w:sz w:val="14"/>
                <w:szCs w:val="14"/>
                <w:lang w:eastAsia="sk-SK"/>
              </w:rPr>
            </w:pPr>
            <w:r w:rsidRPr="00B953A4">
              <w:rPr>
                <w:rFonts w:ascii="Times New Roman" w:hAnsi="Times New Roman" w:cs="Times New Roman"/>
                <w:bCs/>
                <w:sz w:val="14"/>
                <w:szCs w:val="14"/>
                <w:lang w:eastAsia="sk-SK"/>
              </w:rPr>
              <w:t>451 746 664</w:t>
            </w:r>
          </w:p>
        </w:tc>
        <w:tc>
          <w:tcPr>
            <w:tcW w:w="465" w:type="pct"/>
            <w:tcBorders>
              <w:top w:val="single" w:sz="4" w:space="0" w:color="auto"/>
              <w:left w:val="nil"/>
              <w:bottom w:val="single" w:sz="4" w:space="0" w:color="auto"/>
              <w:right w:val="single" w:sz="4" w:space="0" w:color="auto"/>
            </w:tcBorders>
            <w:noWrap/>
            <w:textDirection w:val="lrTb"/>
            <w:vAlign w:val="bottom"/>
            <w:hideMark/>
          </w:tcPr>
          <w:p w:rsidR="00CB350B" w:rsidRPr="00B953A4" w:rsidP="00257E12">
            <w:pPr>
              <w:bidi w:val="0"/>
              <w:jc w:val="right"/>
              <w:rPr>
                <w:rFonts w:ascii="Times New Roman" w:hAnsi="Times New Roman" w:cs="Times New Roman"/>
                <w:bCs/>
                <w:sz w:val="14"/>
                <w:szCs w:val="14"/>
                <w:lang w:eastAsia="sk-SK"/>
              </w:rPr>
            </w:pPr>
            <w:r w:rsidRPr="00B953A4">
              <w:rPr>
                <w:rFonts w:ascii="Times New Roman" w:hAnsi="Times New Roman" w:cs="Times New Roman"/>
                <w:bCs/>
                <w:sz w:val="14"/>
                <w:szCs w:val="14"/>
                <w:lang w:eastAsia="sk-SK"/>
              </w:rPr>
              <w:t>453 399 748</w:t>
            </w:r>
          </w:p>
        </w:tc>
      </w:tr>
      <w:tr>
        <w:tblPrEx>
          <w:tblW w:w="5000" w:type="pct"/>
          <w:tblCellMar>
            <w:left w:w="70" w:type="dxa"/>
            <w:right w:w="70" w:type="dxa"/>
          </w:tblCellMar>
          <w:tblLook w:val="04A0"/>
        </w:tblPrEx>
        <w:trPr>
          <w:trHeight w:val="255"/>
        </w:trPr>
        <w:tc>
          <w:tcPr>
            <w:tcW w:w="1733"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Štipendiá pre zahraničných študentov cez MŠVVŠ SR</w:t>
            </w:r>
          </w:p>
        </w:tc>
        <w:tc>
          <w:tcPr>
            <w:tcW w:w="467" w:type="pct"/>
            <w:tcBorders>
              <w:top w:val="single" w:sz="4" w:space="0" w:color="auto"/>
              <w:left w:val="nil"/>
              <w:bottom w:val="single" w:sz="4" w:space="0" w:color="auto"/>
              <w:right w:val="single" w:sz="4" w:space="0" w:color="auto"/>
            </w:tcBorders>
            <w:noWrap/>
            <w:textDirection w:val="lrTb"/>
            <w:vAlign w:val="bottom"/>
            <w:hideMark/>
          </w:tcPr>
          <w:p w:rsidR="00CB350B" w:rsidRPr="00367B58" w:rsidP="00257E12">
            <w:pPr>
              <w:bidi w:val="0"/>
              <w:jc w:val="right"/>
              <w:rPr>
                <w:rFonts w:ascii="Times New Roman" w:hAnsi="Times New Roman" w:cs="Times New Roman"/>
                <w:bCs/>
                <w:sz w:val="14"/>
                <w:szCs w:val="14"/>
                <w:lang w:eastAsia="sk-SK"/>
              </w:rPr>
            </w:pPr>
            <w:r w:rsidRPr="00367B58">
              <w:rPr>
                <w:rFonts w:ascii="Times New Roman" w:hAnsi="Times New Roman" w:cs="Times New Roman"/>
                <w:bCs/>
                <w:sz w:val="14"/>
                <w:szCs w:val="14"/>
                <w:lang w:eastAsia="sk-SK"/>
              </w:rPr>
              <w:t>368 081</w:t>
            </w:r>
          </w:p>
        </w:tc>
        <w:tc>
          <w:tcPr>
            <w:tcW w:w="467" w:type="pct"/>
            <w:tcBorders>
              <w:top w:val="single" w:sz="4" w:space="0" w:color="auto"/>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1 415 023</w:t>
            </w:r>
          </w:p>
        </w:tc>
        <w:tc>
          <w:tcPr>
            <w:tcW w:w="467" w:type="pct"/>
            <w:tcBorders>
              <w:top w:val="single" w:sz="4" w:space="0" w:color="auto"/>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1 265 000</w:t>
            </w:r>
          </w:p>
        </w:tc>
        <w:tc>
          <w:tcPr>
            <w:tcW w:w="467" w:type="pct"/>
            <w:tcBorders>
              <w:top w:val="single" w:sz="4" w:space="0" w:color="auto"/>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995 000</w:t>
            </w:r>
          </w:p>
        </w:tc>
        <w:tc>
          <w:tcPr>
            <w:tcW w:w="467" w:type="pct"/>
            <w:tcBorders>
              <w:top w:val="single" w:sz="4" w:space="0" w:color="auto"/>
              <w:left w:val="nil"/>
              <w:bottom w:val="single" w:sz="4" w:space="0" w:color="auto"/>
              <w:right w:val="single" w:sz="4" w:space="0" w:color="auto"/>
            </w:tcBorders>
            <w:noWrap/>
            <w:textDirection w:val="lrTb"/>
            <w:vAlign w:val="bottom"/>
            <w:hideMark/>
          </w:tcPr>
          <w:p w:rsidR="00CB350B" w:rsidRPr="00B953A4" w:rsidP="00257E12">
            <w:pPr>
              <w:bidi w:val="0"/>
              <w:jc w:val="right"/>
              <w:rPr>
                <w:rFonts w:ascii="Times New Roman" w:hAnsi="Times New Roman" w:cs="Times New Roman"/>
                <w:bCs/>
                <w:sz w:val="14"/>
                <w:szCs w:val="14"/>
                <w:lang w:eastAsia="sk-SK"/>
              </w:rPr>
            </w:pPr>
            <w:r w:rsidRPr="00B953A4">
              <w:rPr>
                <w:rFonts w:ascii="Times New Roman" w:hAnsi="Times New Roman" w:cs="Times New Roman"/>
                <w:bCs/>
                <w:sz w:val="14"/>
                <w:szCs w:val="14"/>
                <w:lang w:eastAsia="sk-SK"/>
              </w:rPr>
              <w:t>889 005</w:t>
            </w:r>
          </w:p>
        </w:tc>
        <w:tc>
          <w:tcPr>
            <w:tcW w:w="467" w:type="pct"/>
            <w:tcBorders>
              <w:top w:val="single" w:sz="4" w:space="0" w:color="auto"/>
              <w:left w:val="nil"/>
              <w:bottom w:val="single" w:sz="4" w:space="0" w:color="auto"/>
              <w:right w:val="single" w:sz="4" w:space="0" w:color="auto"/>
            </w:tcBorders>
            <w:noWrap/>
            <w:textDirection w:val="lrTb"/>
            <w:vAlign w:val="bottom"/>
            <w:hideMark/>
          </w:tcPr>
          <w:p w:rsidR="00CB350B" w:rsidRPr="00B953A4" w:rsidP="00257E12">
            <w:pPr>
              <w:bidi w:val="0"/>
              <w:jc w:val="right"/>
              <w:rPr>
                <w:rFonts w:ascii="Times New Roman" w:hAnsi="Times New Roman" w:cs="Times New Roman"/>
                <w:bCs/>
                <w:sz w:val="14"/>
                <w:szCs w:val="14"/>
                <w:lang w:eastAsia="sk-SK"/>
              </w:rPr>
            </w:pPr>
            <w:r w:rsidRPr="00B953A4">
              <w:rPr>
                <w:rFonts w:ascii="Times New Roman" w:hAnsi="Times New Roman" w:cs="Times New Roman"/>
                <w:bCs/>
                <w:sz w:val="14"/>
                <w:szCs w:val="14"/>
                <w:lang w:eastAsia="sk-SK"/>
              </w:rPr>
              <w:t>889 005</w:t>
            </w:r>
          </w:p>
        </w:tc>
        <w:tc>
          <w:tcPr>
            <w:tcW w:w="465" w:type="pct"/>
            <w:tcBorders>
              <w:top w:val="single" w:sz="4" w:space="0" w:color="auto"/>
              <w:left w:val="nil"/>
              <w:bottom w:val="single" w:sz="4" w:space="0" w:color="auto"/>
              <w:right w:val="single" w:sz="4" w:space="0" w:color="auto"/>
            </w:tcBorders>
            <w:noWrap/>
            <w:textDirection w:val="lrTb"/>
            <w:vAlign w:val="bottom"/>
            <w:hideMark/>
          </w:tcPr>
          <w:p w:rsidR="00CB350B" w:rsidRPr="00B953A4" w:rsidP="00257E12">
            <w:pPr>
              <w:bidi w:val="0"/>
              <w:jc w:val="right"/>
              <w:rPr>
                <w:rFonts w:ascii="Times New Roman" w:hAnsi="Times New Roman" w:cs="Times New Roman"/>
                <w:bCs/>
                <w:sz w:val="14"/>
                <w:szCs w:val="14"/>
                <w:lang w:eastAsia="sk-SK"/>
              </w:rPr>
            </w:pPr>
            <w:r w:rsidRPr="00B953A4">
              <w:rPr>
                <w:rFonts w:ascii="Times New Roman" w:hAnsi="Times New Roman" w:cs="Times New Roman"/>
                <w:bCs/>
                <w:sz w:val="14"/>
                <w:szCs w:val="14"/>
                <w:lang w:eastAsia="sk-SK"/>
              </w:rPr>
              <w:t>889 005</w:t>
            </w:r>
          </w:p>
        </w:tc>
      </w:tr>
      <w:tr>
        <w:tblPrEx>
          <w:tblW w:w="5000" w:type="pct"/>
          <w:tblCellMar>
            <w:left w:w="70" w:type="dxa"/>
            <w:right w:w="70" w:type="dxa"/>
          </w:tblCellMar>
          <w:tblLook w:val="04A0"/>
        </w:tblPrEx>
        <w:trPr>
          <w:trHeight w:val="255"/>
        </w:trPr>
        <w:tc>
          <w:tcPr>
            <w:tcW w:w="1733"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Oficiálna rozvojová pomoc</w:t>
            </w:r>
          </w:p>
        </w:tc>
        <w:tc>
          <w:tcPr>
            <w:tcW w:w="467" w:type="pct"/>
            <w:tcBorders>
              <w:top w:val="single" w:sz="4" w:space="0" w:color="auto"/>
              <w:left w:val="nil"/>
              <w:bottom w:val="single" w:sz="4" w:space="0" w:color="auto"/>
              <w:right w:val="single" w:sz="4" w:space="0" w:color="auto"/>
            </w:tcBorders>
            <w:noWrap/>
            <w:textDirection w:val="lrTb"/>
            <w:vAlign w:val="bottom"/>
            <w:hideMark/>
          </w:tcPr>
          <w:p w:rsidR="00CB350B" w:rsidRPr="00367B58" w:rsidP="00257E12">
            <w:pPr>
              <w:bidi w:val="0"/>
              <w:jc w:val="right"/>
              <w:rPr>
                <w:rFonts w:ascii="Times New Roman" w:hAnsi="Times New Roman" w:cs="Times New Roman"/>
                <w:bCs/>
                <w:sz w:val="14"/>
                <w:szCs w:val="14"/>
                <w:lang w:eastAsia="sk-SK"/>
              </w:rPr>
            </w:pPr>
            <w:r w:rsidRPr="00367B58">
              <w:rPr>
                <w:rFonts w:ascii="Times New Roman" w:hAnsi="Times New Roman" w:cs="Times New Roman"/>
                <w:bCs/>
                <w:sz w:val="14"/>
                <w:szCs w:val="14"/>
                <w:lang w:eastAsia="sk-SK"/>
              </w:rPr>
              <w:t>1 911 892</w:t>
            </w:r>
          </w:p>
        </w:tc>
        <w:tc>
          <w:tcPr>
            <w:tcW w:w="467" w:type="pct"/>
            <w:tcBorders>
              <w:top w:val="single" w:sz="4" w:space="0" w:color="auto"/>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1 949 647</w:t>
            </w:r>
          </w:p>
        </w:tc>
        <w:tc>
          <w:tcPr>
            <w:tcW w:w="467" w:type="pct"/>
            <w:tcBorders>
              <w:top w:val="single" w:sz="4" w:space="0" w:color="auto"/>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1 778 729</w:t>
            </w:r>
          </w:p>
        </w:tc>
        <w:tc>
          <w:tcPr>
            <w:tcW w:w="467" w:type="pct"/>
            <w:tcBorders>
              <w:top w:val="single" w:sz="4" w:space="0" w:color="auto"/>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1 976 366</w:t>
            </w:r>
          </w:p>
        </w:tc>
        <w:tc>
          <w:tcPr>
            <w:tcW w:w="467" w:type="pct"/>
            <w:tcBorders>
              <w:top w:val="single" w:sz="4" w:space="0" w:color="auto"/>
              <w:left w:val="nil"/>
              <w:bottom w:val="single" w:sz="4" w:space="0" w:color="auto"/>
              <w:right w:val="single" w:sz="4" w:space="0" w:color="auto"/>
            </w:tcBorders>
            <w:noWrap/>
            <w:textDirection w:val="lrTb"/>
            <w:vAlign w:val="bottom"/>
            <w:hideMark/>
          </w:tcPr>
          <w:p w:rsidR="00CB350B" w:rsidRPr="00B953A4" w:rsidP="00257E12">
            <w:pPr>
              <w:bidi w:val="0"/>
              <w:jc w:val="right"/>
              <w:rPr>
                <w:rFonts w:ascii="Times New Roman" w:hAnsi="Times New Roman" w:cs="Times New Roman"/>
                <w:bCs/>
                <w:sz w:val="14"/>
                <w:szCs w:val="14"/>
                <w:lang w:eastAsia="sk-SK"/>
              </w:rPr>
            </w:pPr>
            <w:r w:rsidRPr="00B953A4">
              <w:rPr>
                <w:rFonts w:ascii="Times New Roman" w:hAnsi="Times New Roman" w:cs="Times New Roman"/>
                <w:bCs/>
                <w:sz w:val="14"/>
                <w:szCs w:val="14"/>
                <w:lang w:eastAsia="sk-SK"/>
              </w:rPr>
              <w:t>1 976 366</w:t>
            </w:r>
          </w:p>
        </w:tc>
        <w:tc>
          <w:tcPr>
            <w:tcW w:w="467" w:type="pct"/>
            <w:tcBorders>
              <w:top w:val="single" w:sz="4" w:space="0" w:color="auto"/>
              <w:left w:val="nil"/>
              <w:bottom w:val="single" w:sz="4" w:space="0" w:color="auto"/>
              <w:right w:val="single" w:sz="4" w:space="0" w:color="auto"/>
            </w:tcBorders>
            <w:noWrap/>
            <w:textDirection w:val="lrTb"/>
            <w:vAlign w:val="bottom"/>
            <w:hideMark/>
          </w:tcPr>
          <w:p w:rsidR="00CB350B" w:rsidRPr="00B953A4" w:rsidP="00257E12">
            <w:pPr>
              <w:bidi w:val="0"/>
              <w:jc w:val="right"/>
              <w:rPr>
                <w:rFonts w:ascii="Times New Roman" w:hAnsi="Times New Roman" w:cs="Times New Roman"/>
                <w:bCs/>
                <w:sz w:val="14"/>
                <w:szCs w:val="14"/>
                <w:lang w:eastAsia="sk-SK"/>
              </w:rPr>
            </w:pPr>
            <w:r w:rsidRPr="00B953A4">
              <w:rPr>
                <w:rFonts w:ascii="Times New Roman" w:hAnsi="Times New Roman" w:cs="Times New Roman"/>
                <w:bCs/>
                <w:sz w:val="14"/>
                <w:szCs w:val="14"/>
                <w:lang w:eastAsia="sk-SK"/>
              </w:rPr>
              <w:t>1 976 366</w:t>
            </w:r>
          </w:p>
        </w:tc>
        <w:tc>
          <w:tcPr>
            <w:tcW w:w="465" w:type="pct"/>
            <w:tcBorders>
              <w:top w:val="single" w:sz="4" w:space="0" w:color="auto"/>
              <w:left w:val="nil"/>
              <w:bottom w:val="single" w:sz="4" w:space="0" w:color="auto"/>
              <w:right w:val="single" w:sz="4" w:space="0" w:color="auto"/>
            </w:tcBorders>
            <w:noWrap/>
            <w:textDirection w:val="lrTb"/>
            <w:vAlign w:val="bottom"/>
            <w:hideMark/>
          </w:tcPr>
          <w:p w:rsidR="00CB350B" w:rsidRPr="00B953A4" w:rsidP="00257E12">
            <w:pPr>
              <w:bidi w:val="0"/>
              <w:jc w:val="right"/>
              <w:rPr>
                <w:rFonts w:ascii="Times New Roman" w:hAnsi="Times New Roman" w:cs="Times New Roman"/>
                <w:bCs/>
                <w:sz w:val="14"/>
                <w:szCs w:val="14"/>
                <w:lang w:eastAsia="sk-SK"/>
              </w:rPr>
            </w:pPr>
            <w:r w:rsidRPr="00B953A4">
              <w:rPr>
                <w:rFonts w:ascii="Times New Roman" w:hAnsi="Times New Roman" w:cs="Times New Roman"/>
                <w:bCs/>
                <w:sz w:val="14"/>
                <w:szCs w:val="14"/>
                <w:lang w:eastAsia="sk-SK"/>
              </w:rPr>
              <w:t>1 976 366</w:t>
            </w:r>
          </w:p>
        </w:tc>
      </w:tr>
      <w:tr>
        <w:tblPrEx>
          <w:tblW w:w="5000" w:type="pct"/>
          <w:tblCellMar>
            <w:left w:w="70" w:type="dxa"/>
            <w:right w:w="70" w:type="dxa"/>
          </w:tblCellMar>
          <w:tblLook w:val="04A0"/>
        </w:tblPrEx>
        <w:trPr>
          <w:trHeight w:val="255"/>
        </w:trPr>
        <w:tc>
          <w:tcPr>
            <w:tcW w:w="1733"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3D2851" w:rsidP="00257E12">
            <w:pPr>
              <w:bidi w:val="0"/>
              <w:rPr>
                <w:rFonts w:ascii="Times New Roman" w:hAnsi="Times New Roman" w:cs="Times New Roman"/>
                <w:b/>
                <w:bCs/>
                <w:sz w:val="14"/>
                <w:szCs w:val="14"/>
                <w:lang w:eastAsia="sk-SK"/>
              </w:rPr>
            </w:pPr>
            <w:r w:rsidRPr="003D2851">
              <w:rPr>
                <w:rFonts w:ascii="Times New Roman" w:hAnsi="Times New Roman" w:cs="Times New Roman"/>
                <w:b/>
                <w:bCs/>
                <w:sz w:val="14"/>
                <w:szCs w:val="14"/>
                <w:lang w:eastAsia="sk-SK"/>
              </w:rPr>
              <w:t>Rezortné vysokoškolské vzdelávanie</w:t>
            </w:r>
          </w:p>
        </w:tc>
        <w:tc>
          <w:tcPr>
            <w:tcW w:w="467" w:type="pct"/>
            <w:tcBorders>
              <w:top w:val="single" w:sz="4" w:space="0" w:color="auto"/>
              <w:left w:val="nil"/>
              <w:bottom w:val="single" w:sz="4" w:space="0" w:color="auto"/>
              <w:right w:val="single" w:sz="4" w:space="0" w:color="auto"/>
            </w:tcBorders>
            <w:noWrap/>
            <w:textDirection w:val="lrTb"/>
            <w:vAlign w:val="bottom"/>
            <w:hideMark/>
          </w:tcPr>
          <w:p w:rsidR="00CB350B" w:rsidRPr="00367B58" w:rsidP="00257E12">
            <w:pPr>
              <w:bidi w:val="0"/>
              <w:jc w:val="right"/>
              <w:rPr>
                <w:rFonts w:ascii="Times New Roman" w:hAnsi="Times New Roman" w:cs="Times New Roman"/>
                <w:b/>
                <w:bCs/>
                <w:sz w:val="14"/>
                <w:szCs w:val="14"/>
                <w:lang w:eastAsia="sk-SK"/>
              </w:rPr>
            </w:pPr>
            <w:r w:rsidRPr="00367B58">
              <w:rPr>
                <w:rFonts w:ascii="Times New Roman" w:hAnsi="Times New Roman" w:cs="Times New Roman"/>
                <w:b/>
                <w:bCs/>
                <w:sz w:val="14"/>
                <w:szCs w:val="14"/>
                <w:lang w:eastAsia="sk-SK"/>
              </w:rPr>
              <w:t>25 473 974</w:t>
            </w:r>
          </w:p>
        </w:tc>
        <w:tc>
          <w:tcPr>
            <w:tcW w:w="467" w:type="pct"/>
            <w:tcBorders>
              <w:top w:val="single" w:sz="4" w:space="0" w:color="auto"/>
              <w:left w:val="nil"/>
              <w:bottom w:val="single" w:sz="4" w:space="0" w:color="auto"/>
              <w:right w:val="single" w:sz="4" w:space="0" w:color="auto"/>
            </w:tcBorders>
            <w:noWrap/>
            <w:textDirection w:val="lrTb"/>
            <w:vAlign w:val="bottom"/>
            <w:hideMark/>
          </w:tcPr>
          <w:p w:rsidR="00CB350B" w:rsidRPr="00FC6257" w:rsidP="00257E12">
            <w:pPr>
              <w:bidi w:val="0"/>
              <w:jc w:val="right"/>
              <w:rPr>
                <w:rFonts w:ascii="Times New Roman" w:hAnsi="Times New Roman" w:cs="Times New Roman"/>
                <w:b/>
                <w:bCs/>
                <w:sz w:val="14"/>
                <w:szCs w:val="14"/>
                <w:lang w:eastAsia="sk-SK"/>
              </w:rPr>
            </w:pPr>
            <w:r w:rsidRPr="00FC6257">
              <w:rPr>
                <w:rFonts w:ascii="Times New Roman" w:hAnsi="Times New Roman" w:cs="Times New Roman"/>
                <w:b/>
                <w:bCs/>
                <w:sz w:val="14"/>
                <w:szCs w:val="14"/>
                <w:lang w:eastAsia="sk-SK"/>
              </w:rPr>
              <w:t>26 196 886</w:t>
            </w:r>
          </w:p>
        </w:tc>
        <w:tc>
          <w:tcPr>
            <w:tcW w:w="467" w:type="pct"/>
            <w:tcBorders>
              <w:top w:val="single" w:sz="4" w:space="0" w:color="auto"/>
              <w:left w:val="nil"/>
              <w:bottom w:val="single" w:sz="4" w:space="0" w:color="auto"/>
              <w:right w:val="single" w:sz="4" w:space="0" w:color="auto"/>
            </w:tcBorders>
            <w:noWrap/>
            <w:textDirection w:val="lrTb"/>
            <w:vAlign w:val="bottom"/>
            <w:hideMark/>
          </w:tcPr>
          <w:p w:rsidR="00CB350B" w:rsidRPr="003D2851" w:rsidP="00257E12">
            <w:pPr>
              <w:bidi w:val="0"/>
              <w:jc w:val="right"/>
              <w:rPr>
                <w:rFonts w:ascii="Times New Roman" w:hAnsi="Times New Roman" w:cs="Times New Roman"/>
                <w:b/>
                <w:bCs/>
                <w:sz w:val="14"/>
                <w:szCs w:val="14"/>
                <w:lang w:eastAsia="sk-SK"/>
              </w:rPr>
            </w:pPr>
            <w:r w:rsidRPr="003D2851">
              <w:rPr>
                <w:rFonts w:ascii="Times New Roman" w:hAnsi="Times New Roman" w:cs="Times New Roman"/>
                <w:b/>
                <w:bCs/>
                <w:sz w:val="14"/>
                <w:szCs w:val="14"/>
                <w:lang w:eastAsia="sk-SK"/>
              </w:rPr>
              <w:t>20 424 454</w:t>
            </w:r>
          </w:p>
        </w:tc>
        <w:tc>
          <w:tcPr>
            <w:tcW w:w="467" w:type="pct"/>
            <w:tcBorders>
              <w:top w:val="single" w:sz="4" w:space="0" w:color="auto"/>
              <w:left w:val="nil"/>
              <w:bottom w:val="single" w:sz="4" w:space="0" w:color="auto"/>
              <w:right w:val="single" w:sz="4" w:space="0" w:color="auto"/>
            </w:tcBorders>
            <w:noWrap/>
            <w:textDirection w:val="lrTb"/>
            <w:vAlign w:val="bottom"/>
            <w:hideMark/>
          </w:tcPr>
          <w:p w:rsidR="00CB350B" w:rsidRPr="003D2851" w:rsidP="00257E12">
            <w:pPr>
              <w:bidi w:val="0"/>
              <w:jc w:val="right"/>
              <w:rPr>
                <w:rFonts w:ascii="Times New Roman" w:hAnsi="Times New Roman" w:cs="Times New Roman"/>
                <w:b/>
                <w:bCs/>
                <w:sz w:val="14"/>
                <w:szCs w:val="14"/>
                <w:lang w:eastAsia="sk-SK"/>
              </w:rPr>
            </w:pPr>
            <w:r w:rsidRPr="003D2851">
              <w:rPr>
                <w:rFonts w:ascii="Times New Roman" w:hAnsi="Times New Roman" w:cs="Times New Roman"/>
                <w:b/>
                <w:bCs/>
                <w:sz w:val="14"/>
                <w:szCs w:val="14"/>
                <w:lang w:eastAsia="sk-SK"/>
              </w:rPr>
              <w:t>19 697 218</w:t>
            </w:r>
          </w:p>
        </w:tc>
        <w:tc>
          <w:tcPr>
            <w:tcW w:w="467" w:type="pct"/>
            <w:tcBorders>
              <w:top w:val="single" w:sz="4" w:space="0" w:color="auto"/>
              <w:left w:val="nil"/>
              <w:bottom w:val="single" w:sz="4" w:space="0" w:color="auto"/>
              <w:right w:val="single" w:sz="4" w:space="0" w:color="auto"/>
            </w:tcBorders>
            <w:noWrap/>
            <w:textDirection w:val="lrTb"/>
            <w:vAlign w:val="bottom"/>
            <w:hideMark/>
          </w:tcPr>
          <w:p w:rsidR="00CB350B" w:rsidRPr="00B953A4" w:rsidP="00257E12">
            <w:pPr>
              <w:bidi w:val="0"/>
              <w:jc w:val="right"/>
              <w:rPr>
                <w:rFonts w:ascii="Times New Roman" w:hAnsi="Times New Roman" w:cs="Times New Roman"/>
                <w:b/>
                <w:bCs/>
                <w:sz w:val="14"/>
                <w:szCs w:val="14"/>
                <w:lang w:eastAsia="sk-SK"/>
              </w:rPr>
            </w:pPr>
            <w:r w:rsidRPr="00B953A4">
              <w:rPr>
                <w:rFonts w:ascii="Times New Roman" w:hAnsi="Times New Roman" w:cs="Times New Roman"/>
                <w:b/>
                <w:bCs/>
                <w:sz w:val="14"/>
                <w:szCs w:val="14"/>
                <w:lang w:eastAsia="sk-SK"/>
              </w:rPr>
              <w:t>21 280 278</w:t>
            </w:r>
          </w:p>
        </w:tc>
        <w:tc>
          <w:tcPr>
            <w:tcW w:w="467" w:type="pct"/>
            <w:tcBorders>
              <w:top w:val="single" w:sz="4" w:space="0" w:color="auto"/>
              <w:left w:val="nil"/>
              <w:bottom w:val="single" w:sz="4" w:space="0" w:color="auto"/>
              <w:right w:val="single" w:sz="4" w:space="0" w:color="auto"/>
            </w:tcBorders>
            <w:noWrap/>
            <w:textDirection w:val="lrTb"/>
            <w:vAlign w:val="bottom"/>
            <w:hideMark/>
          </w:tcPr>
          <w:p w:rsidR="00CB350B" w:rsidRPr="00B953A4" w:rsidP="00257E12">
            <w:pPr>
              <w:bidi w:val="0"/>
              <w:jc w:val="right"/>
              <w:rPr>
                <w:rFonts w:ascii="Times New Roman" w:hAnsi="Times New Roman" w:cs="Times New Roman"/>
                <w:b/>
                <w:bCs/>
                <w:sz w:val="14"/>
                <w:szCs w:val="14"/>
                <w:lang w:eastAsia="sk-SK"/>
              </w:rPr>
            </w:pPr>
            <w:r w:rsidRPr="00B953A4">
              <w:rPr>
                <w:rFonts w:ascii="Times New Roman" w:hAnsi="Times New Roman" w:cs="Times New Roman"/>
                <w:b/>
                <w:bCs/>
                <w:sz w:val="14"/>
                <w:szCs w:val="14"/>
                <w:lang w:eastAsia="sk-SK"/>
              </w:rPr>
              <w:t>23 882 942</w:t>
            </w:r>
          </w:p>
        </w:tc>
        <w:tc>
          <w:tcPr>
            <w:tcW w:w="465" w:type="pct"/>
            <w:tcBorders>
              <w:top w:val="single" w:sz="4" w:space="0" w:color="auto"/>
              <w:left w:val="nil"/>
              <w:bottom w:val="single" w:sz="4" w:space="0" w:color="auto"/>
              <w:right w:val="single" w:sz="4" w:space="0" w:color="auto"/>
            </w:tcBorders>
            <w:noWrap/>
            <w:textDirection w:val="lrTb"/>
            <w:vAlign w:val="bottom"/>
            <w:hideMark/>
          </w:tcPr>
          <w:p w:rsidR="00CB350B" w:rsidRPr="00B953A4" w:rsidP="00257E12">
            <w:pPr>
              <w:bidi w:val="0"/>
              <w:jc w:val="right"/>
              <w:rPr>
                <w:rFonts w:ascii="Times New Roman" w:hAnsi="Times New Roman" w:cs="Times New Roman"/>
                <w:b/>
                <w:bCs/>
                <w:sz w:val="14"/>
                <w:szCs w:val="14"/>
                <w:lang w:eastAsia="sk-SK"/>
              </w:rPr>
            </w:pPr>
            <w:r w:rsidRPr="00B953A4">
              <w:rPr>
                <w:rFonts w:ascii="Times New Roman" w:hAnsi="Times New Roman" w:cs="Times New Roman"/>
                <w:b/>
                <w:bCs/>
                <w:sz w:val="14"/>
                <w:szCs w:val="14"/>
                <w:lang w:eastAsia="sk-SK"/>
              </w:rPr>
              <w:t>23 784 923</w:t>
            </w:r>
          </w:p>
        </w:tc>
      </w:tr>
      <w:tr>
        <w:tblPrEx>
          <w:tblW w:w="5000" w:type="pct"/>
          <w:tblCellMar>
            <w:left w:w="70" w:type="dxa"/>
            <w:right w:w="70" w:type="dxa"/>
          </w:tblCellMar>
          <w:tblLook w:val="04A0"/>
        </w:tblPrEx>
        <w:trPr>
          <w:trHeight w:val="255"/>
        </w:trPr>
        <w:tc>
          <w:tcPr>
            <w:tcW w:w="173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CB350B" w:rsidRPr="00A94288" w:rsidP="00257E12">
            <w:pPr>
              <w:bidi w:val="0"/>
              <w:rPr>
                <w:rFonts w:ascii="Times New Roman" w:hAnsi="Times New Roman" w:cs="Times New Roman"/>
                <w:b/>
                <w:bCs/>
                <w:sz w:val="14"/>
                <w:szCs w:val="14"/>
                <w:lang w:eastAsia="sk-SK"/>
              </w:rPr>
            </w:pPr>
            <w:r w:rsidRPr="00997D58">
              <w:rPr>
                <w:rFonts w:ascii="Times New Roman" w:hAnsi="Times New Roman" w:cs="Times New Roman"/>
                <w:b/>
                <w:bCs/>
                <w:sz w:val="14"/>
                <w:szCs w:val="14"/>
                <w:lang w:eastAsia="sk-SK"/>
              </w:rPr>
              <w:t>Výdavky štátneho rozpočtu na VŠ spolu</w:t>
            </w:r>
            <w:r w:rsidRPr="00A94288">
              <w:rPr>
                <w:rFonts w:ascii="Times New Roman" w:hAnsi="Times New Roman" w:cs="Times New Roman"/>
                <w:b/>
                <w:bCs/>
                <w:sz w:val="14"/>
                <w:szCs w:val="14"/>
                <w:lang w:eastAsia="sk-SK"/>
              </w:rPr>
              <w:t xml:space="preserve"> </w:t>
            </w:r>
          </w:p>
        </w:tc>
        <w:tc>
          <w:tcPr>
            <w:tcW w:w="467"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CB350B" w:rsidRPr="00367B58" w:rsidP="00257E12">
            <w:pPr>
              <w:bidi w:val="0"/>
              <w:jc w:val="right"/>
              <w:rPr>
                <w:rFonts w:ascii="Times New Roman" w:hAnsi="Times New Roman" w:cs="Times New Roman"/>
                <w:b/>
                <w:bCs/>
                <w:sz w:val="14"/>
                <w:szCs w:val="14"/>
                <w:lang w:eastAsia="sk-SK"/>
              </w:rPr>
            </w:pPr>
            <w:r w:rsidRPr="00997D58">
              <w:rPr>
                <w:rFonts w:ascii="Times New Roman" w:hAnsi="Times New Roman" w:cs="Times New Roman"/>
                <w:b/>
                <w:bCs/>
                <w:sz w:val="14"/>
                <w:szCs w:val="14"/>
                <w:lang w:eastAsia="sk-SK"/>
              </w:rPr>
              <w:t>486 525 088</w:t>
            </w:r>
          </w:p>
        </w:tc>
        <w:tc>
          <w:tcPr>
            <w:tcW w:w="467"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CB350B" w:rsidRPr="00FC6257" w:rsidP="00257E12">
            <w:pPr>
              <w:bidi w:val="0"/>
              <w:jc w:val="right"/>
              <w:rPr>
                <w:rFonts w:ascii="Times New Roman" w:hAnsi="Times New Roman" w:cs="Times New Roman"/>
                <w:b/>
                <w:bCs/>
                <w:sz w:val="14"/>
                <w:szCs w:val="14"/>
                <w:lang w:eastAsia="sk-SK"/>
              </w:rPr>
            </w:pPr>
            <w:r w:rsidRPr="00FC6257">
              <w:rPr>
                <w:rFonts w:ascii="Times New Roman" w:hAnsi="Times New Roman" w:cs="Times New Roman"/>
                <w:b/>
                <w:bCs/>
                <w:sz w:val="14"/>
                <w:szCs w:val="14"/>
                <w:lang w:eastAsia="sk-SK"/>
              </w:rPr>
              <w:t>485 544 618</w:t>
            </w:r>
          </w:p>
        </w:tc>
        <w:tc>
          <w:tcPr>
            <w:tcW w:w="467"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456 210 976</w:t>
            </w:r>
          </w:p>
        </w:tc>
        <w:tc>
          <w:tcPr>
            <w:tcW w:w="467"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457 200 620</w:t>
            </w:r>
          </w:p>
        </w:tc>
        <w:tc>
          <w:tcPr>
            <w:tcW w:w="467"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CB350B" w:rsidRPr="00B953A4" w:rsidP="00257E12">
            <w:pPr>
              <w:bidi w:val="0"/>
              <w:jc w:val="right"/>
              <w:rPr>
                <w:rFonts w:ascii="Times New Roman" w:hAnsi="Times New Roman" w:cs="Times New Roman"/>
                <w:b/>
                <w:bCs/>
                <w:sz w:val="14"/>
                <w:szCs w:val="14"/>
                <w:lang w:eastAsia="sk-SK"/>
              </w:rPr>
            </w:pPr>
            <w:r w:rsidRPr="00B953A4">
              <w:rPr>
                <w:rFonts w:ascii="Times New Roman" w:hAnsi="Times New Roman" w:cs="Times New Roman"/>
                <w:b/>
                <w:bCs/>
                <w:sz w:val="14"/>
                <w:szCs w:val="14"/>
                <w:lang w:eastAsia="sk-SK"/>
              </w:rPr>
              <w:t>471 935 825</w:t>
            </w:r>
          </w:p>
        </w:tc>
        <w:tc>
          <w:tcPr>
            <w:tcW w:w="467"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CB350B" w:rsidRPr="00B953A4" w:rsidP="00257E12">
            <w:pPr>
              <w:bidi w:val="0"/>
              <w:jc w:val="right"/>
              <w:rPr>
                <w:rFonts w:ascii="Times New Roman" w:hAnsi="Times New Roman" w:cs="Times New Roman"/>
                <w:b/>
                <w:bCs/>
                <w:sz w:val="14"/>
                <w:szCs w:val="14"/>
                <w:lang w:eastAsia="sk-SK"/>
              </w:rPr>
            </w:pPr>
            <w:r w:rsidRPr="00B953A4">
              <w:rPr>
                <w:rFonts w:ascii="Times New Roman" w:hAnsi="Times New Roman" w:cs="Times New Roman"/>
                <w:b/>
                <w:bCs/>
                <w:sz w:val="14"/>
                <w:szCs w:val="14"/>
                <w:lang w:eastAsia="sk-SK"/>
              </w:rPr>
              <w:t>478 494 977</w:t>
            </w:r>
          </w:p>
        </w:tc>
        <w:tc>
          <w:tcPr>
            <w:tcW w:w="465"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CB350B" w:rsidRPr="00B953A4" w:rsidP="00257E12">
            <w:pPr>
              <w:bidi w:val="0"/>
              <w:jc w:val="right"/>
              <w:rPr>
                <w:rFonts w:ascii="Times New Roman" w:hAnsi="Times New Roman" w:cs="Times New Roman"/>
                <w:b/>
                <w:bCs/>
                <w:sz w:val="14"/>
                <w:szCs w:val="14"/>
                <w:lang w:eastAsia="sk-SK"/>
              </w:rPr>
            </w:pPr>
            <w:r w:rsidRPr="00B953A4">
              <w:rPr>
                <w:rFonts w:ascii="Times New Roman" w:hAnsi="Times New Roman" w:cs="Times New Roman"/>
                <w:b/>
                <w:bCs/>
                <w:sz w:val="14"/>
                <w:szCs w:val="14"/>
                <w:lang w:eastAsia="sk-SK"/>
              </w:rPr>
              <w:t>480 050 042</w:t>
            </w:r>
          </w:p>
        </w:tc>
      </w:tr>
    </w:tbl>
    <w:p w:rsidR="00CB350B" w:rsidRPr="00432A91" w:rsidP="00CB350B">
      <w:pPr>
        <w:bidi w:val="0"/>
        <w:jc w:val="both"/>
        <w:rPr>
          <w:rFonts w:ascii="Times New Roman" w:hAnsi="Times New Roman" w:cs="Times New Roman"/>
          <w:b/>
          <w:bCs/>
        </w:rPr>
      </w:pPr>
    </w:p>
    <w:p w:rsidR="00CB350B" w:rsidRPr="00432A91" w:rsidP="00CB350B">
      <w:pPr>
        <w:bidi w:val="0"/>
        <w:ind w:firstLine="708"/>
        <w:contextualSpacing/>
        <w:jc w:val="both"/>
        <w:rPr>
          <w:rFonts w:ascii="Times New Roman" w:hAnsi="Times New Roman" w:cs="Times New Roman"/>
        </w:rPr>
      </w:pPr>
      <w:r w:rsidRPr="00432A91">
        <w:rPr>
          <w:rFonts w:ascii="Times New Roman" w:hAnsi="Times New Roman" w:cs="Times New Roman"/>
        </w:rPr>
        <w:t xml:space="preserve">Výdavky štátneho </w:t>
      </w:r>
      <w:r w:rsidRPr="00B953A4">
        <w:rPr>
          <w:rFonts w:ascii="Times New Roman" w:hAnsi="Times New Roman" w:cs="Times New Roman"/>
        </w:rPr>
        <w:t xml:space="preserve">rozpočtu poskytované prostredníctvom kapitoly MŠVVŠ SR verejným vysokým školám rastú o 14,9 mil. eur, t. j. </w:t>
      </w:r>
      <w:r>
        <w:rPr>
          <w:rFonts w:ascii="Times New Roman" w:hAnsi="Times New Roman" w:cs="Times New Roman"/>
        </w:rPr>
        <w:t xml:space="preserve">o </w:t>
      </w:r>
      <w:r w:rsidRPr="00B953A4">
        <w:rPr>
          <w:rFonts w:ascii="Times New Roman" w:hAnsi="Times New Roman" w:cs="Times New Roman"/>
        </w:rPr>
        <w:t xml:space="preserve">3,4 %. Výdavky rozpočtované na programe Vysokoškolské vzdelávanie a veda, sociálna podpora študentov vysokých škôl rastú oproti schválenému rozpočtu roku 2011 o 15,0 mil. eur, t. j. </w:t>
      </w:r>
      <w:r>
        <w:rPr>
          <w:rFonts w:ascii="Times New Roman" w:hAnsi="Times New Roman" w:cs="Times New Roman"/>
        </w:rPr>
        <w:t xml:space="preserve">o </w:t>
      </w:r>
      <w:r w:rsidRPr="00B953A4">
        <w:rPr>
          <w:rFonts w:ascii="Times New Roman" w:hAnsi="Times New Roman" w:cs="Times New Roman"/>
        </w:rPr>
        <w:t>3,48</w:t>
      </w:r>
      <w:r>
        <w:rPr>
          <w:rFonts w:ascii="Times New Roman" w:hAnsi="Times New Roman" w:cs="Times New Roman"/>
        </w:rPr>
        <w:t xml:space="preserve"> </w:t>
      </w:r>
      <w:r w:rsidRPr="00B953A4">
        <w:rPr>
          <w:rFonts w:ascii="Times New Roman" w:hAnsi="Times New Roman" w:cs="Times New Roman"/>
        </w:rPr>
        <w:t>%.</w:t>
      </w:r>
      <w:r w:rsidRPr="00B953A4">
        <w:rPr>
          <w:rFonts w:ascii="Times New Roman" w:hAnsi="Times New Roman" w:cs="Times New Roman"/>
          <w:b/>
        </w:rPr>
        <w:t xml:space="preserve"> </w:t>
      </w:r>
      <w:r w:rsidRPr="00B953A4">
        <w:rPr>
          <w:rFonts w:ascii="Times New Roman" w:hAnsi="Times New Roman" w:cs="Times New Roman"/>
        </w:rPr>
        <w:t>Taktiež</w:t>
      </w:r>
      <w:r w:rsidRPr="00432A91">
        <w:rPr>
          <w:rFonts w:ascii="Times New Roman" w:hAnsi="Times New Roman" w:cs="Times New Roman"/>
        </w:rPr>
        <w:t xml:space="preserve"> rastú aj výdavky na oficiálnu rozvojovú pomoc o 197 tis. eur, t. j. </w:t>
      </w:r>
      <w:r>
        <w:rPr>
          <w:rFonts w:ascii="Times New Roman" w:hAnsi="Times New Roman" w:cs="Times New Roman"/>
        </w:rPr>
        <w:t xml:space="preserve">o </w:t>
      </w:r>
      <w:r w:rsidRPr="00432A91">
        <w:rPr>
          <w:rFonts w:ascii="Times New Roman" w:hAnsi="Times New Roman" w:cs="Times New Roman"/>
        </w:rPr>
        <w:t>11,1</w:t>
      </w:r>
      <w:r>
        <w:rPr>
          <w:rFonts w:ascii="Times New Roman" w:hAnsi="Times New Roman" w:cs="Times New Roman"/>
        </w:rPr>
        <w:t xml:space="preserve"> </w:t>
      </w:r>
      <w:r w:rsidRPr="00432A91">
        <w:rPr>
          <w:rFonts w:ascii="Times New Roman" w:hAnsi="Times New Roman" w:cs="Times New Roman"/>
        </w:rPr>
        <w:t>%.</w:t>
      </w:r>
      <w:r w:rsidRPr="00432A91">
        <w:rPr>
          <w:rFonts w:ascii="Times New Roman" w:hAnsi="Times New Roman" w:cs="Times New Roman"/>
          <w:b/>
        </w:rPr>
        <w:t xml:space="preserve"> </w:t>
      </w:r>
      <w:r w:rsidRPr="00432A91">
        <w:rPr>
          <w:rFonts w:ascii="Times New Roman" w:hAnsi="Times New Roman" w:cs="Times New Roman"/>
        </w:rPr>
        <w:t>Výdavky pre zahraničných študentov vrátane štipendií zaznamenávajú pokles o 375 tis. eur , t. j. 29,7</w:t>
      </w:r>
      <w:r>
        <w:rPr>
          <w:rFonts w:ascii="Times New Roman" w:hAnsi="Times New Roman" w:cs="Times New Roman"/>
        </w:rPr>
        <w:t xml:space="preserve"> </w:t>
      </w:r>
      <w:r w:rsidRPr="00432A91">
        <w:rPr>
          <w:rFonts w:ascii="Times New Roman" w:hAnsi="Times New Roman" w:cs="Times New Roman"/>
        </w:rPr>
        <w:t>%.</w:t>
      </w:r>
    </w:p>
    <w:p w:rsidR="00CB350B" w:rsidRPr="00432A91" w:rsidP="00CB350B">
      <w:pPr>
        <w:bidi w:val="0"/>
        <w:contextualSpacing/>
        <w:jc w:val="both"/>
        <w:rPr>
          <w:rFonts w:ascii="Times New Roman" w:hAnsi="Times New Roman" w:cs="Times New Roman"/>
        </w:rPr>
      </w:pPr>
    </w:p>
    <w:tbl>
      <w:tblPr>
        <w:tblStyle w:val="TableNormal"/>
        <w:tblW w:w="5000" w:type="pct"/>
        <w:tblCellMar>
          <w:left w:w="70" w:type="dxa"/>
          <w:right w:w="70" w:type="dxa"/>
        </w:tblCellMar>
        <w:tblLook w:val="04A0"/>
      </w:tblPr>
      <w:tblGrid>
        <w:gridCol w:w="2626"/>
        <w:gridCol w:w="942"/>
        <w:gridCol w:w="942"/>
        <w:gridCol w:w="941"/>
        <w:gridCol w:w="941"/>
        <w:gridCol w:w="941"/>
        <w:gridCol w:w="941"/>
        <w:gridCol w:w="938"/>
      </w:tblGrid>
      <w:tr>
        <w:tblPrEx>
          <w:tblW w:w="5000" w:type="pct"/>
          <w:tblCellMar>
            <w:left w:w="70" w:type="dxa"/>
            <w:right w:w="70" w:type="dxa"/>
          </w:tblCellMar>
          <w:tblLook w:val="04A0"/>
        </w:tblPrEx>
        <w:trPr>
          <w:trHeight w:val="255"/>
        </w:trPr>
        <w:tc>
          <w:tcPr>
            <w:tcW w:w="142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B350B" w:rsidRPr="00A94288" w:rsidP="00257E12">
            <w:pPr>
              <w:bidi w:val="0"/>
              <w:rPr>
                <w:rFonts w:ascii="Times New Roman" w:hAnsi="Times New Roman" w:cs="Times New Roman"/>
                <w:b/>
                <w:sz w:val="14"/>
                <w:szCs w:val="14"/>
                <w:lang w:eastAsia="sk-SK"/>
              </w:rPr>
            </w:pPr>
            <w:r w:rsidRPr="00A94288">
              <w:rPr>
                <w:rFonts w:ascii="Times New Roman" w:hAnsi="Times New Roman" w:cs="Times New Roman"/>
                <w:b/>
                <w:sz w:val="14"/>
                <w:szCs w:val="14"/>
                <w:lang w:eastAsia="sk-SK"/>
              </w:rPr>
              <w:t>v eurách</w:t>
            </w:r>
          </w:p>
        </w:tc>
        <w:tc>
          <w:tcPr>
            <w:tcW w:w="511"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2009 S</w:t>
            </w:r>
          </w:p>
        </w:tc>
        <w:tc>
          <w:tcPr>
            <w:tcW w:w="511"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2010 S</w:t>
            </w:r>
          </w:p>
        </w:tc>
        <w:tc>
          <w:tcPr>
            <w:tcW w:w="511"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2011 R</w:t>
            </w:r>
          </w:p>
        </w:tc>
        <w:tc>
          <w:tcPr>
            <w:tcW w:w="511"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2011 OS</w:t>
            </w:r>
          </w:p>
        </w:tc>
        <w:tc>
          <w:tcPr>
            <w:tcW w:w="511"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2012 N</w:t>
            </w:r>
          </w:p>
        </w:tc>
        <w:tc>
          <w:tcPr>
            <w:tcW w:w="511"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2013 N</w:t>
            </w:r>
          </w:p>
        </w:tc>
        <w:tc>
          <w:tcPr>
            <w:tcW w:w="510"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2014 N</w:t>
            </w:r>
          </w:p>
        </w:tc>
      </w:tr>
      <w:tr>
        <w:tblPrEx>
          <w:tblW w:w="5000" w:type="pct"/>
          <w:tblCellMar>
            <w:left w:w="70" w:type="dxa"/>
            <w:right w:w="70" w:type="dxa"/>
          </w:tblCellMar>
          <w:tblLook w:val="04A0"/>
        </w:tblPrEx>
        <w:trPr>
          <w:trHeight w:val="255"/>
        </w:trPr>
        <w:tc>
          <w:tcPr>
            <w:tcW w:w="1425"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CB350B" w:rsidRPr="00A94288" w:rsidP="00257E12">
            <w:pPr>
              <w:bidi w:val="0"/>
              <w:rPr>
                <w:rFonts w:ascii="Times New Roman" w:hAnsi="Times New Roman" w:cs="Times New Roman"/>
                <w:b/>
                <w:sz w:val="14"/>
                <w:szCs w:val="14"/>
                <w:lang w:eastAsia="sk-SK"/>
              </w:rPr>
            </w:pPr>
            <w:r w:rsidRPr="00A94288">
              <w:rPr>
                <w:rFonts w:ascii="Times New Roman" w:hAnsi="Times New Roman" w:cs="Times New Roman"/>
                <w:b/>
                <w:sz w:val="14"/>
                <w:szCs w:val="14"/>
                <w:lang w:eastAsia="sk-SK"/>
              </w:rPr>
              <w:t>RO a PO spolu</w:t>
            </w:r>
          </w:p>
        </w:tc>
        <w:tc>
          <w:tcPr>
            <w:tcW w:w="511"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1 855 261</w:t>
            </w:r>
          </w:p>
        </w:tc>
        <w:tc>
          <w:tcPr>
            <w:tcW w:w="511"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2 789 805</w:t>
            </w:r>
          </w:p>
        </w:tc>
        <w:tc>
          <w:tcPr>
            <w:tcW w:w="511"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3 587 986</w:t>
            </w:r>
          </w:p>
        </w:tc>
        <w:tc>
          <w:tcPr>
            <w:tcW w:w="511"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997D58" w:rsidP="00257E12">
            <w:pPr>
              <w:bidi w:val="0"/>
              <w:jc w:val="right"/>
              <w:rPr>
                <w:rFonts w:ascii="Times New Roman" w:hAnsi="Times New Roman" w:cs="Times New Roman"/>
                <w:b/>
                <w:bCs/>
                <w:sz w:val="14"/>
                <w:szCs w:val="14"/>
                <w:lang w:eastAsia="sk-SK"/>
              </w:rPr>
            </w:pPr>
            <w:r w:rsidRPr="00997D58">
              <w:rPr>
                <w:rFonts w:ascii="Times New Roman" w:hAnsi="Times New Roman" w:cs="Times New Roman"/>
                <w:b/>
                <w:bCs/>
                <w:sz w:val="14"/>
                <w:szCs w:val="14"/>
                <w:lang w:eastAsia="sk-SK"/>
              </w:rPr>
              <w:t>3 680 340</w:t>
            </w:r>
          </w:p>
        </w:tc>
        <w:tc>
          <w:tcPr>
            <w:tcW w:w="511"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389 801</w:t>
            </w:r>
          </w:p>
        </w:tc>
        <w:tc>
          <w:tcPr>
            <w:tcW w:w="511"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389 801</w:t>
            </w:r>
          </w:p>
        </w:tc>
        <w:tc>
          <w:tcPr>
            <w:tcW w:w="510"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389 801</w:t>
            </w:r>
          </w:p>
        </w:tc>
      </w:tr>
      <w:tr>
        <w:tblPrEx>
          <w:tblW w:w="5000" w:type="pct"/>
          <w:tblCellMar>
            <w:left w:w="70" w:type="dxa"/>
            <w:right w:w="70" w:type="dxa"/>
          </w:tblCellMar>
          <w:tblLook w:val="04A0"/>
        </w:tblPrEx>
        <w:trPr>
          <w:trHeight w:val="255"/>
        </w:trPr>
        <w:tc>
          <w:tcPr>
            <w:tcW w:w="1425"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Rozpočtové organizácie spolu z toho:</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690 665</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2 789 805</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3 587 986</w:t>
            </w:r>
          </w:p>
        </w:tc>
        <w:tc>
          <w:tcPr>
            <w:tcW w:w="511" w:type="pct"/>
            <w:tcBorders>
              <w:top w:val="nil"/>
              <w:left w:val="nil"/>
              <w:bottom w:val="single" w:sz="4" w:space="0" w:color="auto"/>
              <w:right w:val="single" w:sz="4" w:space="0" w:color="auto"/>
            </w:tcBorders>
            <w:noWrap/>
            <w:textDirection w:val="lrTb"/>
            <w:vAlign w:val="bottom"/>
            <w:hideMark/>
          </w:tcPr>
          <w:p w:rsidR="00CB350B" w:rsidRPr="00997D58" w:rsidP="00257E12">
            <w:pPr>
              <w:bidi w:val="0"/>
              <w:jc w:val="right"/>
              <w:rPr>
                <w:rFonts w:ascii="Times New Roman" w:hAnsi="Times New Roman" w:cs="Times New Roman"/>
                <w:b/>
                <w:bCs/>
                <w:sz w:val="14"/>
                <w:szCs w:val="14"/>
                <w:lang w:eastAsia="sk-SK"/>
              </w:rPr>
            </w:pPr>
            <w:r w:rsidRPr="00997D58">
              <w:rPr>
                <w:rFonts w:ascii="Times New Roman" w:hAnsi="Times New Roman" w:cs="Times New Roman"/>
                <w:b/>
                <w:bCs/>
                <w:sz w:val="14"/>
                <w:szCs w:val="14"/>
                <w:lang w:eastAsia="sk-SK"/>
              </w:rPr>
              <w:t>3 680 340</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389 801</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389 801</w:t>
            </w:r>
          </w:p>
        </w:tc>
        <w:tc>
          <w:tcPr>
            <w:tcW w:w="510"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389 801</w:t>
            </w:r>
          </w:p>
        </w:tc>
      </w:tr>
      <w:tr>
        <w:tblPrEx>
          <w:tblW w:w="5000" w:type="pct"/>
          <w:tblCellMar>
            <w:left w:w="70" w:type="dxa"/>
            <w:right w:w="70" w:type="dxa"/>
          </w:tblCellMar>
          <w:tblLook w:val="04A0"/>
        </w:tblPrEx>
        <w:trPr>
          <w:trHeight w:val="255"/>
        </w:trPr>
        <w:tc>
          <w:tcPr>
            <w:tcW w:w="1425"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Medzinárodné laserové centrum</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678 945</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674 081</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368 223</w:t>
            </w:r>
          </w:p>
        </w:tc>
        <w:tc>
          <w:tcPr>
            <w:tcW w:w="511" w:type="pct"/>
            <w:tcBorders>
              <w:top w:val="nil"/>
              <w:left w:val="nil"/>
              <w:bottom w:val="single" w:sz="4" w:space="0" w:color="auto"/>
              <w:right w:val="single" w:sz="4" w:space="0" w:color="auto"/>
            </w:tcBorders>
            <w:noWrap/>
            <w:textDirection w:val="lrTb"/>
            <w:vAlign w:val="bottom"/>
            <w:hideMark/>
          </w:tcPr>
          <w:p w:rsidR="00CB350B" w:rsidRPr="00997D58" w:rsidP="00257E12">
            <w:pPr>
              <w:bidi w:val="0"/>
              <w:jc w:val="right"/>
              <w:rPr>
                <w:rFonts w:ascii="Times New Roman" w:hAnsi="Times New Roman" w:cs="Times New Roman"/>
                <w:bCs/>
                <w:sz w:val="14"/>
                <w:szCs w:val="14"/>
                <w:lang w:eastAsia="sk-SK"/>
              </w:rPr>
            </w:pPr>
            <w:r w:rsidRPr="00997D58">
              <w:rPr>
                <w:rFonts w:ascii="Times New Roman" w:hAnsi="Times New Roman" w:cs="Times New Roman"/>
                <w:bCs/>
                <w:sz w:val="14"/>
                <w:szCs w:val="14"/>
                <w:lang w:eastAsia="sk-SK"/>
              </w:rPr>
              <w:t>433 521</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389 801</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389 801</w:t>
            </w:r>
          </w:p>
        </w:tc>
        <w:tc>
          <w:tcPr>
            <w:tcW w:w="510"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389 801</w:t>
            </w:r>
          </w:p>
        </w:tc>
      </w:tr>
      <w:tr>
        <w:tblPrEx>
          <w:tblW w:w="5000" w:type="pct"/>
          <w:tblCellMar>
            <w:left w:w="70" w:type="dxa"/>
            <w:right w:w="70" w:type="dxa"/>
          </w:tblCellMar>
          <w:tblLook w:val="04A0"/>
        </w:tblPrEx>
        <w:trPr>
          <w:trHeight w:val="255"/>
        </w:trPr>
        <w:tc>
          <w:tcPr>
            <w:tcW w:w="1425"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Ústav informácií a prognóz školstva</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11 720</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2 115 724</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3 219 763</w:t>
            </w:r>
          </w:p>
        </w:tc>
        <w:tc>
          <w:tcPr>
            <w:tcW w:w="511" w:type="pct"/>
            <w:tcBorders>
              <w:top w:val="nil"/>
              <w:left w:val="nil"/>
              <w:bottom w:val="single" w:sz="4" w:space="0" w:color="auto"/>
              <w:right w:val="single" w:sz="4" w:space="0" w:color="auto"/>
            </w:tcBorders>
            <w:noWrap/>
            <w:textDirection w:val="lrTb"/>
            <w:vAlign w:val="bottom"/>
            <w:hideMark/>
          </w:tcPr>
          <w:p w:rsidR="00CB350B" w:rsidRPr="00997D58" w:rsidP="00257E12">
            <w:pPr>
              <w:bidi w:val="0"/>
              <w:jc w:val="right"/>
              <w:rPr>
                <w:rFonts w:ascii="Times New Roman" w:hAnsi="Times New Roman" w:cs="Times New Roman"/>
                <w:bCs/>
                <w:sz w:val="14"/>
                <w:szCs w:val="14"/>
                <w:lang w:eastAsia="sk-SK"/>
              </w:rPr>
            </w:pPr>
            <w:r w:rsidRPr="00997D58">
              <w:rPr>
                <w:rFonts w:ascii="Times New Roman" w:hAnsi="Times New Roman" w:cs="Times New Roman"/>
                <w:bCs/>
                <w:sz w:val="14"/>
                <w:szCs w:val="14"/>
                <w:lang w:eastAsia="sk-SK"/>
              </w:rPr>
              <w:t>3 246 819</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w:t>
            </w:r>
          </w:p>
        </w:tc>
        <w:tc>
          <w:tcPr>
            <w:tcW w:w="510"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val="255"/>
        </w:trPr>
        <w:tc>
          <w:tcPr>
            <w:tcW w:w="1425"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Príspevková organizácia</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 </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 </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 </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 </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 </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 </w:t>
            </w:r>
          </w:p>
        </w:tc>
        <w:tc>
          <w:tcPr>
            <w:tcW w:w="510"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 </w:t>
            </w:r>
          </w:p>
        </w:tc>
      </w:tr>
      <w:tr>
        <w:tblPrEx>
          <w:tblW w:w="5000" w:type="pct"/>
          <w:tblCellMar>
            <w:left w:w="70" w:type="dxa"/>
            <w:right w:w="70" w:type="dxa"/>
          </w:tblCellMar>
          <w:tblLook w:val="04A0"/>
        </w:tblPrEx>
        <w:trPr>
          <w:trHeight w:val="255"/>
        </w:trPr>
        <w:tc>
          <w:tcPr>
            <w:tcW w:w="1425"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Národný ústav celoživotného vzdelávania</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1 164 596</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w:t>
            </w:r>
          </w:p>
        </w:tc>
        <w:tc>
          <w:tcPr>
            <w:tcW w:w="510"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w:t>
            </w:r>
          </w:p>
        </w:tc>
      </w:tr>
    </w:tbl>
    <w:p w:rsidR="00CB350B" w:rsidP="00CB350B">
      <w:pPr>
        <w:bidi w:val="0"/>
        <w:spacing w:after="120"/>
        <w:ind w:firstLine="708"/>
        <w:jc w:val="both"/>
        <w:rPr>
          <w:rFonts w:ascii="Times New Roman" w:hAnsi="Times New Roman" w:cs="Times New Roman"/>
        </w:rPr>
      </w:pPr>
    </w:p>
    <w:p w:rsidR="00CB350B" w:rsidRPr="00432A91" w:rsidP="00CB350B">
      <w:pPr>
        <w:bidi w:val="0"/>
        <w:spacing w:after="120"/>
        <w:ind w:firstLine="708"/>
        <w:jc w:val="both"/>
        <w:rPr>
          <w:rFonts w:ascii="Times New Roman" w:hAnsi="Times New Roman" w:cs="Times New Roman"/>
        </w:rPr>
      </w:pPr>
      <w:r w:rsidRPr="00432A91">
        <w:rPr>
          <w:rFonts w:ascii="Times New Roman" w:hAnsi="Times New Roman" w:cs="Times New Roman"/>
        </w:rPr>
        <w:t>V roku 2012 verejné vysoké školy budú používať na financovanie svojej hlavnej činnosti okrem prostriedkov poskytnutých MŠVVŠ SR aj vlastné zdroje v sume 135 mil. eur, ktoré rastú oproti schválenému rozpočtu roku 2011 o 24,6 mil. eur, t. j. 22,3</w:t>
      </w:r>
      <w:r>
        <w:rPr>
          <w:rFonts w:ascii="Times New Roman" w:hAnsi="Times New Roman" w:cs="Times New Roman"/>
        </w:rPr>
        <w:t xml:space="preserve"> </w:t>
      </w:r>
      <w:r w:rsidRPr="00432A91">
        <w:rPr>
          <w:rFonts w:ascii="Times New Roman" w:hAnsi="Times New Roman" w:cs="Times New Roman"/>
        </w:rPr>
        <w:t xml:space="preserve">%. </w:t>
      </w:r>
    </w:p>
    <w:p w:rsidR="00CB350B" w:rsidRPr="00432A91" w:rsidP="00CB350B">
      <w:pPr>
        <w:bidi w:val="0"/>
        <w:contextualSpacing/>
        <w:jc w:val="both"/>
        <w:rPr>
          <w:rFonts w:ascii="Times New Roman" w:hAnsi="Times New Roman" w:cs="Times New Roman"/>
        </w:rPr>
      </w:pPr>
    </w:p>
    <w:tbl>
      <w:tblPr>
        <w:tblStyle w:val="TableNormal"/>
        <w:tblW w:w="5000" w:type="pct"/>
        <w:tblCellMar>
          <w:left w:w="70" w:type="dxa"/>
          <w:right w:w="70" w:type="dxa"/>
        </w:tblCellMar>
        <w:tblLook w:val="04A0"/>
      </w:tblPr>
      <w:tblGrid>
        <w:gridCol w:w="2625"/>
        <w:gridCol w:w="942"/>
        <w:gridCol w:w="941"/>
        <w:gridCol w:w="941"/>
        <w:gridCol w:w="941"/>
        <w:gridCol w:w="941"/>
        <w:gridCol w:w="941"/>
        <w:gridCol w:w="940"/>
      </w:tblGrid>
      <w:tr>
        <w:tblPrEx>
          <w:tblW w:w="5000" w:type="pct"/>
          <w:tblCellMar>
            <w:left w:w="70" w:type="dxa"/>
            <w:right w:w="70" w:type="dxa"/>
          </w:tblCellMar>
          <w:tblLook w:val="04A0"/>
        </w:tblPrEx>
        <w:trPr>
          <w:trHeight w:val="255"/>
        </w:trPr>
        <w:tc>
          <w:tcPr>
            <w:tcW w:w="142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b/>
                <w:sz w:val="14"/>
                <w:szCs w:val="14"/>
                <w:lang w:eastAsia="sk-SK"/>
              </w:rPr>
              <w:t>v eurách</w:t>
            </w:r>
          </w:p>
        </w:tc>
        <w:tc>
          <w:tcPr>
            <w:tcW w:w="511"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2009 S</w:t>
            </w:r>
          </w:p>
        </w:tc>
        <w:tc>
          <w:tcPr>
            <w:tcW w:w="511"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2010 S</w:t>
            </w:r>
          </w:p>
        </w:tc>
        <w:tc>
          <w:tcPr>
            <w:tcW w:w="511"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2011 R</w:t>
            </w:r>
          </w:p>
        </w:tc>
        <w:tc>
          <w:tcPr>
            <w:tcW w:w="511"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2011 OS</w:t>
            </w:r>
          </w:p>
        </w:tc>
        <w:tc>
          <w:tcPr>
            <w:tcW w:w="511"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2012 N</w:t>
            </w:r>
          </w:p>
        </w:tc>
        <w:tc>
          <w:tcPr>
            <w:tcW w:w="511"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2013 N</w:t>
            </w:r>
          </w:p>
        </w:tc>
        <w:tc>
          <w:tcPr>
            <w:tcW w:w="511"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2014 N</w:t>
            </w:r>
          </w:p>
        </w:tc>
      </w:tr>
      <w:tr>
        <w:tblPrEx>
          <w:tblW w:w="5000" w:type="pct"/>
          <w:tblCellMar>
            <w:left w:w="70" w:type="dxa"/>
            <w:right w:w="70" w:type="dxa"/>
          </w:tblCellMar>
          <w:tblLook w:val="04A0"/>
        </w:tblPrEx>
        <w:trPr>
          <w:trHeight w:val="255"/>
        </w:trPr>
        <w:tc>
          <w:tcPr>
            <w:tcW w:w="1424"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Vlastné zdroje VVŠ</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112 820 728</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133 201 730</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110 508 027</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128 046 955</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135 120 586</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139 087 433</w:t>
            </w:r>
          </w:p>
        </w:tc>
        <w:tc>
          <w:tcPr>
            <w:tcW w:w="51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138 605 675</w:t>
            </w:r>
          </w:p>
        </w:tc>
      </w:tr>
    </w:tbl>
    <w:p w:rsidR="00CB350B" w:rsidRPr="00432A91" w:rsidP="00CB350B">
      <w:pPr>
        <w:bidi w:val="0"/>
        <w:contextualSpacing/>
        <w:jc w:val="both"/>
        <w:rPr>
          <w:rFonts w:ascii="Times New Roman" w:hAnsi="Times New Roman" w:cs="Times New Roman"/>
        </w:rPr>
      </w:pPr>
    </w:p>
    <w:p w:rsidR="00CB350B" w:rsidRPr="00432A91" w:rsidP="00CB350B">
      <w:pPr>
        <w:bidi w:val="0"/>
        <w:ind w:firstLine="708"/>
        <w:jc w:val="both"/>
        <w:rPr>
          <w:rFonts w:ascii="Times New Roman" w:hAnsi="Times New Roman" w:cs="Times New Roman"/>
        </w:rPr>
      </w:pPr>
      <w:r w:rsidRPr="00432A91">
        <w:rPr>
          <w:rFonts w:ascii="Times New Roman" w:hAnsi="Times New Roman" w:cs="Times New Roman"/>
        </w:rPr>
        <w:t xml:space="preserve">Okrem prostriedkov štátneho rozpočtu poskytnutých z MŠVVŠ SR verejné vysoké školy budú mať </w:t>
      </w:r>
      <w:r>
        <w:rPr>
          <w:rFonts w:ascii="Times New Roman" w:hAnsi="Times New Roman" w:cs="Times New Roman"/>
        </w:rPr>
        <w:t xml:space="preserve">k </w:t>
      </w:r>
      <w:r w:rsidRPr="00432A91">
        <w:rPr>
          <w:rFonts w:ascii="Times New Roman" w:hAnsi="Times New Roman" w:cs="Times New Roman"/>
        </w:rPr>
        <w:t xml:space="preserve">dispozícii aj zdroje zo štrukturálnych fondov operačných programov Vzdelávanie a Výskum a vývoj v objeme 11,6 mil. eur v roku 2012 a v rokoch 2013 a 2014 každoročne 9,8 mil. eur. </w:t>
      </w:r>
    </w:p>
    <w:p w:rsidR="00CB350B" w:rsidP="00CB350B">
      <w:pPr>
        <w:bidi w:val="0"/>
        <w:jc w:val="both"/>
        <w:rPr>
          <w:rFonts w:ascii="Times New Roman" w:hAnsi="Times New Roman" w:cs="Times New Roman"/>
        </w:rPr>
      </w:pPr>
    </w:p>
    <w:p w:rsidR="00CB350B" w:rsidRPr="00432A91" w:rsidP="00CB350B">
      <w:pPr>
        <w:bidi w:val="0"/>
        <w:ind w:firstLine="708"/>
        <w:jc w:val="both"/>
        <w:rPr>
          <w:rFonts w:ascii="Times New Roman" w:hAnsi="Times New Roman" w:cs="Times New Roman"/>
        </w:rPr>
      </w:pPr>
      <w:r w:rsidRPr="00432A91">
        <w:rPr>
          <w:rFonts w:ascii="Times New Roman" w:hAnsi="Times New Roman" w:cs="Times New Roman"/>
        </w:rPr>
        <w:t xml:space="preserve">Ďalším disponibilným zdrojom financovania projektov vedy a výskumu v priebehu roku 2012 je aj možnosť uchádzať </w:t>
      </w:r>
      <w:r>
        <w:rPr>
          <w:rFonts w:ascii="Times New Roman" w:hAnsi="Times New Roman" w:cs="Times New Roman"/>
        </w:rPr>
        <w:t xml:space="preserve">sa </w:t>
      </w:r>
      <w:r w:rsidRPr="00432A91">
        <w:rPr>
          <w:rFonts w:ascii="Times New Roman" w:hAnsi="Times New Roman" w:cs="Times New Roman"/>
        </w:rPr>
        <w:t>o transfery v súťažiach vypísaných Agentúrou na podporu vedy a výskumu.</w:t>
      </w:r>
    </w:p>
    <w:p w:rsidR="00CB350B" w:rsidRPr="00432A91" w:rsidP="00CB350B">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1630"/>
        <w:gridCol w:w="1350"/>
        <w:gridCol w:w="1352"/>
        <w:gridCol w:w="1220"/>
        <w:gridCol w:w="1220"/>
        <w:gridCol w:w="1220"/>
        <w:gridCol w:w="1220"/>
      </w:tblGrid>
      <w:tr>
        <w:tblPrEx>
          <w:tblW w:w="5000" w:type="pct"/>
          <w:tblCellMar>
            <w:left w:w="70" w:type="dxa"/>
            <w:right w:w="70" w:type="dxa"/>
          </w:tblCellMar>
          <w:tblLook w:val="04A0"/>
        </w:tblPrEx>
        <w:trPr>
          <w:trHeight w:val="255"/>
        </w:trPr>
        <w:tc>
          <w:tcPr>
            <w:tcW w:w="885" w:type="pct"/>
            <w:vMerge w:val="restart"/>
            <w:tcBorders>
              <w:top w:val="single" w:sz="4" w:space="0" w:color="auto"/>
              <w:left w:val="single" w:sz="4" w:space="0" w:color="auto"/>
              <w:bottom w:val="single" w:sz="4" w:space="0" w:color="auto"/>
              <w:right w:val="single" w:sz="4" w:space="0" w:color="auto"/>
            </w:tcBorders>
            <w:shd w:val="clear" w:color="auto" w:fill="A6A6A6"/>
            <w:textDirection w:val="lrTb"/>
            <w:vAlign w:val="bottom"/>
            <w:hideMark/>
          </w:tcPr>
          <w:p w:rsidR="00CB350B" w:rsidRPr="00A94288" w:rsidP="00257E12">
            <w:pPr>
              <w:bidi w:val="0"/>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Forma štúdia</w:t>
            </w:r>
          </w:p>
        </w:tc>
        <w:tc>
          <w:tcPr>
            <w:tcW w:w="1467" w:type="pct"/>
            <w:gridSpan w:val="2"/>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Počet študentov v roku</w:t>
            </w:r>
          </w:p>
        </w:tc>
        <w:tc>
          <w:tcPr>
            <w:tcW w:w="2649" w:type="pct"/>
            <w:gridSpan w:val="4"/>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Prognóza počtu študujúcich</w:t>
            </w:r>
          </w:p>
        </w:tc>
      </w:tr>
      <w:tr>
        <w:tblPrEx>
          <w:tblW w:w="5000" w:type="pct"/>
          <w:tblCellMar>
            <w:left w:w="70" w:type="dxa"/>
            <w:right w:w="70" w:type="dxa"/>
          </w:tblCellMar>
          <w:tblLook w:val="04A0"/>
        </w:tblPrEx>
        <w:trPr>
          <w:trHeight w:val="255"/>
        </w:trPr>
        <w:tc>
          <w:tcPr>
            <w:tcW w:w="885"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CB350B" w:rsidRPr="00A94288" w:rsidP="00257E12">
            <w:pPr>
              <w:bidi w:val="0"/>
              <w:rPr>
                <w:rFonts w:ascii="Times New Roman" w:hAnsi="Times New Roman" w:cs="Times New Roman"/>
                <w:b/>
                <w:bCs/>
                <w:sz w:val="14"/>
                <w:szCs w:val="14"/>
                <w:lang w:eastAsia="sk-SK"/>
              </w:rPr>
            </w:pPr>
          </w:p>
        </w:tc>
        <w:tc>
          <w:tcPr>
            <w:tcW w:w="733" w:type="pct"/>
            <w:tcBorders>
              <w:top w:val="nil"/>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2009</w:t>
            </w:r>
          </w:p>
        </w:tc>
        <w:tc>
          <w:tcPr>
            <w:tcW w:w="734" w:type="pct"/>
            <w:tcBorders>
              <w:top w:val="nil"/>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2010</w:t>
            </w:r>
          </w:p>
        </w:tc>
        <w:tc>
          <w:tcPr>
            <w:tcW w:w="662" w:type="pct"/>
            <w:tcBorders>
              <w:top w:val="nil"/>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2011</w:t>
            </w:r>
          </w:p>
        </w:tc>
        <w:tc>
          <w:tcPr>
            <w:tcW w:w="662" w:type="pct"/>
            <w:tcBorders>
              <w:top w:val="nil"/>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2012</w:t>
            </w:r>
          </w:p>
        </w:tc>
        <w:tc>
          <w:tcPr>
            <w:tcW w:w="662" w:type="pct"/>
            <w:tcBorders>
              <w:top w:val="nil"/>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2013</w:t>
            </w:r>
          </w:p>
        </w:tc>
        <w:tc>
          <w:tcPr>
            <w:tcW w:w="662" w:type="pct"/>
            <w:tcBorders>
              <w:top w:val="nil"/>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2014</w:t>
            </w:r>
          </w:p>
        </w:tc>
      </w:tr>
      <w:tr>
        <w:tblPrEx>
          <w:tblW w:w="5000" w:type="pct"/>
          <w:tblCellMar>
            <w:left w:w="70" w:type="dxa"/>
            <w:right w:w="70" w:type="dxa"/>
          </w:tblCellMar>
          <w:tblLook w:val="04A0"/>
        </w:tblPrEx>
        <w:trPr>
          <w:trHeight w:val="255"/>
        </w:trPr>
        <w:tc>
          <w:tcPr>
            <w:tcW w:w="885"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denné</w:t>
            </w:r>
          </w:p>
        </w:tc>
        <w:tc>
          <w:tcPr>
            <w:tcW w:w="733"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130 273</w:t>
            </w:r>
          </w:p>
        </w:tc>
        <w:tc>
          <w:tcPr>
            <w:tcW w:w="73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125 501</w:t>
            </w:r>
          </w:p>
        </w:tc>
        <w:tc>
          <w:tcPr>
            <w:tcW w:w="66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123 229</w:t>
            </w:r>
          </w:p>
        </w:tc>
        <w:tc>
          <w:tcPr>
            <w:tcW w:w="66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122 131</w:t>
            </w:r>
          </w:p>
        </w:tc>
        <w:tc>
          <w:tcPr>
            <w:tcW w:w="66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119 807</w:t>
            </w:r>
          </w:p>
        </w:tc>
        <w:tc>
          <w:tcPr>
            <w:tcW w:w="66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115 870</w:t>
            </w:r>
          </w:p>
        </w:tc>
      </w:tr>
      <w:tr>
        <w:tblPrEx>
          <w:tblW w:w="5000" w:type="pct"/>
          <w:tblCellMar>
            <w:left w:w="70" w:type="dxa"/>
            <w:right w:w="70" w:type="dxa"/>
          </w:tblCellMar>
          <w:tblLook w:val="04A0"/>
        </w:tblPrEx>
        <w:trPr>
          <w:trHeight w:val="255"/>
        </w:trPr>
        <w:tc>
          <w:tcPr>
            <w:tcW w:w="885"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externé</w:t>
            </w:r>
          </w:p>
        </w:tc>
        <w:tc>
          <w:tcPr>
            <w:tcW w:w="733"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43 834</w:t>
            </w:r>
          </w:p>
        </w:tc>
        <w:tc>
          <w:tcPr>
            <w:tcW w:w="73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39 659</w:t>
            </w:r>
          </w:p>
        </w:tc>
        <w:tc>
          <w:tcPr>
            <w:tcW w:w="66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38 323</w:t>
            </w:r>
          </w:p>
        </w:tc>
        <w:tc>
          <w:tcPr>
            <w:tcW w:w="66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37 547</w:t>
            </w:r>
          </w:p>
        </w:tc>
        <w:tc>
          <w:tcPr>
            <w:tcW w:w="66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36 558</w:t>
            </w:r>
          </w:p>
        </w:tc>
        <w:tc>
          <w:tcPr>
            <w:tcW w:w="66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35 394</w:t>
            </w:r>
          </w:p>
        </w:tc>
      </w:tr>
      <w:tr>
        <w:tblPrEx>
          <w:tblW w:w="5000" w:type="pct"/>
          <w:tblCellMar>
            <w:left w:w="70" w:type="dxa"/>
            <w:right w:w="70" w:type="dxa"/>
          </w:tblCellMar>
          <w:tblLook w:val="04A0"/>
        </w:tblPrEx>
        <w:trPr>
          <w:trHeight w:val="255"/>
        </w:trPr>
        <w:tc>
          <w:tcPr>
            <w:tcW w:w="88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CB350B" w:rsidRPr="00A94288" w:rsidP="00257E12">
            <w:pPr>
              <w:bidi w:val="0"/>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 xml:space="preserve">Študenti spolu </w:t>
            </w:r>
          </w:p>
        </w:tc>
        <w:tc>
          <w:tcPr>
            <w:tcW w:w="733"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CB350B" w:rsidRPr="00A94288" w:rsidP="00257E12">
            <w:pPr>
              <w:bidi w:val="0"/>
              <w:jc w:val="right"/>
              <w:rPr>
                <w:rFonts w:ascii="Times New Roman" w:hAnsi="Times New Roman" w:cs="Times New Roman"/>
                <w:b/>
                <w:sz w:val="14"/>
                <w:szCs w:val="14"/>
                <w:lang w:eastAsia="sk-SK"/>
              </w:rPr>
            </w:pPr>
            <w:r w:rsidRPr="00A94288">
              <w:rPr>
                <w:rFonts w:ascii="Times New Roman" w:hAnsi="Times New Roman" w:cs="Times New Roman"/>
                <w:b/>
                <w:sz w:val="14"/>
                <w:szCs w:val="14"/>
                <w:lang w:eastAsia="sk-SK"/>
              </w:rPr>
              <w:t>174 107</w:t>
            </w:r>
          </w:p>
        </w:tc>
        <w:tc>
          <w:tcPr>
            <w:tcW w:w="734"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CB350B" w:rsidRPr="00A94288" w:rsidP="00257E12">
            <w:pPr>
              <w:bidi w:val="0"/>
              <w:jc w:val="right"/>
              <w:rPr>
                <w:rFonts w:ascii="Times New Roman" w:hAnsi="Times New Roman" w:cs="Times New Roman"/>
                <w:b/>
                <w:sz w:val="14"/>
                <w:szCs w:val="14"/>
                <w:lang w:eastAsia="sk-SK"/>
              </w:rPr>
            </w:pPr>
            <w:r w:rsidRPr="00A94288">
              <w:rPr>
                <w:rFonts w:ascii="Times New Roman" w:hAnsi="Times New Roman" w:cs="Times New Roman"/>
                <w:b/>
                <w:sz w:val="14"/>
                <w:szCs w:val="14"/>
                <w:lang w:eastAsia="sk-SK"/>
              </w:rPr>
              <w:t>165 160</w:t>
            </w:r>
          </w:p>
        </w:tc>
        <w:tc>
          <w:tcPr>
            <w:tcW w:w="662"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CB350B" w:rsidRPr="00A94288" w:rsidP="00257E12">
            <w:pPr>
              <w:bidi w:val="0"/>
              <w:jc w:val="right"/>
              <w:rPr>
                <w:rFonts w:ascii="Times New Roman" w:hAnsi="Times New Roman" w:cs="Times New Roman"/>
                <w:b/>
                <w:sz w:val="14"/>
                <w:szCs w:val="14"/>
                <w:lang w:eastAsia="sk-SK"/>
              </w:rPr>
            </w:pPr>
            <w:r w:rsidRPr="00A94288">
              <w:rPr>
                <w:rFonts w:ascii="Times New Roman" w:hAnsi="Times New Roman" w:cs="Times New Roman"/>
                <w:b/>
                <w:sz w:val="14"/>
                <w:szCs w:val="14"/>
                <w:lang w:eastAsia="sk-SK"/>
              </w:rPr>
              <w:t>161 552</w:t>
            </w:r>
          </w:p>
        </w:tc>
        <w:tc>
          <w:tcPr>
            <w:tcW w:w="662"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CB350B" w:rsidRPr="00A94288" w:rsidP="00257E12">
            <w:pPr>
              <w:bidi w:val="0"/>
              <w:jc w:val="right"/>
              <w:rPr>
                <w:rFonts w:ascii="Times New Roman" w:hAnsi="Times New Roman" w:cs="Times New Roman"/>
                <w:b/>
                <w:sz w:val="14"/>
                <w:szCs w:val="14"/>
                <w:lang w:eastAsia="sk-SK"/>
              </w:rPr>
            </w:pPr>
            <w:r w:rsidRPr="00A94288">
              <w:rPr>
                <w:rFonts w:ascii="Times New Roman" w:hAnsi="Times New Roman" w:cs="Times New Roman"/>
                <w:b/>
                <w:sz w:val="14"/>
                <w:szCs w:val="14"/>
                <w:lang w:eastAsia="sk-SK"/>
              </w:rPr>
              <w:t>159 678</w:t>
            </w:r>
          </w:p>
        </w:tc>
        <w:tc>
          <w:tcPr>
            <w:tcW w:w="662"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CB350B" w:rsidRPr="00A94288" w:rsidP="00257E12">
            <w:pPr>
              <w:bidi w:val="0"/>
              <w:jc w:val="right"/>
              <w:rPr>
                <w:rFonts w:ascii="Times New Roman" w:hAnsi="Times New Roman" w:cs="Times New Roman"/>
                <w:b/>
                <w:sz w:val="14"/>
                <w:szCs w:val="14"/>
                <w:lang w:eastAsia="sk-SK"/>
              </w:rPr>
            </w:pPr>
            <w:r w:rsidRPr="00A94288">
              <w:rPr>
                <w:rFonts w:ascii="Times New Roman" w:hAnsi="Times New Roman" w:cs="Times New Roman"/>
                <w:b/>
                <w:sz w:val="14"/>
                <w:szCs w:val="14"/>
                <w:lang w:eastAsia="sk-SK"/>
              </w:rPr>
              <w:t>156 365</w:t>
            </w:r>
          </w:p>
        </w:tc>
        <w:tc>
          <w:tcPr>
            <w:tcW w:w="662"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CB350B" w:rsidRPr="00A94288" w:rsidP="00257E12">
            <w:pPr>
              <w:bidi w:val="0"/>
              <w:jc w:val="right"/>
              <w:rPr>
                <w:rFonts w:ascii="Times New Roman" w:hAnsi="Times New Roman" w:cs="Times New Roman"/>
                <w:b/>
                <w:sz w:val="14"/>
                <w:szCs w:val="14"/>
                <w:lang w:eastAsia="sk-SK"/>
              </w:rPr>
            </w:pPr>
            <w:r w:rsidRPr="00A94288">
              <w:rPr>
                <w:rFonts w:ascii="Times New Roman" w:hAnsi="Times New Roman" w:cs="Times New Roman"/>
                <w:b/>
                <w:sz w:val="14"/>
                <w:szCs w:val="14"/>
                <w:lang w:eastAsia="sk-SK"/>
              </w:rPr>
              <w:t>151 263</w:t>
            </w:r>
          </w:p>
        </w:tc>
      </w:tr>
    </w:tbl>
    <w:p w:rsidR="00CB350B" w:rsidRPr="003B4F09" w:rsidP="00CB350B">
      <w:pPr>
        <w:bidi w:val="0"/>
        <w:jc w:val="both"/>
        <w:rPr>
          <w:rFonts w:ascii="Times New Roman" w:hAnsi="Times New Roman" w:cs="Times New Roman"/>
          <w:sz w:val="14"/>
          <w:szCs w:val="14"/>
        </w:rPr>
      </w:pPr>
      <w:r w:rsidRPr="003B4F09">
        <w:rPr>
          <w:rFonts w:ascii="Times New Roman" w:hAnsi="Times New Roman" w:cs="Times New Roman"/>
          <w:sz w:val="14"/>
          <w:szCs w:val="14"/>
        </w:rPr>
        <w:t>Zdroj: MŠVVŠ SR</w:t>
      </w:r>
    </w:p>
    <w:p w:rsidR="00CB350B" w:rsidRPr="00E167C4" w:rsidP="00CB350B">
      <w:pPr>
        <w:bidi w:val="0"/>
        <w:jc w:val="both"/>
        <w:rPr>
          <w:rFonts w:ascii="Times New Roman" w:hAnsi="Times New Roman" w:cs="Times New Roman"/>
          <w:sz w:val="22"/>
          <w:szCs w:val="22"/>
        </w:rPr>
      </w:pPr>
    </w:p>
    <w:tbl>
      <w:tblPr>
        <w:tblStyle w:val="TableNormal"/>
        <w:tblW w:w="5000" w:type="pct"/>
        <w:tblCellMar>
          <w:left w:w="70" w:type="dxa"/>
          <w:right w:w="70" w:type="dxa"/>
        </w:tblCellMar>
        <w:tblLook w:val="04A0"/>
      </w:tblPr>
      <w:tblGrid>
        <w:gridCol w:w="1630"/>
        <w:gridCol w:w="1350"/>
        <w:gridCol w:w="1352"/>
        <w:gridCol w:w="1220"/>
        <w:gridCol w:w="1220"/>
        <w:gridCol w:w="1220"/>
        <w:gridCol w:w="1220"/>
      </w:tblGrid>
      <w:tr>
        <w:tblPrEx>
          <w:tblW w:w="5000" w:type="pct"/>
          <w:tblCellMar>
            <w:left w:w="70" w:type="dxa"/>
            <w:right w:w="70" w:type="dxa"/>
          </w:tblCellMar>
          <w:tblLook w:val="04A0"/>
        </w:tblPrEx>
        <w:trPr>
          <w:trHeight w:val="255"/>
        </w:trPr>
        <w:tc>
          <w:tcPr>
            <w:tcW w:w="885" w:type="pct"/>
            <w:vMerge w:val="restart"/>
            <w:tcBorders>
              <w:top w:val="single" w:sz="4" w:space="0" w:color="auto"/>
              <w:left w:val="single" w:sz="4" w:space="0" w:color="auto"/>
              <w:bottom w:val="single" w:sz="4" w:space="0" w:color="auto"/>
              <w:right w:val="single" w:sz="4" w:space="0" w:color="auto"/>
            </w:tcBorders>
            <w:shd w:val="clear" w:color="auto" w:fill="A6A6A6"/>
            <w:textDirection w:val="lrTb"/>
            <w:vAlign w:val="bottom"/>
            <w:hideMark/>
          </w:tcPr>
          <w:p w:rsidR="00CB350B" w:rsidRPr="00A94288" w:rsidP="00257E12">
            <w:pPr>
              <w:bidi w:val="0"/>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Veková skupina</w:t>
            </w:r>
          </w:p>
        </w:tc>
        <w:tc>
          <w:tcPr>
            <w:tcW w:w="1467" w:type="pct"/>
            <w:gridSpan w:val="2"/>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Počet obyvateľstvo v roku</w:t>
            </w:r>
          </w:p>
        </w:tc>
        <w:tc>
          <w:tcPr>
            <w:tcW w:w="2649" w:type="pct"/>
            <w:gridSpan w:val="4"/>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Prognóza počtu obyvateľov</w:t>
            </w:r>
          </w:p>
        </w:tc>
      </w:tr>
      <w:tr>
        <w:tblPrEx>
          <w:tblW w:w="5000" w:type="pct"/>
          <w:tblCellMar>
            <w:left w:w="70" w:type="dxa"/>
            <w:right w:w="70" w:type="dxa"/>
          </w:tblCellMar>
          <w:tblLook w:val="04A0"/>
        </w:tblPrEx>
        <w:trPr>
          <w:trHeight w:val="255"/>
        </w:trPr>
        <w:tc>
          <w:tcPr>
            <w:tcW w:w="885" w:type="pct"/>
            <w:vMerge/>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CB350B" w:rsidRPr="00A94288" w:rsidP="00257E12">
            <w:pPr>
              <w:bidi w:val="0"/>
              <w:rPr>
                <w:rFonts w:ascii="Times New Roman" w:hAnsi="Times New Roman" w:cs="Times New Roman"/>
                <w:b/>
                <w:bCs/>
                <w:sz w:val="14"/>
                <w:szCs w:val="14"/>
                <w:lang w:eastAsia="sk-SK"/>
              </w:rPr>
            </w:pPr>
          </w:p>
        </w:tc>
        <w:tc>
          <w:tcPr>
            <w:tcW w:w="733" w:type="pct"/>
            <w:tcBorders>
              <w:top w:val="nil"/>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2009</w:t>
            </w:r>
          </w:p>
        </w:tc>
        <w:tc>
          <w:tcPr>
            <w:tcW w:w="734" w:type="pct"/>
            <w:tcBorders>
              <w:top w:val="nil"/>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2010</w:t>
            </w:r>
          </w:p>
        </w:tc>
        <w:tc>
          <w:tcPr>
            <w:tcW w:w="662" w:type="pct"/>
            <w:tcBorders>
              <w:top w:val="nil"/>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2011</w:t>
            </w:r>
          </w:p>
        </w:tc>
        <w:tc>
          <w:tcPr>
            <w:tcW w:w="662" w:type="pct"/>
            <w:tcBorders>
              <w:top w:val="nil"/>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2012</w:t>
            </w:r>
          </w:p>
        </w:tc>
        <w:tc>
          <w:tcPr>
            <w:tcW w:w="662" w:type="pct"/>
            <w:tcBorders>
              <w:top w:val="nil"/>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2013</w:t>
            </w:r>
          </w:p>
        </w:tc>
        <w:tc>
          <w:tcPr>
            <w:tcW w:w="662" w:type="pct"/>
            <w:tcBorders>
              <w:top w:val="nil"/>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2014</w:t>
            </w:r>
          </w:p>
        </w:tc>
      </w:tr>
      <w:tr>
        <w:tblPrEx>
          <w:tblW w:w="5000" w:type="pct"/>
          <w:tblCellMar>
            <w:left w:w="70" w:type="dxa"/>
            <w:right w:w="70" w:type="dxa"/>
          </w:tblCellMar>
          <w:tblLook w:val="04A0"/>
        </w:tblPrEx>
        <w:trPr>
          <w:trHeight w:val="255"/>
        </w:trPr>
        <w:tc>
          <w:tcPr>
            <w:tcW w:w="885"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19-23</w:t>
            </w:r>
          </w:p>
        </w:tc>
        <w:tc>
          <w:tcPr>
            <w:tcW w:w="733"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409 721</w:t>
            </w:r>
          </w:p>
        </w:tc>
        <w:tc>
          <w:tcPr>
            <w:tcW w:w="73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400 888</w:t>
            </w:r>
          </w:p>
        </w:tc>
        <w:tc>
          <w:tcPr>
            <w:tcW w:w="66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391 203</w:t>
            </w:r>
          </w:p>
        </w:tc>
        <w:tc>
          <w:tcPr>
            <w:tcW w:w="66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381 658</w:t>
            </w:r>
          </w:p>
        </w:tc>
        <w:tc>
          <w:tcPr>
            <w:tcW w:w="66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368 636</w:t>
            </w:r>
          </w:p>
        </w:tc>
        <w:tc>
          <w:tcPr>
            <w:tcW w:w="66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351 120</w:t>
            </w:r>
          </w:p>
        </w:tc>
      </w:tr>
      <w:tr>
        <w:tblPrEx>
          <w:tblW w:w="5000" w:type="pct"/>
          <w:tblCellMar>
            <w:left w:w="70" w:type="dxa"/>
            <w:right w:w="70" w:type="dxa"/>
          </w:tblCellMar>
          <w:tblLook w:val="04A0"/>
        </w:tblPrEx>
        <w:trPr>
          <w:trHeight w:val="255"/>
        </w:trPr>
        <w:tc>
          <w:tcPr>
            <w:tcW w:w="885"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19-29</w:t>
            </w:r>
          </w:p>
        </w:tc>
        <w:tc>
          <w:tcPr>
            <w:tcW w:w="733"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951 737</w:t>
            </w:r>
          </w:p>
        </w:tc>
        <w:tc>
          <w:tcPr>
            <w:tcW w:w="73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937 164</w:t>
            </w:r>
          </w:p>
        </w:tc>
        <w:tc>
          <w:tcPr>
            <w:tcW w:w="66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905 981</w:t>
            </w:r>
          </w:p>
        </w:tc>
        <w:tc>
          <w:tcPr>
            <w:tcW w:w="66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887 647</w:t>
            </w:r>
          </w:p>
        </w:tc>
        <w:tc>
          <w:tcPr>
            <w:tcW w:w="66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864 252</w:t>
            </w:r>
          </w:p>
        </w:tc>
        <w:tc>
          <w:tcPr>
            <w:tcW w:w="66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836 729</w:t>
            </w:r>
          </w:p>
        </w:tc>
      </w:tr>
    </w:tbl>
    <w:p w:rsidR="00CB350B" w:rsidRPr="003B4F09" w:rsidP="00CB350B">
      <w:pPr>
        <w:bidi w:val="0"/>
        <w:jc w:val="both"/>
        <w:rPr>
          <w:rFonts w:ascii="Times New Roman" w:hAnsi="Times New Roman" w:cs="Times New Roman"/>
          <w:sz w:val="14"/>
          <w:szCs w:val="14"/>
        </w:rPr>
      </w:pPr>
      <w:r w:rsidRPr="003B4F09">
        <w:rPr>
          <w:rFonts w:ascii="Times New Roman" w:hAnsi="Times New Roman" w:cs="Times New Roman"/>
          <w:sz w:val="14"/>
          <w:szCs w:val="14"/>
        </w:rPr>
        <w:t>Zdroj: MŠVVŠ SR</w:t>
      </w:r>
    </w:p>
    <w:p w:rsidR="00CB350B" w:rsidRPr="003B4F09" w:rsidP="00CB350B">
      <w:pPr>
        <w:bidi w:val="0"/>
        <w:jc w:val="both"/>
        <w:rPr>
          <w:rFonts w:ascii="Times New Roman" w:hAnsi="Times New Roman" w:cs="Times New Roman"/>
        </w:rPr>
      </w:pPr>
    </w:p>
    <w:tbl>
      <w:tblPr>
        <w:tblStyle w:val="TableNormal"/>
        <w:tblW w:w="5000" w:type="pct"/>
        <w:tblLayout w:type="fixed"/>
        <w:tblCellMar>
          <w:left w:w="70" w:type="dxa"/>
          <w:right w:w="70" w:type="dxa"/>
        </w:tblCellMar>
        <w:tblLook w:val="04A0"/>
      </w:tblPr>
      <w:tblGrid>
        <w:gridCol w:w="1630"/>
        <w:gridCol w:w="1346"/>
        <w:gridCol w:w="1347"/>
        <w:gridCol w:w="1222"/>
        <w:gridCol w:w="1222"/>
        <w:gridCol w:w="1222"/>
        <w:gridCol w:w="1223"/>
      </w:tblGrid>
      <w:tr>
        <w:tblPrEx>
          <w:tblW w:w="5000" w:type="pct"/>
          <w:tblLayout w:type="fixed"/>
          <w:tblCellMar>
            <w:left w:w="70" w:type="dxa"/>
            <w:right w:w="70" w:type="dxa"/>
          </w:tblCellMar>
          <w:tblLook w:val="04A0"/>
        </w:tblPrEx>
        <w:trPr>
          <w:trHeight w:val="255"/>
        </w:trPr>
        <w:tc>
          <w:tcPr>
            <w:tcW w:w="88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 </w:t>
            </w:r>
          </w:p>
        </w:tc>
        <w:tc>
          <w:tcPr>
            <w:tcW w:w="1462" w:type="pct"/>
            <w:gridSpan w:val="2"/>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Počet študentov / počet obyvateľov (%)</w:t>
            </w:r>
          </w:p>
        </w:tc>
        <w:tc>
          <w:tcPr>
            <w:tcW w:w="2654" w:type="pct"/>
            <w:gridSpan w:val="4"/>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Počet študentov / počet obyvateľov (%)- odhad</w:t>
            </w:r>
          </w:p>
        </w:tc>
      </w:tr>
      <w:tr>
        <w:tblPrEx>
          <w:tblW w:w="5000" w:type="pct"/>
          <w:tblLayout w:type="fixed"/>
          <w:tblCellMar>
            <w:left w:w="70" w:type="dxa"/>
            <w:right w:w="70" w:type="dxa"/>
          </w:tblCellMar>
          <w:tblLook w:val="04A0"/>
        </w:tblPrEx>
        <w:trPr>
          <w:trHeight w:val="255"/>
        </w:trPr>
        <w:tc>
          <w:tcPr>
            <w:tcW w:w="885" w:type="pct"/>
            <w:tcBorders>
              <w:top w:val="nil"/>
              <w:left w:val="single" w:sz="4" w:space="0" w:color="auto"/>
              <w:bottom w:val="single" w:sz="4" w:space="0" w:color="auto"/>
              <w:right w:val="single" w:sz="4" w:space="0" w:color="auto"/>
            </w:tcBorders>
            <w:shd w:val="clear" w:color="auto" w:fill="A6A6A6"/>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 </w:t>
            </w:r>
          </w:p>
        </w:tc>
        <w:tc>
          <w:tcPr>
            <w:tcW w:w="731" w:type="pct"/>
            <w:tcBorders>
              <w:top w:val="nil"/>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2009</w:t>
            </w:r>
          </w:p>
        </w:tc>
        <w:tc>
          <w:tcPr>
            <w:tcW w:w="731" w:type="pct"/>
            <w:tcBorders>
              <w:top w:val="nil"/>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2010</w:t>
            </w:r>
          </w:p>
        </w:tc>
        <w:tc>
          <w:tcPr>
            <w:tcW w:w="663" w:type="pct"/>
            <w:tcBorders>
              <w:top w:val="nil"/>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2011</w:t>
            </w:r>
          </w:p>
        </w:tc>
        <w:tc>
          <w:tcPr>
            <w:tcW w:w="663" w:type="pct"/>
            <w:tcBorders>
              <w:top w:val="nil"/>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2012</w:t>
            </w:r>
          </w:p>
        </w:tc>
        <w:tc>
          <w:tcPr>
            <w:tcW w:w="663" w:type="pct"/>
            <w:tcBorders>
              <w:top w:val="nil"/>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2013</w:t>
            </w:r>
          </w:p>
        </w:tc>
        <w:tc>
          <w:tcPr>
            <w:tcW w:w="664" w:type="pct"/>
            <w:tcBorders>
              <w:top w:val="nil"/>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2014</w:t>
            </w:r>
          </w:p>
        </w:tc>
      </w:tr>
      <w:tr>
        <w:tblPrEx>
          <w:tblW w:w="5000" w:type="pct"/>
          <w:tblLayout w:type="fixed"/>
          <w:tblCellMar>
            <w:left w:w="70" w:type="dxa"/>
            <w:right w:w="70" w:type="dxa"/>
          </w:tblCellMar>
          <w:tblLook w:val="04A0"/>
        </w:tblPrEx>
        <w:trPr>
          <w:trHeight w:val="255"/>
        </w:trPr>
        <w:tc>
          <w:tcPr>
            <w:tcW w:w="885"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19-23 roční denní</w:t>
            </w:r>
          </w:p>
        </w:tc>
        <w:tc>
          <w:tcPr>
            <w:tcW w:w="73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31,80</w:t>
            </w:r>
          </w:p>
        </w:tc>
        <w:tc>
          <w:tcPr>
            <w:tcW w:w="73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31,31</w:t>
            </w:r>
          </w:p>
        </w:tc>
        <w:tc>
          <w:tcPr>
            <w:tcW w:w="663"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31,800</w:t>
            </w:r>
          </w:p>
        </w:tc>
        <w:tc>
          <w:tcPr>
            <w:tcW w:w="663"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32,300</w:t>
            </w:r>
          </w:p>
        </w:tc>
        <w:tc>
          <w:tcPr>
            <w:tcW w:w="663"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32,800</w:t>
            </w:r>
          </w:p>
        </w:tc>
        <w:tc>
          <w:tcPr>
            <w:tcW w:w="66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33,300</w:t>
            </w:r>
          </w:p>
        </w:tc>
      </w:tr>
      <w:tr>
        <w:tblPrEx>
          <w:tblW w:w="5000" w:type="pct"/>
          <w:tblLayout w:type="fixed"/>
          <w:tblCellMar>
            <w:left w:w="70" w:type="dxa"/>
            <w:right w:w="70" w:type="dxa"/>
          </w:tblCellMar>
          <w:tblLook w:val="04A0"/>
        </w:tblPrEx>
        <w:trPr>
          <w:trHeight w:val="255"/>
        </w:trPr>
        <w:tc>
          <w:tcPr>
            <w:tcW w:w="885"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medziročná zmena</w:t>
            </w:r>
          </w:p>
        </w:tc>
        <w:tc>
          <w:tcPr>
            <w:tcW w:w="73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0,55</w:t>
            </w:r>
          </w:p>
        </w:tc>
        <w:tc>
          <w:tcPr>
            <w:tcW w:w="73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-0,49</w:t>
            </w:r>
          </w:p>
        </w:tc>
        <w:tc>
          <w:tcPr>
            <w:tcW w:w="663"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0,49</w:t>
            </w:r>
          </w:p>
        </w:tc>
        <w:tc>
          <w:tcPr>
            <w:tcW w:w="663"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0,50</w:t>
            </w:r>
          </w:p>
        </w:tc>
        <w:tc>
          <w:tcPr>
            <w:tcW w:w="663"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0,50</w:t>
            </w:r>
          </w:p>
        </w:tc>
        <w:tc>
          <w:tcPr>
            <w:tcW w:w="66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0,50</w:t>
            </w:r>
          </w:p>
        </w:tc>
      </w:tr>
      <w:tr>
        <w:tblPrEx>
          <w:tblW w:w="5000" w:type="pct"/>
          <w:tblLayout w:type="fixed"/>
          <w:tblCellMar>
            <w:left w:w="70" w:type="dxa"/>
            <w:right w:w="70" w:type="dxa"/>
          </w:tblCellMar>
          <w:tblLook w:val="04A0"/>
        </w:tblPrEx>
        <w:trPr>
          <w:trHeight w:val="255"/>
        </w:trPr>
        <w:tc>
          <w:tcPr>
            <w:tcW w:w="885"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19-29 roční externí</w:t>
            </w:r>
          </w:p>
        </w:tc>
        <w:tc>
          <w:tcPr>
            <w:tcW w:w="73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4,61</w:t>
            </w:r>
          </w:p>
        </w:tc>
        <w:tc>
          <w:tcPr>
            <w:tcW w:w="73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4,23</w:t>
            </w:r>
          </w:p>
        </w:tc>
        <w:tc>
          <w:tcPr>
            <w:tcW w:w="663"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4,23</w:t>
            </w:r>
          </w:p>
        </w:tc>
        <w:tc>
          <w:tcPr>
            <w:tcW w:w="663"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4,23</w:t>
            </w:r>
          </w:p>
        </w:tc>
        <w:tc>
          <w:tcPr>
            <w:tcW w:w="663"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4,23</w:t>
            </w:r>
          </w:p>
        </w:tc>
        <w:tc>
          <w:tcPr>
            <w:tcW w:w="66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4,23</w:t>
            </w:r>
          </w:p>
        </w:tc>
      </w:tr>
      <w:tr>
        <w:tblPrEx>
          <w:tblW w:w="5000" w:type="pct"/>
          <w:tblLayout w:type="fixed"/>
          <w:tblCellMar>
            <w:left w:w="70" w:type="dxa"/>
            <w:right w:w="70" w:type="dxa"/>
          </w:tblCellMar>
          <w:tblLook w:val="04A0"/>
        </w:tblPrEx>
        <w:trPr>
          <w:trHeight w:val="255"/>
        </w:trPr>
        <w:tc>
          <w:tcPr>
            <w:tcW w:w="885"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medziročná zmena</w:t>
            </w:r>
          </w:p>
        </w:tc>
        <w:tc>
          <w:tcPr>
            <w:tcW w:w="73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-0,69</w:t>
            </w:r>
          </w:p>
        </w:tc>
        <w:tc>
          <w:tcPr>
            <w:tcW w:w="731"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-0,37</w:t>
            </w:r>
          </w:p>
        </w:tc>
        <w:tc>
          <w:tcPr>
            <w:tcW w:w="663"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0,00</w:t>
            </w:r>
          </w:p>
        </w:tc>
        <w:tc>
          <w:tcPr>
            <w:tcW w:w="663"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0,00</w:t>
            </w:r>
          </w:p>
        </w:tc>
        <w:tc>
          <w:tcPr>
            <w:tcW w:w="663"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0,00</w:t>
            </w:r>
          </w:p>
        </w:tc>
        <w:tc>
          <w:tcPr>
            <w:tcW w:w="66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0,00</w:t>
            </w:r>
          </w:p>
        </w:tc>
      </w:tr>
    </w:tbl>
    <w:p w:rsidR="00CB350B" w:rsidRPr="003B4F09" w:rsidP="00CB350B">
      <w:pPr>
        <w:bidi w:val="0"/>
        <w:jc w:val="both"/>
        <w:rPr>
          <w:rFonts w:ascii="Times New Roman" w:hAnsi="Times New Roman" w:cs="Times New Roman"/>
          <w:sz w:val="14"/>
          <w:szCs w:val="14"/>
        </w:rPr>
      </w:pPr>
      <w:r w:rsidRPr="003B4F09">
        <w:rPr>
          <w:rFonts w:ascii="Times New Roman" w:hAnsi="Times New Roman" w:cs="Times New Roman"/>
          <w:sz w:val="14"/>
          <w:szCs w:val="14"/>
        </w:rPr>
        <w:t>Zdroj: MŠVVŠ SR</w:t>
      </w:r>
    </w:p>
    <w:p w:rsidR="00CB350B" w:rsidRPr="00432A91" w:rsidP="00CB350B">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884"/>
        <w:gridCol w:w="1054"/>
        <w:gridCol w:w="1054"/>
        <w:gridCol w:w="1056"/>
        <w:gridCol w:w="1054"/>
        <w:gridCol w:w="1054"/>
        <w:gridCol w:w="1056"/>
      </w:tblGrid>
      <w:tr>
        <w:tblPrEx>
          <w:tblW w:w="5000" w:type="pct"/>
          <w:tblCellMar>
            <w:left w:w="70" w:type="dxa"/>
            <w:right w:w="70" w:type="dxa"/>
          </w:tblCellMar>
          <w:tblLook w:val="04A0"/>
        </w:tblPrEx>
        <w:trPr>
          <w:trHeight w:val="270"/>
        </w:trPr>
        <w:tc>
          <w:tcPr>
            <w:tcW w:w="156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CB350B" w:rsidRPr="00A94288" w:rsidP="00257E12">
            <w:pPr>
              <w:bidi w:val="0"/>
              <w:rPr>
                <w:rFonts w:ascii="Times New Roman" w:hAnsi="Times New Roman" w:cs="Times New Roman"/>
                <w:sz w:val="14"/>
                <w:szCs w:val="14"/>
                <w:lang w:eastAsia="sk-SK"/>
              </w:rPr>
            </w:pPr>
          </w:p>
        </w:tc>
        <w:tc>
          <w:tcPr>
            <w:tcW w:w="572"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2009</w:t>
            </w:r>
          </w:p>
        </w:tc>
        <w:tc>
          <w:tcPr>
            <w:tcW w:w="572"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2010</w:t>
            </w:r>
          </w:p>
        </w:tc>
        <w:tc>
          <w:tcPr>
            <w:tcW w:w="573"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2011</w:t>
            </w:r>
          </w:p>
        </w:tc>
        <w:tc>
          <w:tcPr>
            <w:tcW w:w="572"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2012</w:t>
            </w:r>
          </w:p>
        </w:tc>
        <w:tc>
          <w:tcPr>
            <w:tcW w:w="572"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2013</w:t>
            </w:r>
          </w:p>
        </w:tc>
        <w:tc>
          <w:tcPr>
            <w:tcW w:w="573"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2014</w:t>
            </w:r>
          </w:p>
        </w:tc>
      </w:tr>
      <w:tr>
        <w:tblPrEx>
          <w:tblW w:w="5000" w:type="pct"/>
          <w:tblCellMar>
            <w:left w:w="70" w:type="dxa"/>
            <w:right w:w="70" w:type="dxa"/>
          </w:tblCellMar>
          <w:tblLook w:val="04A0"/>
        </w:tblPrEx>
        <w:trPr>
          <w:trHeight w:val="270"/>
        </w:trPr>
        <w:tc>
          <w:tcPr>
            <w:tcW w:w="1565"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Spolu študenti/19-29 roční v %*</w:t>
            </w:r>
          </w:p>
        </w:tc>
        <w:tc>
          <w:tcPr>
            <w:tcW w:w="57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18,29</w:t>
            </w:r>
          </w:p>
        </w:tc>
        <w:tc>
          <w:tcPr>
            <w:tcW w:w="57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17,62</w:t>
            </w:r>
          </w:p>
        </w:tc>
        <w:tc>
          <w:tcPr>
            <w:tcW w:w="573"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17,83</w:t>
            </w:r>
          </w:p>
        </w:tc>
        <w:tc>
          <w:tcPr>
            <w:tcW w:w="57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17,99</w:t>
            </w:r>
          </w:p>
        </w:tc>
        <w:tc>
          <w:tcPr>
            <w:tcW w:w="57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18,09</w:t>
            </w:r>
          </w:p>
        </w:tc>
        <w:tc>
          <w:tcPr>
            <w:tcW w:w="573"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18,08</w:t>
            </w:r>
          </w:p>
        </w:tc>
      </w:tr>
    </w:tbl>
    <w:p w:rsidR="00CB350B" w:rsidRPr="003D2851" w:rsidP="00CB350B">
      <w:pPr>
        <w:bidi w:val="0"/>
        <w:jc w:val="both"/>
        <w:rPr>
          <w:rFonts w:ascii="Times New Roman" w:hAnsi="Times New Roman" w:cs="Times New Roman"/>
          <w:sz w:val="14"/>
          <w:szCs w:val="14"/>
        </w:rPr>
      </w:pPr>
      <w:r w:rsidRPr="003D2851">
        <w:rPr>
          <w:rFonts w:ascii="Times New Roman" w:hAnsi="Times New Roman" w:cs="Times New Roman"/>
          <w:sz w:val="14"/>
          <w:szCs w:val="14"/>
        </w:rPr>
        <w:t>Zdroj: MŠVVŠ SR</w:t>
      </w:r>
    </w:p>
    <w:p w:rsidR="00CB350B" w:rsidRPr="003D2851" w:rsidP="00CB350B">
      <w:pPr>
        <w:bidi w:val="0"/>
        <w:jc w:val="both"/>
        <w:rPr>
          <w:rFonts w:ascii="Times New Roman" w:hAnsi="Times New Roman" w:cs="Times New Roman"/>
          <w:sz w:val="14"/>
          <w:szCs w:val="14"/>
        </w:rPr>
      </w:pPr>
      <w:r w:rsidRPr="003D2851">
        <w:rPr>
          <w:rFonts w:ascii="Times New Roman" w:hAnsi="Times New Roman" w:cs="Times New Roman"/>
          <w:sz w:val="14"/>
          <w:szCs w:val="14"/>
        </w:rPr>
        <w:t>*podiel študentov spolu na počte obyvateľov 19 – 29 ročných</w:t>
      </w:r>
    </w:p>
    <w:p w:rsidR="00CB350B" w:rsidRPr="00432A91" w:rsidP="00CB350B">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905"/>
        <w:gridCol w:w="901"/>
        <w:gridCol w:w="901"/>
        <w:gridCol w:w="901"/>
        <w:gridCol w:w="901"/>
        <w:gridCol w:w="901"/>
        <w:gridCol w:w="901"/>
        <w:gridCol w:w="901"/>
      </w:tblGrid>
      <w:tr>
        <w:tblPrEx>
          <w:tblW w:w="5000" w:type="pct"/>
          <w:tblCellMar>
            <w:left w:w="70" w:type="dxa"/>
            <w:right w:w="70" w:type="dxa"/>
          </w:tblCellMar>
          <w:tblLook w:val="04A0"/>
        </w:tblPrEx>
        <w:trPr>
          <w:trHeight w:val="255"/>
        </w:trPr>
        <w:tc>
          <w:tcPr>
            <w:tcW w:w="157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b/>
                <w:sz w:val="14"/>
                <w:szCs w:val="14"/>
                <w:lang w:eastAsia="sk-SK"/>
              </w:rPr>
              <w:t>v eurách</w:t>
            </w:r>
          </w:p>
        </w:tc>
        <w:tc>
          <w:tcPr>
            <w:tcW w:w="489"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2009 S</w:t>
            </w:r>
          </w:p>
        </w:tc>
        <w:tc>
          <w:tcPr>
            <w:tcW w:w="489"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2010 S</w:t>
            </w:r>
          </w:p>
        </w:tc>
        <w:tc>
          <w:tcPr>
            <w:tcW w:w="489"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2011 R</w:t>
            </w:r>
          </w:p>
        </w:tc>
        <w:tc>
          <w:tcPr>
            <w:tcW w:w="489"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2011 OS</w:t>
            </w:r>
          </w:p>
        </w:tc>
        <w:tc>
          <w:tcPr>
            <w:tcW w:w="489"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2012 N</w:t>
            </w:r>
          </w:p>
        </w:tc>
        <w:tc>
          <w:tcPr>
            <w:tcW w:w="489"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2013 N</w:t>
            </w:r>
          </w:p>
        </w:tc>
        <w:tc>
          <w:tcPr>
            <w:tcW w:w="489"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2014 N</w:t>
            </w:r>
          </w:p>
        </w:tc>
      </w:tr>
      <w:tr>
        <w:tblPrEx>
          <w:tblW w:w="5000" w:type="pct"/>
          <w:tblCellMar>
            <w:left w:w="70" w:type="dxa"/>
            <w:right w:w="70" w:type="dxa"/>
          </w:tblCellMar>
          <w:tblLook w:val="04A0"/>
        </w:tblPrEx>
        <w:trPr>
          <w:trHeight w:val="255"/>
        </w:trPr>
        <w:tc>
          <w:tcPr>
            <w:tcW w:w="1577"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Výdavky pre  VVŠ spolu cez MŠVVŠ SR</w:t>
            </w:r>
          </w:p>
        </w:tc>
        <w:tc>
          <w:tcPr>
            <w:tcW w:w="489" w:type="pct"/>
            <w:tcBorders>
              <w:top w:val="nil"/>
              <w:left w:val="nil"/>
              <w:bottom w:val="single" w:sz="4" w:space="0" w:color="auto"/>
              <w:right w:val="single" w:sz="4" w:space="0" w:color="auto"/>
            </w:tcBorders>
            <w:noWrap/>
            <w:textDirection w:val="lrTb"/>
            <w:vAlign w:val="bottom"/>
            <w:hideMark/>
          </w:tcPr>
          <w:p w:rsidR="00CB350B" w:rsidRPr="00367B58" w:rsidP="00257E12">
            <w:pPr>
              <w:bidi w:val="0"/>
              <w:jc w:val="right"/>
              <w:rPr>
                <w:rFonts w:ascii="Times New Roman" w:hAnsi="Times New Roman" w:cs="Times New Roman"/>
                <w:sz w:val="14"/>
                <w:szCs w:val="14"/>
                <w:lang w:eastAsia="sk-SK"/>
              </w:rPr>
            </w:pPr>
            <w:r w:rsidRPr="00367B58">
              <w:rPr>
                <w:rFonts w:ascii="Times New Roman" w:hAnsi="Times New Roman" w:cs="Times New Roman"/>
                <w:sz w:val="14"/>
                <w:szCs w:val="14"/>
                <w:lang w:eastAsia="sk-SK"/>
              </w:rPr>
              <w:t>461 051 114</w:t>
            </w:r>
          </w:p>
        </w:tc>
        <w:tc>
          <w:tcPr>
            <w:tcW w:w="48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center"/>
              <w:rPr>
                <w:rFonts w:ascii="Times New Roman" w:hAnsi="Times New Roman" w:cs="Times New Roman"/>
                <w:sz w:val="14"/>
                <w:szCs w:val="14"/>
                <w:lang w:eastAsia="sk-SK"/>
              </w:rPr>
            </w:pPr>
            <w:r w:rsidRPr="00A94288">
              <w:rPr>
                <w:rFonts w:ascii="Times New Roman" w:hAnsi="Times New Roman" w:cs="Times New Roman"/>
                <w:sz w:val="14"/>
                <w:szCs w:val="14"/>
                <w:lang w:eastAsia="sk-SK"/>
              </w:rPr>
              <w:t>459 347 732</w:t>
            </w:r>
          </w:p>
        </w:tc>
        <w:tc>
          <w:tcPr>
            <w:tcW w:w="48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435 786 522</w:t>
            </w:r>
          </w:p>
        </w:tc>
        <w:tc>
          <w:tcPr>
            <w:tcW w:w="48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437 503 402</w:t>
            </w:r>
          </w:p>
        </w:tc>
        <w:tc>
          <w:tcPr>
            <w:tcW w:w="489" w:type="pct"/>
            <w:tcBorders>
              <w:top w:val="nil"/>
              <w:left w:val="nil"/>
              <w:bottom w:val="single" w:sz="4" w:space="0" w:color="auto"/>
              <w:right w:val="single" w:sz="4" w:space="0" w:color="auto"/>
            </w:tcBorders>
            <w:noWrap/>
            <w:textDirection w:val="lrTb"/>
            <w:vAlign w:val="bottom"/>
            <w:hideMark/>
          </w:tcPr>
          <w:p w:rsidR="00CB350B" w:rsidRPr="00F62CFA" w:rsidP="00257E12">
            <w:pPr>
              <w:bidi w:val="0"/>
              <w:jc w:val="right"/>
              <w:rPr>
                <w:rFonts w:ascii="Times New Roman" w:hAnsi="Times New Roman" w:cs="Times New Roman"/>
                <w:sz w:val="14"/>
                <w:szCs w:val="14"/>
              </w:rPr>
            </w:pPr>
            <w:r w:rsidRPr="00F62CFA">
              <w:rPr>
                <w:rFonts w:ascii="Times New Roman" w:hAnsi="Times New Roman" w:cs="Times New Roman"/>
                <w:sz w:val="14"/>
                <w:szCs w:val="14"/>
              </w:rPr>
              <w:t>450 655 547</w:t>
            </w:r>
          </w:p>
        </w:tc>
        <w:tc>
          <w:tcPr>
            <w:tcW w:w="489" w:type="pct"/>
            <w:tcBorders>
              <w:top w:val="nil"/>
              <w:left w:val="nil"/>
              <w:bottom w:val="single" w:sz="4" w:space="0" w:color="auto"/>
              <w:right w:val="single" w:sz="4" w:space="0" w:color="auto"/>
            </w:tcBorders>
            <w:noWrap/>
            <w:textDirection w:val="lrTb"/>
            <w:vAlign w:val="bottom"/>
            <w:hideMark/>
          </w:tcPr>
          <w:p w:rsidR="00CB350B" w:rsidRPr="00F62CFA" w:rsidP="00257E12">
            <w:pPr>
              <w:bidi w:val="0"/>
              <w:jc w:val="right"/>
              <w:rPr>
                <w:rFonts w:ascii="Times New Roman" w:hAnsi="Times New Roman" w:cs="Times New Roman"/>
                <w:sz w:val="14"/>
                <w:szCs w:val="14"/>
              </w:rPr>
            </w:pPr>
            <w:r w:rsidRPr="00F62CFA">
              <w:rPr>
                <w:rFonts w:ascii="Times New Roman" w:hAnsi="Times New Roman" w:cs="Times New Roman"/>
                <w:sz w:val="14"/>
                <w:szCs w:val="14"/>
              </w:rPr>
              <w:t>454 612 035</w:t>
            </w:r>
          </w:p>
        </w:tc>
        <w:tc>
          <w:tcPr>
            <w:tcW w:w="489" w:type="pct"/>
            <w:tcBorders>
              <w:top w:val="nil"/>
              <w:left w:val="nil"/>
              <w:bottom w:val="single" w:sz="4" w:space="0" w:color="auto"/>
              <w:right w:val="single" w:sz="4" w:space="0" w:color="auto"/>
            </w:tcBorders>
            <w:noWrap/>
            <w:textDirection w:val="lrTb"/>
            <w:vAlign w:val="bottom"/>
            <w:hideMark/>
          </w:tcPr>
          <w:p w:rsidR="00CB350B" w:rsidRPr="00F62CFA" w:rsidP="00257E12">
            <w:pPr>
              <w:bidi w:val="0"/>
              <w:jc w:val="right"/>
              <w:rPr>
                <w:rFonts w:ascii="Times New Roman" w:hAnsi="Times New Roman" w:cs="Times New Roman"/>
                <w:sz w:val="14"/>
                <w:szCs w:val="14"/>
              </w:rPr>
            </w:pPr>
            <w:r w:rsidRPr="00F62CFA">
              <w:rPr>
                <w:rFonts w:ascii="Times New Roman" w:hAnsi="Times New Roman" w:cs="Times New Roman"/>
                <w:sz w:val="14"/>
                <w:szCs w:val="14"/>
              </w:rPr>
              <w:t>456 265 119</w:t>
            </w:r>
          </w:p>
        </w:tc>
      </w:tr>
      <w:tr>
        <w:tblPrEx>
          <w:tblW w:w="5000" w:type="pct"/>
          <w:tblCellMar>
            <w:left w:w="70" w:type="dxa"/>
            <w:right w:w="70" w:type="dxa"/>
          </w:tblCellMar>
          <w:tblLook w:val="04A0"/>
        </w:tblPrEx>
        <w:trPr>
          <w:trHeight w:val="255"/>
        </w:trPr>
        <w:tc>
          <w:tcPr>
            <w:tcW w:w="1577"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Rezortné vysokoškolské vzdelávanie</w:t>
            </w:r>
          </w:p>
        </w:tc>
        <w:tc>
          <w:tcPr>
            <w:tcW w:w="489" w:type="pct"/>
            <w:tcBorders>
              <w:top w:val="nil"/>
              <w:left w:val="nil"/>
              <w:bottom w:val="single" w:sz="4" w:space="0" w:color="auto"/>
              <w:right w:val="single" w:sz="4" w:space="0" w:color="auto"/>
            </w:tcBorders>
            <w:noWrap/>
            <w:textDirection w:val="lrTb"/>
            <w:vAlign w:val="bottom"/>
            <w:hideMark/>
          </w:tcPr>
          <w:p w:rsidR="00CB350B" w:rsidRPr="00367B58" w:rsidP="00257E12">
            <w:pPr>
              <w:bidi w:val="0"/>
              <w:jc w:val="right"/>
              <w:rPr>
                <w:rFonts w:ascii="Times New Roman" w:hAnsi="Times New Roman" w:cs="Times New Roman"/>
                <w:sz w:val="14"/>
                <w:szCs w:val="14"/>
                <w:lang w:eastAsia="sk-SK"/>
              </w:rPr>
            </w:pPr>
            <w:r w:rsidRPr="00367B58">
              <w:rPr>
                <w:rFonts w:ascii="Times New Roman" w:hAnsi="Times New Roman" w:cs="Times New Roman"/>
                <w:sz w:val="14"/>
                <w:szCs w:val="14"/>
                <w:lang w:eastAsia="sk-SK"/>
              </w:rPr>
              <w:t>25 473 974</w:t>
            </w:r>
          </w:p>
        </w:tc>
        <w:tc>
          <w:tcPr>
            <w:tcW w:w="489" w:type="pct"/>
            <w:tcBorders>
              <w:top w:val="nil"/>
              <w:left w:val="nil"/>
              <w:bottom w:val="single" w:sz="4" w:space="0" w:color="auto"/>
              <w:right w:val="single" w:sz="4" w:space="0" w:color="auto"/>
            </w:tcBorders>
            <w:noWrap/>
            <w:textDirection w:val="lrTb"/>
            <w:vAlign w:val="bottom"/>
            <w:hideMark/>
          </w:tcPr>
          <w:p w:rsidR="00CB350B" w:rsidRPr="00FC6257" w:rsidP="00257E12">
            <w:pPr>
              <w:bidi w:val="0"/>
              <w:jc w:val="right"/>
              <w:rPr>
                <w:rFonts w:ascii="Times New Roman" w:hAnsi="Times New Roman" w:cs="Times New Roman"/>
                <w:sz w:val="14"/>
                <w:szCs w:val="14"/>
                <w:lang w:eastAsia="sk-SK"/>
              </w:rPr>
            </w:pPr>
            <w:r w:rsidRPr="00FC6257">
              <w:rPr>
                <w:rFonts w:ascii="Times New Roman" w:hAnsi="Times New Roman" w:cs="Times New Roman"/>
                <w:sz w:val="14"/>
                <w:szCs w:val="14"/>
                <w:lang w:eastAsia="sk-SK"/>
              </w:rPr>
              <w:t>26 196 886</w:t>
            </w:r>
          </w:p>
        </w:tc>
        <w:tc>
          <w:tcPr>
            <w:tcW w:w="48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20 424 454</w:t>
            </w:r>
          </w:p>
        </w:tc>
        <w:tc>
          <w:tcPr>
            <w:tcW w:w="48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19 697 218</w:t>
            </w:r>
          </w:p>
        </w:tc>
        <w:tc>
          <w:tcPr>
            <w:tcW w:w="489" w:type="pct"/>
            <w:tcBorders>
              <w:top w:val="nil"/>
              <w:left w:val="nil"/>
              <w:bottom w:val="single" w:sz="4" w:space="0" w:color="auto"/>
              <w:right w:val="single" w:sz="4" w:space="0" w:color="auto"/>
            </w:tcBorders>
            <w:noWrap/>
            <w:textDirection w:val="lrTb"/>
            <w:vAlign w:val="bottom"/>
            <w:hideMark/>
          </w:tcPr>
          <w:p w:rsidR="00CB350B" w:rsidRPr="00F62CFA" w:rsidP="00257E12">
            <w:pPr>
              <w:bidi w:val="0"/>
              <w:jc w:val="right"/>
              <w:rPr>
                <w:rFonts w:ascii="Times New Roman" w:hAnsi="Times New Roman" w:cs="Times New Roman"/>
                <w:sz w:val="14"/>
                <w:szCs w:val="14"/>
              </w:rPr>
            </w:pPr>
            <w:r w:rsidRPr="00F62CFA">
              <w:rPr>
                <w:rFonts w:ascii="Times New Roman" w:hAnsi="Times New Roman" w:cs="Times New Roman"/>
                <w:sz w:val="14"/>
                <w:szCs w:val="14"/>
              </w:rPr>
              <w:t>21 280 278</w:t>
            </w:r>
          </w:p>
        </w:tc>
        <w:tc>
          <w:tcPr>
            <w:tcW w:w="489" w:type="pct"/>
            <w:tcBorders>
              <w:top w:val="nil"/>
              <w:left w:val="nil"/>
              <w:bottom w:val="single" w:sz="4" w:space="0" w:color="auto"/>
              <w:right w:val="single" w:sz="4" w:space="0" w:color="auto"/>
            </w:tcBorders>
            <w:noWrap/>
            <w:textDirection w:val="lrTb"/>
            <w:vAlign w:val="bottom"/>
            <w:hideMark/>
          </w:tcPr>
          <w:p w:rsidR="00CB350B" w:rsidRPr="00F62CFA" w:rsidP="00257E12">
            <w:pPr>
              <w:bidi w:val="0"/>
              <w:jc w:val="right"/>
              <w:rPr>
                <w:rFonts w:ascii="Times New Roman" w:hAnsi="Times New Roman" w:cs="Times New Roman"/>
                <w:sz w:val="14"/>
                <w:szCs w:val="14"/>
              </w:rPr>
            </w:pPr>
            <w:r w:rsidRPr="00F62CFA">
              <w:rPr>
                <w:rFonts w:ascii="Times New Roman" w:hAnsi="Times New Roman" w:cs="Times New Roman"/>
                <w:sz w:val="14"/>
                <w:szCs w:val="14"/>
              </w:rPr>
              <w:t>23 882 942</w:t>
            </w:r>
          </w:p>
        </w:tc>
        <w:tc>
          <w:tcPr>
            <w:tcW w:w="489" w:type="pct"/>
            <w:tcBorders>
              <w:top w:val="nil"/>
              <w:left w:val="nil"/>
              <w:bottom w:val="single" w:sz="4" w:space="0" w:color="auto"/>
              <w:right w:val="single" w:sz="4" w:space="0" w:color="auto"/>
            </w:tcBorders>
            <w:noWrap/>
            <w:textDirection w:val="lrTb"/>
            <w:vAlign w:val="bottom"/>
            <w:hideMark/>
          </w:tcPr>
          <w:p w:rsidR="00CB350B" w:rsidRPr="00F62CFA" w:rsidP="00257E12">
            <w:pPr>
              <w:bidi w:val="0"/>
              <w:jc w:val="right"/>
              <w:rPr>
                <w:rFonts w:ascii="Times New Roman" w:hAnsi="Times New Roman" w:cs="Times New Roman"/>
                <w:sz w:val="14"/>
                <w:szCs w:val="14"/>
              </w:rPr>
            </w:pPr>
            <w:r w:rsidRPr="00F62CFA">
              <w:rPr>
                <w:rFonts w:ascii="Times New Roman" w:hAnsi="Times New Roman" w:cs="Times New Roman"/>
                <w:sz w:val="14"/>
                <w:szCs w:val="14"/>
              </w:rPr>
              <w:t>23 784 923</w:t>
            </w:r>
          </w:p>
        </w:tc>
      </w:tr>
      <w:tr>
        <w:tblPrEx>
          <w:tblW w:w="5000" w:type="pct"/>
          <w:tblCellMar>
            <w:left w:w="70" w:type="dxa"/>
            <w:right w:w="70" w:type="dxa"/>
          </w:tblCellMar>
          <w:tblLook w:val="04A0"/>
        </w:tblPrEx>
        <w:trPr>
          <w:trHeight w:val="255"/>
        </w:trPr>
        <w:tc>
          <w:tcPr>
            <w:tcW w:w="1577"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 xml:space="preserve">Výdavky štátneho rozpočtu spolu </w:t>
            </w:r>
          </w:p>
        </w:tc>
        <w:tc>
          <w:tcPr>
            <w:tcW w:w="48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367B58" w:rsidP="00257E12">
            <w:pPr>
              <w:bidi w:val="0"/>
              <w:jc w:val="right"/>
              <w:rPr>
                <w:rFonts w:ascii="Times New Roman" w:hAnsi="Times New Roman" w:cs="Times New Roman"/>
                <w:sz w:val="14"/>
                <w:szCs w:val="14"/>
                <w:lang w:eastAsia="sk-SK"/>
              </w:rPr>
            </w:pPr>
            <w:r w:rsidRPr="00367B58">
              <w:rPr>
                <w:rFonts w:ascii="Times New Roman" w:hAnsi="Times New Roman" w:cs="Times New Roman"/>
                <w:sz w:val="14"/>
                <w:szCs w:val="14"/>
                <w:lang w:eastAsia="sk-SK"/>
              </w:rPr>
              <w:t>486 525 088</w:t>
            </w:r>
          </w:p>
        </w:tc>
        <w:tc>
          <w:tcPr>
            <w:tcW w:w="48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FC6257" w:rsidP="00257E12">
            <w:pPr>
              <w:bidi w:val="0"/>
              <w:jc w:val="right"/>
              <w:rPr>
                <w:rFonts w:ascii="Times New Roman" w:hAnsi="Times New Roman" w:cs="Times New Roman"/>
                <w:sz w:val="14"/>
                <w:szCs w:val="14"/>
                <w:lang w:eastAsia="sk-SK"/>
              </w:rPr>
            </w:pPr>
            <w:r w:rsidRPr="00FC6257">
              <w:rPr>
                <w:rFonts w:ascii="Times New Roman" w:hAnsi="Times New Roman" w:cs="Times New Roman"/>
                <w:sz w:val="14"/>
                <w:szCs w:val="14"/>
                <w:lang w:eastAsia="sk-SK"/>
              </w:rPr>
              <w:t>485 544 618</w:t>
            </w:r>
          </w:p>
        </w:tc>
        <w:tc>
          <w:tcPr>
            <w:tcW w:w="48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456 210 976</w:t>
            </w:r>
          </w:p>
        </w:tc>
        <w:tc>
          <w:tcPr>
            <w:tcW w:w="48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457 200 620</w:t>
            </w:r>
          </w:p>
        </w:tc>
        <w:tc>
          <w:tcPr>
            <w:tcW w:w="48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F62CFA" w:rsidP="00257E12">
            <w:pPr>
              <w:bidi w:val="0"/>
              <w:jc w:val="right"/>
              <w:rPr>
                <w:rFonts w:ascii="Times New Roman" w:hAnsi="Times New Roman" w:cs="Times New Roman"/>
                <w:sz w:val="14"/>
                <w:szCs w:val="14"/>
              </w:rPr>
            </w:pPr>
            <w:r w:rsidRPr="00F62CFA">
              <w:rPr>
                <w:rFonts w:ascii="Times New Roman" w:hAnsi="Times New Roman" w:cs="Times New Roman"/>
                <w:sz w:val="14"/>
                <w:szCs w:val="14"/>
              </w:rPr>
              <w:t>471 935 825</w:t>
            </w:r>
          </w:p>
        </w:tc>
        <w:tc>
          <w:tcPr>
            <w:tcW w:w="48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F62CFA" w:rsidP="00257E12">
            <w:pPr>
              <w:bidi w:val="0"/>
              <w:jc w:val="right"/>
              <w:rPr>
                <w:rFonts w:ascii="Times New Roman" w:hAnsi="Times New Roman" w:cs="Times New Roman"/>
                <w:sz w:val="14"/>
                <w:szCs w:val="14"/>
              </w:rPr>
            </w:pPr>
            <w:r w:rsidRPr="00F62CFA">
              <w:rPr>
                <w:rFonts w:ascii="Times New Roman" w:hAnsi="Times New Roman" w:cs="Times New Roman"/>
                <w:sz w:val="14"/>
                <w:szCs w:val="14"/>
              </w:rPr>
              <w:t>478 494 977</w:t>
            </w:r>
          </w:p>
        </w:tc>
        <w:tc>
          <w:tcPr>
            <w:tcW w:w="48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F62CFA" w:rsidP="00257E12">
            <w:pPr>
              <w:bidi w:val="0"/>
              <w:jc w:val="right"/>
              <w:rPr>
                <w:rFonts w:ascii="Times New Roman" w:hAnsi="Times New Roman" w:cs="Times New Roman"/>
                <w:sz w:val="14"/>
                <w:szCs w:val="14"/>
              </w:rPr>
            </w:pPr>
            <w:r w:rsidRPr="00F62CFA">
              <w:rPr>
                <w:rFonts w:ascii="Times New Roman" w:hAnsi="Times New Roman" w:cs="Times New Roman"/>
                <w:sz w:val="14"/>
                <w:szCs w:val="14"/>
              </w:rPr>
              <w:t>480 050 042</w:t>
            </w:r>
          </w:p>
        </w:tc>
      </w:tr>
      <w:tr>
        <w:tblPrEx>
          <w:tblW w:w="5000" w:type="pct"/>
          <w:tblCellMar>
            <w:left w:w="70" w:type="dxa"/>
            <w:right w:w="70" w:type="dxa"/>
          </w:tblCellMar>
          <w:tblLook w:val="04A0"/>
        </w:tblPrEx>
        <w:trPr>
          <w:trHeight w:val="255"/>
        </w:trPr>
        <w:tc>
          <w:tcPr>
            <w:tcW w:w="1577"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Počet študentov (denní a externí) spolu</w:t>
            </w:r>
          </w:p>
        </w:tc>
        <w:tc>
          <w:tcPr>
            <w:tcW w:w="489" w:type="pct"/>
            <w:tcBorders>
              <w:top w:val="nil"/>
              <w:left w:val="nil"/>
              <w:bottom w:val="single" w:sz="4" w:space="0" w:color="auto"/>
              <w:right w:val="single" w:sz="4" w:space="0" w:color="auto"/>
            </w:tcBorders>
            <w:noWrap/>
            <w:textDirection w:val="lrTb"/>
            <w:vAlign w:val="bottom"/>
            <w:hideMark/>
          </w:tcPr>
          <w:p w:rsidR="00CB350B" w:rsidRPr="00367B58" w:rsidP="00257E12">
            <w:pPr>
              <w:bidi w:val="0"/>
              <w:jc w:val="right"/>
              <w:rPr>
                <w:rFonts w:ascii="Times New Roman" w:hAnsi="Times New Roman" w:cs="Times New Roman"/>
                <w:sz w:val="14"/>
                <w:szCs w:val="14"/>
                <w:lang w:eastAsia="sk-SK"/>
              </w:rPr>
            </w:pPr>
            <w:r w:rsidRPr="00367B58">
              <w:rPr>
                <w:rFonts w:ascii="Times New Roman" w:hAnsi="Times New Roman" w:cs="Times New Roman"/>
                <w:sz w:val="14"/>
                <w:szCs w:val="14"/>
                <w:lang w:eastAsia="sk-SK"/>
              </w:rPr>
              <w:t>174 107</w:t>
            </w:r>
          </w:p>
        </w:tc>
        <w:tc>
          <w:tcPr>
            <w:tcW w:w="489" w:type="pct"/>
            <w:tcBorders>
              <w:top w:val="nil"/>
              <w:left w:val="nil"/>
              <w:bottom w:val="single" w:sz="4" w:space="0" w:color="auto"/>
              <w:right w:val="single" w:sz="4" w:space="0" w:color="auto"/>
            </w:tcBorders>
            <w:noWrap/>
            <w:textDirection w:val="lrTb"/>
            <w:vAlign w:val="bottom"/>
            <w:hideMark/>
          </w:tcPr>
          <w:p w:rsidR="00CB350B" w:rsidRPr="00FC6257" w:rsidP="00257E12">
            <w:pPr>
              <w:bidi w:val="0"/>
              <w:jc w:val="right"/>
              <w:rPr>
                <w:rFonts w:ascii="Times New Roman" w:hAnsi="Times New Roman" w:cs="Times New Roman"/>
                <w:sz w:val="14"/>
                <w:szCs w:val="14"/>
                <w:lang w:eastAsia="sk-SK"/>
              </w:rPr>
            </w:pPr>
            <w:r w:rsidRPr="00FC6257">
              <w:rPr>
                <w:rFonts w:ascii="Times New Roman" w:hAnsi="Times New Roman" w:cs="Times New Roman"/>
                <w:sz w:val="14"/>
                <w:szCs w:val="14"/>
                <w:lang w:eastAsia="sk-SK"/>
              </w:rPr>
              <w:t>165 160</w:t>
            </w:r>
          </w:p>
        </w:tc>
        <w:tc>
          <w:tcPr>
            <w:tcW w:w="48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161 552</w:t>
            </w:r>
          </w:p>
        </w:tc>
        <w:tc>
          <w:tcPr>
            <w:tcW w:w="48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161 552</w:t>
            </w:r>
          </w:p>
        </w:tc>
        <w:tc>
          <w:tcPr>
            <w:tcW w:w="489" w:type="pct"/>
            <w:tcBorders>
              <w:top w:val="nil"/>
              <w:left w:val="nil"/>
              <w:bottom w:val="single" w:sz="4" w:space="0" w:color="auto"/>
              <w:right w:val="single" w:sz="4" w:space="0" w:color="auto"/>
            </w:tcBorders>
            <w:noWrap/>
            <w:textDirection w:val="lrTb"/>
            <w:vAlign w:val="bottom"/>
            <w:hideMark/>
          </w:tcPr>
          <w:p w:rsidR="00CB350B" w:rsidRPr="00F62CFA" w:rsidP="00257E12">
            <w:pPr>
              <w:bidi w:val="0"/>
              <w:jc w:val="right"/>
              <w:rPr>
                <w:rFonts w:ascii="Times New Roman" w:hAnsi="Times New Roman" w:cs="Times New Roman"/>
                <w:sz w:val="14"/>
                <w:szCs w:val="14"/>
              </w:rPr>
            </w:pPr>
            <w:r w:rsidRPr="00F62CFA">
              <w:rPr>
                <w:rFonts w:ascii="Times New Roman" w:hAnsi="Times New Roman" w:cs="Times New Roman"/>
                <w:sz w:val="14"/>
                <w:szCs w:val="14"/>
              </w:rPr>
              <w:t>159 678</w:t>
            </w:r>
          </w:p>
        </w:tc>
        <w:tc>
          <w:tcPr>
            <w:tcW w:w="489" w:type="pct"/>
            <w:tcBorders>
              <w:top w:val="nil"/>
              <w:left w:val="nil"/>
              <w:bottom w:val="single" w:sz="4" w:space="0" w:color="auto"/>
              <w:right w:val="single" w:sz="4" w:space="0" w:color="auto"/>
            </w:tcBorders>
            <w:noWrap/>
            <w:textDirection w:val="lrTb"/>
            <w:vAlign w:val="bottom"/>
            <w:hideMark/>
          </w:tcPr>
          <w:p w:rsidR="00CB350B" w:rsidRPr="00F62CFA" w:rsidP="00257E12">
            <w:pPr>
              <w:bidi w:val="0"/>
              <w:jc w:val="right"/>
              <w:rPr>
                <w:rFonts w:ascii="Times New Roman" w:hAnsi="Times New Roman" w:cs="Times New Roman"/>
                <w:sz w:val="14"/>
                <w:szCs w:val="14"/>
              </w:rPr>
            </w:pPr>
            <w:r w:rsidRPr="00F62CFA">
              <w:rPr>
                <w:rFonts w:ascii="Times New Roman" w:hAnsi="Times New Roman" w:cs="Times New Roman"/>
                <w:sz w:val="14"/>
                <w:szCs w:val="14"/>
              </w:rPr>
              <w:t>156 365</w:t>
            </w:r>
          </w:p>
        </w:tc>
        <w:tc>
          <w:tcPr>
            <w:tcW w:w="489" w:type="pct"/>
            <w:tcBorders>
              <w:top w:val="nil"/>
              <w:left w:val="nil"/>
              <w:bottom w:val="single" w:sz="4" w:space="0" w:color="auto"/>
              <w:right w:val="single" w:sz="4" w:space="0" w:color="auto"/>
            </w:tcBorders>
            <w:noWrap/>
            <w:textDirection w:val="lrTb"/>
            <w:vAlign w:val="bottom"/>
            <w:hideMark/>
          </w:tcPr>
          <w:p w:rsidR="00CB350B" w:rsidRPr="00F62CFA" w:rsidP="00257E12">
            <w:pPr>
              <w:bidi w:val="0"/>
              <w:jc w:val="right"/>
              <w:rPr>
                <w:rFonts w:ascii="Times New Roman" w:hAnsi="Times New Roman" w:cs="Times New Roman"/>
                <w:sz w:val="14"/>
                <w:szCs w:val="14"/>
              </w:rPr>
            </w:pPr>
            <w:r w:rsidRPr="00F62CFA">
              <w:rPr>
                <w:rFonts w:ascii="Times New Roman" w:hAnsi="Times New Roman" w:cs="Times New Roman"/>
                <w:sz w:val="14"/>
                <w:szCs w:val="14"/>
              </w:rPr>
              <w:t>151 263</w:t>
            </w:r>
          </w:p>
        </w:tc>
      </w:tr>
      <w:tr>
        <w:tblPrEx>
          <w:tblW w:w="5000" w:type="pct"/>
          <w:tblCellMar>
            <w:left w:w="70" w:type="dxa"/>
            <w:right w:w="70" w:type="dxa"/>
          </w:tblCellMar>
          <w:tblLook w:val="04A0"/>
        </w:tblPrEx>
        <w:trPr>
          <w:trHeight w:val="255"/>
        </w:trPr>
        <w:tc>
          <w:tcPr>
            <w:tcW w:w="1577"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Výdavky na 1 študenta vysokej školy v eurách</w:t>
            </w:r>
          </w:p>
        </w:tc>
        <w:tc>
          <w:tcPr>
            <w:tcW w:w="48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367B58" w:rsidP="00257E12">
            <w:pPr>
              <w:bidi w:val="0"/>
              <w:jc w:val="right"/>
              <w:rPr>
                <w:rFonts w:ascii="Times New Roman" w:hAnsi="Times New Roman" w:cs="Times New Roman"/>
                <w:sz w:val="14"/>
                <w:szCs w:val="14"/>
                <w:lang w:eastAsia="sk-SK"/>
              </w:rPr>
            </w:pPr>
            <w:r w:rsidRPr="00367B58">
              <w:rPr>
                <w:rFonts w:ascii="Times New Roman" w:hAnsi="Times New Roman" w:cs="Times New Roman"/>
                <w:sz w:val="14"/>
                <w:szCs w:val="14"/>
                <w:lang w:eastAsia="sk-SK"/>
              </w:rPr>
              <w:t>2 794</w:t>
            </w:r>
          </w:p>
        </w:tc>
        <w:tc>
          <w:tcPr>
            <w:tcW w:w="48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FC6257" w:rsidP="00257E12">
            <w:pPr>
              <w:bidi w:val="0"/>
              <w:jc w:val="right"/>
              <w:rPr>
                <w:rFonts w:ascii="Times New Roman" w:hAnsi="Times New Roman" w:cs="Times New Roman"/>
                <w:sz w:val="14"/>
                <w:szCs w:val="14"/>
                <w:lang w:eastAsia="sk-SK"/>
              </w:rPr>
            </w:pPr>
            <w:r w:rsidRPr="00FC6257">
              <w:rPr>
                <w:rFonts w:ascii="Times New Roman" w:hAnsi="Times New Roman" w:cs="Times New Roman"/>
                <w:sz w:val="14"/>
                <w:szCs w:val="14"/>
                <w:lang w:eastAsia="sk-SK"/>
              </w:rPr>
              <w:t>2 940</w:t>
            </w:r>
          </w:p>
        </w:tc>
        <w:tc>
          <w:tcPr>
            <w:tcW w:w="48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2 824</w:t>
            </w:r>
          </w:p>
        </w:tc>
        <w:tc>
          <w:tcPr>
            <w:tcW w:w="48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2 830</w:t>
            </w:r>
          </w:p>
        </w:tc>
        <w:tc>
          <w:tcPr>
            <w:tcW w:w="48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F62CFA" w:rsidP="00257E12">
            <w:pPr>
              <w:bidi w:val="0"/>
              <w:jc w:val="right"/>
              <w:rPr>
                <w:rFonts w:ascii="Times New Roman" w:hAnsi="Times New Roman" w:cs="Times New Roman"/>
                <w:sz w:val="14"/>
                <w:szCs w:val="14"/>
              </w:rPr>
            </w:pPr>
            <w:r w:rsidRPr="00F62CFA">
              <w:rPr>
                <w:rFonts w:ascii="Times New Roman" w:hAnsi="Times New Roman" w:cs="Times New Roman"/>
                <w:sz w:val="14"/>
                <w:szCs w:val="14"/>
              </w:rPr>
              <w:t>2 956</w:t>
            </w:r>
          </w:p>
        </w:tc>
        <w:tc>
          <w:tcPr>
            <w:tcW w:w="48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F62CFA" w:rsidP="00257E12">
            <w:pPr>
              <w:bidi w:val="0"/>
              <w:jc w:val="right"/>
              <w:rPr>
                <w:rFonts w:ascii="Times New Roman" w:hAnsi="Times New Roman" w:cs="Times New Roman"/>
                <w:sz w:val="14"/>
                <w:szCs w:val="14"/>
              </w:rPr>
            </w:pPr>
            <w:r w:rsidRPr="00F62CFA">
              <w:rPr>
                <w:rFonts w:ascii="Times New Roman" w:hAnsi="Times New Roman" w:cs="Times New Roman"/>
                <w:sz w:val="14"/>
                <w:szCs w:val="14"/>
              </w:rPr>
              <w:t>3 060</w:t>
            </w:r>
          </w:p>
        </w:tc>
        <w:tc>
          <w:tcPr>
            <w:tcW w:w="489" w:type="pct"/>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CB350B" w:rsidRPr="00F62CFA" w:rsidP="00257E12">
            <w:pPr>
              <w:bidi w:val="0"/>
              <w:jc w:val="right"/>
              <w:rPr>
                <w:rFonts w:ascii="Times New Roman" w:hAnsi="Times New Roman" w:cs="Times New Roman"/>
                <w:sz w:val="14"/>
                <w:szCs w:val="14"/>
              </w:rPr>
            </w:pPr>
            <w:r w:rsidRPr="00F62CFA">
              <w:rPr>
                <w:rFonts w:ascii="Times New Roman" w:hAnsi="Times New Roman" w:cs="Times New Roman"/>
                <w:sz w:val="14"/>
                <w:szCs w:val="14"/>
              </w:rPr>
              <w:t>3 174</w:t>
            </w:r>
          </w:p>
        </w:tc>
      </w:tr>
      <w:tr>
        <w:tblPrEx>
          <w:tblW w:w="5000" w:type="pct"/>
          <w:tblCellMar>
            <w:left w:w="70" w:type="dxa"/>
            <w:right w:w="70" w:type="dxa"/>
          </w:tblCellMar>
          <w:tblLook w:val="04A0"/>
        </w:tblPrEx>
        <w:trPr>
          <w:trHeight w:val="255"/>
        </w:trPr>
        <w:tc>
          <w:tcPr>
            <w:tcW w:w="1577"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medziročná zmena v %</w:t>
            </w:r>
          </w:p>
        </w:tc>
        <w:tc>
          <w:tcPr>
            <w:tcW w:w="489" w:type="pct"/>
            <w:tcBorders>
              <w:top w:val="nil"/>
              <w:left w:val="nil"/>
              <w:bottom w:val="single" w:sz="4" w:space="0" w:color="auto"/>
              <w:right w:val="single" w:sz="4" w:space="0" w:color="auto"/>
            </w:tcBorders>
            <w:noWrap/>
            <w:textDirection w:val="lrTb"/>
            <w:vAlign w:val="bottom"/>
            <w:hideMark/>
          </w:tcPr>
          <w:p w:rsidR="00CB350B" w:rsidP="00257E12">
            <w:pPr>
              <w:bidi w:val="0"/>
              <w:rPr>
                <w:rFonts w:ascii="Arial" w:hAnsi="Arial" w:cs="Arial"/>
                <w:sz w:val="16"/>
                <w:szCs w:val="16"/>
              </w:rPr>
            </w:pPr>
            <w:r>
              <w:rPr>
                <w:rFonts w:ascii="Arial" w:hAnsi="Arial" w:cs="Arial"/>
                <w:sz w:val="16"/>
                <w:szCs w:val="16"/>
              </w:rPr>
              <w:t> </w:t>
            </w:r>
          </w:p>
        </w:tc>
        <w:tc>
          <w:tcPr>
            <w:tcW w:w="489" w:type="pct"/>
            <w:tcBorders>
              <w:top w:val="nil"/>
              <w:left w:val="nil"/>
              <w:bottom w:val="single" w:sz="4" w:space="0" w:color="auto"/>
              <w:right w:val="single" w:sz="4" w:space="0" w:color="auto"/>
            </w:tcBorders>
            <w:noWrap/>
            <w:textDirection w:val="lrTb"/>
            <w:vAlign w:val="bottom"/>
            <w:hideMark/>
          </w:tcPr>
          <w:p w:rsidR="00CB350B" w:rsidRPr="00FC6257" w:rsidP="00257E12">
            <w:pPr>
              <w:bidi w:val="0"/>
              <w:jc w:val="right"/>
              <w:rPr>
                <w:rFonts w:ascii="Times New Roman" w:hAnsi="Times New Roman" w:cs="Times New Roman"/>
                <w:sz w:val="14"/>
                <w:szCs w:val="14"/>
                <w:lang w:eastAsia="sk-SK"/>
              </w:rPr>
            </w:pPr>
            <w:r w:rsidRPr="00FC6257">
              <w:rPr>
                <w:rFonts w:ascii="Times New Roman" w:hAnsi="Times New Roman" w:cs="Times New Roman"/>
                <w:sz w:val="14"/>
                <w:szCs w:val="14"/>
                <w:lang w:eastAsia="sk-SK"/>
              </w:rPr>
              <w:t>5,20%</w:t>
            </w:r>
          </w:p>
        </w:tc>
        <w:tc>
          <w:tcPr>
            <w:tcW w:w="48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-3,94%</w:t>
            </w:r>
          </w:p>
        </w:tc>
        <w:tc>
          <w:tcPr>
            <w:tcW w:w="48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-3,30%</w:t>
            </w:r>
          </w:p>
        </w:tc>
        <w:tc>
          <w:tcPr>
            <w:tcW w:w="489" w:type="pct"/>
            <w:tcBorders>
              <w:top w:val="nil"/>
              <w:left w:val="nil"/>
              <w:bottom w:val="single" w:sz="4" w:space="0" w:color="auto"/>
              <w:right w:val="single" w:sz="4" w:space="0" w:color="auto"/>
            </w:tcBorders>
            <w:noWrap/>
            <w:textDirection w:val="lrTb"/>
            <w:vAlign w:val="bottom"/>
            <w:hideMark/>
          </w:tcPr>
          <w:p w:rsidR="00CB350B" w:rsidRPr="00F62CFA" w:rsidP="00257E12">
            <w:pPr>
              <w:bidi w:val="0"/>
              <w:jc w:val="right"/>
              <w:rPr>
                <w:rFonts w:ascii="Times New Roman" w:hAnsi="Times New Roman" w:cs="Times New Roman"/>
                <w:sz w:val="14"/>
                <w:szCs w:val="14"/>
              </w:rPr>
            </w:pPr>
            <w:r w:rsidRPr="00F62CFA">
              <w:rPr>
                <w:rFonts w:ascii="Times New Roman" w:hAnsi="Times New Roman" w:cs="Times New Roman"/>
                <w:sz w:val="14"/>
                <w:szCs w:val="14"/>
              </w:rPr>
              <w:t>4,66%</w:t>
            </w:r>
          </w:p>
        </w:tc>
        <w:tc>
          <w:tcPr>
            <w:tcW w:w="489" w:type="pct"/>
            <w:tcBorders>
              <w:top w:val="nil"/>
              <w:left w:val="nil"/>
              <w:bottom w:val="single" w:sz="4" w:space="0" w:color="auto"/>
              <w:right w:val="single" w:sz="4" w:space="0" w:color="auto"/>
            </w:tcBorders>
            <w:noWrap/>
            <w:textDirection w:val="lrTb"/>
            <w:vAlign w:val="bottom"/>
            <w:hideMark/>
          </w:tcPr>
          <w:p w:rsidR="00CB350B" w:rsidRPr="00F62CFA" w:rsidP="00257E12">
            <w:pPr>
              <w:bidi w:val="0"/>
              <w:jc w:val="right"/>
              <w:rPr>
                <w:rFonts w:ascii="Times New Roman" w:hAnsi="Times New Roman" w:cs="Times New Roman"/>
                <w:sz w:val="14"/>
                <w:szCs w:val="14"/>
              </w:rPr>
            </w:pPr>
            <w:r w:rsidRPr="00F62CFA">
              <w:rPr>
                <w:rFonts w:ascii="Times New Roman" w:hAnsi="Times New Roman" w:cs="Times New Roman"/>
                <w:sz w:val="14"/>
                <w:szCs w:val="14"/>
              </w:rPr>
              <w:t>3,54%</w:t>
            </w:r>
          </w:p>
        </w:tc>
        <w:tc>
          <w:tcPr>
            <w:tcW w:w="489" w:type="pct"/>
            <w:tcBorders>
              <w:top w:val="nil"/>
              <w:left w:val="nil"/>
              <w:bottom w:val="single" w:sz="4" w:space="0" w:color="auto"/>
              <w:right w:val="single" w:sz="4" w:space="0" w:color="auto"/>
            </w:tcBorders>
            <w:noWrap/>
            <w:textDirection w:val="lrTb"/>
            <w:vAlign w:val="bottom"/>
            <w:hideMark/>
          </w:tcPr>
          <w:p w:rsidR="00CB350B" w:rsidRPr="00F62CFA" w:rsidP="00257E12">
            <w:pPr>
              <w:bidi w:val="0"/>
              <w:jc w:val="right"/>
              <w:rPr>
                <w:rFonts w:ascii="Times New Roman" w:hAnsi="Times New Roman" w:cs="Times New Roman"/>
                <w:sz w:val="14"/>
                <w:szCs w:val="14"/>
              </w:rPr>
            </w:pPr>
            <w:r w:rsidRPr="00F62CFA">
              <w:rPr>
                <w:rFonts w:ascii="Times New Roman" w:hAnsi="Times New Roman" w:cs="Times New Roman"/>
                <w:sz w:val="14"/>
                <w:szCs w:val="14"/>
              </w:rPr>
              <w:t>3,71%</w:t>
            </w:r>
          </w:p>
        </w:tc>
      </w:tr>
    </w:tbl>
    <w:p w:rsidR="00CB350B" w:rsidRPr="00432A91" w:rsidP="00CB350B">
      <w:pPr>
        <w:bidi w:val="0"/>
        <w:spacing w:after="120"/>
        <w:jc w:val="both"/>
        <w:rPr>
          <w:rFonts w:ascii="Times New Roman" w:hAnsi="Times New Roman" w:cs="Times New Roman"/>
        </w:rPr>
      </w:pPr>
    </w:p>
    <w:p w:rsidR="00CB350B" w:rsidRPr="003F017B" w:rsidP="00CB350B">
      <w:pPr>
        <w:bidi w:val="0"/>
        <w:ind w:firstLine="708"/>
        <w:jc w:val="both"/>
        <w:rPr>
          <w:rFonts w:ascii="Times New Roman" w:hAnsi="Times New Roman" w:cs="Times New Roman"/>
        </w:rPr>
      </w:pPr>
      <w:r w:rsidRPr="003F017B">
        <w:rPr>
          <w:rFonts w:ascii="Times New Roman" w:hAnsi="Times New Roman" w:cs="Times New Roman"/>
        </w:rPr>
        <w:t>Od roku 2000 počet obyvateľov vekovej skupiny od 19 do 23 rokov neustále klesá. Medzi rokom 2000 a rokom 2014 ide o pokles o</w:t>
      </w:r>
      <w:r>
        <w:rPr>
          <w:rFonts w:ascii="Times New Roman" w:hAnsi="Times New Roman" w:cs="Times New Roman"/>
        </w:rPr>
        <w:t> </w:t>
      </w:r>
      <w:r w:rsidRPr="003F017B">
        <w:rPr>
          <w:rFonts w:ascii="Times New Roman" w:hAnsi="Times New Roman" w:cs="Times New Roman"/>
        </w:rPr>
        <w:t>25</w:t>
      </w:r>
      <w:r>
        <w:rPr>
          <w:rFonts w:ascii="Times New Roman" w:hAnsi="Times New Roman" w:cs="Times New Roman"/>
        </w:rPr>
        <w:t xml:space="preserve"> </w:t>
      </w:r>
      <w:r w:rsidRPr="003F017B">
        <w:rPr>
          <w:rFonts w:ascii="Times New Roman" w:hAnsi="Times New Roman" w:cs="Times New Roman"/>
        </w:rPr>
        <w:t xml:space="preserve">%, a to z úrovne 467 935 osôb v roku 2000 na úroveň 351 120 osôb vo veku od 19 do 23 rokov odhadovanú </w:t>
      </w:r>
      <w:r>
        <w:rPr>
          <w:rFonts w:ascii="Times New Roman" w:hAnsi="Times New Roman" w:cs="Times New Roman"/>
        </w:rPr>
        <w:t>na</w:t>
      </w:r>
      <w:r w:rsidRPr="003F017B">
        <w:rPr>
          <w:rFonts w:ascii="Times New Roman" w:hAnsi="Times New Roman" w:cs="Times New Roman"/>
        </w:rPr>
        <w:t xml:space="preserve"> rok 2014. </w:t>
      </w:r>
    </w:p>
    <w:p w:rsidR="00CB350B" w:rsidRPr="003F017B" w:rsidP="00CB350B">
      <w:pPr>
        <w:bidi w:val="0"/>
        <w:jc w:val="both"/>
        <w:rPr>
          <w:rFonts w:ascii="Times New Roman" w:hAnsi="Times New Roman" w:cs="Times New Roman"/>
        </w:rPr>
      </w:pPr>
    </w:p>
    <w:p w:rsidR="00CB350B" w:rsidRPr="00432A91" w:rsidP="00CB350B">
      <w:pPr>
        <w:bidi w:val="0"/>
        <w:ind w:firstLine="708"/>
        <w:jc w:val="both"/>
        <w:rPr>
          <w:rFonts w:ascii="Times New Roman" w:hAnsi="Times New Roman" w:cs="Times New Roman"/>
        </w:rPr>
      </w:pPr>
      <w:r w:rsidRPr="00B953A4">
        <w:rPr>
          <w:rFonts w:ascii="Times New Roman" w:hAnsi="Times New Roman" w:cs="Times New Roman"/>
        </w:rPr>
        <w:t>Celkový počet študentov vysokých škôl v dennej a externej forme štúdia každoročn</w:t>
      </w:r>
      <w:r>
        <w:rPr>
          <w:rFonts w:ascii="Times New Roman" w:hAnsi="Times New Roman" w:cs="Times New Roman"/>
        </w:rPr>
        <w:t>e</w:t>
      </w:r>
      <w:r w:rsidRPr="00B953A4">
        <w:rPr>
          <w:rFonts w:ascii="Times New Roman" w:hAnsi="Times New Roman" w:cs="Times New Roman"/>
        </w:rPr>
        <w:t xml:space="preserve"> klesá, pričom výdavky na jedného študenta rastú. V roku 2012 výdavky na jedného študenta vysokej školy rastú o 132 eur, čo predstavuje nárast o 4,66 % oproti schválenému rozpočtu roku 2011, v porovnaní s rokom 2009 tento nárast je vyšší o 5,</w:t>
      </w:r>
      <w:r>
        <w:rPr>
          <w:rFonts w:ascii="Times New Roman" w:hAnsi="Times New Roman" w:cs="Times New Roman"/>
        </w:rPr>
        <w:t>8</w:t>
      </w:r>
      <w:r w:rsidRPr="00B953A4">
        <w:rPr>
          <w:rFonts w:ascii="Times New Roman" w:hAnsi="Times New Roman" w:cs="Times New Roman"/>
        </w:rPr>
        <w:t xml:space="preserve"> %, t. j. až o 16</w:t>
      </w:r>
      <w:r>
        <w:rPr>
          <w:rFonts w:ascii="Times New Roman" w:hAnsi="Times New Roman" w:cs="Times New Roman"/>
        </w:rPr>
        <w:t>1</w:t>
      </w:r>
      <w:r w:rsidRPr="00B953A4">
        <w:rPr>
          <w:rFonts w:ascii="Times New Roman" w:hAnsi="Times New Roman" w:cs="Times New Roman"/>
        </w:rPr>
        <w:t xml:space="preserve"> eur.</w:t>
      </w:r>
      <w:r w:rsidRPr="00432A91">
        <w:rPr>
          <w:rFonts w:ascii="Times New Roman" w:hAnsi="Times New Roman" w:cs="Times New Roman"/>
        </w:rPr>
        <w:t xml:space="preserve"> </w:t>
      </w:r>
    </w:p>
    <w:p w:rsidR="00CB350B" w:rsidRPr="00432A91" w:rsidP="00CB350B">
      <w:pPr>
        <w:bidi w:val="0"/>
        <w:jc w:val="both"/>
        <w:rPr>
          <w:rFonts w:ascii="Times New Roman" w:hAnsi="Times New Roman" w:cs="Times New Roman"/>
        </w:rPr>
      </w:pPr>
    </w:p>
    <w:p w:rsidR="00CB350B" w:rsidRPr="00432A91" w:rsidP="00CB350B">
      <w:pPr>
        <w:bidi w:val="0"/>
        <w:jc w:val="both"/>
        <w:rPr>
          <w:rFonts w:ascii="Times New Roman" w:hAnsi="Times New Roman" w:cs="Times New Roman"/>
          <w:b/>
        </w:rPr>
      </w:pPr>
      <w:r w:rsidRPr="00432A91">
        <w:rPr>
          <w:rFonts w:ascii="Times New Roman" w:hAnsi="Times New Roman" w:cs="Times New Roman"/>
          <w:b/>
        </w:rPr>
        <w:t>Veda a technika</w:t>
      </w:r>
    </w:p>
    <w:p w:rsidR="00CB350B" w:rsidRPr="00432A91" w:rsidP="00CB350B">
      <w:pPr>
        <w:bidi w:val="0"/>
        <w:jc w:val="both"/>
        <w:rPr>
          <w:rFonts w:ascii="Times New Roman" w:hAnsi="Times New Roman" w:cs="Times New Roman"/>
          <w:b/>
        </w:rPr>
      </w:pPr>
    </w:p>
    <w:tbl>
      <w:tblPr>
        <w:tblStyle w:val="TableNormal"/>
        <w:tblW w:w="5424" w:type="pct"/>
        <w:tblInd w:w="-459" w:type="dxa"/>
        <w:tblLayout w:type="fixed"/>
        <w:tblCellMar>
          <w:left w:w="70" w:type="dxa"/>
          <w:right w:w="70" w:type="dxa"/>
        </w:tblCellMar>
        <w:tblLook w:val="04A0"/>
      </w:tblPr>
      <w:tblGrid>
        <w:gridCol w:w="365"/>
        <w:gridCol w:w="3271"/>
        <w:gridCol w:w="911"/>
        <w:gridCol w:w="911"/>
        <w:gridCol w:w="911"/>
        <w:gridCol w:w="911"/>
        <w:gridCol w:w="911"/>
        <w:gridCol w:w="911"/>
        <w:gridCol w:w="891"/>
      </w:tblGrid>
      <w:tr>
        <w:tblPrEx>
          <w:tblW w:w="5424" w:type="pct"/>
          <w:tblInd w:w="-459" w:type="dxa"/>
          <w:tblLayout w:type="fixed"/>
          <w:tblCellMar>
            <w:left w:w="70" w:type="dxa"/>
            <w:right w:w="70" w:type="dxa"/>
          </w:tblCellMar>
          <w:tblLook w:val="04A0"/>
        </w:tblPrEx>
        <w:trPr>
          <w:trHeight w:val="255"/>
        </w:trPr>
        <w:tc>
          <w:tcPr>
            <w:tcW w:w="1817" w:type="pct"/>
            <w:gridSpan w:val="2"/>
            <w:tcBorders>
              <w:top w:val="single" w:sz="4" w:space="0" w:color="auto"/>
              <w:left w:val="single" w:sz="4" w:space="0" w:color="auto"/>
              <w:bottom w:val="single" w:sz="4" w:space="0" w:color="auto"/>
              <w:right w:val="single" w:sz="4" w:space="0" w:color="000000"/>
            </w:tcBorders>
            <w:shd w:val="clear" w:color="000000" w:fill="A6A6A6"/>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b/>
                <w:sz w:val="14"/>
                <w:szCs w:val="14"/>
                <w:lang w:eastAsia="sk-SK"/>
              </w:rPr>
              <w:t>v eurách</w:t>
            </w:r>
          </w:p>
        </w:tc>
        <w:tc>
          <w:tcPr>
            <w:tcW w:w="456"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2009 S</w:t>
            </w:r>
          </w:p>
        </w:tc>
        <w:tc>
          <w:tcPr>
            <w:tcW w:w="456"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2010 S</w:t>
            </w:r>
          </w:p>
        </w:tc>
        <w:tc>
          <w:tcPr>
            <w:tcW w:w="456"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2011 R</w:t>
            </w:r>
          </w:p>
        </w:tc>
        <w:tc>
          <w:tcPr>
            <w:tcW w:w="456"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2011 OS</w:t>
            </w:r>
          </w:p>
        </w:tc>
        <w:tc>
          <w:tcPr>
            <w:tcW w:w="456"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2012 N</w:t>
            </w:r>
          </w:p>
        </w:tc>
        <w:tc>
          <w:tcPr>
            <w:tcW w:w="456"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2013 N</w:t>
            </w:r>
          </w:p>
        </w:tc>
        <w:tc>
          <w:tcPr>
            <w:tcW w:w="448"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2014 N</w:t>
            </w:r>
          </w:p>
        </w:tc>
      </w:tr>
      <w:tr>
        <w:tblPrEx>
          <w:tblW w:w="5424" w:type="pct"/>
          <w:tblInd w:w="-459" w:type="dxa"/>
          <w:tblLayout w:type="fixed"/>
          <w:tblCellMar>
            <w:left w:w="70" w:type="dxa"/>
            <w:right w:w="70" w:type="dxa"/>
          </w:tblCellMar>
          <w:tblLook w:val="04A0"/>
        </w:tblPrEx>
        <w:trPr>
          <w:trHeight w:val="255"/>
        </w:trPr>
        <w:tc>
          <w:tcPr>
            <w:tcW w:w="1817" w:type="pct"/>
            <w:gridSpan w:val="2"/>
            <w:tcBorders>
              <w:top w:val="single" w:sz="4" w:space="0" w:color="auto"/>
              <w:left w:val="single" w:sz="4" w:space="0" w:color="auto"/>
              <w:bottom w:val="single" w:sz="4" w:space="0" w:color="auto"/>
              <w:right w:val="single" w:sz="4" w:space="0" w:color="000000"/>
            </w:tcBorders>
            <w:shd w:val="clear" w:color="000000" w:fill="BFBFBF"/>
            <w:noWrap/>
            <w:textDirection w:val="lrTb"/>
            <w:vAlign w:val="bottom"/>
            <w:hideMark/>
          </w:tcPr>
          <w:p w:rsidR="00CB350B" w:rsidRPr="00A94288" w:rsidP="00257E12">
            <w:pPr>
              <w:bidi w:val="0"/>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Výdavky na vedy a techniku celkom</w:t>
            </w:r>
          </w:p>
        </w:tc>
        <w:tc>
          <w:tcPr>
            <w:tcW w:w="456" w:type="pct"/>
            <w:tcBorders>
              <w:top w:val="nil"/>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279 636 862</w:t>
            </w:r>
          </w:p>
        </w:tc>
        <w:tc>
          <w:tcPr>
            <w:tcW w:w="456" w:type="pct"/>
            <w:tcBorders>
              <w:top w:val="nil"/>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262 133 796</w:t>
            </w:r>
          </w:p>
        </w:tc>
        <w:tc>
          <w:tcPr>
            <w:tcW w:w="456" w:type="pct"/>
            <w:tcBorders>
              <w:top w:val="nil"/>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494 712 877</w:t>
            </w:r>
          </w:p>
        </w:tc>
        <w:tc>
          <w:tcPr>
            <w:tcW w:w="456" w:type="pct"/>
            <w:tcBorders>
              <w:top w:val="nil"/>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382 169 064</w:t>
            </w:r>
          </w:p>
        </w:tc>
        <w:tc>
          <w:tcPr>
            <w:tcW w:w="456" w:type="pct"/>
            <w:tcBorders>
              <w:top w:val="nil"/>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584 249 487</w:t>
            </w:r>
          </w:p>
        </w:tc>
        <w:tc>
          <w:tcPr>
            <w:tcW w:w="456" w:type="pct"/>
            <w:tcBorders>
              <w:top w:val="nil"/>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551 348 618</w:t>
            </w:r>
          </w:p>
        </w:tc>
        <w:tc>
          <w:tcPr>
            <w:tcW w:w="448" w:type="pct"/>
            <w:tcBorders>
              <w:top w:val="nil"/>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417 396 959</w:t>
            </w:r>
          </w:p>
        </w:tc>
      </w:tr>
      <w:tr>
        <w:tblPrEx>
          <w:tblW w:w="5424" w:type="pct"/>
          <w:tblInd w:w="-459" w:type="dxa"/>
          <w:tblLayout w:type="fixed"/>
          <w:tblCellMar>
            <w:left w:w="70" w:type="dxa"/>
            <w:right w:w="70" w:type="dxa"/>
          </w:tblCellMar>
          <w:tblLook w:val="04A0"/>
        </w:tblPrEx>
        <w:trPr>
          <w:trHeight w:val="282"/>
        </w:trPr>
        <w:tc>
          <w:tcPr>
            <w:tcW w:w="1817" w:type="pct"/>
            <w:gridSpan w:val="2"/>
            <w:tcBorders>
              <w:top w:val="single" w:sz="4" w:space="0" w:color="auto"/>
              <w:left w:val="single" w:sz="4" w:space="0" w:color="auto"/>
              <w:bottom w:val="single" w:sz="4" w:space="0" w:color="auto"/>
              <w:right w:val="single" w:sz="4" w:space="0" w:color="000000"/>
            </w:tcBorders>
            <w:textDirection w:val="lrTb"/>
            <w:vAlign w:val="bottom"/>
            <w:hideMark/>
          </w:tcPr>
          <w:p w:rsidR="00CB350B" w:rsidRPr="00A94288" w:rsidP="00257E12">
            <w:pPr>
              <w:bidi w:val="0"/>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 xml:space="preserve">Veda a technika v MŠVVŠ SR zo </w:t>
            </w:r>
            <w:r>
              <w:rPr>
                <w:rFonts w:ascii="Times New Roman" w:hAnsi="Times New Roman" w:cs="Times New Roman"/>
                <w:b/>
                <w:bCs/>
                <w:sz w:val="14"/>
                <w:szCs w:val="14"/>
                <w:lang w:eastAsia="sk-SK"/>
              </w:rPr>
              <w:t>ŠR</w:t>
            </w:r>
            <w:r w:rsidRPr="00A94288">
              <w:rPr>
                <w:rFonts w:ascii="Times New Roman" w:hAnsi="Times New Roman" w:cs="Times New Roman"/>
                <w:b/>
                <w:bCs/>
                <w:sz w:val="14"/>
                <w:szCs w:val="14"/>
                <w:lang w:eastAsia="sk-SK"/>
              </w:rPr>
              <w:t xml:space="preserve"> (A až E) v tom:</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129 101 177</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123 985 923</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119 447 612</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154 807 693</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154 995 921</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150 944 863</w:t>
            </w:r>
          </w:p>
        </w:tc>
        <w:tc>
          <w:tcPr>
            <w:tcW w:w="44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148 456 946</w:t>
            </w:r>
          </w:p>
        </w:tc>
      </w:tr>
      <w:tr>
        <w:tblPrEx>
          <w:tblW w:w="5424" w:type="pct"/>
          <w:tblInd w:w="-459" w:type="dxa"/>
          <w:tblLayout w:type="fixed"/>
          <w:tblCellMar>
            <w:left w:w="70" w:type="dxa"/>
            <w:right w:w="70" w:type="dxa"/>
          </w:tblCellMar>
          <w:tblLook w:val="04A0"/>
        </w:tblPrEx>
        <w:trPr>
          <w:trHeight w:val="435"/>
        </w:trPr>
        <w:tc>
          <w:tcPr>
            <w:tcW w:w="182"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b/>
                <w:bCs/>
                <w:i/>
                <w:iCs/>
                <w:sz w:val="14"/>
                <w:szCs w:val="14"/>
                <w:lang w:eastAsia="sk-SK"/>
              </w:rPr>
            </w:pPr>
            <w:r w:rsidRPr="00A94288">
              <w:rPr>
                <w:rFonts w:ascii="Times New Roman" w:hAnsi="Times New Roman" w:cs="Times New Roman"/>
                <w:b/>
                <w:bCs/>
                <w:i/>
                <w:iCs/>
                <w:sz w:val="14"/>
                <w:szCs w:val="14"/>
                <w:lang w:eastAsia="sk-SK"/>
              </w:rPr>
              <w:t>A.</w:t>
            </w:r>
          </w:p>
        </w:tc>
        <w:tc>
          <w:tcPr>
            <w:tcW w:w="1636" w:type="pct"/>
            <w:tcBorders>
              <w:top w:val="nil"/>
              <w:left w:val="nil"/>
              <w:bottom w:val="single" w:sz="4" w:space="0" w:color="auto"/>
              <w:right w:val="single" w:sz="4" w:space="0" w:color="auto"/>
            </w:tcBorders>
            <w:textDirection w:val="lrTb"/>
            <w:vAlign w:val="bottom"/>
            <w:hideMark/>
          </w:tcPr>
          <w:p w:rsidR="00CB350B" w:rsidRPr="00A94288" w:rsidP="00257E12">
            <w:pPr>
              <w:bidi w:val="0"/>
              <w:rPr>
                <w:rFonts w:ascii="Times New Roman" w:hAnsi="Times New Roman" w:cs="Times New Roman"/>
                <w:b/>
                <w:bCs/>
                <w:i/>
                <w:iCs/>
                <w:sz w:val="14"/>
                <w:szCs w:val="14"/>
                <w:lang w:eastAsia="sk-SK"/>
              </w:rPr>
            </w:pPr>
            <w:r w:rsidRPr="00A94288">
              <w:rPr>
                <w:rFonts w:ascii="Times New Roman" w:hAnsi="Times New Roman" w:cs="Times New Roman"/>
                <w:b/>
                <w:bCs/>
                <w:i/>
                <w:iCs/>
                <w:sz w:val="14"/>
                <w:szCs w:val="14"/>
                <w:lang w:eastAsia="sk-SK"/>
              </w:rPr>
              <w:t>Vysokoškolská  veda cez MŠVVŠ SR vrátane osobných výdavkov pedagogických zamestnancov na výskum</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70 875 687</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70 331 067</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68 863 983</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103 935 028</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103 946 042</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103 946 042</w:t>
            </w:r>
          </w:p>
        </w:tc>
        <w:tc>
          <w:tcPr>
            <w:tcW w:w="44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103 946 042</w:t>
            </w:r>
          </w:p>
        </w:tc>
      </w:tr>
      <w:tr>
        <w:tblPrEx>
          <w:tblW w:w="5424" w:type="pct"/>
          <w:tblInd w:w="-459" w:type="dxa"/>
          <w:tblLayout w:type="fixed"/>
          <w:tblCellMar>
            <w:left w:w="70" w:type="dxa"/>
            <w:right w:w="70" w:type="dxa"/>
          </w:tblCellMar>
          <w:tblLook w:val="04A0"/>
        </w:tblPrEx>
        <w:trPr>
          <w:trHeight w:val="255"/>
        </w:trPr>
        <w:tc>
          <w:tcPr>
            <w:tcW w:w="182"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b/>
                <w:bCs/>
                <w:i/>
                <w:iCs/>
                <w:sz w:val="14"/>
                <w:szCs w:val="14"/>
                <w:lang w:eastAsia="sk-SK"/>
              </w:rPr>
            </w:pPr>
            <w:r w:rsidRPr="00A94288">
              <w:rPr>
                <w:rFonts w:ascii="Times New Roman" w:hAnsi="Times New Roman" w:cs="Times New Roman"/>
                <w:b/>
                <w:bCs/>
                <w:i/>
                <w:iCs/>
                <w:sz w:val="14"/>
                <w:szCs w:val="14"/>
                <w:lang w:eastAsia="sk-SK"/>
              </w:rPr>
              <w:t>B.</w:t>
            </w:r>
          </w:p>
        </w:tc>
        <w:tc>
          <w:tcPr>
            <w:tcW w:w="163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b/>
                <w:bCs/>
                <w:i/>
                <w:iCs/>
                <w:sz w:val="14"/>
                <w:szCs w:val="14"/>
                <w:lang w:eastAsia="sk-SK"/>
              </w:rPr>
            </w:pPr>
            <w:r w:rsidRPr="00A94288">
              <w:rPr>
                <w:rFonts w:ascii="Times New Roman" w:hAnsi="Times New Roman" w:cs="Times New Roman"/>
                <w:b/>
                <w:bCs/>
                <w:i/>
                <w:iCs/>
                <w:sz w:val="14"/>
                <w:szCs w:val="14"/>
                <w:lang w:eastAsia="sk-SK"/>
              </w:rPr>
              <w:t>Agentúra na podporu výskumu a vývoja MŠVVŠ SR</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35 209 769</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31 038 568</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19 086 680</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20 086 680</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20 386 180</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20 386 180</w:t>
            </w:r>
          </w:p>
        </w:tc>
        <w:tc>
          <w:tcPr>
            <w:tcW w:w="44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20 386 180</w:t>
            </w:r>
          </w:p>
        </w:tc>
      </w:tr>
      <w:tr>
        <w:tblPrEx>
          <w:tblW w:w="5424" w:type="pct"/>
          <w:tblInd w:w="-459" w:type="dxa"/>
          <w:tblLayout w:type="fixed"/>
          <w:tblCellMar>
            <w:left w:w="70" w:type="dxa"/>
            <w:right w:w="70" w:type="dxa"/>
          </w:tblCellMar>
          <w:tblLook w:val="04A0"/>
        </w:tblPrEx>
        <w:trPr>
          <w:trHeight w:val="255"/>
        </w:trPr>
        <w:tc>
          <w:tcPr>
            <w:tcW w:w="182"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b/>
                <w:bCs/>
                <w:i/>
                <w:iCs/>
                <w:sz w:val="14"/>
                <w:szCs w:val="14"/>
                <w:lang w:eastAsia="sk-SK"/>
              </w:rPr>
            </w:pPr>
            <w:r w:rsidRPr="00A94288">
              <w:rPr>
                <w:rFonts w:ascii="Times New Roman" w:hAnsi="Times New Roman" w:cs="Times New Roman"/>
                <w:b/>
                <w:bCs/>
                <w:i/>
                <w:iCs/>
                <w:sz w:val="14"/>
                <w:szCs w:val="14"/>
                <w:lang w:eastAsia="sk-SK"/>
              </w:rPr>
              <w:t>C.</w:t>
            </w:r>
          </w:p>
        </w:tc>
        <w:tc>
          <w:tcPr>
            <w:tcW w:w="163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b/>
                <w:bCs/>
                <w:i/>
                <w:iCs/>
                <w:sz w:val="14"/>
                <w:szCs w:val="14"/>
                <w:lang w:eastAsia="sk-SK"/>
              </w:rPr>
            </w:pPr>
            <w:r w:rsidRPr="00A94288">
              <w:rPr>
                <w:rFonts w:ascii="Times New Roman" w:hAnsi="Times New Roman" w:cs="Times New Roman"/>
                <w:b/>
                <w:bCs/>
                <w:i/>
                <w:iCs/>
                <w:sz w:val="14"/>
                <w:szCs w:val="14"/>
                <w:lang w:eastAsia="sk-SK"/>
              </w:rPr>
              <w:t>Štátne programy MŠVVŠ SR</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796 654</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730 266</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16 450</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16 450</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32 900</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0</w:t>
            </w:r>
          </w:p>
        </w:tc>
        <w:tc>
          <w:tcPr>
            <w:tcW w:w="44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0</w:t>
            </w:r>
          </w:p>
        </w:tc>
      </w:tr>
      <w:tr>
        <w:tblPrEx>
          <w:tblW w:w="5424" w:type="pct"/>
          <w:tblInd w:w="-459" w:type="dxa"/>
          <w:tblLayout w:type="fixed"/>
          <w:tblCellMar>
            <w:left w:w="70" w:type="dxa"/>
            <w:right w:w="70" w:type="dxa"/>
          </w:tblCellMar>
          <w:tblLook w:val="04A0"/>
        </w:tblPrEx>
        <w:trPr>
          <w:trHeight w:val="255"/>
        </w:trPr>
        <w:tc>
          <w:tcPr>
            <w:tcW w:w="182"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b/>
                <w:bCs/>
                <w:i/>
                <w:iCs/>
                <w:sz w:val="14"/>
                <w:szCs w:val="14"/>
                <w:lang w:eastAsia="sk-SK"/>
              </w:rPr>
            </w:pPr>
            <w:r w:rsidRPr="00A94288">
              <w:rPr>
                <w:rFonts w:ascii="Times New Roman" w:hAnsi="Times New Roman" w:cs="Times New Roman"/>
                <w:b/>
                <w:bCs/>
                <w:i/>
                <w:iCs/>
                <w:sz w:val="14"/>
                <w:szCs w:val="14"/>
                <w:lang w:eastAsia="sk-SK"/>
              </w:rPr>
              <w:t>D.</w:t>
            </w:r>
          </w:p>
        </w:tc>
        <w:tc>
          <w:tcPr>
            <w:tcW w:w="163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b/>
                <w:bCs/>
                <w:i/>
                <w:iCs/>
                <w:sz w:val="14"/>
                <w:szCs w:val="14"/>
                <w:lang w:eastAsia="sk-SK"/>
              </w:rPr>
            </w:pPr>
            <w:r w:rsidRPr="00A94288">
              <w:rPr>
                <w:rFonts w:ascii="Times New Roman" w:hAnsi="Times New Roman" w:cs="Times New Roman"/>
                <w:b/>
                <w:bCs/>
                <w:i/>
                <w:iCs/>
                <w:sz w:val="14"/>
                <w:szCs w:val="14"/>
                <w:lang w:eastAsia="sk-SK"/>
              </w:rPr>
              <w:t>Členské príspevky medzinárodných organizácií v MŠVVŠ SR</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7 035 472</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3 344 677</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10 223 118</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10 223 118</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10 223 118</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10 223 118</w:t>
            </w:r>
          </w:p>
        </w:tc>
        <w:tc>
          <w:tcPr>
            <w:tcW w:w="44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10 223 118</w:t>
            </w:r>
          </w:p>
        </w:tc>
      </w:tr>
      <w:tr>
        <w:tblPrEx>
          <w:tblW w:w="5424" w:type="pct"/>
          <w:tblInd w:w="-459" w:type="dxa"/>
          <w:tblLayout w:type="fixed"/>
          <w:tblCellMar>
            <w:left w:w="70" w:type="dxa"/>
            <w:right w:w="70" w:type="dxa"/>
          </w:tblCellMar>
          <w:tblLook w:val="04A0"/>
        </w:tblPrEx>
        <w:trPr>
          <w:trHeight w:val="255"/>
        </w:trPr>
        <w:tc>
          <w:tcPr>
            <w:tcW w:w="182"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b/>
                <w:bCs/>
                <w:i/>
                <w:iCs/>
                <w:sz w:val="14"/>
                <w:szCs w:val="14"/>
                <w:lang w:eastAsia="sk-SK"/>
              </w:rPr>
            </w:pPr>
            <w:r w:rsidRPr="00A94288">
              <w:rPr>
                <w:rFonts w:ascii="Times New Roman" w:hAnsi="Times New Roman" w:cs="Times New Roman"/>
                <w:b/>
                <w:bCs/>
                <w:i/>
                <w:iCs/>
                <w:sz w:val="14"/>
                <w:szCs w:val="14"/>
                <w:lang w:eastAsia="sk-SK"/>
              </w:rPr>
              <w:t>E.</w:t>
            </w:r>
          </w:p>
        </w:tc>
        <w:tc>
          <w:tcPr>
            <w:tcW w:w="163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b/>
                <w:bCs/>
                <w:i/>
                <w:iCs/>
                <w:sz w:val="14"/>
                <w:szCs w:val="14"/>
                <w:lang w:eastAsia="sk-SK"/>
              </w:rPr>
            </w:pPr>
            <w:r w:rsidRPr="00A94288">
              <w:rPr>
                <w:rFonts w:ascii="Times New Roman" w:hAnsi="Times New Roman" w:cs="Times New Roman"/>
                <w:b/>
                <w:bCs/>
                <w:i/>
                <w:iCs/>
                <w:sz w:val="14"/>
                <w:szCs w:val="14"/>
                <w:lang w:eastAsia="sk-SK"/>
              </w:rPr>
              <w:t>Ostatné výdavky na vedu a techniku v MŠVVŠ SR z toho:</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15 183 595</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18 541 345</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21 257 381</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20 546 417</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20 407 681</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16 389 523</w:t>
            </w:r>
          </w:p>
        </w:tc>
        <w:tc>
          <w:tcPr>
            <w:tcW w:w="44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i/>
                <w:iCs/>
                <w:sz w:val="14"/>
                <w:szCs w:val="14"/>
                <w:lang w:eastAsia="sk-SK"/>
              </w:rPr>
            </w:pPr>
            <w:r w:rsidRPr="00A94288">
              <w:rPr>
                <w:rFonts w:ascii="Times New Roman" w:hAnsi="Times New Roman" w:cs="Times New Roman"/>
                <w:i/>
                <w:iCs/>
                <w:sz w:val="14"/>
                <w:szCs w:val="14"/>
                <w:lang w:eastAsia="sk-SK"/>
              </w:rPr>
              <w:t>13 901 606</w:t>
            </w:r>
          </w:p>
        </w:tc>
      </w:tr>
      <w:tr>
        <w:tblPrEx>
          <w:tblW w:w="5424" w:type="pct"/>
          <w:tblInd w:w="-459" w:type="dxa"/>
          <w:tblLayout w:type="fixed"/>
          <w:tblCellMar>
            <w:left w:w="70" w:type="dxa"/>
            <w:right w:w="70" w:type="dxa"/>
          </w:tblCellMar>
          <w:tblLook w:val="04A0"/>
        </w:tblPrEx>
        <w:trPr>
          <w:trHeight w:val="255"/>
        </w:trPr>
        <w:tc>
          <w:tcPr>
            <w:tcW w:w="182"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 </w:t>
            </w:r>
          </w:p>
        </w:tc>
        <w:tc>
          <w:tcPr>
            <w:tcW w:w="163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 xml:space="preserve">     1. CVTI príspevková organizácia</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2 292 729</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3 173 790</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2 403 015</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3 462 015</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3 544 730</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3 544 730</w:t>
            </w:r>
          </w:p>
        </w:tc>
        <w:tc>
          <w:tcPr>
            <w:tcW w:w="44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3 544 730</w:t>
            </w:r>
          </w:p>
        </w:tc>
      </w:tr>
      <w:tr>
        <w:tblPrEx>
          <w:tblW w:w="5424" w:type="pct"/>
          <w:tblInd w:w="-459" w:type="dxa"/>
          <w:tblLayout w:type="fixed"/>
          <w:tblCellMar>
            <w:left w:w="70" w:type="dxa"/>
            <w:right w:w="70" w:type="dxa"/>
          </w:tblCellMar>
          <w:tblLook w:val="04A0"/>
        </w:tblPrEx>
        <w:trPr>
          <w:trHeight w:val="255"/>
        </w:trPr>
        <w:tc>
          <w:tcPr>
            <w:tcW w:w="182"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 </w:t>
            </w:r>
          </w:p>
        </w:tc>
        <w:tc>
          <w:tcPr>
            <w:tcW w:w="163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 xml:space="preserve">     2. APVV prevádzka</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1 624 324</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1 604 666</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1 427 463</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1 607 463</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1 427 463</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1 427 463</w:t>
            </w:r>
          </w:p>
        </w:tc>
        <w:tc>
          <w:tcPr>
            <w:tcW w:w="44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1 427 463</w:t>
            </w:r>
          </w:p>
        </w:tc>
      </w:tr>
      <w:tr>
        <w:tblPrEx>
          <w:tblW w:w="5424" w:type="pct"/>
          <w:tblInd w:w="-459" w:type="dxa"/>
          <w:tblLayout w:type="fixed"/>
          <w:tblCellMar>
            <w:left w:w="70" w:type="dxa"/>
            <w:right w:w="70" w:type="dxa"/>
          </w:tblCellMar>
          <w:tblLook w:val="04A0"/>
        </w:tblPrEx>
        <w:trPr>
          <w:trHeight w:val="255"/>
        </w:trPr>
        <w:tc>
          <w:tcPr>
            <w:tcW w:w="182"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 </w:t>
            </w:r>
          </w:p>
        </w:tc>
        <w:tc>
          <w:tcPr>
            <w:tcW w:w="163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 xml:space="preserve">     3. Koordinácia prierezových aktivít ŠVT politiky</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8 029 300</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10 493 604</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14 296 959</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12 335 838</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12 305 544</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8 287 386</w:t>
            </w:r>
          </w:p>
        </w:tc>
        <w:tc>
          <w:tcPr>
            <w:tcW w:w="44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5 799 469</w:t>
            </w:r>
          </w:p>
        </w:tc>
      </w:tr>
      <w:tr>
        <w:tblPrEx>
          <w:tblW w:w="5424" w:type="pct"/>
          <w:tblInd w:w="-459" w:type="dxa"/>
          <w:tblLayout w:type="fixed"/>
          <w:tblCellMar>
            <w:left w:w="70" w:type="dxa"/>
            <w:right w:w="70" w:type="dxa"/>
          </w:tblCellMar>
          <w:tblLook w:val="04A0"/>
        </w:tblPrEx>
        <w:trPr>
          <w:trHeight w:val="255"/>
        </w:trPr>
        <w:tc>
          <w:tcPr>
            <w:tcW w:w="182"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 </w:t>
            </w:r>
          </w:p>
        </w:tc>
        <w:tc>
          <w:tcPr>
            <w:tcW w:w="163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4. Základný výskum v ostatných štát. organizáciách</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3 237 242</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3 269 285</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3 129 944</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3 141 101</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3 129 944</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3 129 944</w:t>
            </w:r>
          </w:p>
        </w:tc>
        <w:tc>
          <w:tcPr>
            <w:tcW w:w="44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3 129 944</w:t>
            </w:r>
          </w:p>
        </w:tc>
      </w:tr>
      <w:tr>
        <w:tblPrEx>
          <w:tblW w:w="5424" w:type="pct"/>
          <w:tblInd w:w="-459" w:type="dxa"/>
          <w:tblLayout w:type="fixed"/>
          <w:tblCellMar>
            <w:left w:w="70" w:type="dxa"/>
            <w:right w:w="70" w:type="dxa"/>
          </w:tblCellMar>
          <w:tblLook w:val="04A0"/>
        </w:tblPrEx>
        <w:trPr>
          <w:trHeight w:val="255"/>
        </w:trPr>
        <w:tc>
          <w:tcPr>
            <w:tcW w:w="1817" w:type="pct"/>
            <w:gridSpan w:val="2"/>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b/>
                <w:bCs/>
                <w:sz w:val="14"/>
                <w:szCs w:val="14"/>
                <w:lang w:eastAsia="sk-SK"/>
              </w:rPr>
            </w:pPr>
            <w:r w:rsidRPr="00A94288">
              <w:rPr>
                <w:rFonts w:ascii="Times New Roman" w:hAnsi="Times New Roman" w:cs="Times New Roman"/>
                <w:sz w:val="14"/>
                <w:szCs w:val="14"/>
                <w:lang w:eastAsia="sk-SK"/>
              </w:rPr>
              <w:t> </w:t>
            </w:r>
            <w:r w:rsidRPr="00A94288">
              <w:rPr>
                <w:rFonts w:ascii="Times New Roman" w:hAnsi="Times New Roman" w:cs="Times New Roman"/>
                <w:b/>
                <w:bCs/>
                <w:sz w:val="14"/>
                <w:szCs w:val="14"/>
                <w:lang w:eastAsia="sk-SK"/>
              </w:rPr>
              <w:t>Prostriedky  EÚ a spolufin. zo ŠR v MŠVVŠ SR</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52 690 939</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38 421 566</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299 880 814</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135 949 529</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355 592 355</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324 302 833</w:t>
            </w:r>
          </w:p>
        </w:tc>
        <w:tc>
          <w:tcPr>
            <w:tcW w:w="44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192 909 965</w:t>
            </w:r>
          </w:p>
        </w:tc>
      </w:tr>
      <w:tr>
        <w:tblPrEx>
          <w:tblW w:w="5424" w:type="pct"/>
          <w:tblInd w:w="-459" w:type="dxa"/>
          <w:tblLayout w:type="fixed"/>
          <w:tblCellMar>
            <w:left w:w="70" w:type="dxa"/>
            <w:right w:w="70" w:type="dxa"/>
          </w:tblCellMar>
          <w:tblLook w:val="04A0"/>
        </w:tblPrEx>
        <w:trPr>
          <w:trHeight w:val="255"/>
        </w:trPr>
        <w:tc>
          <w:tcPr>
            <w:tcW w:w="1817" w:type="pct"/>
            <w:gridSpan w:val="2"/>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b/>
                <w:bCs/>
                <w:sz w:val="14"/>
                <w:szCs w:val="14"/>
                <w:lang w:eastAsia="sk-SK"/>
              </w:rPr>
            </w:pPr>
            <w:r w:rsidRPr="00A94288">
              <w:rPr>
                <w:rFonts w:ascii="Times New Roman" w:hAnsi="Times New Roman" w:cs="Times New Roman"/>
                <w:sz w:val="14"/>
                <w:szCs w:val="14"/>
                <w:lang w:eastAsia="sk-SK"/>
              </w:rPr>
              <w:t> </w:t>
            </w:r>
            <w:r w:rsidRPr="00A94288">
              <w:rPr>
                <w:rFonts w:ascii="Times New Roman" w:hAnsi="Times New Roman" w:cs="Times New Roman"/>
                <w:b/>
                <w:bCs/>
                <w:sz w:val="14"/>
                <w:szCs w:val="14"/>
                <w:lang w:eastAsia="sk-SK"/>
              </w:rPr>
              <w:t>Slovenská akadémia vied</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67 995 048</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75 728 132</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56 362 592</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71 803 789</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55 802 171</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55 739 302</w:t>
            </w:r>
          </w:p>
        </w:tc>
        <w:tc>
          <w:tcPr>
            <w:tcW w:w="44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55 739 302</w:t>
            </w:r>
          </w:p>
        </w:tc>
      </w:tr>
      <w:tr>
        <w:tblPrEx>
          <w:tblW w:w="5424" w:type="pct"/>
          <w:tblInd w:w="-459" w:type="dxa"/>
          <w:tblLayout w:type="fixed"/>
          <w:tblCellMar>
            <w:left w:w="70" w:type="dxa"/>
            <w:right w:w="70" w:type="dxa"/>
          </w:tblCellMar>
          <w:tblLook w:val="04A0"/>
        </w:tblPrEx>
        <w:trPr>
          <w:trHeight w:val="255"/>
        </w:trPr>
        <w:tc>
          <w:tcPr>
            <w:tcW w:w="1817" w:type="pct"/>
            <w:gridSpan w:val="2"/>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b/>
                <w:bCs/>
                <w:sz w:val="14"/>
                <w:szCs w:val="14"/>
                <w:lang w:eastAsia="sk-SK"/>
              </w:rPr>
            </w:pPr>
            <w:r w:rsidRPr="00A94288">
              <w:rPr>
                <w:rFonts w:ascii="Times New Roman" w:hAnsi="Times New Roman" w:cs="Times New Roman"/>
                <w:sz w:val="14"/>
                <w:szCs w:val="14"/>
                <w:lang w:eastAsia="sk-SK"/>
              </w:rPr>
              <w:t> </w:t>
            </w:r>
            <w:r w:rsidRPr="00A94288">
              <w:rPr>
                <w:rFonts w:ascii="Times New Roman" w:hAnsi="Times New Roman" w:cs="Times New Roman"/>
                <w:b/>
                <w:bCs/>
                <w:sz w:val="14"/>
                <w:szCs w:val="14"/>
                <w:lang w:eastAsia="sk-SK"/>
              </w:rPr>
              <w:t xml:space="preserve">Rezortná veda </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29 849 698</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23 998 175</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19 021 859</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19 608 053</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17 859 040</w:t>
            </w:r>
          </w:p>
        </w:tc>
        <w:tc>
          <w:tcPr>
            <w:tcW w:w="456"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20 361 620</w:t>
            </w:r>
          </w:p>
        </w:tc>
        <w:tc>
          <w:tcPr>
            <w:tcW w:w="44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20 290 746</w:t>
            </w:r>
          </w:p>
        </w:tc>
      </w:tr>
    </w:tbl>
    <w:p w:rsidR="00CB350B" w:rsidRPr="00432A91" w:rsidP="00CB350B">
      <w:pPr>
        <w:bidi w:val="0"/>
        <w:ind w:firstLine="708"/>
        <w:jc w:val="both"/>
        <w:rPr>
          <w:rFonts w:ascii="Times New Roman" w:hAnsi="Times New Roman" w:cs="Times New Roman"/>
        </w:rPr>
      </w:pPr>
    </w:p>
    <w:p w:rsidR="00CB350B" w:rsidRPr="00432A91" w:rsidP="00CB350B">
      <w:pPr>
        <w:bidi w:val="0"/>
        <w:ind w:firstLine="708"/>
        <w:jc w:val="both"/>
        <w:rPr>
          <w:rFonts w:ascii="Times New Roman" w:hAnsi="Times New Roman" w:cs="Times New Roman"/>
        </w:rPr>
      </w:pPr>
      <w:r w:rsidRPr="00432A91">
        <w:rPr>
          <w:rFonts w:ascii="Times New Roman" w:hAnsi="Times New Roman" w:cs="Times New Roman"/>
        </w:rPr>
        <w:t>Verejné výdavky na vedu a techniku v roku 2012 z verejných zdrojov sa predpokladajú vo výške 584 mil. eur, čo predstavuje nárast</w:t>
      </w:r>
      <w:r w:rsidRPr="00432A91">
        <w:rPr>
          <w:rFonts w:ascii="Times New Roman" w:hAnsi="Times New Roman" w:cs="Times New Roman"/>
          <w:b/>
          <w:bCs/>
        </w:rPr>
        <w:t xml:space="preserve"> </w:t>
      </w:r>
      <w:r w:rsidRPr="00432A91">
        <w:rPr>
          <w:rFonts w:ascii="Times New Roman" w:hAnsi="Times New Roman" w:cs="Times New Roman"/>
        </w:rPr>
        <w:t xml:space="preserve">oproti schválenému rozpočtu roku 2011 o 18,1 </w:t>
      </w:r>
      <w:r w:rsidRPr="00432A91">
        <w:rPr>
          <w:rFonts w:ascii="Times New Roman" w:hAnsi="Times New Roman" w:cs="Times New Roman"/>
          <w:bCs/>
        </w:rPr>
        <w:t>%</w:t>
      </w:r>
      <w:r w:rsidRPr="00432A91">
        <w:rPr>
          <w:rFonts w:ascii="Times New Roman" w:hAnsi="Times New Roman" w:cs="Times New Roman"/>
        </w:rPr>
        <w:t xml:space="preserve">. </w:t>
      </w:r>
    </w:p>
    <w:p w:rsidR="00CB350B" w:rsidRPr="00432A91" w:rsidP="00CB350B">
      <w:pPr>
        <w:bidi w:val="0"/>
        <w:ind w:firstLine="708"/>
        <w:jc w:val="both"/>
        <w:rPr>
          <w:rFonts w:ascii="Times New Roman" w:hAnsi="Times New Roman" w:cs="Times New Roman"/>
        </w:rPr>
      </w:pPr>
    </w:p>
    <w:p w:rsidR="00CB350B" w:rsidRPr="003F017B" w:rsidP="00CB350B">
      <w:pPr>
        <w:bidi w:val="0"/>
        <w:ind w:firstLine="708"/>
        <w:jc w:val="both"/>
        <w:rPr>
          <w:rFonts w:ascii="Times New Roman" w:hAnsi="Times New Roman" w:cs="Times New Roman"/>
        </w:rPr>
      </w:pPr>
      <w:r w:rsidRPr="00432A91">
        <w:rPr>
          <w:rFonts w:ascii="Times New Roman" w:hAnsi="Times New Roman" w:cs="Times New Roman"/>
        </w:rPr>
        <w:t xml:space="preserve">Výdavky </w:t>
      </w:r>
      <w:r w:rsidRPr="003F017B">
        <w:rPr>
          <w:rFonts w:ascii="Times New Roman" w:hAnsi="Times New Roman" w:cs="Times New Roman"/>
        </w:rPr>
        <w:t xml:space="preserve">MŠVVŠ SR na vedu a techniku sú tvorené hlavne výdavkami na podporu </w:t>
      </w:r>
      <w:r w:rsidRPr="003F017B">
        <w:rPr>
          <w:rFonts w:ascii="Times New Roman" w:hAnsi="Times New Roman" w:cs="Times New Roman"/>
          <w:bCs/>
        </w:rPr>
        <w:t>vysokoškolskej vedy a techniky vrátane</w:t>
      </w:r>
      <w:r w:rsidRPr="003F017B">
        <w:rPr>
          <w:rFonts w:ascii="Times New Roman" w:hAnsi="Times New Roman" w:cs="Times New Roman"/>
        </w:rPr>
        <w:t xml:space="preserve"> </w:t>
      </w:r>
      <w:r w:rsidRPr="003F017B">
        <w:rPr>
          <w:rFonts w:ascii="Times New Roman" w:hAnsi="Times New Roman" w:cs="Times New Roman"/>
          <w:bCs/>
        </w:rPr>
        <w:t>mzdových výdavkov pedagogických pracovníkov vysokých škôl</w:t>
      </w:r>
      <w:r w:rsidRPr="003F017B">
        <w:rPr>
          <w:rFonts w:ascii="Times New Roman" w:hAnsi="Times New Roman" w:cs="Times New Roman"/>
        </w:rPr>
        <w:t xml:space="preserve">, ktorých pracovnou náplňou je aj vedecká činnosť. Oproti schválenému rozpočtu na rok 2011 dochádza od roku 2012 k nárastu výdavkov o 35,1 mil. eur z dôvodu posilnenia výdavkov rozpísaných v rámci verejných vysokých škôl práve na oblasť podpory </w:t>
      </w:r>
      <w:r w:rsidRPr="003F017B">
        <w:rPr>
          <w:rFonts w:ascii="Times New Roman" w:hAnsi="Times New Roman" w:cs="Times New Roman"/>
          <w:bCs/>
        </w:rPr>
        <w:t>vysokoškolskej vedy a techniky</w:t>
      </w:r>
      <w:r w:rsidRPr="003F017B">
        <w:rPr>
          <w:rFonts w:ascii="Times New Roman" w:hAnsi="Times New Roman" w:cs="Times New Roman"/>
        </w:rPr>
        <w:t xml:space="preserve">. </w:t>
      </w:r>
    </w:p>
    <w:p w:rsidR="00CB350B" w:rsidRPr="003F017B" w:rsidP="00CB350B">
      <w:pPr>
        <w:bidi w:val="0"/>
        <w:jc w:val="both"/>
        <w:rPr>
          <w:rFonts w:ascii="Times New Roman" w:hAnsi="Times New Roman" w:cs="Times New Roman"/>
        </w:rPr>
      </w:pPr>
    </w:p>
    <w:p w:rsidR="00CB350B" w:rsidRPr="003F017B" w:rsidP="00CB350B">
      <w:pPr>
        <w:bidi w:val="0"/>
        <w:ind w:firstLine="708"/>
        <w:jc w:val="both"/>
        <w:rPr>
          <w:rFonts w:ascii="Times New Roman" w:hAnsi="Times New Roman" w:cs="Times New Roman"/>
          <w:bCs/>
        </w:rPr>
      </w:pPr>
      <w:r w:rsidRPr="003F017B">
        <w:rPr>
          <w:rFonts w:ascii="Times New Roman" w:hAnsi="Times New Roman" w:cs="Times New Roman"/>
          <w:bCs/>
        </w:rPr>
        <w:t>Agentúra na podporu výskumu a vývoja</w:t>
      </w:r>
      <w:r w:rsidRPr="003F017B">
        <w:rPr>
          <w:rFonts w:ascii="Times New Roman" w:hAnsi="Times New Roman" w:cs="Times New Roman"/>
        </w:rPr>
        <w:t xml:space="preserve"> (APVV) predstavuje významnú položku výdavkov na vedu a techniku z ministerstva školstva. Jej výdavky rastú oproti schválenému rozpočtu na rok 2011 o 1,29 mil. eur (</w:t>
      </w:r>
      <w:r w:rsidRPr="003F017B">
        <w:rPr>
          <w:rFonts w:ascii="Times New Roman" w:hAnsi="Times New Roman" w:cs="Times New Roman"/>
          <w:bCs/>
        </w:rPr>
        <w:t>6,8</w:t>
      </w:r>
      <w:r>
        <w:rPr>
          <w:rFonts w:ascii="Times New Roman" w:hAnsi="Times New Roman" w:cs="Times New Roman"/>
          <w:bCs/>
        </w:rPr>
        <w:t xml:space="preserve"> </w:t>
      </w:r>
      <w:r w:rsidRPr="003F017B">
        <w:rPr>
          <w:rFonts w:ascii="Times New Roman" w:hAnsi="Times New Roman" w:cs="Times New Roman"/>
          <w:bCs/>
        </w:rPr>
        <w:t xml:space="preserve">%). </w:t>
      </w:r>
    </w:p>
    <w:p w:rsidR="00CB350B" w:rsidRPr="003F017B" w:rsidP="00CB350B">
      <w:pPr>
        <w:bidi w:val="0"/>
        <w:jc w:val="both"/>
        <w:rPr>
          <w:rFonts w:ascii="Times New Roman" w:hAnsi="Times New Roman" w:cs="Times New Roman"/>
        </w:rPr>
      </w:pPr>
    </w:p>
    <w:p w:rsidR="00CB350B" w:rsidRPr="00432A91" w:rsidP="00CB350B">
      <w:pPr>
        <w:bidi w:val="0"/>
        <w:ind w:firstLine="708"/>
        <w:jc w:val="both"/>
        <w:rPr>
          <w:rFonts w:ascii="Times New Roman" w:hAnsi="Times New Roman" w:cs="Times New Roman"/>
        </w:rPr>
      </w:pPr>
      <w:r w:rsidRPr="003F017B">
        <w:rPr>
          <w:rFonts w:ascii="Times New Roman" w:hAnsi="Times New Roman" w:cs="Times New Roman"/>
        </w:rPr>
        <w:t>Ďalším zdrojom financovania vedy</w:t>
      </w:r>
      <w:r w:rsidRPr="00432A91">
        <w:rPr>
          <w:rFonts w:ascii="Times New Roman" w:hAnsi="Times New Roman" w:cs="Times New Roman"/>
        </w:rPr>
        <w:t xml:space="preserve"> a techniky z verejných zdrojov v kapitole MŠVVŠ</w:t>
      </w:r>
      <w:r>
        <w:rPr>
          <w:rFonts w:ascii="Times New Roman" w:hAnsi="Times New Roman" w:cs="Times New Roman"/>
        </w:rPr>
        <w:t> </w:t>
      </w:r>
      <w:r w:rsidRPr="00432A91">
        <w:rPr>
          <w:rFonts w:ascii="Times New Roman" w:hAnsi="Times New Roman" w:cs="Times New Roman"/>
        </w:rPr>
        <w:t xml:space="preserve">SR sú aj </w:t>
      </w:r>
      <w:r w:rsidRPr="00432A91">
        <w:rPr>
          <w:rFonts w:ascii="Times New Roman" w:hAnsi="Times New Roman" w:cs="Times New Roman"/>
          <w:bCs/>
        </w:rPr>
        <w:t>finančné zdroje zo štrukturálnych fondov EÚ</w:t>
      </w:r>
      <w:r w:rsidRPr="00432A91">
        <w:rPr>
          <w:rFonts w:ascii="Times New Roman" w:hAnsi="Times New Roman" w:cs="Times New Roman"/>
        </w:rPr>
        <w:t>, ktoré predstavujú sumu vo výške 356 mil. eur. Nárast týchto zdrojov oproti schválenému rozpočtu roku 2011 predstavuje 18,6</w:t>
      </w:r>
      <w:r>
        <w:rPr>
          <w:rFonts w:ascii="Times New Roman" w:hAnsi="Times New Roman" w:cs="Times New Roman"/>
        </w:rPr>
        <w:t xml:space="preserve"> </w:t>
      </w:r>
      <w:r w:rsidRPr="00432A91">
        <w:rPr>
          <w:rFonts w:ascii="Times New Roman" w:hAnsi="Times New Roman" w:cs="Times New Roman"/>
        </w:rPr>
        <w:t>%, čo vyplýva z vyššej alokácie celkových zdrojov štrukturálnych fondov vrátane spolufinancovania. Efektívne čerpanie týchto výdavkov spočíva len na kvalitne vypracovaných projektoch predložených vedeckou obcou v súlade s OP Výskum a vývoj a OP Vzdelávanie. Okrem toho môž</w:t>
      </w:r>
      <w:r>
        <w:rPr>
          <w:rFonts w:ascii="Times New Roman" w:hAnsi="Times New Roman" w:cs="Times New Roman"/>
        </w:rPr>
        <w:t>u</w:t>
      </w:r>
      <w:r w:rsidRPr="00432A91">
        <w:rPr>
          <w:rFonts w:ascii="Times New Roman" w:hAnsi="Times New Roman" w:cs="Times New Roman"/>
        </w:rPr>
        <w:t xml:space="preserve"> slovenské subjekty čerpať na vedecké projekty zdroje aj zo 7. rámcového programu EÚ. </w:t>
      </w:r>
    </w:p>
    <w:p w:rsidR="00CB350B" w:rsidRPr="00432A91" w:rsidP="00CB350B">
      <w:pPr>
        <w:bidi w:val="0"/>
        <w:jc w:val="both"/>
        <w:rPr>
          <w:rFonts w:ascii="Times New Roman" w:hAnsi="Times New Roman" w:cs="Times New Roman"/>
        </w:rPr>
      </w:pPr>
    </w:p>
    <w:p w:rsidR="00CB350B" w:rsidRPr="00432A91" w:rsidP="00CB350B">
      <w:pPr>
        <w:bidi w:val="0"/>
        <w:ind w:firstLine="708"/>
        <w:jc w:val="both"/>
        <w:rPr>
          <w:rFonts w:ascii="Times New Roman" w:hAnsi="Times New Roman" w:cs="Times New Roman"/>
        </w:rPr>
      </w:pPr>
      <w:r w:rsidRPr="00432A91">
        <w:rPr>
          <w:rFonts w:ascii="Times New Roman" w:hAnsi="Times New Roman" w:cs="Times New Roman"/>
          <w:bCs/>
        </w:rPr>
        <w:t>Slovenská akadémia vied</w:t>
      </w:r>
      <w:r w:rsidRPr="00432A91">
        <w:rPr>
          <w:rFonts w:ascii="Times New Roman" w:hAnsi="Times New Roman" w:cs="Times New Roman"/>
        </w:rPr>
        <w:t xml:space="preserve"> ako najvýznamnejší predstaviteľ základného výskumu v Slovenskej republike predstavuje druhú najväčšiu položku na celkovej sume výdavkov na základný výskum, a to 55,8 mil. eur </w:t>
      </w:r>
      <w:r>
        <w:rPr>
          <w:rFonts w:ascii="Times New Roman" w:hAnsi="Times New Roman" w:cs="Times New Roman"/>
        </w:rPr>
        <w:t>na</w:t>
      </w:r>
      <w:r w:rsidRPr="00432A91">
        <w:rPr>
          <w:rFonts w:ascii="Times New Roman" w:hAnsi="Times New Roman" w:cs="Times New Roman"/>
        </w:rPr>
        <w:t xml:space="preserve"> rok 2012. Pokles výdavkov SAV oproti roku 2011 je vo výške 0,99</w:t>
      </w:r>
      <w:r>
        <w:rPr>
          <w:rFonts w:ascii="Times New Roman" w:hAnsi="Times New Roman" w:cs="Times New Roman"/>
        </w:rPr>
        <w:t xml:space="preserve"> % z dôvodu, že limit na</w:t>
      </w:r>
      <w:r w:rsidRPr="00432A91">
        <w:rPr>
          <w:rFonts w:ascii="Times New Roman" w:hAnsi="Times New Roman" w:cs="Times New Roman"/>
        </w:rPr>
        <w:t xml:space="preserve"> rok 2011 bol znížen</w:t>
      </w:r>
      <w:r>
        <w:rPr>
          <w:rFonts w:ascii="Times New Roman" w:hAnsi="Times New Roman" w:cs="Times New Roman"/>
        </w:rPr>
        <w:t>ý o prijaté úsporné opatrenie 5</w:t>
      </w:r>
      <w:r w:rsidRPr="00432A91">
        <w:rPr>
          <w:rFonts w:ascii="Times New Roman" w:hAnsi="Times New Roman" w:cs="Times New Roman"/>
        </w:rPr>
        <w:t xml:space="preserve">% viazanie výdavkov v kategórii tovary a služby. </w:t>
      </w:r>
    </w:p>
    <w:p w:rsidR="00CB350B" w:rsidRPr="00432A91" w:rsidP="00CB350B">
      <w:pPr>
        <w:bidi w:val="0"/>
        <w:jc w:val="both"/>
        <w:rPr>
          <w:rFonts w:ascii="Times New Roman" w:hAnsi="Times New Roman" w:cs="Times New Roman"/>
          <w:b/>
        </w:rPr>
      </w:pPr>
    </w:p>
    <w:p w:rsidR="00CB350B" w:rsidP="00CB350B">
      <w:pPr>
        <w:bidi w:val="0"/>
        <w:jc w:val="both"/>
        <w:rPr>
          <w:rFonts w:ascii="Times New Roman" w:hAnsi="Times New Roman" w:cs="Times New Roman"/>
          <w:b/>
        </w:rPr>
      </w:pPr>
      <w:r w:rsidRPr="00432A91">
        <w:rPr>
          <w:rFonts w:ascii="Times New Roman" w:hAnsi="Times New Roman" w:cs="Times New Roman"/>
          <w:b/>
        </w:rPr>
        <w:t>Šport</w:t>
      </w:r>
    </w:p>
    <w:p w:rsidR="00CB350B" w:rsidRPr="00432A91" w:rsidP="00CB350B">
      <w:pPr>
        <w:bidi w:val="0"/>
        <w:jc w:val="both"/>
        <w:rPr>
          <w:rFonts w:ascii="Times New Roman" w:hAnsi="Times New Roman" w:cs="Times New Roman"/>
          <w:b/>
        </w:rPr>
      </w:pPr>
    </w:p>
    <w:tbl>
      <w:tblPr>
        <w:tblStyle w:val="TableNormal"/>
        <w:tblW w:w="5000" w:type="pct"/>
        <w:tblCellMar>
          <w:left w:w="70" w:type="dxa"/>
          <w:right w:w="70" w:type="dxa"/>
        </w:tblCellMar>
        <w:tblLook w:val="04A0"/>
      </w:tblPr>
      <w:tblGrid>
        <w:gridCol w:w="2759"/>
        <w:gridCol w:w="975"/>
        <w:gridCol w:w="919"/>
        <w:gridCol w:w="919"/>
        <w:gridCol w:w="919"/>
        <w:gridCol w:w="919"/>
        <w:gridCol w:w="919"/>
        <w:gridCol w:w="883"/>
      </w:tblGrid>
      <w:tr>
        <w:tblPrEx>
          <w:tblW w:w="5000" w:type="pct"/>
          <w:tblCellMar>
            <w:left w:w="70" w:type="dxa"/>
            <w:right w:w="70" w:type="dxa"/>
          </w:tblCellMar>
          <w:tblLook w:val="04A0"/>
        </w:tblPrEx>
        <w:trPr>
          <w:trHeight w:val="255"/>
        </w:trPr>
        <w:tc>
          <w:tcPr>
            <w:tcW w:w="1497"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B350B" w:rsidRPr="00A94288" w:rsidP="00257E12">
            <w:pPr>
              <w:bidi w:val="0"/>
              <w:rPr>
                <w:rFonts w:ascii="Times New Roman" w:hAnsi="Times New Roman" w:cs="Times New Roman"/>
                <w:b/>
                <w:sz w:val="14"/>
                <w:szCs w:val="14"/>
                <w:lang w:eastAsia="sk-SK"/>
              </w:rPr>
            </w:pPr>
            <w:r w:rsidRPr="00A94288">
              <w:rPr>
                <w:rFonts w:ascii="Times New Roman" w:hAnsi="Times New Roman" w:cs="Times New Roman"/>
                <w:b/>
                <w:sz w:val="14"/>
                <w:szCs w:val="14"/>
                <w:lang w:eastAsia="sk-SK"/>
              </w:rPr>
              <w:t>v eurách</w:t>
            </w:r>
          </w:p>
        </w:tc>
        <w:tc>
          <w:tcPr>
            <w:tcW w:w="529"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2009 S</w:t>
            </w:r>
          </w:p>
        </w:tc>
        <w:tc>
          <w:tcPr>
            <w:tcW w:w="499"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2010 S</w:t>
            </w:r>
          </w:p>
        </w:tc>
        <w:tc>
          <w:tcPr>
            <w:tcW w:w="499"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2011R</w:t>
            </w:r>
          </w:p>
        </w:tc>
        <w:tc>
          <w:tcPr>
            <w:tcW w:w="499"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2011 OS</w:t>
            </w:r>
          </w:p>
        </w:tc>
        <w:tc>
          <w:tcPr>
            <w:tcW w:w="499"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2012 N</w:t>
            </w:r>
          </w:p>
        </w:tc>
        <w:tc>
          <w:tcPr>
            <w:tcW w:w="499"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2013 N</w:t>
            </w:r>
          </w:p>
        </w:tc>
        <w:tc>
          <w:tcPr>
            <w:tcW w:w="479"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2014 N</w:t>
            </w:r>
          </w:p>
        </w:tc>
      </w:tr>
      <w:tr>
        <w:tblPrEx>
          <w:tblW w:w="5000" w:type="pct"/>
          <w:tblCellMar>
            <w:left w:w="70" w:type="dxa"/>
            <w:right w:w="70" w:type="dxa"/>
          </w:tblCellMar>
          <w:tblLook w:val="04A0"/>
        </w:tblPrEx>
        <w:trPr>
          <w:trHeight w:val="255"/>
        </w:trPr>
        <w:tc>
          <w:tcPr>
            <w:tcW w:w="1497" w:type="pct"/>
            <w:tcBorders>
              <w:top w:val="nil"/>
              <w:left w:val="single" w:sz="4" w:space="0" w:color="auto"/>
              <w:bottom w:val="single" w:sz="4" w:space="0" w:color="auto"/>
              <w:right w:val="single" w:sz="4" w:space="0" w:color="auto"/>
            </w:tcBorders>
            <w:shd w:val="clear" w:color="000000" w:fill="BFBFBF"/>
            <w:noWrap/>
            <w:textDirection w:val="lrTb"/>
            <w:vAlign w:val="bottom"/>
            <w:hideMark/>
          </w:tcPr>
          <w:p w:rsidR="00CB350B" w:rsidRPr="00A94288" w:rsidP="00257E12">
            <w:pPr>
              <w:bidi w:val="0"/>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Zdroje štátneho rozpočtu</w:t>
            </w:r>
          </w:p>
        </w:tc>
        <w:tc>
          <w:tcPr>
            <w:tcW w:w="529" w:type="pct"/>
            <w:tcBorders>
              <w:top w:val="nil"/>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56 680 851</w:t>
            </w:r>
          </w:p>
        </w:tc>
        <w:tc>
          <w:tcPr>
            <w:tcW w:w="499" w:type="pct"/>
            <w:tcBorders>
              <w:top w:val="nil"/>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92 319 306</w:t>
            </w:r>
          </w:p>
        </w:tc>
        <w:tc>
          <w:tcPr>
            <w:tcW w:w="499" w:type="pct"/>
            <w:tcBorders>
              <w:top w:val="nil"/>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32 833 411</w:t>
            </w:r>
          </w:p>
        </w:tc>
        <w:tc>
          <w:tcPr>
            <w:tcW w:w="499" w:type="pct"/>
            <w:tcBorders>
              <w:top w:val="nil"/>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35 601 184</w:t>
            </w:r>
          </w:p>
        </w:tc>
        <w:tc>
          <w:tcPr>
            <w:tcW w:w="499" w:type="pct"/>
            <w:tcBorders>
              <w:top w:val="nil"/>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36 009 470</w:t>
            </w:r>
          </w:p>
        </w:tc>
        <w:tc>
          <w:tcPr>
            <w:tcW w:w="499" w:type="pct"/>
            <w:tcBorders>
              <w:top w:val="nil"/>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35 999 470</w:t>
            </w:r>
          </w:p>
        </w:tc>
        <w:tc>
          <w:tcPr>
            <w:tcW w:w="479" w:type="pct"/>
            <w:tcBorders>
              <w:top w:val="nil"/>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36 004 470</w:t>
            </w:r>
          </w:p>
        </w:tc>
      </w:tr>
      <w:tr>
        <w:tblPrEx>
          <w:tblW w:w="5000" w:type="pct"/>
          <w:tblCellMar>
            <w:left w:w="70" w:type="dxa"/>
            <w:right w:w="70" w:type="dxa"/>
          </w:tblCellMar>
          <w:tblLook w:val="04A0"/>
        </w:tblPrEx>
        <w:trPr>
          <w:trHeight w:val="255"/>
        </w:trPr>
        <w:tc>
          <w:tcPr>
            <w:tcW w:w="1497" w:type="pct"/>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CB350B" w:rsidRPr="00A94288" w:rsidP="00257E12">
            <w:pPr>
              <w:bidi w:val="0"/>
              <w:rPr>
                <w:rFonts w:ascii="Times New Roman" w:hAnsi="Times New Roman" w:cs="Times New Roman"/>
                <w:color w:val="000000"/>
                <w:sz w:val="14"/>
                <w:szCs w:val="14"/>
                <w:lang w:eastAsia="sk-SK"/>
              </w:rPr>
            </w:pPr>
            <w:r w:rsidRPr="00A94288">
              <w:rPr>
                <w:rFonts w:ascii="Times New Roman" w:hAnsi="Times New Roman" w:cs="Times New Roman"/>
                <w:color w:val="000000"/>
                <w:sz w:val="14"/>
                <w:szCs w:val="14"/>
                <w:lang w:eastAsia="sk-SK"/>
              </w:rPr>
              <w:t>Ministerstvo školstva SR</w:t>
            </w:r>
          </w:p>
        </w:tc>
        <w:tc>
          <w:tcPr>
            <w:tcW w:w="52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color w:val="000000"/>
                <w:sz w:val="14"/>
                <w:szCs w:val="14"/>
                <w:lang w:eastAsia="sk-SK"/>
              </w:rPr>
            </w:pPr>
            <w:r w:rsidRPr="00A94288">
              <w:rPr>
                <w:rFonts w:ascii="Times New Roman" w:hAnsi="Times New Roman" w:cs="Times New Roman"/>
                <w:color w:val="000000"/>
                <w:sz w:val="14"/>
                <w:szCs w:val="14"/>
                <w:lang w:eastAsia="sk-SK"/>
              </w:rPr>
              <w:t>39 606 334</w:t>
            </w:r>
          </w:p>
        </w:tc>
        <w:tc>
          <w:tcPr>
            <w:tcW w:w="49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color w:val="000000"/>
                <w:sz w:val="14"/>
                <w:szCs w:val="14"/>
                <w:lang w:eastAsia="sk-SK"/>
              </w:rPr>
            </w:pPr>
            <w:r w:rsidRPr="00A94288">
              <w:rPr>
                <w:rFonts w:ascii="Times New Roman" w:hAnsi="Times New Roman" w:cs="Times New Roman"/>
                <w:color w:val="000000"/>
                <w:sz w:val="14"/>
                <w:szCs w:val="14"/>
                <w:lang w:eastAsia="sk-SK"/>
              </w:rPr>
              <w:t>74 748 224</w:t>
            </w:r>
          </w:p>
        </w:tc>
        <w:tc>
          <w:tcPr>
            <w:tcW w:w="49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color w:val="000000"/>
                <w:sz w:val="14"/>
                <w:szCs w:val="14"/>
                <w:lang w:eastAsia="sk-SK"/>
              </w:rPr>
            </w:pPr>
            <w:r w:rsidRPr="00A94288">
              <w:rPr>
                <w:rFonts w:ascii="Times New Roman" w:hAnsi="Times New Roman" w:cs="Times New Roman"/>
                <w:color w:val="000000"/>
                <w:sz w:val="14"/>
                <w:szCs w:val="14"/>
                <w:lang w:eastAsia="sk-SK"/>
              </w:rPr>
              <w:t>27 458 020</w:t>
            </w:r>
          </w:p>
        </w:tc>
        <w:tc>
          <w:tcPr>
            <w:tcW w:w="49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color w:val="000000"/>
                <w:sz w:val="14"/>
                <w:szCs w:val="14"/>
                <w:lang w:eastAsia="sk-SK"/>
              </w:rPr>
            </w:pPr>
            <w:r w:rsidRPr="00A94288">
              <w:rPr>
                <w:rFonts w:ascii="Times New Roman" w:hAnsi="Times New Roman" w:cs="Times New Roman"/>
                <w:color w:val="000000"/>
                <w:sz w:val="14"/>
                <w:szCs w:val="14"/>
                <w:lang w:eastAsia="sk-SK"/>
              </w:rPr>
              <w:t>28 458 020</w:t>
            </w:r>
          </w:p>
        </w:tc>
        <w:tc>
          <w:tcPr>
            <w:tcW w:w="49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color w:val="000000"/>
                <w:sz w:val="14"/>
                <w:szCs w:val="14"/>
                <w:lang w:eastAsia="sk-SK"/>
              </w:rPr>
            </w:pPr>
            <w:r w:rsidRPr="00A94288">
              <w:rPr>
                <w:rFonts w:ascii="Times New Roman" w:hAnsi="Times New Roman" w:cs="Times New Roman"/>
                <w:color w:val="000000"/>
                <w:sz w:val="14"/>
                <w:szCs w:val="14"/>
                <w:lang w:eastAsia="sk-SK"/>
              </w:rPr>
              <w:t>30 414 925</w:t>
            </w:r>
          </w:p>
        </w:tc>
        <w:tc>
          <w:tcPr>
            <w:tcW w:w="49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color w:val="000000"/>
                <w:sz w:val="14"/>
                <w:szCs w:val="14"/>
                <w:lang w:eastAsia="sk-SK"/>
              </w:rPr>
            </w:pPr>
            <w:r w:rsidRPr="00A94288">
              <w:rPr>
                <w:rFonts w:ascii="Times New Roman" w:hAnsi="Times New Roman" w:cs="Times New Roman"/>
                <w:color w:val="000000"/>
                <w:sz w:val="14"/>
                <w:szCs w:val="14"/>
                <w:lang w:eastAsia="sk-SK"/>
              </w:rPr>
              <w:t>30 414 925</w:t>
            </w:r>
          </w:p>
        </w:tc>
        <w:tc>
          <w:tcPr>
            <w:tcW w:w="47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color w:val="000000"/>
                <w:sz w:val="14"/>
                <w:szCs w:val="14"/>
                <w:lang w:eastAsia="sk-SK"/>
              </w:rPr>
            </w:pPr>
            <w:r w:rsidRPr="00A94288">
              <w:rPr>
                <w:rFonts w:ascii="Times New Roman" w:hAnsi="Times New Roman" w:cs="Times New Roman"/>
                <w:color w:val="000000"/>
                <w:sz w:val="14"/>
                <w:szCs w:val="14"/>
                <w:lang w:eastAsia="sk-SK"/>
              </w:rPr>
              <w:t>30 414 925</w:t>
            </w:r>
          </w:p>
        </w:tc>
      </w:tr>
      <w:tr>
        <w:tblPrEx>
          <w:tblW w:w="5000" w:type="pct"/>
          <w:tblCellMar>
            <w:left w:w="70" w:type="dxa"/>
            <w:right w:w="70" w:type="dxa"/>
          </w:tblCellMar>
          <w:tblLook w:val="04A0"/>
        </w:tblPrEx>
        <w:trPr>
          <w:trHeight w:val="255"/>
        </w:trPr>
        <w:tc>
          <w:tcPr>
            <w:tcW w:w="1497" w:type="pct"/>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CB350B" w:rsidRPr="00A94288" w:rsidP="00257E12">
            <w:pPr>
              <w:bidi w:val="0"/>
              <w:rPr>
                <w:rFonts w:ascii="Times New Roman" w:hAnsi="Times New Roman" w:cs="Times New Roman"/>
                <w:color w:val="000000"/>
                <w:sz w:val="14"/>
                <w:szCs w:val="14"/>
                <w:lang w:eastAsia="sk-SK"/>
              </w:rPr>
            </w:pPr>
            <w:r w:rsidRPr="00A94288">
              <w:rPr>
                <w:rFonts w:ascii="Times New Roman" w:hAnsi="Times New Roman" w:cs="Times New Roman"/>
                <w:color w:val="000000"/>
                <w:sz w:val="14"/>
                <w:szCs w:val="14"/>
                <w:lang w:eastAsia="sk-SK"/>
              </w:rPr>
              <w:t>Ministerstvo obrany SR</w:t>
            </w:r>
          </w:p>
        </w:tc>
        <w:tc>
          <w:tcPr>
            <w:tcW w:w="529" w:type="pct"/>
            <w:tcBorders>
              <w:top w:val="nil"/>
              <w:left w:val="nil"/>
              <w:bottom w:val="single" w:sz="4" w:space="0" w:color="auto"/>
              <w:right w:val="single" w:sz="4" w:space="0" w:color="auto"/>
            </w:tcBorders>
            <w:shd w:val="clear" w:color="000000" w:fill="FFFFFF"/>
            <w:noWrap/>
            <w:textDirection w:val="lrTb"/>
            <w:vAlign w:val="bottom"/>
            <w:hideMark/>
          </w:tcPr>
          <w:p w:rsidR="00CB350B" w:rsidRPr="00A94288" w:rsidP="00257E12">
            <w:pPr>
              <w:bidi w:val="0"/>
              <w:jc w:val="right"/>
              <w:rPr>
                <w:rFonts w:ascii="Times New Roman" w:hAnsi="Times New Roman" w:cs="Times New Roman"/>
                <w:color w:val="000000"/>
                <w:sz w:val="14"/>
                <w:szCs w:val="14"/>
                <w:lang w:eastAsia="sk-SK"/>
              </w:rPr>
            </w:pPr>
            <w:r w:rsidRPr="00A94288">
              <w:rPr>
                <w:rFonts w:ascii="Times New Roman" w:hAnsi="Times New Roman" w:cs="Times New Roman"/>
                <w:color w:val="000000"/>
                <w:sz w:val="14"/>
                <w:szCs w:val="14"/>
                <w:lang w:eastAsia="sk-SK"/>
              </w:rPr>
              <w:t>4 991 570</w:t>
            </w:r>
          </w:p>
        </w:tc>
        <w:tc>
          <w:tcPr>
            <w:tcW w:w="499" w:type="pct"/>
            <w:tcBorders>
              <w:top w:val="nil"/>
              <w:left w:val="nil"/>
              <w:bottom w:val="single" w:sz="4" w:space="0" w:color="auto"/>
              <w:right w:val="single" w:sz="4" w:space="0" w:color="auto"/>
            </w:tcBorders>
            <w:shd w:val="clear" w:color="000000" w:fill="FFFFFF"/>
            <w:noWrap/>
            <w:textDirection w:val="lrTb"/>
            <w:vAlign w:val="bottom"/>
            <w:hideMark/>
          </w:tcPr>
          <w:p w:rsidR="00CB350B" w:rsidRPr="00A94288" w:rsidP="00257E12">
            <w:pPr>
              <w:bidi w:val="0"/>
              <w:jc w:val="right"/>
              <w:rPr>
                <w:rFonts w:ascii="Times New Roman" w:hAnsi="Times New Roman" w:cs="Times New Roman"/>
                <w:color w:val="000000"/>
                <w:sz w:val="14"/>
                <w:szCs w:val="14"/>
                <w:lang w:eastAsia="sk-SK"/>
              </w:rPr>
            </w:pPr>
            <w:r w:rsidRPr="00A94288">
              <w:rPr>
                <w:rFonts w:ascii="Times New Roman" w:hAnsi="Times New Roman" w:cs="Times New Roman"/>
                <w:color w:val="000000"/>
                <w:sz w:val="14"/>
                <w:szCs w:val="14"/>
                <w:lang w:eastAsia="sk-SK"/>
              </w:rPr>
              <w:t>5 919 603</w:t>
            </w:r>
          </w:p>
        </w:tc>
        <w:tc>
          <w:tcPr>
            <w:tcW w:w="49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3 842 282</w:t>
            </w:r>
          </w:p>
        </w:tc>
        <w:tc>
          <w:tcPr>
            <w:tcW w:w="49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4 889 709</w:t>
            </w:r>
          </w:p>
        </w:tc>
        <w:tc>
          <w:tcPr>
            <w:tcW w:w="49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4 145 197</w:t>
            </w:r>
          </w:p>
        </w:tc>
        <w:tc>
          <w:tcPr>
            <w:tcW w:w="49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4 135 197</w:t>
            </w:r>
          </w:p>
        </w:tc>
        <w:tc>
          <w:tcPr>
            <w:tcW w:w="47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4 140 197</w:t>
            </w:r>
          </w:p>
        </w:tc>
      </w:tr>
      <w:tr>
        <w:tblPrEx>
          <w:tblW w:w="5000" w:type="pct"/>
          <w:tblCellMar>
            <w:left w:w="70" w:type="dxa"/>
            <w:right w:w="70" w:type="dxa"/>
          </w:tblCellMar>
          <w:tblLook w:val="04A0"/>
        </w:tblPrEx>
        <w:trPr>
          <w:trHeight w:val="255"/>
        </w:trPr>
        <w:tc>
          <w:tcPr>
            <w:tcW w:w="1497" w:type="pct"/>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CB350B" w:rsidRPr="00A94288" w:rsidP="00257E12">
            <w:pPr>
              <w:bidi w:val="0"/>
              <w:rPr>
                <w:rFonts w:ascii="Times New Roman" w:hAnsi="Times New Roman" w:cs="Times New Roman"/>
                <w:color w:val="000000"/>
                <w:sz w:val="14"/>
                <w:szCs w:val="14"/>
                <w:lang w:eastAsia="sk-SK"/>
              </w:rPr>
            </w:pPr>
            <w:r w:rsidRPr="00A94288">
              <w:rPr>
                <w:rFonts w:ascii="Times New Roman" w:hAnsi="Times New Roman" w:cs="Times New Roman"/>
                <w:color w:val="000000"/>
                <w:sz w:val="14"/>
                <w:szCs w:val="14"/>
                <w:lang w:eastAsia="sk-SK"/>
              </w:rPr>
              <w:t>Ministerstvo vnútra SR</w:t>
            </w:r>
          </w:p>
        </w:tc>
        <w:tc>
          <w:tcPr>
            <w:tcW w:w="52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2 004 150</w:t>
            </w:r>
          </w:p>
        </w:tc>
        <w:tc>
          <w:tcPr>
            <w:tcW w:w="499" w:type="pct"/>
            <w:tcBorders>
              <w:top w:val="nil"/>
              <w:left w:val="nil"/>
              <w:bottom w:val="single" w:sz="4" w:space="0" w:color="auto"/>
              <w:right w:val="single" w:sz="4" w:space="0" w:color="auto"/>
            </w:tcBorders>
            <w:shd w:val="clear" w:color="000000" w:fill="FFFFFF"/>
            <w:noWrap/>
            <w:textDirection w:val="lrTb"/>
            <w:vAlign w:val="bottom"/>
            <w:hideMark/>
          </w:tcPr>
          <w:p w:rsidR="00CB350B" w:rsidRPr="00A94288" w:rsidP="00257E12">
            <w:pPr>
              <w:bidi w:val="0"/>
              <w:jc w:val="right"/>
              <w:rPr>
                <w:rFonts w:ascii="Times New Roman" w:hAnsi="Times New Roman" w:cs="Times New Roman"/>
                <w:color w:val="000000"/>
                <w:sz w:val="14"/>
                <w:szCs w:val="14"/>
                <w:lang w:eastAsia="sk-SK"/>
              </w:rPr>
            </w:pPr>
            <w:r w:rsidRPr="00A94288">
              <w:rPr>
                <w:rFonts w:ascii="Times New Roman" w:hAnsi="Times New Roman" w:cs="Times New Roman"/>
                <w:color w:val="000000"/>
                <w:sz w:val="14"/>
                <w:szCs w:val="14"/>
                <w:lang w:eastAsia="sk-SK"/>
              </w:rPr>
              <w:t>3 280 223</w:t>
            </w:r>
          </w:p>
        </w:tc>
        <w:tc>
          <w:tcPr>
            <w:tcW w:w="49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1 533 109</w:t>
            </w:r>
          </w:p>
        </w:tc>
        <w:tc>
          <w:tcPr>
            <w:tcW w:w="49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2 253 455</w:t>
            </w:r>
          </w:p>
        </w:tc>
        <w:tc>
          <w:tcPr>
            <w:tcW w:w="49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1 449 348</w:t>
            </w:r>
          </w:p>
        </w:tc>
        <w:tc>
          <w:tcPr>
            <w:tcW w:w="49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1 449 348</w:t>
            </w:r>
          </w:p>
        </w:tc>
        <w:tc>
          <w:tcPr>
            <w:tcW w:w="47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1 449 348</w:t>
            </w:r>
          </w:p>
        </w:tc>
      </w:tr>
      <w:tr>
        <w:tblPrEx>
          <w:tblW w:w="5000" w:type="pct"/>
          <w:tblCellMar>
            <w:left w:w="70" w:type="dxa"/>
            <w:right w:w="70" w:type="dxa"/>
          </w:tblCellMar>
          <w:tblLook w:val="04A0"/>
        </w:tblPrEx>
        <w:trPr>
          <w:trHeight w:val="240"/>
        </w:trPr>
        <w:tc>
          <w:tcPr>
            <w:tcW w:w="1497" w:type="pct"/>
            <w:tcBorders>
              <w:top w:val="nil"/>
              <w:left w:val="single" w:sz="4" w:space="0" w:color="auto"/>
              <w:bottom w:val="single" w:sz="4" w:space="0" w:color="auto"/>
              <w:right w:val="single" w:sz="4" w:space="0" w:color="auto"/>
            </w:tcBorders>
            <w:shd w:val="clear" w:color="000000" w:fill="FFFFFF"/>
            <w:noWrap/>
            <w:textDirection w:val="lrTb"/>
            <w:vAlign w:val="bottom"/>
            <w:hideMark/>
          </w:tcPr>
          <w:p w:rsidR="00CB350B" w:rsidRPr="00A94288" w:rsidP="00257E12">
            <w:pPr>
              <w:bidi w:val="0"/>
              <w:rPr>
                <w:rFonts w:ascii="Times New Roman" w:hAnsi="Times New Roman" w:cs="Times New Roman"/>
                <w:color w:val="000000"/>
                <w:sz w:val="14"/>
                <w:szCs w:val="14"/>
                <w:lang w:eastAsia="sk-SK"/>
              </w:rPr>
            </w:pPr>
            <w:r w:rsidRPr="00A94288">
              <w:rPr>
                <w:rFonts w:ascii="Times New Roman" w:hAnsi="Times New Roman" w:cs="Times New Roman"/>
                <w:color w:val="000000"/>
                <w:sz w:val="14"/>
                <w:szCs w:val="14"/>
                <w:lang w:eastAsia="sk-SK"/>
              </w:rPr>
              <w:t xml:space="preserve">Úrad vlády SR </w:t>
            </w:r>
          </w:p>
        </w:tc>
        <w:tc>
          <w:tcPr>
            <w:tcW w:w="52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10 078 797</w:t>
            </w:r>
          </w:p>
        </w:tc>
        <w:tc>
          <w:tcPr>
            <w:tcW w:w="499" w:type="pct"/>
            <w:tcBorders>
              <w:top w:val="nil"/>
              <w:left w:val="nil"/>
              <w:bottom w:val="single" w:sz="4" w:space="0" w:color="auto"/>
              <w:right w:val="single" w:sz="4" w:space="0" w:color="auto"/>
            </w:tcBorders>
            <w:shd w:val="clear" w:color="000000" w:fill="FFFFFF"/>
            <w:noWrap/>
            <w:textDirection w:val="lrTb"/>
            <w:vAlign w:val="bottom"/>
            <w:hideMark/>
          </w:tcPr>
          <w:p w:rsidR="00CB350B" w:rsidRPr="00A94288" w:rsidP="00257E12">
            <w:pPr>
              <w:bidi w:val="0"/>
              <w:jc w:val="right"/>
              <w:rPr>
                <w:rFonts w:ascii="Times New Roman" w:hAnsi="Times New Roman" w:cs="Times New Roman"/>
                <w:color w:val="000000"/>
                <w:sz w:val="14"/>
                <w:szCs w:val="14"/>
                <w:lang w:eastAsia="sk-SK"/>
              </w:rPr>
            </w:pPr>
            <w:r w:rsidRPr="00A94288">
              <w:rPr>
                <w:rFonts w:ascii="Times New Roman" w:hAnsi="Times New Roman" w:cs="Times New Roman"/>
                <w:color w:val="000000"/>
                <w:sz w:val="14"/>
                <w:szCs w:val="14"/>
                <w:lang w:eastAsia="sk-SK"/>
              </w:rPr>
              <w:t>8 371 256</w:t>
            </w:r>
          </w:p>
        </w:tc>
        <w:tc>
          <w:tcPr>
            <w:tcW w:w="49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w:t>
            </w:r>
          </w:p>
        </w:tc>
        <w:tc>
          <w:tcPr>
            <w:tcW w:w="49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w:t>
            </w:r>
          </w:p>
        </w:tc>
        <w:tc>
          <w:tcPr>
            <w:tcW w:w="49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w:t>
            </w:r>
          </w:p>
        </w:tc>
        <w:tc>
          <w:tcPr>
            <w:tcW w:w="49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w:t>
            </w:r>
          </w:p>
        </w:tc>
        <w:tc>
          <w:tcPr>
            <w:tcW w:w="47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w:t>
            </w:r>
          </w:p>
        </w:tc>
      </w:tr>
    </w:tbl>
    <w:p w:rsidR="00CB350B" w:rsidRPr="00432A91" w:rsidP="00CB350B">
      <w:pPr>
        <w:bidi w:val="0"/>
        <w:jc w:val="both"/>
        <w:rPr>
          <w:rFonts w:ascii="Times New Roman" w:hAnsi="Times New Roman" w:cs="Times New Roman"/>
        </w:rPr>
      </w:pPr>
    </w:p>
    <w:p w:rsidR="00CB350B" w:rsidRPr="00432A91" w:rsidP="00CB350B">
      <w:pPr>
        <w:bidi w:val="0"/>
        <w:ind w:firstLine="708"/>
        <w:jc w:val="both"/>
        <w:rPr>
          <w:rFonts w:ascii="Times New Roman" w:hAnsi="Times New Roman" w:cs="Times New Roman"/>
        </w:rPr>
      </w:pPr>
      <w:r w:rsidRPr="00432A91">
        <w:rPr>
          <w:rFonts w:ascii="Times New Roman" w:hAnsi="Times New Roman" w:cs="Times New Roman"/>
        </w:rPr>
        <w:t>Celkové výdavky na podporu športu v roku 2012 oproti schválenému rozpočtu  roku</w:t>
      </w:r>
      <w:r>
        <w:rPr>
          <w:rFonts w:ascii="Times New Roman" w:hAnsi="Times New Roman" w:cs="Times New Roman"/>
        </w:rPr>
        <w:t xml:space="preserve"> 2011 rastú o 3,17 mil. eur, t.</w:t>
      </w:r>
      <w:r w:rsidR="00450760">
        <w:rPr>
          <w:rFonts w:ascii="Times New Roman" w:hAnsi="Times New Roman" w:cs="Times New Roman"/>
        </w:rPr>
        <w:t xml:space="preserve"> </w:t>
      </w:r>
      <w:r w:rsidRPr="00432A91">
        <w:rPr>
          <w:rFonts w:ascii="Times New Roman" w:hAnsi="Times New Roman" w:cs="Times New Roman"/>
        </w:rPr>
        <w:t>j. o 9,67</w:t>
      </w:r>
      <w:r>
        <w:rPr>
          <w:rFonts w:ascii="Times New Roman" w:hAnsi="Times New Roman" w:cs="Times New Roman"/>
        </w:rPr>
        <w:t xml:space="preserve"> </w:t>
      </w:r>
      <w:r w:rsidRPr="00432A91">
        <w:rPr>
          <w:rFonts w:ascii="Times New Roman" w:hAnsi="Times New Roman" w:cs="Times New Roman"/>
        </w:rPr>
        <w:t xml:space="preserve">%. </w:t>
      </w:r>
    </w:p>
    <w:p w:rsidR="00CB350B" w:rsidRPr="00432A91" w:rsidP="00CB350B">
      <w:pPr>
        <w:bidi w:val="0"/>
        <w:jc w:val="both"/>
        <w:rPr>
          <w:rFonts w:ascii="Times New Roman" w:hAnsi="Times New Roman" w:cs="Times New Roman"/>
        </w:rPr>
      </w:pPr>
    </w:p>
    <w:p w:rsidR="00CB350B" w:rsidRPr="00432A91" w:rsidP="00CB350B">
      <w:pPr>
        <w:bidi w:val="0"/>
        <w:ind w:firstLine="708"/>
        <w:jc w:val="both"/>
        <w:rPr>
          <w:rFonts w:ascii="Times New Roman" w:hAnsi="Times New Roman" w:cs="Times New Roman"/>
        </w:rPr>
      </w:pPr>
      <w:r w:rsidRPr="00432A91">
        <w:rPr>
          <w:rFonts w:ascii="Times New Roman" w:hAnsi="Times New Roman" w:cs="Times New Roman"/>
        </w:rPr>
        <w:t>Výdavky na podporu športu poskytované MŠVVŠ SR v roku 2012 rastú oproti schválenému rozpočtu roku 2011 o 2,96 mil. eur, t.</w:t>
      </w:r>
      <w:r>
        <w:rPr>
          <w:rFonts w:ascii="Times New Roman" w:hAnsi="Times New Roman" w:cs="Times New Roman"/>
        </w:rPr>
        <w:t xml:space="preserve"> </w:t>
      </w:r>
      <w:r w:rsidRPr="00432A91">
        <w:rPr>
          <w:rFonts w:ascii="Times New Roman" w:hAnsi="Times New Roman" w:cs="Times New Roman"/>
        </w:rPr>
        <w:t>j. 10,8</w:t>
      </w:r>
      <w:r>
        <w:rPr>
          <w:rFonts w:ascii="Times New Roman" w:hAnsi="Times New Roman" w:cs="Times New Roman"/>
        </w:rPr>
        <w:t xml:space="preserve"> </w:t>
      </w:r>
      <w:r w:rsidRPr="00432A91">
        <w:rPr>
          <w:rFonts w:ascii="Times New Roman" w:hAnsi="Times New Roman" w:cs="Times New Roman"/>
        </w:rPr>
        <w:t>%. Dôvodom zvýšenia objemu výdavkov na šport je zabezpečeni</w:t>
      </w:r>
      <w:r>
        <w:rPr>
          <w:rFonts w:ascii="Times New Roman" w:hAnsi="Times New Roman" w:cs="Times New Roman"/>
        </w:rPr>
        <w:t>e</w:t>
      </w:r>
      <w:r w:rsidRPr="00432A91">
        <w:rPr>
          <w:rFonts w:ascii="Times New Roman" w:hAnsi="Times New Roman" w:cs="Times New Roman"/>
        </w:rPr>
        <w:t xml:space="preserve"> poh</w:t>
      </w:r>
      <w:r>
        <w:rPr>
          <w:rFonts w:ascii="Times New Roman" w:hAnsi="Times New Roman" w:cs="Times New Roman"/>
        </w:rPr>
        <w:t>ybových aktivít detí a mládeže.</w:t>
      </w:r>
    </w:p>
    <w:p w:rsidR="00CB350B" w:rsidRPr="00432A91" w:rsidP="00CB350B">
      <w:pPr>
        <w:bidi w:val="0"/>
        <w:jc w:val="both"/>
        <w:rPr>
          <w:rFonts w:ascii="Times New Roman" w:hAnsi="Times New Roman" w:cs="Times New Roman"/>
        </w:rPr>
      </w:pPr>
    </w:p>
    <w:p w:rsidR="00CB350B" w:rsidRPr="003F017B" w:rsidP="00CB350B">
      <w:pPr>
        <w:bidi w:val="0"/>
        <w:ind w:firstLine="708"/>
        <w:jc w:val="both"/>
        <w:rPr>
          <w:rFonts w:ascii="Times New Roman" w:hAnsi="Times New Roman" w:cs="Times New Roman"/>
        </w:rPr>
      </w:pPr>
      <w:r w:rsidRPr="00432A91">
        <w:rPr>
          <w:rFonts w:ascii="Times New Roman" w:hAnsi="Times New Roman" w:cs="Times New Roman"/>
        </w:rPr>
        <w:t>Výdavky na šport v porovnaní so skutočnosťou roku 2010 klesajú z dôvodu realizovanej rekonštrukcie Zimného štadióna Ondreja Nepelu v súvislosti s konaním Majstrovstiev sveta v </w:t>
      </w:r>
      <w:r w:rsidRPr="003F017B">
        <w:rPr>
          <w:rFonts w:ascii="Times New Roman" w:hAnsi="Times New Roman" w:cs="Times New Roman"/>
        </w:rPr>
        <w:t>ľadovom hokeji v roku 2011. Výdavky v roku 2010 na rekonštrukciu štadióna predstavovali objem 40,6 mil. eur. Po odpočítaní týchto výdavkov predstavovali ostatné športové aktivity financované z ministerstva školstva sumu 34,1 mil. eur.</w:t>
      </w:r>
      <w:r>
        <w:rPr>
          <w:rFonts w:ascii="Times New Roman" w:hAnsi="Times New Roman" w:cs="Times New Roman"/>
        </w:rPr>
        <w:t xml:space="preserve"> </w:t>
      </w:r>
      <w:r w:rsidRPr="006E12D7">
        <w:rPr>
          <w:rFonts w:ascii="Times New Roman" w:hAnsi="Times New Roman" w:cs="Times New Roman"/>
        </w:rPr>
        <w:t>Pri porovnaní takto očistených skutočných výdavkov za rok 2010 s výdavkami ministerstva školstva rozpočtovanými na šport v roku 2012 dochádza k poklesu výdavkov o 11 %.</w:t>
      </w:r>
    </w:p>
    <w:p w:rsidR="00CB350B" w:rsidRPr="003F017B" w:rsidP="00CB350B">
      <w:pPr>
        <w:bidi w:val="0"/>
        <w:jc w:val="both"/>
        <w:rPr>
          <w:rFonts w:ascii="Times New Roman" w:hAnsi="Times New Roman" w:cs="Times New Roman"/>
        </w:rPr>
      </w:pPr>
    </w:p>
    <w:p w:rsidR="00CB350B" w:rsidRPr="00432A91" w:rsidP="00CB350B">
      <w:pPr>
        <w:bidi w:val="0"/>
        <w:ind w:firstLine="708"/>
        <w:jc w:val="both"/>
        <w:rPr>
          <w:rFonts w:ascii="Times New Roman" w:hAnsi="Times New Roman" w:cs="Times New Roman"/>
        </w:rPr>
      </w:pPr>
      <w:r w:rsidRPr="003F017B">
        <w:rPr>
          <w:rFonts w:ascii="Times New Roman" w:hAnsi="Times New Roman" w:cs="Times New Roman"/>
        </w:rPr>
        <w:t xml:space="preserve">Na </w:t>
      </w:r>
      <w:r w:rsidRPr="003F017B">
        <w:rPr>
          <w:rFonts w:ascii="Times New Roman" w:hAnsi="Times New Roman" w:cs="Times New Roman"/>
          <w:bCs/>
        </w:rPr>
        <w:t>športovú reprezentáciu</w:t>
      </w:r>
      <w:r w:rsidRPr="003F017B">
        <w:rPr>
          <w:rFonts w:ascii="Times New Roman" w:hAnsi="Times New Roman" w:cs="Times New Roman"/>
        </w:rPr>
        <w:t xml:space="preserve"> Slovenskej republiky sú okrem výdavkov rozpočtovaných v kapitole MŠVVŠ SR rozpočtované</w:t>
      </w:r>
      <w:r w:rsidRPr="00432A91">
        <w:rPr>
          <w:rFonts w:ascii="Times New Roman" w:hAnsi="Times New Roman" w:cs="Times New Roman"/>
        </w:rPr>
        <w:t xml:space="preserve"> aj výdavky v kapitolách MO SR a MV SR. Výdavky rozpočtované na šport v kapitole MO SR rastú v roku 2012 oproti schválenému rozpočtu roku 2011 o 7,88</w:t>
      </w:r>
      <w:r>
        <w:rPr>
          <w:rFonts w:ascii="Times New Roman" w:hAnsi="Times New Roman" w:cs="Times New Roman"/>
        </w:rPr>
        <w:t xml:space="preserve"> </w:t>
      </w:r>
      <w:r w:rsidRPr="00432A91">
        <w:rPr>
          <w:rFonts w:ascii="Times New Roman" w:hAnsi="Times New Roman" w:cs="Times New Roman"/>
        </w:rPr>
        <w:t>% a v kapitole MV SR majú klesajúci trend v roku 2012 oproti schválenému rozpočtu roku 2011 o 5,46</w:t>
      </w:r>
      <w:r>
        <w:rPr>
          <w:rFonts w:ascii="Times New Roman" w:hAnsi="Times New Roman" w:cs="Times New Roman"/>
        </w:rPr>
        <w:t xml:space="preserve"> </w:t>
      </w:r>
      <w:r w:rsidRPr="00432A91">
        <w:rPr>
          <w:rFonts w:ascii="Times New Roman" w:hAnsi="Times New Roman" w:cs="Times New Roman"/>
        </w:rPr>
        <w:t xml:space="preserve">%. </w:t>
      </w:r>
    </w:p>
    <w:p w:rsidR="00CB350B" w:rsidRPr="00432A91" w:rsidP="00CB350B">
      <w:pPr>
        <w:bidi w:val="0"/>
        <w:jc w:val="both"/>
        <w:rPr>
          <w:rFonts w:ascii="Times New Roman" w:hAnsi="Times New Roman" w:cs="Times New Roman"/>
        </w:rPr>
      </w:pPr>
    </w:p>
    <w:p w:rsidR="00CB350B" w:rsidRPr="00432A91" w:rsidP="00CB350B">
      <w:pPr>
        <w:bidi w:val="0"/>
        <w:jc w:val="both"/>
        <w:rPr>
          <w:rFonts w:ascii="Times New Roman" w:hAnsi="Times New Roman" w:cs="Times New Roman"/>
          <w:b/>
        </w:rPr>
      </w:pPr>
      <w:r w:rsidRPr="00432A91">
        <w:rPr>
          <w:rFonts w:ascii="Times New Roman" w:hAnsi="Times New Roman" w:cs="Times New Roman"/>
          <w:b/>
        </w:rPr>
        <w:t>Administratíva a iné výdavky</w:t>
      </w:r>
    </w:p>
    <w:p w:rsidR="00CB350B" w:rsidRPr="00432A91" w:rsidP="00CB350B">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796"/>
        <w:gridCol w:w="870"/>
        <w:gridCol w:w="870"/>
        <w:gridCol w:w="934"/>
        <w:gridCol w:w="934"/>
        <w:gridCol w:w="936"/>
        <w:gridCol w:w="936"/>
        <w:gridCol w:w="936"/>
      </w:tblGrid>
      <w:tr>
        <w:tblPrEx>
          <w:tblW w:w="5000" w:type="pct"/>
          <w:tblCellMar>
            <w:left w:w="70" w:type="dxa"/>
            <w:right w:w="70" w:type="dxa"/>
          </w:tblCellMar>
          <w:tblLook w:val="04A0"/>
        </w:tblPrEx>
        <w:trPr>
          <w:trHeight w:val="255"/>
        </w:trPr>
        <w:tc>
          <w:tcPr>
            <w:tcW w:w="1518"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B350B" w:rsidRPr="00A94288" w:rsidP="00257E12">
            <w:pPr>
              <w:bidi w:val="0"/>
              <w:rPr>
                <w:rFonts w:ascii="Times New Roman" w:hAnsi="Times New Roman" w:cs="Times New Roman"/>
                <w:b/>
                <w:sz w:val="14"/>
                <w:szCs w:val="14"/>
                <w:lang w:eastAsia="sk-SK"/>
              </w:rPr>
            </w:pPr>
            <w:r w:rsidRPr="00A94288">
              <w:rPr>
                <w:rFonts w:ascii="Times New Roman" w:hAnsi="Times New Roman" w:cs="Times New Roman"/>
                <w:b/>
                <w:sz w:val="14"/>
                <w:szCs w:val="14"/>
                <w:lang w:eastAsia="sk-SK"/>
              </w:rPr>
              <w:t>v eurách</w:t>
            </w:r>
          </w:p>
        </w:tc>
        <w:tc>
          <w:tcPr>
            <w:tcW w:w="472"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2009 S</w:t>
            </w:r>
          </w:p>
        </w:tc>
        <w:tc>
          <w:tcPr>
            <w:tcW w:w="472"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2010 S</w:t>
            </w:r>
          </w:p>
        </w:tc>
        <w:tc>
          <w:tcPr>
            <w:tcW w:w="507"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2011 R</w:t>
            </w:r>
          </w:p>
        </w:tc>
        <w:tc>
          <w:tcPr>
            <w:tcW w:w="507"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2011 OS</w:t>
            </w:r>
          </w:p>
        </w:tc>
        <w:tc>
          <w:tcPr>
            <w:tcW w:w="508"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2012 N</w:t>
            </w:r>
          </w:p>
        </w:tc>
        <w:tc>
          <w:tcPr>
            <w:tcW w:w="508"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2013 N</w:t>
            </w:r>
          </w:p>
        </w:tc>
        <w:tc>
          <w:tcPr>
            <w:tcW w:w="508"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2014 N</w:t>
            </w:r>
          </w:p>
        </w:tc>
      </w:tr>
      <w:tr>
        <w:tblPrEx>
          <w:tblW w:w="5000" w:type="pct"/>
          <w:tblCellMar>
            <w:left w:w="70" w:type="dxa"/>
            <w:right w:w="70" w:type="dxa"/>
          </w:tblCellMar>
          <w:tblLook w:val="04A0"/>
        </w:tblPrEx>
        <w:trPr>
          <w:trHeight w:val="255"/>
        </w:trPr>
        <w:tc>
          <w:tcPr>
            <w:tcW w:w="1518" w:type="pct"/>
            <w:tcBorders>
              <w:top w:val="nil"/>
              <w:left w:val="single" w:sz="4" w:space="0" w:color="auto"/>
              <w:bottom w:val="single" w:sz="4" w:space="0" w:color="auto"/>
              <w:right w:val="single" w:sz="4" w:space="0" w:color="auto"/>
            </w:tcBorders>
            <w:shd w:val="clear" w:color="000000" w:fill="BFBFBF"/>
            <w:noWrap/>
            <w:textDirection w:val="lrTb"/>
            <w:vAlign w:val="bottom"/>
            <w:hideMark/>
          </w:tcPr>
          <w:p w:rsidR="00CB350B" w:rsidRPr="00A94288" w:rsidP="00257E12">
            <w:pPr>
              <w:bidi w:val="0"/>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Administratíva spolu</w:t>
            </w:r>
          </w:p>
        </w:tc>
        <w:tc>
          <w:tcPr>
            <w:tcW w:w="472" w:type="pct"/>
            <w:tcBorders>
              <w:top w:val="nil"/>
              <w:left w:val="nil"/>
              <w:bottom w:val="single" w:sz="4" w:space="0" w:color="auto"/>
              <w:right w:val="single" w:sz="4" w:space="0" w:color="auto"/>
            </w:tcBorders>
            <w:shd w:val="clear" w:color="000000" w:fill="BFBFBF"/>
            <w:noWrap/>
            <w:textDirection w:val="lrTb"/>
            <w:vAlign w:val="bottom"/>
            <w:hideMark/>
          </w:tcPr>
          <w:p w:rsidR="00CB350B" w:rsidRPr="00483B35" w:rsidP="00257E12">
            <w:pPr>
              <w:bidi w:val="0"/>
              <w:jc w:val="right"/>
              <w:rPr>
                <w:rFonts w:ascii="Times New Roman" w:hAnsi="Times New Roman" w:cs="Times New Roman"/>
                <w:b/>
                <w:bCs/>
                <w:color w:val="000000"/>
                <w:sz w:val="14"/>
                <w:szCs w:val="14"/>
              </w:rPr>
            </w:pPr>
            <w:r w:rsidRPr="00483B35">
              <w:rPr>
                <w:rFonts w:ascii="Times New Roman" w:hAnsi="Times New Roman" w:cs="Times New Roman"/>
                <w:b/>
                <w:bCs/>
                <w:color w:val="000000"/>
                <w:sz w:val="14"/>
                <w:szCs w:val="14"/>
              </w:rPr>
              <w:t>34 570 690</w:t>
            </w:r>
          </w:p>
        </w:tc>
        <w:tc>
          <w:tcPr>
            <w:tcW w:w="472" w:type="pct"/>
            <w:tcBorders>
              <w:top w:val="nil"/>
              <w:left w:val="nil"/>
              <w:bottom w:val="single" w:sz="4" w:space="0" w:color="auto"/>
              <w:right w:val="single" w:sz="4" w:space="0" w:color="auto"/>
            </w:tcBorders>
            <w:shd w:val="clear" w:color="000000" w:fill="BFBFBF"/>
            <w:noWrap/>
            <w:textDirection w:val="lrTb"/>
            <w:vAlign w:val="bottom"/>
            <w:hideMark/>
          </w:tcPr>
          <w:p w:rsidR="00CB350B" w:rsidRPr="00483B35" w:rsidP="00257E12">
            <w:pPr>
              <w:bidi w:val="0"/>
              <w:jc w:val="right"/>
              <w:rPr>
                <w:rFonts w:ascii="Times New Roman" w:hAnsi="Times New Roman" w:cs="Times New Roman"/>
                <w:b/>
                <w:bCs/>
                <w:color w:val="000000"/>
                <w:sz w:val="14"/>
                <w:szCs w:val="14"/>
              </w:rPr>
            </w:pPr>
            <w:r w:rsidRPr="00483B35">
              <w:rPr>
                <w:rFonts w:ascii="Times New Roman" w:hAnsi="Times New Roman" w:cs="Times New Roman"/>
                <w:b/>
                <w:bCs/>
                <w:color w:val="000000"/>
                <w:sz w:val="14"/>
                <w:szCs w:val="14"/>
              </w:rPr>
              <w:t>29 756 984</w:t>
            </w:r>
          </w:p>
        </w:tc>
        <w:tc>
          <w:tcPr>
            <w:tcW w:w="507" w:type="pct"/>
            <w:tcBorders>
              <w:top w:val="nil"/>
              <w:left w:val="nil"/>
              <w:bottom w:val="single" w:sz="4" w:space="0" w:color="auto"/>
              <w:right w:val="single" w:sz="4" w:space="0" w:color="auto"/>
            </w:tcBorders>
            <w:shd w:val="clear" w:color="000000" w:fill="BFBFBF"/>
            <w:noWrap/>
            <w:textDirection w:val="lrTb"/>
            <w:vAlign w:val="bottom"/>
            <w:hideMark/>
          </w:tcPr>
          <w:p w:rsidR="00CB350B" w:rsidRPr="00483B35" w:rsidP="00257E12">
            <w:pPr>
              <w:bidi w:val="0"/>
              <w:jc w:val="right"/>
              <w:rPr>
                <w:rFonts w:ascii="Times New Roman" w:hAnsi="Times New Roman" w:cs="Times New Roman"/>
                <w:b/>
                <w:bCs/>
                <w:color w:val="000000"/>
                <w:sz w:val="14"/>
                <w:szCs w:val="14"/>
              </w:rPr>
            </w:pPr>
            <w:r w:rsidRPr="00483B35">
              <w:rPr>
                <w:rFonts w:ascii="Times New Roman" w:hAnsi="Times New Roman" w:cs="Times New Roman"/>
                <w:b/>
                <w:bCs/>
                <w:color w:val="000000"/>
                <w:sz w:val="14"/>
                <w:szCs w:val="14"/>
              </w:rPr>
              <w:t>25 616 624</w:t>
            </w:r>
          </w:p>
        </w:tc>
        <w:tc>
          <w:tcPr>
            <w:tcW w:w="507" w:type="pct"/>
            <w:tcBorders>
              <w:top w:val="nil"/>
              <w:left w:val="nil"/>
              <w:bottom w:val="single" w:sz="4" w:space="0" w:color="auto"/>
              <w:right w:val="single" w:sz="4" w:space="0" w:color="auto"/>
            </w:tcBorders>
            <w:shd w:val="clear" w:color="000000" w:fill="BFBFBF"/>
            <w:noWrap/>
            <w:textDirection w:val="lrTb"/>
            <w:vAlign w:val="bottom"/>
            <w:hideMark/>
          </w:tcPr>
          <w:p w:rsidR="00CB350B" w:rsidRPr="00483B35" w:rsidP="00257E12">
            <w:pPr>
              <w:bidi w:val="0"/>
              <w:jc w:val="right"/>
              <w:rPr>
                <w:rFonts w:ascii="Times New Roman" w:hAnsi="Times New Roman" w:cs="Times New Roman"/>
                <w:b/>
                <w:bCs/>
                <w:color w:val="000000"/>
                <w:sz w:val="14"/>
                <w:szCs w:val="14"/>
              </w:rPr>
            </w:pPr>
            <w:r w:rsidRPr="00483B35">
              <w:rPr>
                <w:rFonts w:ascii="Times New Roman" w:hAnsi="Times New Roman" w:cs="Times New Roman"/>
                <w:b/>
                <w:bCs/>
                <w:color w:val="000000"/>
                <w:sz w:val="14"/>
                <w:szCs w:val="14"/>
              </w:rPr>
              <w:t>25 440 675</w:t>
            </w:r>
          </w:p>
        </w:tc>
        <w:tc>
          <w:tcPr>
            <w:tcW w:w="508" w:type="pct"/>
            <w:tcBorders>
              <w:top w:val="nil"/>
              <w:left w:val="nil"/>
              <w:bottom w:val="single" w:sz="4" w:space="0" w:color="auto"/>
              <w:right w:val="single" w:sz="4" w:space="0" w:color="auto"/>
            </w:tcBorders>
            <w:shd w:val="clear" w:color="000000" w:fill="BFBFBF"/>
            <w:noWrap/>
            <w:textDirection w:val="lrTb"/>
            <w:vAlign w:val="bottom"/>
            <w:hideMark/>
          </w:tcPr>
          <w:p w:rsidR="00CB350B" w:rsidRPr="00483B35" w:rsidP="00257E12">
            <w:pPr>
              <w:bidi w:val="0"/>
              <w:jc w:val="right"/>
              <w:rPr>
                <w:rFonts w:ascii="Times New Roman" w:hAnsi="Times New Roman" w:cs="Times New Roman"/>
                <w:b/>
                <w:bCs/>
                <w:color w:val="000000"/>
                <w:sz w:val="14"/>
                <w:szCs w:val="14"/>
              </w:rPr>
            </w:pPr>
            <w:r w:rsidRPr="00483B35">
              <w:rPr>
                <w:rFonts w:ascii="Times New Roman" w:hAnsi="Times New Roman" w:cs="Times New Roman"/>
                <w:b/>
                <w:bCs/>
                <w:color w:val="000000"/>
                <w:sz w:val="14"/>
                <w:szCs w:val="14"/>
              </w:rPr>
              <w:t>24 164 435</w:t>
            </w:r>
          </w:p>
        </w:tc>
        <w:tc>
          <w:tcPr>
            <w:tcW w:w="508" w:type="pct"/>
            <w:tcBorders>
              <w:top w:val="nil"/>
              <w:left w:val="nil"/>
              <w:bottom w:val="single" w:sz="4" w:space="0" w:color="auto"/>
              <w:right w:val="single" w:sz="4" w:space="0" w:color="auto"/>
            </w:tcBorders>
            <w:shd w:val="clear" w:color="000000" w:fill="BFBFBF"/>
            <w:noWrap/>
            <w:textDirection w:val="lrTb"/>
            <w:vAlign w:val="bottom"/>
            <w:hideMark/>
          </w:tcPr>
          <w:p w:rsidR="00CB350B" w:rsidRPr="00483B35" w:rsidP="00257E12">
            <w:pPr>
              <w:bidi w:val="0"/>
              <w:jc w:val="right"/>
              <w:rPr>
                <w:rFonts w:ascii="Times New Roman" w:hAnsi="Times New Roman" w:cs="Times New Roman"/>
                <w:b/>
                <w:bCs/>
                <w:color w:val="000000"/>
                <w:sz w:val="14"/>
                <w:szCs w:val="14"/>
              </w:rPr>
            </w:pPr>
            <w:r w:rsidRPr="00483B35">
              <w:rPr>
                <w:rFonts w:ascii="Times New Roman" w:hAnsi="Times New Roman" w:cs="Times New Roman"/>
                <w:b/>
                <w:bCs/>
                <w:color w:val="000000"/>
                <w:sz w:val="14"/>
                <w:szCs w:val="14"/>
              </w:rPr>
              <w:t>28 417 453</w:t>
            </w:r>
          </w:p>
        </w:tc>
        <w:tc>
          <w:tcPr>
            <w:tcW w:w="508" w:type="pct"/>
            <w:tcBorders>
              <w:top w:val="nil"/>
              <w:left w:val="nil"/>
              <w:bottom w:val="single" w:sz="4" w:space="0" w:color="auto"/>
              <w:right w:val="single" w:sz="4" w:space="0" w:color="auto"/>
            </w:tcBorders>
            <w:shd w:val="clear" w:color="000000" w:fill="BFBFBF"/>
            <w:noWrap/>
            <w:textDirection w:val="lrTb"/>
            <w:vAlign w:val="bottom"/>
            <w:hideMark/>
          </w:tcPr>
          <w:p w:rsidR="00CB350B" w:rsidRPr="00483B35" w:rsidP="00257E12">
            <w:pPr>
              <w:bidi w:val="0"/>
              <w:jc w:val="right"/>
              <w:rPr>
                <w:rFonts w:ascii="Times New Roman" w:hAnsi="Times New Roman" w:cs="Times New Roman"/>
                <w:b/>
                <w:bCs/>
                <w:color w:val="000000"/>
                <w:sz w:val="14"/>
                <w:szCs w:val="14"/>
              </w:rPr>
            </w:pPr>
            <w:r w:rsidRPr="00483B35">
              <w:rPr>
                <w:rFonts w:ascii="Times New Roman" w:hAnsi="Times New Roman" w:cs="Times New Roman"/>
                <w:b/>
                <w:bCs/>
                <w:color w:val="000000"/>
                <w:sz w:val="14"/>
                <w:szCs w:val="14"/>
              </w:rPr>
              <w:t>31 363 847</w:t>
            </w:r>
          </w:p>
        </w:tc>
      </w:tr>
      <w:tr>
        <w:tblPrEx>
          <w:tblW w:w="5000" w:type="pct"/>
          <w:tblCellMar>
            <w:left w:w="70" w:type="dxa"/>
            <w:right w:w="70" w:type="dxa"/>
          </w:tblCellMar>
          <w:tblLook w:val="04A0"/>
        </w:tblPrEx>
        <w:trPr>
          <w:trHeight w:val="255"/>
        </w:trPr>
        <w:tc>
          <w:tcPr>
            <w:tcW w:w="1518"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Tvorba a implementácia politík</w:t>
            </w:r>
          </w:p>
        </w:tc>
        <w:tc>
          <w:tcPr>
            <w:tcW w:w="47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28 256 553</w:t>
            </w:r>
          </w:p>
        </w:tc>
        <w:tc>
          <w:tcPr>
            <w:tcW w:w="47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23 545 378</w:t>
            </w:r>
          </w:p>
        </w:tc>
        <w:tc>
          <w:tcPr>
            <w:tcW w:w="507"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19 554 946</w:t>
            </w:r>
          </w:p>
        </w:tc>
        <w:tc>
          <w:tcPr>
            <w:tcW w:w="507"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20 609 996</w:t>
            </w:r>
          </w:p>
        </w:tc>
        <w:tc>
          <w:tcPr>
            <w:tcW w:w="508" w:type="pct"/>
            <w:tcBorders>
              <w:top w:val="nil"/>
              <w:left w:val="nil"/>
              <w:bottom w:val="single" w:sz="4" w:space="0" w:color="auto"/>
              <w:right w:val="single" w:sz="4" w:space="0" w:color="auto"/>
            </w:tcBorders>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20 188 287</w:t>
            </w:r>
          </w:p>
        </w:tc>
        <w:tc>
          <w:tcPr>
            <w:tcW w:w="50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20 342 791</w:t>
            </w:r>
          </w:p>
        </w:tc>
        <w:tc>
          <w:tcPr>
            <w:tcW w:w="50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21 081 646</w:t>
            </w:r>
          </w:p>
        </w:tc>
      </w:tr>
      <w:tr>
        <w:tblPrEx>
          <w:tblW w:w="5000" w:type="pct"/>
          <w:tblCellMar>
            <w:left w:w="70" w:type="dxa"/>
            <w:right w:w="70" w:type="dxa"/>
          </w:tblCellMar>
          <w:tblLook w:val="04A0"/>
        </w:tblPrEx>
        <w:trPr>
          <w:trHeight w:val="255"/>
        </w:trPr>
        <w:tc>
          <w:tcPr>
            <w:tcW w:w="1518"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Hospodárska mobilizácia</w:t>
            </w:r>
          </w:p>
        </w:tc>
        <w:tc>
          <w:tcPr>
            <w:tcW w:w="47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3 120</w:t>
            </w:r>
          </w:p>
        </w:tc>
        <w:tc>
          <w:tcPr>
            <w:tcW w:w="47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1 338</w:t>
            </w:r>
          </w:p>
        </w:tc>
        <w:tc>
          <w:tcPr>
            <w:tcW w:w="507"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6 196</w:t>
            </w:r>
          </w:p>
        </w:tc>
        <w:tc>
          <w:tcPr>
            <w:tcW w:w="507"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6 196</w:t>
            </w:r>
          </w:p>
        </w:tc>
        <w:tc>
          <w:tcPr>
            <w:tcW w:w="50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5 886</w:t>
            </w:r>
          </w:p>
        </w:tc>
        <w:tc>
          <w:tcPr>
            <w:tcW w:w="50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5 886</w:t>
            </w:r>
          </w:p>
        </w:tc>
        <w:tc>
          <w:tcPr>
            <w:tcW w:w="50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5 886</w:t>
            </w:r>
          </w:p>
        </w:tc>
      </w:tr>
      <w:tr>
        <w:tblPrEx>
          <w:tblW w:w="5000" w:type="pct"/>
          <w:tblCellMar>
            <w:left w:w="70" w:type="dxa"/>
            <w:right w:w="70" w:type="dxa"/>
          </w:tblCellMar>
          <w:tblLook w:val="04A0"/>
        </w:tblPrEx>
        <w:trPr>
          <w:trHeight w:val="255"/>
        </w:trPr>
        <w:tc>
          <w:tcPr>
            <w:tcW w:w="1518"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Podpora detí a mládeže</w:t>
            </w:r>
          </w:p>
        </w:tc>
        <w:tc>
          <w:tcPr>
            <w:tcW w:w="47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3 879 173</w:t>
            </w:r>
          </w:p>
        </w:tc>
        <w:tc>
          <w:tcPr>
            <w:tcW w:w="47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3 650 819</w:t>
            </w:r>
          </w:p>
        </w:tc>
        <w:tc>
          <w:tcPr>
            <w:tcW w:w="507"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3 317 524</w:t>
            </w:r>
          </w:p>
        </w:tc>
        <w:tc>
          <w:tcPr>
            <w:tcW w:w="507"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3 621 303</w:t>
            </w:r>
          </w:p>
        </w:tc>
        <w:tc>
          <w:tcPr>
            <w:tcW w:w="50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3 574 239</w:t>
            </w:r>
          </w:p>
        </w:tc>
        <w:tc>
          <w:tcPr>
            <w:tcW w:w="50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3 586 695</w:t>
            </w:r>
          </w:p>
        </w:tc>
        <w:tc>
          <w:tcPr>
            <w:tcW w:w="50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3 306 317</w:t>
            </w:r>
          </w:p>
        </w:tc>
      </w:tr>
      <w:tr>
        <w:tblPrEx>
          <w:tblW w:w="5000" w:type="pct"/>
          <w:tblCellMar>
            <w:left w:w="70" w:type="dxa"/>
            <w:right w:w="70" w:type="dxa"/>
          </w:tblCellMar>
          <w:tblLook w:val="04A0"/>
        </w:tblPrEx>
        <w:trPr>
          <w:trHeight w:val="255"/>
        </w:trPr>
        <w:tc>
          <w:tcPr>
            <w:tcW w:w="1518"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 xml:space="preserve">Výdavky na koordináciu prierezových aktivít </w:t>
            </w:r>
          </w:p>
        </w:tc>
        <w:tc>
          <w:tcPr>
            <w:tcW w:w="47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0</w:t>
            </w:r>
          </w:p>
        </w:tc>
        <w:tc>
          <w:tcPr>
            <w:tcW w:w="47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0</w:t>
            </w:r>
          </w:p>
        </w:tc>
        <w:tc>
          <w:tcPr>
            <w:tcW w:w="507"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2 737 958</w:t>
            </w:r>
          </w:p>
        </w:tc>
        <w:tc>
          <w:tcPr>
            <w:tcW w:w="507"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0</w:t>
            </w:r>
          </w:p>
        </w:tc>
        <w:tc>
          <w:tcPr>
            <w:tcW w:w="50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346 023</w:t>
            </w:r>
          </w:p>
        </w:tc>
        <w:tc>
          <w:tcPr>
            <w:tcW w:w="50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4 432 081</w:t>
            </w:r>
          </w:p>
        </w:tc>
        <w:tc>
          <w:tcPr>
            <w:tcW w:w="50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6 919 998</w:t>
            </w:r>
          </w:p>
        </w:tc>
      </w:tr>
      <w:tr>
        <w:tblPrEx>
          <w:tblW w:w="5000" w:type="pct"/>
          <w:tblCellMar>
            <w:left w:w="70" w:type="dxa"/>
            <w:right w:w="70" w:type="dxa"/>
          </w:tblCellMar>
          <w:tblLook w:val="04A0"/>
        </w:tblPrEx>
        <w:trPr>
          <w:trHeight w:val="255"/>
        </w:trPr>
        <w:tc>
          <w:tcPr>
            <w:tcW w:w="1518"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MŠVVŠ SR protidrogová politika</w:t>
            </w:r>
          </w:p>
        </w:tc>
        <w:tc>
          <w:tcPr>
            <w:tcW w:w="47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0</w:t>
            </w:r>
          </w:p>
        </w:tc>
        <w:tc>
          <w:tcPr>
            <w:tcW w:w="47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0</w:t>
            </w:r>
          </w:p>
        </w:tc>
        <w:tc>
          <w:tcPr>
            <w:tcW w:w="507"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0</w:t>
            </w:r>
          </w:p>
        </w:tc>
        <w:tc>
          <w:tcPr>
            <w:tcW w:w="507"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0</w:t>
            </w:r>
          </w:p>
        </w:tc>
        <w:tc>
          <w:tcPr>
            <w:tcW w:w="50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50 000</w:t>
            </w:r>
          </w:p>
        </w:tc>
        <w:tc>
          <w:tcPr>
            <w:tcW w:w="50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50 000</w:t>
            </w:r>
          </w:p>
        </w:tc>
        <w:tc>
          <w:tcPr>
            <w:tcW w:w="508"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rPr>
            </w:pPr>
            <w:r w:rsidRPr="00A94288">
              <w:rPr>
                <w:rFonts w:ascii="Times New Roman" w:hAnsi="Times New Roman" w:cs="Times New Roman"/>
                <w:sz w:val="14"/>
                <w:szCs w:val="14"/>
              </w:rPr>
              <w:t>50 000</w:t>
            </w:r>
          </w:p>
        </w:tc>
      </w:tr>
      <w:tr>
        <w:tblPrEx>
          <w:tblW w:w="5000" w:type="pct"/>
          <w:tblCellMar>
            <w:left w:w="70" w:type="dxa"/>
            <w:right w:w="70" w:type="dxa"/>
          </w:tblCellMar>
          <w:tblLook w:val="04A0"/>
        </w:tblPrEx>
        <w:trPr>
          <w:trHeight w:val="255"/>
        </w:trPr>
        <w:tc>
          <w:tcPr>
            <w:tcW w:w="1518" w:type="pct"/>
            <w:tcBorders>
              <w:top w:val="nil"/>
              <w:left w:val="single" w:sz="4" w:space="0" w:color="auto"/>
              <w:bottom w:val="single" w:sz="4" w:space="0" w:color="auto"/>
              <w:right w:val="single" w:sz="4" w:space="0" w:color="auto"/>
            </w:tcBorders>
            <w:noWrap/>
            <w:textDirection w:val="lrTb"/>
            <w:vAlign w:val="bottom"/>
            <w:hideMark/>
          </w:tcPr>
          <w:p w:rsidR="00CB350B" w:rsidRPr="0079751D" w:rsidP="00257E12">
            <w:pPr>
              <w:bidi w:val="0"/>
              <w:rPr>
                <w:rFonts w:ascii="Times New Roman" w:hAnsi="Times New Roman" w:cs="Times New Roman"/>
                <w:sz w:val="14"/>
                <w:szCs w:val="14"/>
                <w:lang w:eastAsia="sk-SK"/>
              </w:rPr>
            </w:pPr>
            <w:r w:rsidRPr="0079751D">
              <w:rPr>
                <w:rFonts w:ascii="Times New Roman" w:hAnsi="Times New Roman" w:cs="Times New Roman"/>
                <w:sz w:val="14"/>
                <w:szCs w:val="14"/>
                <w:lang w:eastAsia="sk-SK"/>
              </w:rPr>
              <w:t>Mimorozpočtové zdroje</w:t>
            </w:r>
          </w:p>
        </w:tc>
        <w:tc>
          <w:tcPr>
            <w:tcW w:w="472" w:type="pct"/>
            <w:tcBorders>
              <w:top w:val="nil"/>
              <w:left w:val="nil"/>
              <w:bottom w:val="single" w:sz="4" w:space="0" w:color="auto"/>
              <w:right w:val="single" w:sz="4" w:space="0" w:color="auto"/>
            </w:tcBorders>
            <w:noWrap/>
            <w:textDirection w:val="lrTb"/>
            <w:vAlign w:val="bottom"/>
            <w:hideMark/>
          </w:tcPr>
          <w:p w:rsidR="00CB350B" w:rsidRPr="0079751D" w:rsidP="00257E12">
            <w:pPr>
              <w:bidi w:val="0"/>
              <w:jc w:val="right"/>
              <w:rPr>
                <w:rFonts w:ascii="Times New Roman" w:hAnsi="Times New Roman" w:cs="Times New Roman"/>
                <w:sz w:val="14"/>
                <w:szCs w:val="14"/>
              </w:rPr>
            </w:pPr>
            <w:r w:rsidRPr="0079751D">
              <w:rPr>
                <w:rFonts w:ascii="Times New Roman" w:hAnsi="Times New Roman" w:cs="Times New Roman"/>
                <w:sz w:val="14"/>
                <w:szCs w:val="14"/>
              </w:rPr>
              <w:t>2 431 844</w:t>
            </w:r>
          </w:p>
        </w:tc>
        <w:tc>
          <w:tcPr>
            <w:tcW w:w="472" w:type="pct"/>
            <w:tcBorders>
              <w:top w:val="nil"/>
              <w:left w:val="nil"/>
              <w:bottom w:val="single" w:sz="4" w:space="0" w:color="auto"/>
              <w:right w:val="single" w:sz="4" w:space="0" w:color="auto"/>
            </w:tcBorders>
            <w:noWrap/>
            <w:textDirection w:val="lrTb"/>
            <w:vAlign w:val="bottom"/>
            <w:hideMark/>
          </w:tcPr>
          <w:p w:rsidR="00CB350B" w:rsidRPr="0079751D" w:rsidP="00257E12">
            <w:pPr>
              <w:bidi w:val="0"/>
              <w:jc w:val="right"/>
              <w:rPr>
                <w:rFonts w:ascii="Times New Roman" w:hAnsi="Times New Roman" w:cs="Times New Roman"/>
                <w:sz w:val="14"/>
                <w:szCs w:val="14"/>
              </w:rPr>
            </w:pPr>
            <w:r w:rsidRPr="0079751D">
              <w:rPr>
                <w:rFonts w:ascii="Times New Roman" w:hAnsi="Times New Roman" w:cs="Times New Roman"/>
                <w:sz w:val="14"/>
                <w:szCs w:val="14"/>
              </w:rPr>
              <w:t>2 559 449</w:t>
            </w:r>
          </w:p>
        </w:tc>
        <w:tc>
          <w:tcPr>
            <w:tcW w:w="507" w:type="pct"/>
            <w:tcBorders>
              <w:top w:val="nil"/>
              <w:left w:val="nil"/>
              <w:bottom w:val="single" w:sz="4" w:space="0" w:color="auto"/>
              <w:right w:val="single" w:sz="4" w:space="0" w:color="auto"/>
            </w:tcBorders>
            <w:noWrap/>
            <w:textDirection w:val="lrTb"/>
            <w:vAlign w:val="bottom"/>
            <w:hideMark/>
          </w:tcPr>
          <w:p w:rsidR="00CB350B" w:rsidRPr="0079751D" w:rsidP="00257E12">
            <w:pPr>
              <w:bidi w:val="0"/>
              <w:jc w:val="right"/>
              <w:rPr>
                <w:rFonts w:ascii="Times New Roman" w:hAnsi="Times New Roman" w:cs="Times New Roman"/>
                <w:sz w:val="14"/>
                <w:szCs w:val="14"/>
              </w:rPr>
            </w:pPr>
            <w:r w:rsidRPr="0079751D">
              <w:rPr>
                <w:rFonts w:ascii="Times New Roman" w:hAnsi="Times New Roman" w:cs="Times New Roman"/>
                <w:sz w:val="14"/>
                <w:szCs w:val="14"/>
              </w:rPr>
              <w:t>0</w:t>
            </w:r>
          </w:p>
        </w:tc>
        <w:tc>
          <w:tcPr>
            <w:tcW w:w="507" w:type="pct"/>
            <w:tcBorders>
              <w:top w:val="nil"/>
              <w:left w:val="nil"/>
              <w:bottom w:val="single" w:sz="4" w:space="0" w:color="auto"/>
              <w:right w:val="single" w:sz="4" w:space="0" w:color="auto"/>
            </w:tcBorders>
            <w:noWrap/>
            <w:textDirection w:val="lrTb"/>
            <w:vAlign w:val="bottom"/>
            <w:hideMark/>
          </w:tcPr>
          <w:p w:rsidR="00CB350B" w:rsidRPr="0079751D" w:rsidP="00257E12">
            <w:pPr>
              <w:bidi w:val="0"/>
              <w:jc w:val="right"/>
              <w:rPr>
                <w:rFonts w:ascii="Times New Roman" w:hAnsi="Times New Roman" w:cs="Times New Roman"/>
                <w:sz w:val="14"/>
                <w:szCs w:val="14"/>
              </w:rPr>
            </w:pPr>
            <w:r w:rsidRPr="0079751D">
              <w:rPr>
                <w:rFonts w:ascii="Times New Roman" w:hAnsi="Times New Roman" w:cs="Times New Roman"/>
                <w:sz w:val="14"/>
                <w:szCs w:val="14"/>
              </w:rPr>
              <w:t>1 203 180</w:t>
            </w:r>
          </w:p>
        </w:tc>
        <w:tc>
          <w:tcPr>
            <w:tcW w:w="508" w:type="pct"/>
            <w:tcBorders>
              <w:top w:val="nil"/>
              <w:left w:val="nil"/>
              <w:bottom w:val="single" w:sz="4" w:space="0" w:color="auto"/>
              <w:right w:val="single" w:sz="4" w:space="0" w:color="auto"/>
            </w:tcBorders>
            <w:noWrap/>
            <w:textDirection w:val="lrTb"/>
            <w:vAlign w:val="bottom"/>
            <w:hideMark/>
          </w:tcPr>
          <w:p w:rsidR="00CB350B" w:rsidRPr="0079751D" w:rsidP="00257E12">
            <w:pPr>
              <w:bidi w:val="0"/>
              <w:jc w:val="right"/>
              <w:rPr>
                <w:rFonts w:ascii="Times New Roman" w:hAnsi="Times New Roman" w:cs="Times New Roman"/>
                <w:sz w:val="14"/>
                <w:szCs w:val="14"/>
              </w:rPr>
            </w:pPr>
            <w:r w:rsidRPr="0079751D">
              <w:rPr>
                <w:rFonts w:ascii="Times New Roman" w:hAnsi="Times New Roman" w:cs="Times New Roman"/>
                <w:sz w:val="14"/>
                <w:szCs w:val="14"/>
              </w:rPr>
              <w:t>0</w:t>
            </w:r>
          </w:p>
        </w:tc>
        <w:tc>
          <w:tcPr>
            <w:tcW w:w="508" w:type="pct"/>
            <w:tcBorders>
              <w:top w:val="nil"/>
              <w:left w:val="nil"/>
              <w:bottom w:val="single" w:sz="4" w:space="0" w:color="auto"/>
              <w:right w:val="single" w:sz="4" w:space="0" w:color="auto"/>
            </w:tcBorders>
            <w:noWrap/>
            <w:textDirection w:val="lrTb"/>
            <w:vAlign w:val="bottom"/>
            <w:hideMark/>
          </w:tcPr>
          <w:p w:rsidR="00CB350B" w:rsidRPr="0079751D" w:rsidP="00257E12">
            <w:pPr>
              <w:bidi w:val="0"/>
              <w:jc w:val="right"/>
              <w:rPr>
                <w:rFonts w:ascii="Times New Roman" w:hAnsi="Times New Roman" w:cs="Times New Roman"/>
                <w:sz w:val="14"/>
                <w:szCs w:val="14"/>
              </w:rPr>
            </w:pPr>
            <w:r w:rsidRPr="0079751D">
              <w:rPr>
                <w:rFonts w:ascii="Times New Roman" w:hAnsi="Times New Roman" w:cs="Times New Roman"/>
                <w:sz w:val="14"/>
                <w:szCs w:val="14"/>
              </w:rPr>
              <w:t>0</w:t>
            </w:r>
          </w:p>
        </w:tc>
        <w:tc>
          <w:tcPr>
            <w:tcW w:w="508" w:type="pct"/>
            <w:tcBorders>
              <w:top w:val="nil"/>
              <w:left w:val="nil"/>
              <w:bottom w:val="single" w:sz="4" w:space="0" w:color="auto"/>
              <w:right w:val="single" w:sz="4" w:space="0" w:color="auto"/>
            </w:tcBorders>
            <w:noWrap/>
            <w:textDirection w:val="lrTb"/>
            <w:vAlign w:val="bottom"/>
            <w:hideMark/>
          </w:tcPr>
          <w:p w:rsidR="00CB350B" w:rsidRPr="0079751D" w:rsidP="00257E12">
            <w:pPr>
              <w:bidi w:val="0"/>
              <w:jc w:val="right"/>
              <w:rPr>
                <w:rFonts w:ascii="Times New Roman" w:hAnsi="Times New Roman" w:cs="Times New Roman"/>
                <w:sz w:val="14"/>
                <w:szCs w:val="14"/>
              </w:rPr>
            </w:pPr>
            <w:r w:rsidRPr="0079751D">
              <w:rPr>
                <w:rFonts w:ascii="Times New Roman" w:hAnsi="Times New Roman" w:cs="Times New Roman"/>
                <w:sz w:val="14"/>
                <w:szCs w:val="14"/>
              </w:rPr>
              <w:t>0</w:t>
            </w:r>
          </w:p>
        </w:tc>
      </w:tr>
    </w:tbl>
    <w:p w:rsidR="00CB350B" w:rsidRPr="00432A91" w:rsidP="00CB350B">
      <w:pPr>
        <w:bidi w:val="0"/>
        <w:jc w:val="both"/>
        <w:rPr>
          <w:rFonts w:ascii="Times New Roman" w:hAnsi="Times New Roman" w:cs="Times New Roman"/>
          <w:b/>
          <w:bCs/>
        </w:rPr>
      </w:pPr>
    </w:p>
    <w:p w:rsidR="00CB350B" w:rsidP="00CB350B">
      <w:pPr>
        <w:bidi w:val="0"/>
        <w:ind w:firstLine="708"/>
        <w:jc w:val="both"/>
        <w:rPr>
          <w:rFonts w:ascii="Times New Roman" w:hAnsi="Times New Roman" w:cs="Times New Roman"/>
        </w:rPr>
      </w:pPr>
      <w:r>
        <w:rPr>
          <w:rFonts w:ascii="Times New Roman" w:hAnsi="Times New Roman" w:cs="Times New Roman"/>
        </w:rPr>
        <w:t>Na</w:t>
      </w:r>
      <w:r w:rsidRPr="00432A91">
        <w:rPr>
          <w:rFonts w:ascii="Times New Roman" w:hAnsi="Times New Roman" w:cs="Times New Roman"/>
        </w:rPr>
        <w:t xml:space="preserve"> rok 2012 na administratívu a iné výdavky kapitoly sú vyčlenené finančné prostriedky v sume </w:t>
      </w:r>
      <w:r>
        <w:rPr>
          <w:rFonts w:ascii="Times New Roman" w:hAnsi="Times New Roman" w:cs="Times New Roman"/>
        </w:rPr>
        <w:t>24,2</w:t>
      </w:r>
      <w:r w:rsidRPr="00432A91">
        <w:rPr>
          <w:rFonts w:ascii="Times New Roman" w:hAnsi="Times New Roman" w:cs="Times New Roman"/>
        </w:rPr>
        <w:t xml:space="preserve"> mil. eur, čo je oproti schválenému rozpočtu </w:t>
      </w:r>
      <w:r w:rsidRPr="00483B35">
        <w:rPr>
          <w:rFonts w:ascii="Times New Roman" w:hAnsi="Times New Roman" w:cs="Times New Roman"/>
        </w:rPr>
        <w:t>roku 2011 pokles o 1,</w:t>
      </w:r>
      <w:r>
        <w:rPr>
          <w:rFonts w:ascii="Times New Roman" w:hAnsi="Times New Roman" w:cs="Times New Roman"/>
        </w:rPr>
        <w:t>45 </w:t>
      </w:r>
      <w:r w:rsidRPr="00432A91">
        <w:rPr>
          <w:rFonts w:ascii="Times New Roman" w:hAnsi="Times New Roman" w:cs="Times New Roman"/>
        </w:rPr>
        <w:t>mil. eur, t.</w:t>
      </w:r>
      <w:r>
        <w:rPr>
          <w:rFonts w:ascii="Times New Roman" w:hAnsi="Times New Roman" w:cs="Times New Roman"/>
        </w:rPr>
        <w:t xml:space="preserve"> </w:t>
      </w:r>
      <w:r w:rsidRPr="00432A91">
        <w:rPr>
          <w:rFonts w:ascii="Times New Roman" w:hAnsi="Times New Roman" w:cs="Times New Roman"/>
        </w:rPr>
        <w:t>j. o</w:t>
      </w:r>
      <w:r>
        <w:rPr>
          <w:rFonts w:ascii="Times New Roman" w:hAnsi="Times New Roman" w:cs="Times New Roman"/>
        </w:rPr>
        <w:t xml:space="preserve"> 5,7 </w:t>
      </w:r>
      <w:r w:rsidRPr="00432A91">
        <w:rPr>
          <w:rFonts w:ascii="Times New Roman" w:hAnsi="Times New Roman" w:cs="Times New Roman"/>
        </w:rPr>
        <w:t xml:space="preserve">%. </w:t>
      </w:r>
    </w:p>
    <w:p w:rsidR="00CB350B" w:rsidP="00CB350B">
      <w:pPr>
        <w:bidi w:val="0"/>
        <w:ind w:firstLine="708"/>
        <w:jc w:val="both"/>
        <w:rPr>
          <w:rFonts w:ascii="Times New Roman" w:hAnsi="Times New Roman" w:cs="Times New Roman"/>
        </w:rPr>
      </w:pPr>
    </w:p>
    <w:p w:rsidR="00CB350B" w:rsidRPr="003F017B" w:rsidP="00CB350B">
      <w:pPr>
        <w:bidi w:val="0"/>
        <w:ind w:firstLine="708"/>
        <w:jc w:val="both"/>
        <w:rPr>
          <w:rFonts w:ascii="Times New Roman" w:hAnsi="Times New Roman" w:cs="Times New Roman"/>
        </w:rPr>
      </w:pPr>
      <w:r w:rsidRPr="00432A91">
        <w:rPr>
          <w:rFonts w:ascii="Times New Roman" w:hAnsi="Times New Roman" w:cs="Times New Roman"/>
        </w:rPr>
        <w:t>Na ďalšom poklese do roku 2012 sa podieľa výrazné zníženie výdavkov na Koordináciu prierezových aktivít, ktoré budú súčasťou výdavkov financovania vedy a </w:t>
      </w:r>
      <w:r w:rsidRPr="003F017B">
        <w:rPr>
          <w:rFonts w:ascii="Times New Roman" w:hAnsi="Times New Roman" w:cs="Times New Roman"/>
        </w:rPr>
        <w:t>výskumu, a to o 2,39 mil. eur oproti schválenému rozpočtu roku 2011. Uvedené sa prejavuje aj v alokovaných výdavkoch na vedu a výskum zo zdrojov štátneho rozpočtu.</w:t>
      </w:r>
    </w:p>
    <w:p w:rsidR="00CB350B" w:rsidRPr="003F017B" w:rsidP="00CB350B">
      <w:pPr>
        <w:bidi w:val="0"/>
        <w:jc w:val="both"/>
        <w:rPr>
          <w:rFonts w:ascii="Times New Roman" w:hAnsi="Times New Roman" w:cs="Times New Roman"/>
        </w:rPr>
      </w:pPr>
    </w:p>
    <w:p w:rsidR="00CB350B" w:rsidRPr="003F017B" w:rsidP="00CB350B">
      <w:pPr>
        <w:bidi w:val="0"/>
        <w:ind w:firstLine="708"/>
        <w:jc w:val="both"/>
        <w:rPr>
          <w:rFonts w:ascii="Times New Roman" w:hAnsi="Times New Roman" w:cs="Times New Roman"/>
        </w:rPr>
      </w:pPr>
      <w:r w:rsidRPr="003F017B">
        <w:rPr>
          <w:rFonts w:ascii="Times New Roman" w:hAnsi="Times New Roman" w:cs="Times New Roman"/>
        </w:rPr>
        <w:t xml:space="preserve">Výdavky na podporu  detí a mládeže rastú </w:t>
      </w:r>
      <w:r>
        <w:rPr>
          <w:rFonts w:ascii="Times New Roman" w:hAnsi="Times New Roman" w:cs="Times New Roman"/>
        </w:rPr>
        <w:t>na</w:t>
      </w:r>
      <w:r w:rsidRPr="003F017B">
        <w:rPr>
          <w:rFonts w:ascii="Times New Roman" w:hAnsi="Times New Roman" w:cs="Times New Roman"/>
        </w:rPr>
        <w:t xml:space="preserve"> rok 2012 oproti schválenému rozpočtu roku 2011 o 256 tis. eur presunom výdavkov z regionálneho školstva.</w:t>
      </w:r>
    </w:p>
    <w:p w:rsidR="00CB350B" w:rsidRPr="003F017B" w:rsidP="00CB350B">
      <w:pPr>
        <w:bidi w:val="0"/>
        <w:jc w:val="both"/>
        <w:rPr>
          <w:rFonts w:ascii="Times New Roman" w:hAnsi="Times New Roman" w:cs="Times New Roman"/>
        </w:rPr>
      </w:pPr>
    </w:p>
    <w:p w:rsidR="00CB350B" w:rsidRPr="00432A91" w:rsidP="00CB350B">
      <w:pPr>
        <w:bidi w:val="0"/>
        <w:ind w:firstLine="708"/>
        <w:jc w:val="both"/>
        <w:rPr>
          <w:rFonts w:ascii="Times New Roman" w:hAnsi="Times New Roman" w:cs="Times New Roman"/>
        </w:rPr>
      </w:pPr>
      <w:r w:rsidRPr="003F017B">
        <w:rPr>
          <w:rFonts w:ascii="Times New Roman" w:hAnsi="Times New Roman" w:cs="Times New Roman"/>
        </w:rPr>
        <w:t>V rámci programu Tvorba</w:t>
      </w:r>
      <w:r w:rsidRPr="00432A91">
        <w:rPr>
          <w:rFonts w:ascii="Times New Roman" w:hAnsi="Times New Roman" w:cs="Times New Roman"/>
        </w:rPr>
        <w:t xml:space="preserve"> a implementácia politík sú rozpočtované výdavky pre tri rozpočtové organizácie vrátane úradu ministerstva a jednu príspevkovú organizáciu. Výdavky </w:t>
      </w:r>
      <w:r>
        <w:rPr>
          <w:rFonts w:ascii="Times New Roman" w:hAnsi="Times New Roman" w:cs="Times New Roman"/>
        </w:rPr>
        <w:t>na</w:t>
      </w:r>
      <w:r w:rsidRPr="00432A91">
        <w:rPr>
          <w:rFonts w:ascii="Times New Roman" w:hAnsi="Times New Roman" w:cs="Times New Roman"/>
        </w:rPr>
        <w:t xml:space="preserve"> rok 2012 zaznamenávajú nárast oproti schválenému rozpočtu roku 2011 o</w:t>
      </w:r>
      <w:r>
        <w:rPr>
          <w:rFonts w:ascii="Times New Roman" w:hAnsi="Times New Roman" w:cs="Times New Roman"/>
        </w:rPr>
        <w:t> </w:t>
      </w:r>
      <w:r w:rsidRPr="00432A91">
        <w:rPr>
          <w:rFonts w:ascii="Times New Roman" w:hAnsi="Times New Roman" w:cs="Times New Roman"/>
        </w:rPr>
        <w:t>633</w:t>
      </w:r>
      <w:r>
        <w:rPr>
          <w:rFonts w:ascii="Times New Roman" w:hAnsi="Times New Roman" w:cs="Times New Roman"/>
        </w:rPr>
        <w:t> </w:t>
      </w:r>
      <w:r w:rsidRPr="00432A91">
        <w:rPr>
          <w:rFonts w:ascii="Times New Roman" w:hAnsi="Times New Roman" w:cs="Times New Roman"/>
        </w:rPr>
        <w:t>tis. eur, t.</w:t>
      </w:r>
      <w:r>
        <w:rPr>
          <w:rFonts w:ascii="Times New Roman" w:hAnsi="Times New Roman" w:cs="Times New Roman"/>
        </w:rPr>
        <w:t xml:space="preserve"> </w:t>
      </w:r>
      <w:r w:rsidRPr="00432A91">
        <w:rPr>
          <w:rFonts w:ascii="Times New Roman" w:hAnsi="Times New Roman" w:cs="Times New Roman"/>
        </w:rPr>
        <w:t>j.</w:t>
      </w:r>
      <w:r>
        <w:rPr>
          <w:rFonts w:ascii="Times New Roman" w:hAnsi="Times New Roman" w:cs="Times New Roman"/>
        </w:rPr>
        <w:t xml:space="preserve"> </w:t>
      </w:r>
      <w:r w:rsidRPr="00432A91">
        <w:rPr>
          <w:rFonts w:ascii="Times New Roman" w:hAnsi="Times New Roman" w:cs="Times New Roman"/>
        </w:rPr>
        <w:t>3,24</w:t>
      </w:r>
      <w:r>
        <w:rPr>
          <w:rFonts w:ascii="Times New Roman" w:hAnsi="Times New Roman" w:cs="Times New Roman"/>
        </w:rPr>
        <w:t xml:space="preserve"> </w:t>
      </w:r>
      <w:r w:rsidRPr="00432A91">
        <w:rPr>
          <w:rFonts w:ascii="Times New Roman" w:hAnsi="Times New Roman" w:cs="Times New Roman"/>
        </w:rPr>
        <w:t xml:space="preserve">%. </w:t>
      </w:r>
    </w:p>
    <w:p w:rsidR="00CB350B" w:rsidRPr="00432A91" w:rsidP="00CB350B">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763"/>
        <w:gridCol w:w="883"/>
        <w:gridCol w:w="833"/>
        <w:gridCol w:w="947"/>
        <w:gridCol w:w="947"/>
        <w:gridCol w:w="947"/>
        <w:gridCol w:w="947"/>
        <w:gridCol w:w="945"/>
      </w:tblGrid>
      <w:tr>
        <w:tblPrEx>
          <w:tblW w:w="5000" w:type="pct"/>
          <w:tblCellMar>
            <w:left w:w="70" w:type="dxa"/>
            <w:right w:w="70" w:type="dxa"/>
          </w:tblCellMar>
          <w:tblLook w:val="04A0"/>
        </w:tblPrEx>
        <w:trPr>
          <w:trHeight w:val="255"/>
        </w:trPr>
        <w:tc>
          <w:tcPr>
            <w:tcW w:w="1500"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CB350B" w:rsidRPr="00A94288" w:rsidP="00257E12">
            <w:pPr>
              <w:bidi w:val="0"/>
              <w:rPr>
                <w:rFonts w:ascii="Times New Roman" w:hAnsi="Times New Roman" w:cs="Times New Roman"/>
                <w:b/>
                <w:sz w:val="14"/>
                <w:szCs w:val="14"/>
                <w:lang w:eastAsia="sk-SK"/>
              </w:rPr>
            </w:pPr>
            <w:r w:rsidRPr="00A94288">
              <w:rPr>
                <w:rFonts w:ascii="Times New Roman" w:hAnsi="Times New Roman" w:cs="Times New Roman"/>
                <w:b/>
                <w:sz w:val="14"/>
                <w:szCs w:val="14"/>
                <w:lang w:eastAsia="sk-SK"/>
              </w:rPr>
              <w:t>v eurách</w:t>
            </w:r>
          </w:p>
        </w:tc>
        <w:tc>
          <w:tcPr>
            <w:tcW w:w="479"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2009 S</w:t>
            </w:r>
          </w:p>
        </w:tc>
        <w:tc>
          <w:tcPr>
            <w:tcW w:w="452"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2010 S</w:t>
            </w:r>
          </w:p>
        </w:tc>
        <w:tc>
          <w:tcPr>
            <w:tcW w:w="514"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2011 R</w:t>
            </w:r>
          </w:p>
        </w:tc>
        <w:tc>
          <w:tcPr>
            <w:tcW w:w="514"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2011 OS</w:t>
            </w:r>
          </w:p>
        </w:tc>
        <w:tc>
          <w:tcPr>
            <w:tcW w:w="514"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2012 N</w:t>
            </w:r>
          </w:p>
        </w:tc>
        <w:tc>
          <w:tcPr>
            <w:tcW w:w="514"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2013 N</w:t>
            </w:r>
          </w:p>
        </w:tc>
        <w:tc>
          <w:tcPr>
            <w:tcW w:w="514" w:type="pct"/>
            <w:tcBorders>
              <w:top w:val="single" w:sz="4" w:space="0" w:color="auto"/>
              <w:left w:val="nil"/>
              <w:bottom w:val="single" w:sz="4" w:space="0" w:color="auto"/>
              <w:right w:val="single" w:sz="4" w:space="0" w:color="auto"/>
            </w:tcBorders>
            <w:shd w:val="clear" w:color="000000"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2014 N</w:t>
            </w:r>
          </w:p>
        </w:tc>
      </w:tr>
      <w:tr>
        <w:tblPrEx>
          <w:tblW w:w="5000" w:type="pct"/>
          <w:tblCellMar>
            <w:left w:w="70" w:type="dxa"/>
            <w:right w:w="70" w:type="dxa"/>
          </w:tblCellMar>
          <w:tblLook w:val="04A0"/>
        </w:tblPrEx>
        <w:trPr>
          <w:trHeight w:val="255"/>
        </w:trPr>
        <w:tc>
          <w:tcPr>
            <w:tcW w:w="1500" w:type="pct"/>
            <w:tcBorders>
              <w:top w:val="nil"/>
              <w:left w:val="single" w:sz="4" w:space="0" w:color="auto"/>
              <w:bottom w:val="single" w:sz="4" w:space="0" w:color="auto"/>
              <w:right w:val="single" w:sz="4" w:space="0" w:color="auto"/>
            </w:tcBorders>
            <w:shd w:val="clear" w:color="000000" w:fill="BFBFBF"/>
            <w:noWrap/>
            <w:textDirection w:val="lrTb"/>
            <w:vAlign w:val="bottom"/>
            <w:hideMark/>
          </w:tcPr>
          <w:p w:rsidR="00CB350B" w:rsidRPr="00A94288" w:rsidP="00257E12">
            <w:pPr>
              <w:bidi w:val="0"/>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RO a PO spolu</w:t>
            </w:r>
          </w:p>
        </w:tc>
        <w:tc>
          <w:tcPr>
            <w:tcW w:w="479" w:type="pct"/>
            <w:tcBorders>
              <w:top w:val="nil"/>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28 256 553</w:t>
            </w:r>
          </w:p>
        </w:tc>
        <w:tc>
          <w:tcPr>
            <w:tcW w:w="452" w:type="pct"/>
            <w:tcBorders>
              <w:top w:val="nil"/>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23 545 378</w:t>
            </w:r>
          </w:p>
        </w:tc>
        <w:tc>
          <w:tcPr>
            <w:tcW w:w="514" w:type="pct"/>
            <w:tcBorders>
              <w:top w:val="nil"/>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19 554 946</w:t>
            </w:r>
          </w:p>
        </w:tc>
        <w:tc>
          <w:tcPr>
            <w:tcW w:w="514" w:type="pct"/>
            <w:tcBorders>
              <w:top w:val="nil"/>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20 609 996</w:t>
            </w:r>
          </w:p>
        </w:tc>
        <w:tc>
          <w:tcPr>
            <w:tcW w:w="514" w:type="pct"/>
            <w:tcBorders>
              <w:top w:val="nil"/>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20 188 287</w:t>
            </w:r>
          </w:p>
        </w:tc>
        <w:tc>
          <w:tcPr>
            <w:tcW w:w="514" w:type="pct"/>
            <w:tcBorders>
              <w:top w:val="nil"/>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20 342 791</w:t>
            </w:r>
          </w:p>
        </w:tc>
        <w:tc>
          <w:tcPr>
            <w:tcW w:w="514" w:type="pct"/>
            <w:tcBorders>
              <w:top w:val="nil"/>
              <w:left w:val="nil"/>
              <w:bottom w:val="single" w:sz="4" w:space="0" w:color="auto"/>
              <w:right w:val="single" w:sz="4" w:space="0" w:color="auto"/>
            </w:tcBorders>
            <w:shd w:val="clear" w:color="000000" w:fill="BFBFBF"/>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21 081 646</w:t>
            </w:r>
          </w:p>
        </w:tc>
      </w:tr>
      <w:tr>
        <w:tblPrEx>
          <w:tblW w:w="5000" w:type="pct"/>
          <w:tblCellMar>
            <w:left w:w="70" w:type="dxa"/>
            <w:right w:w="70" w:type="dxa"/>
          </w:tblCellMar>
          <w:tblLook w:val="04A0"/>
        </w:tblPrEx>
        <w:trPr>
          <w:trHeight w:val="255"/>
        </w:trPr>
        <w:tc>
          <w:tcPr>
            <w:tcW w:w="1500"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Príspevková organizácia</w:t>
            </w:r>
          </w:p>
        </w:tc>
        <w:tc>
          <w:tcPr>
            <w:tcW w:w="47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 </w:t>
            </w:r>
          </w:p>
        </w:tc>
        <w:tc>
          <w:tcPr>
            <w:tcW w:w="45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 </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 </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 </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 </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 </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 </w:t>
            </w:r>
          </w:p>
        </w:tc>
      </w:tr>
      <w:tr>
        <w:tblPrEx>
          <w:tblW w:w="5000" w:type="pct"/>
          <w:tblCellMar>
            <w:left w:w="70" w:type="dxa"/>
            <w:right w:w="70" w:type="dxa"/>
          </w:tblCellMar>
          <w:tblLook w:val="04A0"/>
        </w:tblPrEx>
        <w:trPr>
          <w:trHeight w:val="255"/>
        </w:trPr>
        <w:tc>
          <w:tcPr>
            <w:tcW w:w="1500"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Národný ústav celoživotného vzdelávania</w:t>
            </w:r>
          </w:p>
        </w:tc>
        <w:tc>
          <w:tcPr>
            <w:tcW w:w="47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306 072</w:t>
            </w:r>
          </w:p>
        </w:tc>
        <w:tc>
          <w:tcPr>
            <w:tcW w:w="45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601 362</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202 496</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257 496</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202 496</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202 496</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202 496</w:t>
            </w:r>
          </w:p>
        </w:tc>
      </w:tr>
      <w:tr>
        <w:tblPrEx>
          <w:tblW w:w="5000" w:type="pct"/>
          <w:tblCellMar>
            <w:left w:w="70" w:type="dxa"/>
            <w:right w:w="70" w:type="dxa"/>
          </w:tblCellMar>
          <w:tblLook w:val="04A0"/>
        </w:tblPrEx>
        <w:trPr>
          <w:trHeight w:val="255"/>
        </w:trPr>
        <w:tc>
          <w:tcPr>
            <w:tcW w:w="1500"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Rozpočtové organizácie spolu z toho:</w:t>
            </w:r>
          </w:p>
        </w:tc>
        <w:tc>
          <w:tcPr>
            <w:tcW w:w="47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27 950 481</w:t>
            </w:r>
          </w:p>
        </w:tc>
        <w:tc>
          <w:tcPr>
            <w:tcW w:w="45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22 944 016</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19 352 450</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20 352 500</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19 985 791</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20 140 295</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20 879 150</w:t>
            </w:r>
          </w:p>
        </w:tc>
      </w:tr>
      <w:tr>
        <w:tblPrEx>
          <w:tblW w:w="5000" w:type="pct"/>
          <w:tblCellMar>
            <w:left w:w="70" w:type="dxa"/>
            <w:right w:w="70" w:type="dxa"/>
          </w:tblCellMar>
          <w:tblLook w:val="04A0"/>
        </w:tblPrEx>
        <w:trPr>
          <w:trHeight w:val="255"/>
        </w:trPr>
        <w:tc>
          <w:tcPr>
            <w:tcW w:w="1500"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Ústav informácii a prognóz školstva</w:t>
            </w:r>
          </w:p>
        </w:tc>
        <w:tc>
          <w:tcPr>
            <w:tcW w:w="47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7 738 470</w:t>
            </w:r>
          </w:p>
        </w:tc>
        <w:tc>
          <w:tcPr>
            <w:tcW w:w="45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2 257 224</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1 300 277</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1 659 987</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2 186 750</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2 185 503</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2 186 253</w:t>
            </w:r>
          </w:p>
        </w:tc>
      </w:tr>
      <w:tr>
        <w:tblPrEx>
          <w:tblW w:w="5000" w:type="pct"/>
          <w:tblCellMar>
            <w:left w:w="70" w:type="dxa"/>
            <w:right w:w="70" w:type="dxa"/>
          </w:tblCellMar>
          <w:tblLook w:val="04A0"/>
        </w:tblPrEx>
        <w:trPr>
          <w:trHeight w:val="255"/>
        </w:trPr>
        <w:tc>
          <w:tcPr>
            <w:tcW w:w="1500"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Agentúra MŠVVŠ SR pre štrukturálne fondy</w:t>
            </w:r>
          </w:p>
        </w:tc>
        <w:tc>
          <w:tcPr>
            <w:tcW w:w="47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1 725 329</w:t>
            </w:r>
          </w:p>
        </w:tc>
        <w:tc>
          <w:tcPr>
            <w:tcW w:w="45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1 721 825</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1 990 246</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2 023 546</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2 006 405</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2 006 405</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2 380 187</w:t>
            </w:r>
          </w:p>
        </w:tc>
      </w:tr>
      <w:tr>
        <w:tblPrEx>
          <w:tblW w:w="5000" w:type="pct"/>
          <w:tblCellMar>
            <w:left w:w="70" w:type="dxa"/>
            <w:right w:w="70" w:type="dxa"/>
          </w:tblCellMar>
          <w:tblLook w:val="04A0"/>
        </w:tblPrEx>
        <w:trPr>
          <w:trHeight w:val="255"/>
        </w:trPr>
        <w:tc>
          <w:tcPr>
            <w:tcW w:w="1500"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Úrad MŠVVŠ SR</w:t>
            </w:r>
          </w:p>
        </w:tc>
        <w:tc>
          <w:tcPr>
            <w:tcW w:w="47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18 469 682</w:t>
            </w:r>
          </w:p>
        </w:tc>
        <w:tc>
          <w:tcPr>
            <w:tcW w:w="45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18 964 967</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16 061 927</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16 668 967</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15 792 636</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15 948 387</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16 312 710</w:t>
            </w:r>
          </w:p>
        </w:tc>
      </w:tr>
      <w:tr>
        <w:tblPrEx>
          <w:tblW w:w="5000" w:type="pct"/>
          <w:tblCellMar>
            <w:left w:w="70" w:type="dxa"/>
            <w:right w:w="70" w:type="dxa"/>
          </w:tblCellMar>
          <w:tblLook w:val="04A0"/>
        </w:tblPrEx>
        <w:trPr>
          <w:trHeight w:val="255"/>
        </w:trPr>
        <w:tc>
          <w:tcPr>
            <w:tcW w:w="1500"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sidRPr="00A94288">
              <w:rPr>
                <w:rFonts w:ascii="Times New Roman" w:hAnsi="Times New Roman" w:cs="Times New Roman"/>
                <w:sz w:val="14"/>
                <w:szCs w:val="14"/>
                <w:lang w:eastAsia="sk-SK"/>
              </w:rPr>
              <w:t>Štátny pedagogický ústav</w:t>
            </w:r>
          </w:p>
        </w:tc>
        <w:tc>
          <w:tcPr>
            <w:tcW w:w="479"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17 000</w:t>
            </w:r>
          </w:p>
        </w:tc>
        <w:tc>
          <w:tcPr>
            <w:tcW w:w="452"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w:t>
            </w:r>
          </w:p>
        </w:tc>
        <w:tc>
          <w:tcPr>
            <w:tcW w:w="514" w:type="pct"/>
            <w:tcBorders>
              <w:top w:val="nil"/>
              <w:left w:val="nil"/>
              <w:bottom w:val="single" w:sz="4" w:space="0" w:color="auto"/>
              <w:right w:val="single" w:sz="4" w:space="0" w:color="auto"/>
            </w:tcBorders>
            <w:noWrap/>
            <w:textDirection w:val="lrTb"/>
            <w:vAlign w:val="bottom"/>
            <w:hideMark/>
          </w:tcPr>
          <w:p w:rsidR="00CB350B" w:rsidRPr="00A94288" w:rsidP="00257E12">
            <w:pPr>
              <w:bidi w:val="0"/>
              <w:jc w:val="right"/>
              <w:rPr>
                <w:rFonts w:ascii="Times New Roman" w:hAnsi="Times New Roman" w:cs="Times New Roman"/>
                <w:sz w:val="14"/>
                <w:szCs w:val="14"/>
                <w:lang w:eastAsia="sk-SK"/>
              </w:rPr>
            </w:pPr>
            <w:r w:rsidRPr="00A94288">
              <w:rPr>
                <w:rFonts w:ascii="Times New Roman" w:hAnsi="Times New Roman" w:cs="Times New Roman"/>
                <w:sz w:val="14"/>
                <w:szCs w:val="14"/>
                <w:lang w:eastAsia="sk-SK"/>
              </w:rPr>
              <w:t>0</w:t>
            </w:r>
          </w:p>
        </w:tc>
      </w:tr>
    </w:tbl>
    <w:p w:rsidR="00CB350B" w:rsidP="00CB350B">
      <w:pPr>
        <w:bidi w:val="0"/>
        <w:jc w:val="both"/>
        <w:rPr>
          <w:rFonts w:ascii="Times New Roman" w:hAnsi="Times New Roman" w:cs="Times New Roman"/>
          <w:b/>
        </w:rPr>
      </w:pPr>
    </w:p>
    <w:p w:rsidR="00CB350B" w:rsidRPr="009648A4" w:rsidP="00CB350B">
      <w:pPr>
        <w:bidi w:val="0"/>
        <w:jc w:val="both"/>
        <w:rPr>
          <w:rFonts w:ascii="Times New Roman" w:hAnsi="Times New Roman" w:cs="Times New Roman"/>
          <w:b/>
        </w:rPr>
      </w:pPr>
      <w:r w:rsidRPr="009648A4">
        <w:rPr>
          <w:rFonts w:ascii="Times New Roman" w:hAnsi="Times New Roman" w:cs="Times New Roman"/>
          <w:b/>
        </w:rPr>
        <w:t>Prostriedky EÚ a spolufinancovania</w:t>
      </w:r>
    </w:p>
    <w:p w:rsidR="00CB350B" w:rsidP="00CB350B">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960"/>
        <w:gridCol w:w="893"/>
        <w:gridCol w:w="893"/>
        <w:gridCol w:w="894"/>
        <w:gridCol w:w="894"/>
        <w:gridCol w:w="894"/>
        <w:gridCol w:w="894"/>
        <w:gridCol w:w="890"/>
      </w:tblGrid>
      <w:tr>
        <w:tblPrEx>
          <w:tblW w:w="5000" w:type="pct"/>
          <w:tblCellMar>
            <w:left w:w="70" w:type="dxa"/>
            <w:right w:w="70" w:type="dxa"/>
          </w:tblCellMar>
          <w:tblLook w:val="04A0"/>
        </w:tblPrEx>
        <w:trPr>
          <w:trHeight w:val="255"/>
        </w:trPr>
        <w:tc>
          <w:tcPr>
            <w:tcW w:w="160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CB350B" w:rsidRPr="00A94288" w:rsidP="00257E12">
            <w:pPr>
              <w:bidi w:val="0"/>
              <w:rPr>
                <w:rFonts w:ascii="Times New Roman" w:hAnsi="Times New Roman" w:cs="Times New Roman"/>
                <w:b/>
                <w:sz w:val="14"/>
                <w:szCs w:val="14"/>
                <w:lang w:eastAsia="sk-SK"/>
              </w:rPr>
            </w:pPr>
            <w:r w:rsidRPr="00A94288">
              <w:rPr>
                <w:rFonts w:ascii="Times New Roman" w:hAnsi="Times New Roman" w:cs="Times New Roman"/>
                <w:b/>
                <w:sz w:val="14"/>
                <w:szCs w:val="14"/>
                <w:lang w:eastAsia="sk-SK"/>
              </w:rPr>
              <w:t>v eurách</w:t>
            </w:r>
          </w:p>
        </w:tc>
        <w:tc>
          <w:tcPr>
            <w:tcW w:w="485"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2009 S</w:t>
            </w:r>
          </w:p>
        </w:tc>
        <w:tc>
          <w:tcPr>
            <w:tcW w:w="485"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2010 S</w:t>
            </w:r>
          </w:p>
        </w:tc>
        <w:tc>
          <w:tcPr>
            <w:tcW w:w="485"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2011 R</w:t>
            </w:r>
          </w:p>
        </w:tc>
        <w:tc>
          <w:tcPr>
            <w:tcW w:w="485"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2011 OS</w:t>
            </w:r>
          </w:p>
        </w:tc>
        <w:tc>
          <w:tcPr>
            <w:tcW w:w="485"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2012 N</w:t>
            </w:r>
          </w:p>
        </w:tc>
        <w:tc>
          <w:tcPr>
            <w:tcW w:w="485"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2013 N</w:t>
            </w:r>
          </w:p>
        </w:tc>
        <w:tc>
          <w:tcPr>
            <w:tcW w:w="483" w:type="pct"/>
            <w:tcBorders>
              <w:top w:val="single" w:sz="4" w:space="0" w:color="auto"/>
              <w:left w:val="nil"/>
              <w:bottom w:val="single" w:sz="4" w:space="0" w:color="auto"/>
              <w:right w:val="single" w:sz="4" w:space="0" w:color="auto"/>
            </w:tcBorders>
            <w:shd w:val="clear" w:color="auto" w:fill="A6A6A6"/>
            <w:noWrap/>
            <w:textDirection w:val="lrTb"/>
            <w:vAlign w:val="bottom"/>
            <w:hideMark/>
          </w:tcPr>
          <w:p w:rsidR="00CB350B" w:rsidRPr="00A94288" w:rsidP="00257E12">
            <w:pPr>
              <w:bidi w:val="0"/>
              <w:jc w:val="center"/>
              <w:rPr>
                <w:rFonts w:ascii="Times New Roman" w:hAnsi="Times New Roman" w:cs="Times New Roman"/>
                <w:b/>
                <w:bCs/>
                <w:sz w:val="14"/>
                <w:szCs w:val="14"/>
                <w:lang w:eastAsia="sk-SK"/>
              </w:rPr>
            </w:pPr>
            <w:r w:rsidRPr="00A94288">
              <w:rPr>
                <w:rFonts w:ascii="Times New Roman" w:hAnsi="Times New Roman" w:cs="Times New Roman"/>
                <w:b/>
                <w:bCs/>
                <w:sz w:val="14"/>
                <w:szCs w:val="14"/>
                <w:lang w:eastAsia="sk-SK"/>
              </w:rPr>
              <w:t>2014 N</w:t>
            </w:r>
          </w:p>
        </w:tc>
      </w:tr>
      <w:tr>
        <w:tblPrEx>
          <w:tblW w:w="5000" w:type="pct"/>
          <w:tblCellMar>
            <w:left w:w="70" w:type="dxa"/>
            <w:right w:w="70" w:type="dxa"/>
          </w:tblCellMar>
          <w:tblLook w:val="04A0"/>
        </w:tblPrEx>
        <w:trPr>
          <w:trHeight w:val="255"/>
        </w:trPr>
        <w:tc>
          <w:tcPr>
            <w:tcW w:w="1607" w:type="pct"/>
            <w:tcBorders>
              <w:top w:val="nil"/>
              <w:left w:val="single" w:sz="4" w:space="0" w:color="auto"/>
              <w:bottom w:val="single" w:sz="4" w:space="0" w:color="auto"/>
              <w:right w:val="single" w:sz="4" w:space="0" w:color="auto"/>
            </w:tcBorders>
            <w:shd w:val="clear" w:color="000000" w:fill="BFBFBF"/>
            <w:noWrap/>
            <w:textDirection w:val="lrTb"/>
            <w:vAlign w:val="bottom"/>
            <w:hideMark/>
          </w:tcPr>
          <w:p w:rsidR="00CB350B" w:rsidRPr="00A94288" w:rsidP="00257E12">
            <w:pPr>
              <w:bidi w:val="0"/>
              <w:rPr>
                <w:rFonts w:ascii="Times New Roman" w:hAnsi="Times New Roman" w:cs="Times New Roman"/>
                <w:b/>
                <w:bCs/>
                <w:sz w:val="14"/>
                <w:szCs w:val="14"/>
                <w:lang w:eastAsia="sk-SK"/>
              </w:rPr>
            </w:pPr>
            <w:r>
              <w:rPr>
                <w:rFonts w:ascii="Times New Roman" w:hAnsi="Times New Roman" w:cs="Times New Roman"/>
                <w:b/>
                <w:bCs/>
                <w:sz w:val="14"/>
                <w:szCs w:val="14"/>
                <w:lang w:eastAsia="sk-SK"/>
              </w:rPr>
              <w:t>EÚ a spolufinancovanie</w:t>
            </w:r>
            <w:r w:rsidRPr="00A94288">
              <w:rPr>
                <w:rFonts w:ascii="Times New Roman" w:hAnsi="Times New Roman" w:cs="Times New Roman"/>
                <w:b/>
                <w:bCs/>
                <w:sz w:val="14"/>
                <w:szCs w:val="14"/>
                <w:lang w:eastAsia="sk-SK"/>
              </w:rPr>
              <w:t xml:space="preserve"> spolu</w:t>
            </w:r>
          </w:p>
        </w:tc>
        <w:tc>
          <w:tcPr>
            <w:tcW w:w="485" w:type="pct"/>
            <w:tcBorders>
              <w:top w:val="nil"/>
              <w:left w:val="nil"/>
              <w:bottom w:val="single" w:sz="4" w:space="0" w:color="auto"/>
              <w:right w:val="single" w:sz="4" w:space="0" w:color="auto"/>
            </w:tcBorders>
            <w:shd w:val="clear" w:color="000000" w:fill="BFBFBF"/>
            <w:noWrap/>
            <w:textDirection w:val="lrTb"/>
            <w:vAlign w:val="bottom"/>
            <w:hideMark/>
          </w:tcPr>
          <w:p w:rsidR="00CB350B" w:rsidRPr="00565D8C" w:rsidP="00257E12">
            <w:pPr>
              <w:bidi w:val="0"/>
              <w:jc w:val="center"/>
              <w:rPr>
                <w:rFonts w:ascii="Times New Roman" w:hAnsi="Times New Roman" w:cs="Times New Roman"/>
                <w:b/>
                <w:bCs/>
                <w:sz w:val="14"/>
                <w:szCs w:val="14"/>
              </w:rPr>
            </w:pPr>
            <w:r w:rsidRPr="00565D8C">
              <w:rPr>
                <w:rFonts w:ascii="Times New Roman" w:hAnsi="Times New Roman" w:cs="Times New Roman"/>
                <w:b/>
                <w:bCs/>
                <w:sz w:val="14"/>
                <w:szCs w:val="14"/>
              </w:rPr>
              <w:t>62 221 747</w:t>
            </w:r>
          </w:p>
        </w:tc>
        <w:tc>
          <w:tcPr>
            <w:tcW w:w="485" w:type="pct"/>
            <w:tcBorders>
              <w:top w:val="nil"/>
              <w:left w:val="nil"/>
              <w:bottom w:val="single" w:sz="4" w:space="0" w:color="auto"/>
              <w:right w:val="single" w:sz="4" w:space="0" w:color="auto"/>
            </w:tcBorders>
            <w:shd w:val="clear" w:color="000000" w:fill="BFBFBF"/>
            <w:noWrap/>
            <w:textDirection w:val="lrTb"/>
            <w:vAlign w:val="bottom"/>
            <w:hideMark/>
          </w:tcPr>
          <w:p w:rsidR="00CB350B" w:rsidRPr="00565D8C" w:rsidP="00257E12">
            <w:pPr>
              <w:bidi w:val="0"/>
              <w:jc w:val="center"/>
              <w:rPr>
                <w:rFonts w:ascii="Times New Roman" w:hAnsi="Times New Roman" w:cs="Times New Roman"/>
                <w:b/>
                <w:bCs/>
                <w:sz w:val="14"/>
                <w:szCs w:val="14"/>
              </w:rPr>
            </w:pPr>
            <w:r w:rsidRPr="00565D8C">
              <w:rPr>
                <w:rFonts w:ascii="Times New Roman" w:hAnsi="Times New Roman" w:cs="Times New Roman"/>
                <w:b/>
                <w:bCs/>
                <w:sz w:val="14"/>
                <w:szCs w:val="14"/>
              </w:rPr>
              <w:t>140 519 913</w:t>
            </w:r>
          </w:p>
        </w:tc>
        <w:tc>
          <w:tcPr>
            <w:tcW w:w="485" w:type="pct"/>
            <w:tcBorders>
              <w:top w:val="nil"/>
              <w:left w:val="nil"/>
              <w:bottom w:val="single" w:sz="4" w:space="0" w:color="auto"/>
              <w:right w:val="single" w:sz="4" w:space="0" w:color="auto"/>
            </w:tcBorders>
            <w:shd w:val="clear" w:color="000000" w:fill="BFBFBF"/>
            <w:noWrap/>
            <w:textDirection w:val="lrTb"/>
            <w:vAlign w:val="bottom"/>
            <w:hideMark/>
          </w:tcPr>
          <w:p w:rsidR="00CB350B" w:rsidRPr="00565D8C" w:rsidP="00257E12">
            <w:pPr>
              <w:bidi w:val="0"/>
              <w:jc w:val="center"/>
              <w:rPr>
                <w:rFonts w:ascii="Times New Roman" w:hAnsi="Times New Roman" w:cs="Times New Roman"/>
                <w:b/>
                <w:bCs/>
                <w:sz w:val="14"/>
                <w:szCs w:val="14"/>
              </w:rPr>
            </w:pPr>
            <w:r w:rsidRPr="00565D8C">
              <w:rPr>
                <w:rFonts w:ascii="Times New Roman" w:hAnsi="Times New Roman" w:cs="Times New Roman"/>
                <w:b/>
                <w:bCs/>
                <w:sz w:val="14"/>
                <w:szCs w:val="14"/>
              </w:rPr>
              <w:t>173 591 761</w:t>
            </w:r>
          </w:p>
        </w:tc>
        <w:tc>
          <w:tcPr>
            <w:tcW w:w="485" w:type="pct"/>
            <w:tcBorders>
              <w:top w:val="nil"/>
              <w:left w:val="nil"/>
              <w:bottom w:val="single" w:sz="4" w:space="0" w:color="auto"/>
              <w:right w:val="single" w:sz="4" w:space="0" w:color="auto"/>
            </w:tcBorders>
            <w:shd w:val="clear" w:color="000000" w:fill="BFBFBF"/>
            <w:noWrap/>
            <w:textDirection w:val="lrTb"/>
            <w:vAlign w:val="bottom"/>
            <w:hideMark/>
          </w:tcPr>
          <w:p w:rsidR="00CB350B" w:rsidRPr="00565D8C" w:rsidP="00257E12">
            <w:pPr>
              <w:bidi w:val="0"/>
              <w:jc w:val="center"/>
              <w:rPr>
                <w:rFonts w:ascii="Times New Roman" w:hAnsi="Times New Roman" w:cs="Times New Roman"/>
                <w:b/>
                <w:bCs/>
                <w:sz w:val="14"/>
                <w:szCs w:val="14"/>
              </w:rPr>
            </w:pPr>
            <w:r w:rsidRPr="00565D8C">
              <w:rPr>
                <w:rFonts w:ascii="Times New Roman" w:hAnsi="Times New Roman" w:cs="Times New Roman"/>
                <w:b/>
                <w:bCs/>
                <w:sz w:val="14"/>
                <w:szCs w:val="14"/>
              </w:rPr>
              <w:t>96 912 647</w:t>
            </w:r>
          </w:p>
        </w:tc>
        <w:tc>
          <w:tcPr>
            <w:tcW w:w="485" w:type="pct"/>
            <w:tcBorders>
              <w:top w:val="nil"/>
              <w:left w:val="nil"/>
              <w:bottom w:val="single" w:sz="4" w:space="0" w:color="auto"/>
              <w:right w:val="single" w:sz="4" w:space="0" w:color="auto"/>
            </w:tcBorders>
            <w:shd w:val="clear" w:color="000000" w:fill="BFBFBF"/>
            <w:noWrap/>
            <w:textDirection w:val="lrTb"/>
            <w:vAlign w:val="bottom"/>
            <w:hideMark/>
          </w:tcPr>
          <w:p w:rsidR="00CB350B" w:rsidRPr="00565D8C" w:rsidP="00257E12">
            <w:pPr>
              <w:bidi w:val="0"/>
              <w:jc w:val="center"/>
              <w:rPr>
                <w:rFonts w:ascii="Times New Roman" w:hAnsi="Times New Roman" w:cs="Times New Roman"/>
                <w:b/>
                <w:bCs/>
                <w:sz w:val="14"/>
                <w:szCs w:val="14"/>
              </w:rPr>
            </w:pPr>
            <w:r w:rsidRPr="00565D8C">
              <w:rPr>
                <w:rFonts w:ascii="Times New Roman" w:hAnsi="Times New Roman" w:cs="Times New Roman"/>
                <w:b/>
                <w:bCs/>
                <w:sz w:val="14"/>
                <w:szCs w:val="14"/>
              </w:rPr>
              <w:t>174 896 470</w:t>
            </w:r>
          </w:p>
        </w:tc>
        <w:tc>
          <w:tcPr>
            <w:tcW w:w="485" w:type="pct"/>
            <w:tcBorders>
              <w:top w:val="nil"/>
              <w:left w:val="nil"/>
              <w:bottom w:val="single" w:sz="4" w:space="0" w:color="auto"/>
              <w:right w:val="single" w:sz="4" w:space="0" w:color="auto"/>
            </w:tcBorders>
            <w:shd w:val="clear" w:color="000000" w:fill="BFBFBF"/>
            <w:noWrap/>
            <w:textDirection w:val="lrTb"/>
            <w:vAlign w:val="bottom"/>
            <w:hideMark/>
          </w:tcPr>
          <w:p w:rsidR="00CB350B" w:rsidRPr="00565D8C" w:rsidP="00257E12">
            <w:pPr>
              <w:bidi w:val="0"/>
              <w:jc w:val="center"/>
              <w:rPr>
                <w:rFonts w:ascii="Times New Roman" w:hAnsi="Times New Roman" w:cs="Times New Roman"/>
                <w:b/>
                <w:bCs/>
                <w:sz w:val="14"/>
                <w:szCs w:val="14"/>
              </w:rPr>
            </w:pPr>
            <w:r w:rsidRPr="00565D8C">
              <w:rPr>
                <w:rFonts w:ascii="Times New Roman" w:hAnsi="Times New Roman" w:cs="Times New Roman"/>
                <w:b/>
                <w:bCs/>
                <w:sz w:val="14"/>
                <w:szCs w:val="14"/>
              </w:rPr>
              <w:t>145 776 023</w:t>
            </w:r>
          </w:p>
        </w:tc>
        <w:tc>
          <w:tcPr>
            <w:tcW w:w="483" w:type="pct"/>
            <w:tcBorders>
              <w:top w:val="nil"/>
              <w:left w:val="nil"/>
              <w:bottom w:val="single" w:sz="4" w:space="0" w:color="auto"/>
              <w:right w:val="single" w:sz="4" w:space="0" w:color="auto"/>
            </w:tcBorders>
            <w:shd w:val="clear" w:color="000000" w:fill="BFBFBF"/>
            <w:noWrap/>
            <w:textDirection w:val="lrTb"/>
            <w:vAlign w:val="bottom"/>
            <w:hideMark/>
          </w:tcPr>
          <w:p w:rsidR="00CB350B" w:rsidRPr="00565D8C" w:rsidP="00257E12">
            <w:pPr>
              <w:bidi w:val="0"/>
              <w:jc w:val="center"/>
              <w:rPr>
                <w:rFonts w:ascii="Times New Roman" w:hAnsi="Times New Roman" w:cs="Times New Roman"/>
                <w:b/>
                <w:bCs/>
                <w:sz w:val="14"/>
                <w:szCs w:val="14"/>
              </w:rPr>
            </w:pPr>
            <w:r w:rsidRPr="00565D8C">
              <w:rPr>
                <w:rFonts w:ascii="Times New Roman" w:hAnsi="Times New Roman" w:cs="Times New Roman"/>
                <w:b/>
                <w:bCs/>
                <w:sz w:val="14"/>
                <w:szCs w:val="14"/>
              </w:rPr>
              <w:t>122 159 841</w:t>
            </w:r>
          </w:p>
        </w:tc>
      </w:tr>
      <w:tr>
        <w:tblPrEx>
          <w:tblW w:w="5000" w:type="pct"/>
          <w:tblCellMar>
            <w:left w:w="70" w:type="dxa"/>
            <w:right w:w="70" w:type="dxa"/>
          </w:tblCellMar>
          <w:tblLook w:val="04A0"/>
        </w:tblPrEx>
        <w:trPr>
          <w:trHeight w:val="255"/>
        </w:trPr>
        <w:tc>
          <w:tcPr>
            <w:tcW w:w="1607" w:type="pct"/>
            <w:tcBorders>
              <w:top w:val="nil"/>
              <w:left w:val="single" w:sz="4" w:space="0" w:color="auto"/>
              <w:bottom w:val="single" w:sz="4" w:space="0" w:color="auto"/>
              <w:right w:val="single" w:sz="4" w:space="0" w:color="auto"/>
            </w:tcBorders>
            <w:noWrap/>
            <w:textDirection w:val="lrTb"/>
            <w:vAlign w:val="bottom"/>
            <w:hideMark/>
          </w:tcPr>
          <w:p w:rsidR="00CB350B" w:rsidRPr="00565D8C" w:rsidP="00257E12">
            <w:pPr>
              <w:bidi w:val="0"/>
              <w:rPr>
                <w:rFonts w:ascii="Times New Roman" w:hAnsi="Times New Roman" w:cs="Times New Roman"/>
                <w:b/>
                <w:sz w:val="14"/>
                <w:szCs w:val="14"/>
                <w:lang w:eastAsia="sk-SK"/>
              </w:rPr>
            </w:pPr>
            <w:r w:rsidRPr="00565D8C">
              <w:rPr>
                <w:rFonts w:ascii="Times New Roman" w:hAnsi="Times New Roman" w:cs="Times New Roman"/>
                <w:b/>
                <w:sz w:val="14"/>
                <w:szCs w:val="14"/>
                <w:lang w:eastAsia="sk-SK"/>
              </w:rPr>
              <w:t>OP Vzdelávanie spolu, z toho:</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b/>
                <w:sz w:val="14"/>
                <w:szCs w:val="14"/>
              </w:rPr>
            </w:pPr>
            <w:r w:rsidRPr="00565D8C">
              <w:rPr>
                <w:rFonts w:ascii="Times New Roman" w:hAnsi="Times New Roman" w:cs="Times New Roman"/>
                <w:b/>
                <w:sz w:val="14"/>
                <w:szCs w:val="14"/>
              </w:rPr>
              <w:t>22 583 614</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b/>
                <w:sz w:val="14"/>
                <w:szCs w:val="14"/>
              </w:rPr>
            </w:pPr>
            <w:r w:rsidRPr="00565D8C">
              <w:rPr>
                <w:rFonts w:ascii="Times New Roman" w:hAnsi="Times New Roman" w:cs="Times New Roman"/>
                <w:b/>
                <w:sz w:val="14"/>
                <w:szCs w:val="14"/>
              </w:rPr>
              <w:t>41 038 678</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b/>
                <w:sz w:val="14"/>
                <w:szCs w:val="14"/>
              </w:rPr>
            </w:pPr>
            <w:r w:rsidRPr="00565D8C">
              <w:rPr>
                <w:rFonts w:ascii="Times New Roman" w:hAnsi="Times New Roman" w:cs="Times New Roman"/>
                <w:b/>
                <w:sz w:val="14"/>
                <w:szCs w:val="14"/>
              </w:rPr>
              <w:t>141 737 978</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b/>
                <w:sz w:val="14"/>
                <w:szCs w:val="14"/>
              </w:rPr>
            </w:pPr>
            <w:r w:rsidRPr="00565D8C">
              <w:rPr>
                <w:rFonts w:ascii="Times New Roman" w:hAnsi="Times New Roman" w:cs="Times New Roman"/>
                <w:b/>
                <w:sz w:val="14"/>
                <w:szCs w:val="14"/>
              </w:rPr>
              <w:t>67 816 488</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b/>
                <w:sz w:val="14"/>
                <w:szCs w:val="14"/>
              </w:rPr>
            </w:pPr>
            <w:r w:rsidRPr="00565D8C">
              <w:rPr>
                <w:rFonts w:ascii="Times New Roman" w:hAnsi="Times New Roman" w:cs="Times New Roman"/>
                <w:b/>
                <w:sz w:val="14"/>
                <w:szCs w:val="14"/>
              </w:rPr>
              <w:t>124 458 385</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b/>
                <w:sz w:val="14"/>
                <w:szCs w:val="14"/>
              </w:rPr>
            </w:pPr>
            <w:r w:rsidRPr="00565D8C">
              <w:rPr>
                <w:rFonts w:ascii="Times New Roman" w:hAnsi="Times New Roman" w:cs="Times New Roman"/>
                <w:b/>
                <w:sz w:val="14"/>
                <w:szCs w:val="14"/>
              </w:rPr>
              <w:t>141 029 925</w:t>
            </w:r>
          </w:p>
        </w:tc>
        <w:tc>
          <w:tcPr>
            <w:tcW w:w="483"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b/>
                <w:sz w:val="14"/>
                <w:szCs w:val="14"/>
              </w:rPr>
            </w:pPr>
            <w:r w:rsidRPr="00565D8C">
              <w:rPr>
                <w:rFonts w:ascii="Times New Roman" w:hAnsi="Times New Roman" w:cs="Times New Roman"/>
                <w:b/>
                <w:sz w:val="14"/>
                <w:szCs w:val="14"/>
              </w:rPr>
              <w:t>120 739 461</w:t>
            </w:r>
          </w:p>
        </w:tc>
      </w:tr>
      <w:tr>
        <w:tblPrEx>
          <w:tblW w:w="5000" w:type="pct"/>
          <w:tblCellMar>
            <w:left w:w="70" w:type="dxa"/>
            <w:right w:w="70" w:type="dxa"/>
          </w:tblCellMar>
          <w:tblLook w:val="04A0"/>
        </w:tblPrEx>
        <w:trPr>
          <w:trHeight w:val="255"/>
        </w:trPr>
        <w:tc>
          <w:tcPr>
            <w:tcW w:w="1607"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w:t>
            </w:r>
            <w:r w:rsidRPr="00A94288">
              <w:rPr>
                <w:rFonts w:ascii="Times New Roman" w:hAnsi="Times New Roman" w:cs="Times New Roman"/>
                <w:sz w:val="14"/>
                <w:szCs w:val="14"/>
                <w:lang w:eastAsia="sk-SK"/>
              </w:rPr>
              <w:t>OP Vzdelávanie</w:t>
            </w:r>
            <w:r>
              <w:rPr>
                <w:rFonts w:ascii="Times New Roman" w:hAnsi="Times New Roman" w:cs="Times New Roman"/>
                <w:sz w:val="14"/>
                <w:szCs w:val="14"/>
                <w:lang w:eastAsia="sk-SK"/>
              </w:rPr>
              <w:t xml:space="preserve"> v RŠ</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13 455 544</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18 560 935</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8 587 249</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13 747 779</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8 269 598</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0</w:t>
            </w:r>
          </w:p>
        </w:tc>
        <w:tc>
          <w:tcPr>
            <w:tcW w:w="483"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607"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w:t>
            </w:r>
            <w:r w:rsidRPr="00A94288">
              <w:rPr>
                <w:rFonts w:ascii="Times New Roman" w:hAnsi="Times New Roman" w:cs="Times New Roman"/>
                <w:sz w:val="14"/>
                <w:szCs w:val="14"/>
                <w:lang w:eastAsia="sk-SK"/>
              </w:rPr>
              <w:t>OP Vzdelávanie</w:t>
            </w:r>
            <w:r>
              <w:rPr>
                <w:rFonts w:ascii="Times New Roman" w:hAnsi="Times New Roman" w:cs="Times New Roman"/>
                <w:sz w:val="14"/>
                <w:szCs w:val="14"/>
                <w:lang w:eastAsia="sk-SK"/>
              </w:rPr>
              <w:t xml:space="preserve"> vo VVŠ</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0</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3 303 607</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0</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1 185 466</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2 915 376</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3 267 026</w:t>
            </w:r>
          </w:p>
        </w:tc>
        <w:tc>
          <w:tcPr>
            <w:tcW w:w="483"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7 972 910</w:t>
            </w:r>
          </w:p>
        </w:tc>
      </w:tr>
      <w:tr>
        <w:tblPrEx>
          <w:tblW w:w="5000" w:type="pct"/>
          <w:tblCellMar>
            <w:left w:w="70" w:type="dxa"/>
            <w:right w:w="70" w:type="dxa"/>
          </w:tblCellMar>
          <w:tblLook w:val="04A0"/>
        </w:tblPrEx>
        <w:trPr>
          <w:trHeight w:val="255"/>
        </w:trPr>
        <w:tc>
          <w:tcPr>
            <w:tcW w:w="1607"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w:t>
            </w:r>
            <w:r w:rsidRPr="00A94288">
              <w:rPr>
                <w:rFonts w:ascii="Times New Roman" w:hAnsi="Times New Roman" w:cs="Times New Roman"/>
                <w:sz w:val="14"/>
                <w:szCs w:val="14"/>
                <w:lang w:eastAsia="sk-SK"/>
              </w:rPr>
              <w:t>OP Vzdelávanie</w:t>
            </w:r>
            <w:r>
              <w:rPr>
                <w:rFonts w:ascii="Times New Roman" w:hAnsi="Times New Roman" w:cs="Times New Roman"/>
                <w:sz w:val="14"/>
                <w:szCs w:val="14"/>
                <w:lang w:eastAsia="sk-SK"/>
              </w:rPr>
              <w:t xml:space="preserve"> inde nerozdelené</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9 128 070</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19 174 136</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133 150 729</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52 883 243</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113 273 411</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137 762 899</w:t>
            </w:r>
          </w:p>
        </w:tc>
        <w:tc>
          <w:tcPr>
            <w:tcW w:w="483"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112 766 551</w:t>
            </w:r>
          </w:p>
        </w:tc>
      </w:tr>
      <w:tr>
        <w:tblPrEx>
          <w:tblW w:w="5000" w:type="pct"/>
          <w:tblCellMar>
            <w:left w:w="70" w:type="dxa"/>
            <w:right w:w="70" w:type="dxa"/>
          </w:tblCellMar>
          <w:tblLook w:val="04A0"/>
        </w:tblPrEx>
        <w:trPr>
          <w:trHeight w:val="255"/>
        </w:trPr>
        <w:tc>
          <w:tcPr>
            <w:tcW w:w="1607" w:type="pct"/>
            <w:tcBorders>
              <w:top w:val="nil"/>
              <w:left w:val="single" w:sz="4" w:space="0" w:color="auto"/>
              <w:bottom w:val="single" w:sz="4" w:space="0" w:color="auto"/>
              <w:right w:val="single" w:sz="4" w:space="0" w:color="auto"/>
            </w:tcBorders>
            <w:noWrap/>
            <w:textDirection w:val="lrTb"/>
            <w:vAlign w:val="bottom"/>
            <w:hideMark/>
          </w:tcPr>
          <w:p w:rsidR="00CB350B" w:rsidRPr="00565D8C" w:rsidP="00257E12">
            <w:pPr>
              <w:bidi w:val="0"/>
              <w:rPr>
                <w:rFonts w:ascii="Times New Roman" w:hAnsi="Times New Roman" w:cs="Times New Roman"/>
                <w:b/>
                <w:sz w:val="14"/>
                <w:szCs w:val="14"/>
                <w:lang w:eastAsia="sk-SK"/>
              </w:rPr>
            </w:pPr>
            <w:r w:rsidRPr="00565D8C">
              <w:rPr>
                <w:rFonts w:ascii="Times New Roman" w:hAnsi="Times New Roman" w:cs="Times New Roman"/>
                <w:b/>
                <w:sz w:val="14"/>
                <w:szCs w:val="14"/>
                <w:lang w:eastAsia="sk-SK"/>
              </w:rPr>
              <w:t>OP Výskum a vývoj spolu, z toho:*</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b/>
                <w:sz w:val="14"/>
                <w:szCs w:val="14"/>
              </w:rPr>
            </w:pPr>
            <w:r w:rsidRPr="00565D8C">
              <w:rPr>
                <w:rFonts w:ascii="Times New Roman" w:hAnsi="Times New Roman" w:cs="Times New Roman"/>
                <w:b/>
                <w:sz w:val="14"/>
                <w:szCs w:val="14"/>
              </w:rPr>
              <w:t>31 181 786</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b/>
                <w:sz w:val="14"/>
                <w:szCs w:val="14"/>
              </w:rPr>
            </w:pPr>
            <w:r w:rsidRPr="00565D8C">
              <w:rPr>
                <w:rFonts w:ascii="Times New Roman" w:hAnsi="Times New Roman" w:cs="Times New Roman"/>
                <w:b/>
                <w:sz w:val="14"/>
                <w:szCs w:val="14"/>
              </w:rPr>
              <w:t>99 331 533</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b/>
                <w:sz w:val="14"/>
                <w:szCs w:val="14"/>
              </w:rPr>
            </w:pPr>
            <w:r w:rsidRPr="00565D8C">
              <w:rPr>
                <w:rFonts w:ascii="Times New Roman" w:hAnsi="Times New Roman" w:cs="Times New Roman"/>
                <w:b/>
                <w:sz w:val="14"/>
                <w:szCs w:val="14"/>
              </w:rPr>
              <w:t>31 853 783</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b/>
                <w:sz w:val="14"/>
                <w:szCs w:val="14"/>
              </w:rPr>
            </w:pPr>
            <w:r w:rsidRPr="00565D8C">
              <w:rPr>
                <w:rFonts w:ascii="Times New Roman" w:hAnsi="Times New Roman" w:cs="Times New Roman"/>
                <w:b/>
                <w:sz w:val="14"/>
                <w:szCs w:val="14"/>
              </w:rPr>
              <w:t>29 096 159</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b/>
                <w:sz w:val="14"/>
                <w:szCs w:val="14"/>
              </w:rPr>
            </w:pPr>
            <w:r w:rsidRPr="00565D8C">
              <w:rPr>
                <w:rFonts w:ascii="Times New Roman" w:hAnsi="Times New Roman" w:cs="Times New Roman"/>
                <w:b/>
                <w:sz w:val="14"/>
                <w:szCs w:val="14"/>
              </w:rPr>
              <w:t>49 964 888</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b/>
                <w:sz w:val="14"/>
                <w:szCs w:val="14"/>
              </w:rPr>
            </w:pPr>
            <w:r w:rsidRPr="00565D8C">
              <w:rPr>
                <w:rFonts w:ascii="Times New Roman" w:hAnsi="Times New Roman" w:cs="Times New Roman"/>
                <w:b/>
                <w:sz w:val="14"/>
                <w:szCs w:val="14"/>
              </w:rPr>
              <w:t>3 907 712</w:t>
            </w:r>
          </w:p>
        </w:tc>
        <w:tc>
          <w:tcPr>
            <w:tcW w:w="483"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b/>
                <w:sz w:val="14"/>
                <w:szCs w:val="14"/>
              </w:rPr>
            </w:pPr>
            <w:r w:rsidRPr="00565D8C">
              <w:rPr>
                <w:rFonts w:ascii="Times New Roman" w:hAnsi="Times New Roman" w:cs="Times New Roman"/>
                <w:b/>
                <w:sz w:val="14"/>
                <w:szCs w:val="14"/>
              </w:rPr>
              <w:t>630 506</w:t>
            </w:r>
          </w:p>
        </w:tc>
      </w:tr>
      <w:tr>
        <w:tblPrEx>
          <w:tblW w:w="5000" w:type="pct"/>
          <w:tblCellMar>
            <w:left w:w="70" w:type="dxa"/>
            <w:right w:w="70" w:type="dxa"/>
          </w:tblCellMar>
          <w:tblLook w:val="04A0"/>
        </w:tblPrEx>
        <w:trPr>
          <w:trHeight w:val="255"/>
        </w:trPr>
        <w:tc>
          <w:tcPr>
            <w:tcW w:w="1607"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w:t>
            </w:r>
            <w:r w:rsidRPr="00A94288">
              <w:rPr>
                <w:rFonts w:ascii="Times New Roman" w:hAnsi="Times New Roman" w:cs="Times New Roman"/>
                <w:sz w:val="14"/>
                <w:szCs w:val="14"/>
                <w:lang w:eastAsia="sk-SK"/>
              </w:rPr>
              <w:t>OP Výskum a</w:t>
            </w:r>
            <w:r>
              <w:rPr>
                <w:rFonts w:ascii="Times New Roman" w:hAnsi="Times New Roman" w:cs="Times New Roman"/>
                <w:sz w:val="14"/>
                <w:szCs w:val="14"/>
                <w:lang w:eastAsia="sk-SK"/>
              </w:rPr>
              <w:t> </w:t>
            </w:r>
            <w:r w:rsidRPr="00A94288">
              <w:rPr>
                <w:rFonts w:ascii="Times New Roman" w:hAnsi="Times New Roman" w:cs="Times New Roman"/>
                <w:sz w:val="14"/>
                <w:szCs w:val="14"/>
                <w:lang w:eastAsia="sk-SK"/>
              </w:rPr>
              <w:t>vývoj</w:t>
            </w:r>
            <w:r>
              <w:rPr>
                <w:rFonts w:ascii="Times New Roman" w:hAnsi="Times New Roman" w:cs="Times New Roman"/>
                <w:sz w:val="14"/>
                <w:szCs w:val="14"/>
                <w:lang w:eastAsia="sk-SK"/>
              </w:rPr>
              <w:t xml:space="preserve"> vo VVŠ</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15 354 178</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56 736 034</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18 788 171</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29 096 159</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0</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0</w:t>
            </w:r>
          </w:p>
        </w:tc>
        <w:tc>
          <w:tcPr>
            <w:tcW w:w="483"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607" w:type="pct"/>
            <w:tcBorders>
              <w:top w:val="nil"/>
              <w:left w:val="single" w:sz="4" w:space="0" w:color="auto"/>
              <w:bottom w:val="single" w:sz="4" w:space="0" w:color="auto"/>
              <w:right w:val="single" w:sz="4" w:space="0" w:color="auto"/>
            </w:tcBorders>
            <w:noWrap/>
            <w:textDirection w:val="lrTb"/>
            <w:vAlign w:val="bottom"/>
            <w:hideMark/>
          </w:tcPr>
          <w:p w:rsidR="00CB350B" w:rsidRPr="00A94288" w:rsidP="00257E12">
            <w:pPr>
              <w:bidi w:val="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w:t>
            </w:r>
            <w:r w:rsidRPr="00A94288">
              <w:rPr>
                <w:rFonts w:ascii="Times New Roman" w:hAnsi="Times New Roman" w:cs="Times New Roman"/>
                <w:sz w:val="14"/>
                <w:szCs w:val="14"/>
                <w:lang w:eastAsia="sk-SK"/>
              </w:rPr>
              <w:t>OP Výskum a</w:t>
            </w:r>
            <w:r>
              <w:rPr>
                <w:rFonts w:ascii="Times New Roman" w:hAnsi="Times New Roman" w:cs="Times New Roman"/>
                <w:sz w:val="14"/>
                <w:szCs w:val="14"/>
                <w:lang w:eastAsia="sk-SK"/>
              </w:rPr>
              <w:t> </w:t>
            </w:r>
            <w:r w:rsidRPr="00A94288">
              <w:rPr>
                <w:rFonts w:ascii="Times New Roman" w:hAnsi="Times New Roman" w:cs="Times New Roman"/>
                <w:sz w:val="14"/>
                <w:szCs w:val="14"/>
                <w:lang w:eastAsia="sk-SK"/>
              </w:rPr>
              <w:t>vývoj</w:t>
            </w:r>
            <w:r>
              <w:rPr>
                <w:rFonts w:ascii="Times New Roman" w:hAnsi="Times New Roman" w:cs="Times New Roman"/>
                <w:sz w:val="14"/>
                <w:szCs w:val="14"/>
                <w:lang w:eastAsia="sk-SK"/>
              </w:rPr>
              <w:t xml:space="preserve"> inde nerozdelený</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15 827 608</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42 595 499</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13 065 612</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0</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49 964 888</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3 907 712</w:t>
            </w:r>
          </w:p>
        </w:tc>
        <w:tc>
          <w:tcPr>
            <w:tcW w:w="483"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sz w:val="14"/>
                <w:szCs w:val="14"/>
              </w:rPr>
            </w:pPr>
            <w:r w:rsidRPr="00565D8C">
              <w:rPr>
                <w:rFonts w:ascii="Times New Roman" w:hAnsi="Times New Roman" w:cs="Times New Roman"/>
                <w:sz w:val="14"/>
                <w:szCs w:val="14"/>
              </w:rPr>
              <w:t>630 506</w:t>
            </w:r>
          </w:p>
        </w:tc>
      </w:tr>
      <w:tr>
        <w:tblPrEx>
          <w:tblW w:w="5000" w:type="pct"/>
          <w:tblCellMar>
            <w:left w:w="70" w:type="dxa"/>
            <w:right w:w="70" w:type="dxa"/>
          </w:tblCellMar>
          <w:tblLook w:val="04A0"/>
        </w:tblPrEx>
        <w:trPr>
          <w:trHeight w:val="255"/>
        </w:trPr>
        <w:tc>
          <w:tcPr>
            <w:tcW w:w="1607" w:type="pct"/>
            <w:tcBorders>
              <w:top w:val="nil"/>
              <w:left w:val="single" w:sz="4" w:space="0" w:color="auto"/>
              <w:bottom w:val="single" w:sz="4" w:space="0" w:color="auto"/>
              <w:right w:val="single" w:sz="4" w:space="0" w:color="auto"/>
            </w:tcBorders>
            <w:noWrap/>
            <w:textDirection w:val="lrTb"/>
            <w:vAlign w:val="bottom"/>
            <w:hideMark/>
          </w:tcPr>
          <w:p w:rsidR="00CB350B" w:rsidRPr="00565D8C" w:rsidP="00257E12">
            <w:pPr>
              <w:bidi w:val="0"/>
              <w:rPr>
                <w:rFonts w:ascii="Times New Roman" w:hAnsi="Times New Roman" w:cs="Times New Roman"/>
                <w:b/>
                <w:sz w:val="14"/>
                <w:szCs w:val="14"/>
                <w:lang w:eastAsia="sk-SK"/>
              </w:rPr>
            </w:pPr>
            <w:r w:rsidRPr="00565D8C">
              <w:rPr>
                <w:rFonts w:ascii="Times New Roman" w:hAnsi="Times New Roman" w:cs="Times New Roman"/>
                <w:b/>
                <w:sz w:val="14"/>
                <w:szCs w:val="14"/>
                <w:lang w:eastAsia="sk-SK"/>
              </w:rPr>
              <w:t>OP Ľudské zdroje - aktívna politika trhu práce</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b/>
                <w:sz w:val="14"/>
                <w:szCs w:val="14"/>
              </w:rPr>
            </w:pPr>
            <w:r w:rsidRPr="00565D8C">
              <w:rPr>
                <w:rFonts w:ascii="Times New Roman" w:hAnsi="Times New Roman" w:cs="Times New Roman"/>
                <w:b/>
                <w:sz w:val="14"/>
                <w:szCs w:val="14"/>
              </w:rPr>
              <w:t>8 456 347</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b/>
                <w:sz w:val="14"/>
                <w:szCs w:val="14"/>
              </w:rPr>
            </w:pPr>
            <w:r w:rsidRPr="00565D8C">
              <w:rPr>
                <w:rFonts w:ascii="Times New Roman" w:hAnsi="Times New Roman" w:cs="Times New Roman"/>
                <w:b/>
                <w:sz w:val="14"/>
                <w:szCs w:val="14"/>
              </w:rPr>
              <w:t>149 702</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b/>
                <w:sz w:val="14"/>
                <w:szCs w:val="14"/>
              </w:rPr>
            </w:pPr>
            <w:r w:rsidRPr="00565D8C">
              <w:rPr>
                <w:rFonts w:ascii="Times New Roman" w:hAnsi="Times New Roman" w:cs="Times New Roman"/>
                <w:b/>
                <w:sz w:val="14"/>
                <w:szCs w:val="14"/>
              </w:rPr>
              <w:t>0</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b/>
                <w:sz w:val="14"/>
                <w:szCs w:val="14"/>
              </w:rPr>
            </w:pPr>
            <w:r w:rsidRPr="00565D8C">
              <w:rPr>
                <w:rFonts w:ascii="Times New Roman" w:hAnsi="Times New Roman" w:cs="Times New Roman"/>
                <w:b/>
                <w:sz w:val="14"/>
                <w:szCs w:val="14"/>
              </w:rPr>
              <w:t>0</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b/>
                <w:sz w:val="14"/>
                <w:szCs w:val="14"/>
              </w:rPr>
            </w:pPr>
            <w:r w:rsidRPr="00565D8C">
              <w:rPr>
                <w:rFonts w:ascii="Times New Roman" w:hAnsi="Times New Roman" w:cs="Times New Roman"/>
                <w:b/>
                <w:sz w:val="14"/>
                <w:szCs w:val="14"/>
              </w:rPr>
              <w:t>0</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b/>
                <w:sz w:val="14"/>
                <w:szCs w:val="14"/>
              </w:rPr>
            </w:pPr>
            <w:r w:rsidRPr="00565D8C">
              <w:rPr>
                <w:rFonts w:ascii="Times New Roman" w:hAnsi="Times New Roman" w:cs="Times New Roman"/>
                <w:b/>
                <w:sz w:val="14"/>
                <w:szCs w:val="14"/>
              </w:rPr>
              <w:t>0</w:t>
            </w:r>
          </w:p>
        </w:tc>
        <w:tc>
          <w:tcPr>
            <w:tcW w:w="483"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b/>
                <w:sz w:val="14"/>
                <w:szCs w:val="14"/>
              </w:rPr>
            </w:pPr>
            <w:r w:rsidRPr="00565D8C">
              <w:rPr>
                <w:rFonts w:ascii="Times New Roman" w:hAnsi="Times New Roman" w:cs="Times New Roman"/>
                <w:b/>
                <w:sz w:val="14"/>
                <w:szCs w:val="14"/>
              </w:rPr>
              <w:t>0</w:t>
            </w:r>
          </w:p>
        </w:tc>
      </w:tr>
      <w:tr>
        <w:tblPrEx>
          <w:tblW w:w="5000" w:type="pct"/>
          <w:tblCellMar>
            <w:left w:w="70" w:type="dxa"/>
            <w:right w:w="70" w:type="dxa"/>
          </w:tblCellMar>
          <w:tblLook w:val="04A0"/>
        </w:tblPrEx>
        <w:trPr>
          <w:trHeight w:val="255"/>
        </w:trPr>
        <w:tc>
          <w:tcPr>
            <w:tcW w:w="1607" w:type="pct"/>
            <w:tcBorders>
              <w:top w:val="nil"/>
              <w:left w:val="single" w:sz="4" w:space="0" w:color="auto"/>
              <w:bottom w:val="single" w:sz="4" w:space="0" w:color="auto"/>
              <w:right w:val="single" w:sz="4" w:space="0" w:color="auto"/>
            </w:tcBorders>
            <w:noWrap/>
            <w:textDirection w:val="lrTb"/>
            <w:vAlign w:val="bottom"/>
            <w:hideMark/>
          </w:tcPr>
          <w:p w:rsidR="00CB350B" w:rsidRPr="00565D8C" w:rsidP="00257E12">
            <w:pPr>
              <w:bidi w:val="0"/>
              <w:rPr>
                <w:rFonts w:ascii="Times New Roman" w:hAnsi="Times New Roman" w:cs="Times New Roman"/>
                <w:b/>
                <w:sz w:val="14"/>
                <w:szCs w:val="14"/>
                <w:lang w:eastAsia="sk-SK"/>
              </w:rPr>
            </w:pPr>
            <w:r w:rsidRPr="00565D8C">
              <w:rPr>
                <w:rFonts w:ascii="Times New Roman" w:hAnsi="Times New Roman" w:cs="Times New Roman"/>
                <w:b/>
                <w:sz w:val="14"/>
                <w:szCs w:val="14"/>
                <w:lang w:eastAsia="sk-SK"/>
              </w:rPr>
              <w:t>Švajčiarsky finančný mechanizmus</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b/>
                <w:sz w:val="14"/>
                <w:szCs w:val="14"/>
              </w:rPr>
            </w:pPr>
            <w:r w:rsidRPr="00565D8C">
              <w:rPr>
                <w:rFonts w:ascii="Times New Roman" w:hAnsi="Times New Roman" w:cs="Times New Roman"/>
                <w:b/>
                <w:sz w:val="14"/>
                <w:szCs w:val="14"/>
              </w:rPr>
              <w:t>0</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b/>
                <w:sz w:val="14"/>
                <w:szCs w:val="14"/>
              </w:rPr>
            </w:pPr>
            <w:r w:rsidRPr="00565D8C">
              <w:rPr>
                <w:rFonts w:ascii="Times New Roman" w:hAnsi="Times New Roman" w:cs="Times New Roman"/>
                <w:b/>
                <w:sz w:val="14"/>
                <w:szCs w:val="14"/>
              </w:rPr>
              <w:t>0</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b/>
                <w:sz w:val="14"/>
                <w:szCs w:val="14"/>
              </w:rPr>
            </w:pPr>
            <w:r w:rsidRPr="00565D8C">
              <w:rPr>
                <w:rFonts w:ascii="Times New Roman" w:hAnsi="Times New Roman" w:cs="Times New Roman"/>
                <w:b/>
                <w:sz w:val="14"/>
                <w:szCs w:val="14"/>
              </w:rPr>
              <w:t>0</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b/>
                <w:sz w:val="14"/>
                <w:szCs w:val="14"/>
              </w:rPr>
            </w:pPr>
            <w:r w:rsidRPr="00565D8C">
              <w:rPr>
                <w:rFonts w:ascii="Times New Roman" w:hAnsi="Times New Roman" w:cs="Times New Roman"/>
                <w:b/>
                <w:sz w:val="14"/>
                <w:szCs w:val="14"/>
              </w:rPr>
              <w:t>0</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b/>
                <w:sz w:val="14"/>
                <w:szCs w:val="14"/>
              </w:rPr>
            </w:pPr>
            <w:r w:rsidRPr="00565D8C">
              <w:rPr>
                <w:rFonts w:ascii="Times New Roman" w:hAnsi="Times New Roman" w:cs="Times New Roman"/>
                <w:b/>
                <w:sz w:val="14"/>
                <w:szCs w:val="14"/>
              </w:rPr>
              <w:t>473 197</w:t>
            </w:r>
          </w:p>
        </w:tc>
        <w:tc>
          <w:tcPr>
            <w:tcW w:w="485"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b/>
                <w:sz w:val="14"/>
                <w:szCs w:val="14"/>
              </w:rPr>
            </w:pPr>
            <w:r w:rsidRPr="00565D8C">
              <w:rPr>
                <w:rFonts w:ascii="Times New Roman" w:hAnsi="Times New Roman" w:cs="Times New Roman"/>
                <w:b/>
                <w:sz w:val="14"/>
                <w:szCs w:val="14"/>
              </w:rPr>
              <w:t>838 386</w:t>
            </w:r>
          </w:p>
        </w:tc>
        <w:tc>
          <w:tcPr>
            <w:tcW w:w="483" w:type="pct"/>
            <w:tcBorders>
              <w:top w:val="nil"/>
              <w:left w:val="nil"/>
              <w:bottom w:val="single" w:sz="4" w:space="0" w:color="auto"/>
              <w:right w:val="single" w:sz="4" w:space="0" w:color="auto"/>
            </w:tcBorders>
            <w:noWrap/>
            <w:textDirection w:val="lrTb"/>
            <w:vAlign w:val="bottom"/>
            <w:hideMark/>
          </w:tcPr>
          <w:p w:rsidR="00CB350B" w:rsidRPr="00565D8C" w:rsidP="00257E12">
            <w:pPr>
              <w:bidi w:val="0"/>
              <w:jc w:val="right"/>
              <w:rPr>
                <w:rFonts w:ascii="Times New Roman" w:hAnsi="Times New Roman" w:cs="Times New Roman"/>
                <w:b/>
                <w:sz w:val="14"/>
                <w:szCs w:val="14"/>
              </w:rPr>
            </w:pPr>
            <w:r w:rsidRPr="00565D8C">
              <w:rPr>
                <w:rFonts w:ascii="Times New Roman" w:hAnsi="Times New Roman" w:cs="Times New Roman"/>
                <w:b/>
                <w:sz w:val="14"/>
                <w:szCs w:val="14"/>
              </w:rPr>
              <w:t>789 874</w:t>
            </w:r>
          </w:p>
        </w:tc>
      </w:tr>
    </w:tbl>
    <w:p w:rsidR="00CB350B" w:rsidRPr="00A54923" w:rsidP="00CB350B">
      <w:pPr>
        <w:bidi w:val="0"/>
        <w:jc w:val="both"/>
        <w:rPr>
          <w:rFonts w:ascii="Times New Roman" w:hAnsi="Times New Roman" w:cs="Times New Roman"/>
          <w:sz w:val="14"/>
          <w:szCs w:val="14"/>
        </w:rPr>
      </w:pPr>
      <w:r w:rsidRPr="00A54923">
        <w:rPr>
          <w:rFonts w:ascii="Times New Roman" w:hAnsi="Times New Roman" w:cs="Times New Roman"/>
          <w:sz w:val="14"/>
          <w:szCs w:val="14"/>
        </w:rPr>
        <w:t>*Výdavky OP Výskum a vývoj konkrétne určené pre oblasť vedy a techniky sú uvádzané v rámci oblasti Veda a technika</w:t>
      </w:r>
    </w:p>
    <w:p w:rsidR="00CB350B" w:rsidP="00CB350B">
      <w:pPr>
        <w:bidi w:val="0"/>
        <w:jc w:val="both"/>
        <w:rPr>
          <w:rFonts w:ascii="Times New Roman" w:hAnsi="Times New Roman" w:cs="Times New Roman"/>
        </w:rPr>
      </w:pPr>
    </w:p>
    <w:p w:rsidR="00CB350B" w:rsidRPr="00432A91" w:rsidP="00CB350B">
      <w:pPr>
        <w:bidi w:val="0"/>
        <w:ind w:firstLine="708"/>
        <w:jc w:val="both"/>
        <w:rPr>
          <w:rFonts w:ascii="Times New Roman" w:hAnsi="Times New Roman" w:cs="Times New Roman"/>
        </w:rPr>
      </w:pPr>
      <w:r w:rsidRPr="003F017B">
        <w:rPr>
          <w:rFonts w:ascii="Times New Roman" w:hAnsi="Times New Roman" w:cs="Times New Roman"/>
        </w:rPr>
        <w:t>V rámci výdavkov sú uvádzané zdroje OP Vzdelávanie, ktoré sú rozčlenené podľa  jednotlivých vyššie uvedených oblastí (regionálne školstvo, verejné vysoké školy). Obdobne je tomu aj pri zdrojoch OP Výskum a vývoj, okrem zdrojov priamo určených pre oblasť vedy a techniky, ktoré sú rozpísané priamo v tejto oblasti. Zároveň sa tu uvádzajú aj zdroje OP Ľudské zdroje určené pre aktívnu politiku trhu práce a zdroje švajčiarskeho finančného mechanizmu.</w:t>
      </w:r>
      <w:r w:rsidRPr="00432A91">
        <w:rPr>
          <w:rFonts w:ascii="Times New Roman" w:hAnsi="Times New Roman" w:cs="Times New Roman"/>
        </w:rPr>
        <w:t xml:space="preserve"> </w:t>
      </w:r>
    </w:p>
    <w:p w:rsidR="00CB350B" w:rsidP="00CB350B">
      <w:pPr>
        <w:bidi w:val="0"/>
        <w:jc w:val="both"/>
        <w:rPr>
          <w:rFonts w:ascii="Times New Roman" w:hAnsi="Times New Roman" w:cs="Times New Roman"/>
        </w:rPr>
      </w:pPr>
    </w:p>
    <w:p w:rsidR="00257E12" w:rsidP="00CB350B">
      <w:pPr>
        <w:bidi w:val="0"/>
        <w:jc w:val="both"/>
        <w:rPr>
          <w:rFonts w:ascii="Times New Roman" w:hAnsi="Times New Roman" w:cs="Times New Roman"/>
        </w:rPr>
      </w:pPr>
    </w:p>
    <w:p w:rsidR="00257E12" w:rsidP="00CB350B">
      <w:pPr>
        <w:bidi w:val="0"/>
        <w:jc w:val="both"/>
        <w:rPr>
          <w:rFonts w:ascii="Times New Roman" w:hAnsi="Times New Roman" w:cs="Times New Roman"/>
        </w:rPr>
      </w:pPr>
    </w:p>
    <w:p w:rsidR="00CB350B" w:rsidRPr="00432A91" w:rsidP="00CB350B">
      <w:pPr>
        <w:pBdr>
          <w:bottom w:val="single" w:sz="4" w:space="1" w:color="auto"/>
        </w:pBdr>
        <w:bidi w:val="0"/>
        <w:rPr>
          <w:rFonts w:ascii="Times New Roman" w:hAnsi="Times New Roman" w:cs="Times New Roman"/>
          <w:b/>
          <w:bCs/>
        </w:rPr>
      </w:pPr>
      <w:r w:rsidRPr="00432A91">
        <w:rPr>
          <w:rFonts w:ascii="Times New Roman" w:hAnsi="Times New Roman" w:cs="Times New Roman"/>
          <w:b/>
          <w:bCs/>
        </w:rPr>
        <w:t>Ministerstvo dopravy, výstavby a regionálneho rozvoja SR</w:t>
      </w:r>
    </w:p>
    <w:p w:rsidR="00F42914" w:rsidRPr="00432A91" w:rsidP="00F42914">
      <w:pPr>
        <w:bidi w:val="0"/>
        <w:jc w:val="both"/>
        <w:rPr>
          <w:rFonts w:ascii="Times New Roman" w:hAnsi="Times New Roman" w:cs="Times New Roman"/>
          <w:b/>
        </w:rPr>
      </w:pPr>
    </w:p>
    <w:tbl>
      <w:tblPr>
        <w:tblStyle w:val="TableNormal"/>
        <w:tblW w:w="493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827"/>
        <w:gridCol w:w="1039"/>
        <w:gridCol w:w="1038"/>
        <w:gridCol w:w="1038"/>
        <w:gridCol w:w="1038"/>
        <w:gridCol w:w="1038"/>
        <w:gridCol w:w="1038"/>
        <w:gridCol w:w="1038"/>
      </w:tblGrid>
      <w:tr>
        <w:tblPrEx>
          <w:tblW w:w="493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66"/>
        </w:trPr>
        <w:tc>
          <w:tcPr>
            <w:tcW w:w="182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 xml:space="preserve">v </w:t>
            </w:r>
            <w:r w:rsidRPr="00A94288">
              <w:rPr>
                <w:rFonts w:ascii="Times New Roman" w:hAnsi="Times New Roman" w:cs="Times New Roman"/>
                <w:b/>
                <w:bCs/>
                <w:color w:val="000000"/>
                <w:sz w:val="14"/>
                <w:szCs w:val="14"/>
              </w:rPr>
              <w:t>eurách</w:t>
            </w:r>
          </w:p>
        </w:tc>
        <w:tc>
          <w:tcPr>
            <w:tcW w:w="1039"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2009 S</w:t>
            </w:r>
          </w:p>
        </w:tc>
        <w:tc>
          <w:tcPr>
            <w:tcW w:w="103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2010S</w:t>
            </w:r>
          </w:p>
        </w:tc>
        <w:tc>
          <w:tcPr>
            <w:tcW w:w="103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2011 R</w:t>
            </w:r>
          </w:p>
        </w:tc>
        <w:tc>
          <w:tcPr>
            <w:tcW w:w="103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2011 OS</w:t>
            </w:r>
          </w:p>
        </w:tc>
        <w:tc>
          <w:tcPr>
            <w:tcW w:w="103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2012 N</w:t>
            </w:r>
          </w:p>
        </w:tc>
        <w:tc>
          <w:tcPr>
            <w:tcW w:w="103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2013 N</w:t>
            </w:r>
          </w:p>
        </w:tc>
        <w:tc>
          <w:tcPr>
            <w:tcW w:w="103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2014 N</w:t>
            </w:r>
          </w:p>
        </w:tc>
      </w:tr>
      <w:tr>
        <w:tblPrEx>
          <w:tblW w:w="4936" w:type="pct"/>
          <w:tblInd w:w="70" w:type="dxa"/>
          <w:tblCellMar>
            <w:left w:w="70" w:type="dxa"/>
            <w:right w:w="70" w:type="dxa"/>
          </w:tblCellMar>
          <w:tblLook w:val="04A0"/>
        </w:tblPrEx>
        <w:trPr>
          <w:trHeight w:val="266"/>
        </w:trPr>
        <w:tc>
          <w:tcPr>
            <w:tcW w:w="182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A94288" w:rsidP="00257E12">
            <w:pPr>
              <w:bidi w:val="0"/>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Zdroje príslušnej kapitoly</w:t>
            </w:r>
          </w:p>
        </w:tc>
        <w:tc>
          <w:tcPr>
            <w:tcW w:w="1039"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F42914" w:rsidRPr="007268E1" w:rsidP="00257E12">
            <w:pPr>
              <w:bidi w:val="0"/>
              <w:jc w:val="right"/>
              <w:rPr>
                <w:rFonts w:ascii="Times New Roman" w:hAnsi="Times New Roman" w:cs="Times New Roman"/>
                <w:b/>
                <w:color w:val="000000"/>
                <w:sz w:val="14"/>
                <w:szCs w:val="14"/>
              </w:rPr>
            </w:pPr>
            <w:r w:rsidRPr="007268E1">
              <w:rPr>
                <w:rFonts w:ascii="Times New Roman" w:hAnsi="Times New Roman" w:cs="Times New Roman"/>
                <w:b/>
                <w:color w:val="000000"/>
                <w:sz w:val="14"/>
                <w:szCs w:val="14"/>
              </w:rPr>
              <w:t>1 247 792 858</w:t>
            </w:r>
          </w:p>
        </w:tc>
        <w:tc>
          <w:tcPr>
            <w:tcW w:w="1038"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F42914" w:rsidRPr="007268E1" w:rsidP="00257E12">
            <w:pPr>
              <w:bidi w:val="0"/>
              <w:jc w:val="right"/>
              <w:rPr>
                <w:rFonts w:ascii="Times New Roman" w:hAnsi="Times New Roman" w:cs="Times New Roman"/>
                <w:b/>
                <w:color w:val="000000"/>
                <w:sz w:val="14"/>
                <w:szCs w:val="14"/>
              </w:rPr>
            </w:pPr>
            <w:r w:rsidRPr="007268E1">
              <w:rPr>
                <w:rFonts w:ascii="Times New Roman" w:hAnsi="Times New Roman" w:cs="Times New Roman"/>
                <w:b/>
                <w:color w:val="000000"/>
                <w:sz w:val="14"/>
                <w:szCs w:val="14"/>
              </w:rPr>
              <w:t>1 299 624 058</w:t>
            </w:r>
          </w:p>
        </w:tc>
        <w:tc>
          <w:tcPr>
            <w:tcW w:w="1038"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F42914" w:rsidRPr="00A94288" w:rsidP="00257E12">
            <w:pPr>
              <w:bidi w:val="0"/>
              <w:jc w:val="right"/>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1 882 739 259</w:t>
            </w:r>
          </w:p>
        </w:tc>
        <w:tc>
          <w:tcPr>
            <w:tcW w:w="1038"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F42914" w:rsidRPr="00A94288" w:rsidP="00257E12">
            <w:pPr>
              <w:bidi w:val="0"/>
              <w:jc w:val="right"/>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1 72</w:t>
            </w:r>
            <w:r>
              <w:rPr>
                <w:rFonts w:ascii="Times New Roman" w:hAnsi="Times New Roman" w:cs="Times New Roman"/>
                <w:b/>
                <w:bCs/>
                <w:color w:val="000000"/>
                <w:sz w:val="14"/>
                <w:szCs w:val="14"/>
              </w:rPr>
              <w:t>5</w:t>
            </w:r>
            <w:r w:rsidRPr="00A94288">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984</w:t>
            </w:r>
            <w:r w:rsidRPr="00A94288">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5</w:t>
            </w:r>
            <w:r w:rsidRPr="00A94288">
              <w:rPr>
                <w:rFonts w:ascii="Times New Roman" w:hAnsi="Times New Roman" w:cs="Times New Roman"/>
                <w:b/>
                <w:bCs/>
                <w:color w:val="000000"/>
                <w:sz w:val="14"/>
                <w:szCs w:val="14"/>
              </w:rPr>
              <w:t>13</w:t>
            </w:r>
          </w:p>
        </w:tc>
        <w:tc>
          <w:tcPr>
            <w:tcW w:w="1038"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F42914" w:rsidRPr="00A25559" w:rsidP="00257E12">
            <w:pPr>
              <w:bidi w:val="0"/>
              <w:jc w:val="right"/>
              <w:rPr>
                <w:rFonts w:ascii="Times New Roman" w:hAnsi="Times New Roman" w:cs="Times New Roman"/>
                <w:b/>
                <w:bCs/>
                <w:color w:val="000000"/>
                <w:sz w:val="14"/>
                <w:szCs w:val="14"/>
              </w:rPr>
            </w:pPr>
            <w:r w:rsidRPr="00A25559">
              <w:rPr>
                <w:rFonts w:ascii="Times New Roman" w:hAnsi="Times New Roman" w:cs="Times New Roman"/>
                <w:b/>
                <w:bCs/>
                <w:color w:val="000000"/>
                <w:sz w:val="14"/>
                <w:szCs w:val="14"/>
              </w:rPr>
              <w:t>2 126 190 949</w:t>
            </w:r>
          </w:p>
        </w:tc>
        <w:tc>
          <w:tcPr>
            <w:tcW w:w="1038"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F42914" w:rsidRPr="00A25559" w:rsidP="00257E12">
            <w:pPr>
              <w:bidi w:val="0"/>
              <w:jc w:val="right"/>
              <w:rPr>
                <w:rFonts w:ascii="Times New Roman" w:hAnsi="Times New Roman" w:cs="Times New Roman"/>
                <w:b/>
                <w:bCs/>
                <w:color w:val="000000"/>
                <w:sz w:val="14"/>
                <w:szCs w:val="14"/>
              </w:rPr>
            </w:pPr>
            <w:r w:rsidRPr="00A25559">
              <w:rPr>
                <w:rFonts w:ascii="Times New Roman" w:hAnsi="Times New Roman" w:cs="Times New Roman"/>
                <w:b/>
                <w:bCs/>
                <w:color w:val="000000"/>
                <w:sz w:val="14"/>
                <w:szCs w:val="14"/>
              </w:rPr>
              <w:t>2 144 931 486</w:t>
            </w:r>
          </w:p>
        </w:tc>
        <w:tc>
          <w:tcPr>
            <w:tcW w:w="1038"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F42914" w:rsidRPr="00A25559" w:rsidP="00257E12">
            <w:pPr>
              <w:bidi w:val="0"/>
              <w:jc w:val="right"/>
              <w:rPr>
                <w:rFonts w:ascii="Times New Roman" w:hAnsi="Times New Roman" w:cs="Times New Roman"/>
                <w:b/>
                <w:bCs/>
                <w:color w:val="000000"/>
                <w:sz w:val="14"/>
                <w:szCs w:val="14"/>
              </w:rPr>
            </w:pPr>
            <w:r w:rsidRPr="00A25559">
              <w:rPr>
                <w:rFonts w:ascii="Times New Roman" w:hAnsi="Times New Roman" w:cs="Times New Roman"/>
                <w:b/>
                <w:bCs/>
                <w:color w:val="000000"/>
                <w:sz w:val="14"/>
                <w:szCs w:val="14"/>
              </w:rPr>
              <w:t>2 588 260 137</w:t>
            </w:r>
          </w:p>
        </w:tc>
      </w:tr>
      <w:tr>
        <w:tblPrEx>
          <w:tblW w:w="4936" w:type="pct"/>
          <w:tblInd w:w="70" w:type="dxa"/>
          <w:tblCellMar>
            <w:left w:w="70" w:type="dxa"/>
            <w:right w:w="70" w:type="dxa"/>
          </w:tblCellMar>
          <w:tblLook w:val="04A0"/>
        </w:tblPrEx>
        <w:trPr>
          <w:trHeight w:val="266"/>
        </w:trPr>
        <w:tc>
          <w:tcPr>
            <w:tcW w:w="1827"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Cestná a žel. infraštruk</w:t>
            </w:r>
            <w:r>
              <w:rPr>
                <w:rFonts w:ascii="Times New Roman" w:hAnsi="Times New Roman" w:cs="Times New Roman"/>
                <w:color w:val="000000"/>
                <w:sz w:val="14"/>
                <w:szCs w:val="14"/>
              </w:rPr>
              <w:t>túra</w:t>
            </w:r>
          </w:p>
        </w:tc>
        <w:tc>
          <w:tcPr>
            <w:tcW w:w="1039"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0D40B7" w:rsidP="00257E12">
            <w:pPr>
              <w:bidi w:val="0"/>
              <w:jc w:val="right"/>
              <w:rPr>
                <w:rFonts w:ascii="Times New Roman" w:hAnsi="Times New Roman" w:cs="Times New Roman"/>
                <w:color w:val="000000"/>
                <w:sz w:val="14"/>
                <w:szCs w:val="14"/>
              </w:rPr>
            </w:pPr>
            <w:r w:rsidRPr="000D40B7">
              <w:rPr>
                <w:rFonts w:ascii="Times New Roman" w:hAnsi="Times New Roman" w:cs="Times New Roman"/>
                <w:color w:val="000000"/>
                <w:sz w:val="14"/>
                <w:szCs w:val="14"/>
              </w:rPr>
              <w:t>1 191 492 982</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0D40B7" w:rsidP="00257E12">
            <w:pPr>
              <w:bidi w:val="0"/>
              <w:jc w:val="right"/>
              <w:rPr>
                <w:rFonts w:ascii="Times New Roman" w:hAnsi="Times New Roman" w:cs="Times New Roman"/>
                <w:color w:val="000000"/>
                <w:sz w:val="14"/>
                <w:szCs w:val="14"/>
              </w:rPr>
            </w:pPr>
            <w:r w:rsidRPr="000D40B7">
              <w:rPr>
                <w:rFonts w:ascii="Times New Roman" w:hAnsi="Times New Roman" w:cs="Times New Roman"/>
                <w:color w:val="000000"/>
                <w:sz w:val="14"/>
                <w:szCs w:val="14"/>
              </w:rPr>
              <w:t>1 242 708 372</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1 572 543 529</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1 47</w:t>
            </w:r>
            <w:r>
              <w:rPr>
                <w:rFonts w:ascii="Times New Roman" w:hAnsi="Times New Roman" w:cs="Times New Roman"/>
                <w:color w:val="000000"/>
                <w:sz w:val="14"/>
                <w:szCs w:val="14"/>
              </w:rPr>
              <w:t>8</w:t>
            </w:r>
            <w:r w:rsidRPr="00A94288">
              <w:rPr>
                <w:rFonts w:ascii="Times New Roman" w:hAnsi="Times New Roman" w:cs="Times New Roman"/>
                <w:color w:val="000000"/>
                <w:sz w:val="14"/>
                <w:szCs w:val="14"/>
              </w:rPr>
              <w:t xml:space="preserve"> </w:t>
            </w:r>
            <w:r>
              <w:rPr>
                <w:rFonts w:ascii="Times New Roman" w:hAnsi="Times New Roman" w:cs="Times New Roman"/>
                <w:color w:val="000000"/>
                <w:sz w:val="14"/>
                <w:szCs w:val="14"/>
              </w:rPr>
              <w:t>992</w:t>
            </w:r>
            <w:r w:rsidRPr="00A94288">
              <w:rPr>
                <w:rFonts w:ascii="Times New Roman" w:hAnsi="Times New Roman" w:cs="Times New Roman"/>
                <w:color w:val="000000"/>
                <w:sz w:val="14"/>
                <w:szCs w:val="14"/>
              </w:rPr>
              <w:t xml:space="preserve"> </w:t>
            </w:r>
            <w:r>
              <w:rPr>
                <w:rFonts w:ascii="Times New Roman" w:hAnsi="Times New Roman" w:cs="Times New Roman"/>
                <w:color w:val="000000"/>
                <w:sz w:val="14"/>
                <w:szCs w:val="14"/>
              </w:rPr>
              <w:t>406</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 xml:space="preserve">1 </w:t>
            </w:r>
            <w:r>
              <w:rPr>
                <w:rFonts w:ascii="Times New Roman" w:hAnsi="Times New Roman" w:cs="Times New Roman"/>
                <w:color w:val="000000"/>
                <w:sz w:val="14"/>
                <w:szCs w:val="14"/>
              </w:rPr>
              <w:t>87</w:t>
            </w:r>
            <w:r w:rsidRPr="00A94288">
              <w:rPr>
                <w:rFonts w:ascii="Times New Roman" w:hAnsi="Times New Roman" w:cs="Times New Roman"/>
                <w:color w:val="000000"/>
                <w:sz w:val="14"/>
                <w:szCs w:val="14"/>
              </w:rPr>
              <w:t xml:space="preserve">1 </w:t>
            </w:r>
            <w:r>
              <w:rPr>
                <w:rFonts w:ascii="Times New Roman" w:hAnsi="Times New Roman" w:cs="Times New Roman"/>
                <w:color w:val="000000"/>
                <w:sz w:val="14"/>
                <w:szCs w:val="14"/>
              </w:rPr>
              <w:t>728</w:t>
            </w:r>
            <w:r w:rsidRPr="00A94288">
              <w:rPr>
                <w:rFonts w:ascii="Times New Roman" w:hAnsi="Times New Roman" w:cs="Times New Roman"/>
                <w:color w:val="000000"/>
                <w:sz w:val="14"/>
                <w:szCs w:val="14"/>
              </w:rPr>
              <w:t xml:space="preserve"> </w:t>
            </w:r>
            <w:r>
              <w:rPr>
                <w:rFonts w:ascii="Times New Roman" w:hAnsi="Times New Roman" w:cs="Times New Roman"/>
                <w:color w:val="000000"/>
                <w:sz w:val="14"/>
                <w:szCs w:val="14"/>
              </w:rPr>
              <w:t>698</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1 949</w:t>
            </w:r>
            <w:r w:rsidRPr="00A94288">
              <w:rPr>
                <w:rFonts w:ascii="Times New Roman" w:hAnsi="Times New Roman" w:cs="Times New Roman"/>
                <w:color w:val="000000"/>
                <w:sz w:val="14"/>
                <w:szCs w:val="14"/>
              </w:rPr>
              <w:t xml:space="preserve"> </w:t>
            </w:r>
            <w:r>
              <w:rPr>
                <w:rFonts w:ascii="Times New Roman" w:hAnsi="Times New Roman" w:cs="Times New Roman"/>
                <w:color w:val="000000"/>
                <w:sz w:val="14"/>
                <w:szCs w:val="14"/>
              </w:rPr>
              <w:t>988</w:t>
            </w:r>
            <w:r w:rsidRPr="00A94288">
              <w:rPr>
                <w:rFonts w:ascii="Times New Roman" w:hAnsi="Times New Roman" w:cs="Times New Roman"/>
                <w:color w:val="000000"/>
                <w:sz w:val="14"/>
                <w:szCs w:val="14"/>
              </w:rPr>
              <w:t xml:space="preserve"> </w:t>
            </w:r>
            <w:r>
              <w:rPr>
                <w:rFonts w:ascii="Times New Roman" w:hAnsi="Times New Roman" w:cs="Times New Roman"/>
                <w:color w:val="000000"/>
                <w:sz w:val="14"/>
                <w:szCs w:val="14"/>
              </w:rPr>
              <w:t>820</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2 38</w:t>
            </w:r>
            <w:r>
              <w:rPr>
                <w:rFonts w:ascii="Times New Roman" w:hAnsi="Times New Roman" w:cs="Times New Roman"/>
                <w:color w:val="000000"/>
                <w:sz w:val="14"/>
                <w:szCs w:val="14"/>
              </w:rPr>
              <w:t>5</w:t>
            </w:r>
            <w:r w:rsidRPr="00A94288">
              <w:rPr>
                <w:rFonts w:ascii="Times New Roman" w:hAnsi="Times New Roman" w:cs="Times New Roman"/>
                <w:color w:val="000000"/>
                <w:sz w:val="14"/>
                <w:szCs w:val="14"/>
              </w:rPr>
              <w:t xml:space="preserve"> </w:t>
            </w:r>
            <w:r>
              <w:rPr>
                <w:rFonts w:ascii="Times New Roman" w:hAnsi="Times New Roman" w:cs="Times New Roman"/>
                <w:color w:val="000000"/>
                <w:sz w:val="14"/>
                <w:szCs w:val="14"/>
              </w:rPr>
              <w:t>376</w:t>
            </w:r>
            <w:r w:rsidRPr="00A94288">
              <w:rPr>
                <w:rFonts w:ascii="Times New Roman" w:hAnsi="Times New Roman" w:cs="Times New Roman"/>
                <w:color w:val="000000"/>
                <w:sz w:val="14"/>
                <w:szCs w:val="14"/>
              </w:rPr>
              <w:t xml:space="preserve"> </w:t>
            </w:r>
            <w:r>
              <w:rPr>
                <w:rFonts w:ascii="Times New Roman" w:hAnsi="Times New Roman" w:cs="Times New Roman"/>
                <w:color w:val="000000"/>
                <w:sz w:val="14"/>
                <w:szCs w:val="14"/>
              </w:rPr>
              <w:t>792</w:t>
            </w:r>
          </w:p>
        </w:tc>
      </w:tr>
      <w:tr>
        <w:tblPrEx>
          <w:tblW w:w="4936" w:type="pct"/>
          <w:tblInd w:w="70" w:type="dxa"/>
          <w:tblCellMar>
            <w:left w:w="70" w:type="dxa"/>
            <w:right w:w="70" w:type="dxa"/>
          </w:tblCellMar>
          <w:tblLook w:val="04A0"/>
        </w:tblPrEx>
        <w:trPr>
          <w:trHeight w:val="266"/>
        </w:trPr>
        <w:tc>
          <w:tcPr>
            <w:tcW w:w="1827"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 xml:space="preserve">Letecká doprava </w:t>
            </w:r>
          </w:p>
        </w:tc>
        <w:tc>
          <w:tcPr>
            <w:tcW w:w="1039"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9 058 644</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6 435 032</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5 500 000</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5 500 000</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w:t>
            </w:r>
            <w:r>
              <w:rPr>
                <w:rFonts w:ascii="Times New Roman" w:hAnsi="Times New Roman" w:cs="Times New Roman"/>
                <w:color w:val="000000"/>
                <w:sz w:val="14"/>
                <w:szCs w:val="14"/>
              </w:rPr>
              <w:t>0</w:t>
            </w:r>
            <w:r w:rsidRPr="00A94288">
              <w:rPr>
                <w:rFonts w:ascii="Times New Roman" w:hAnsi="Times New Roman" w:cs="Times New Roman"/>
                <w:color w:val="000000"/>
                <w:sz w:val="14"/>
                <w:szCs w:val="14"/>
              </w:rPr>
              <w:t xml:space="preserve"> </w:t>
            </w:r>
            <w:r>
              <w:rPr>
                <w:rFonts w:ascii="Times New Roman" w:hAnsi="Times New Roman" w:cs="Times New Roman"/>
                <w:color w:val="000000"/>
                <w:sz w:val="14"/>
                <w:szCs w:val="14"/>
              </w:rPr>
              <w:t>25</w:t>
            </w:r>
            <w:r w:rsidRPr="00A94288">
              <w:rPr>
                <w:rFonts w:ascii="Times New Roman" w:hAnsi="Times New Roman" w:cs="Times New Roman"/>
                <w:color w:val="000000"/>
                <w:sz w:val="14"/>
                <w:szCs w:val="14"/>
              </w:rPr>
              <w:t xml:space="preserve">0 </w:t>
            </w:r>
            <w:r>
              <w:rPr>
                <w:rFonts w:ascii="Times New Roman" w:hAnsi="Times New Roman" w:cs="Times New Roman"/>
                <w:color w:val="000000"/>
                <w:sz w:val="14"/>
                <w:szCs w:val="14"/>
              </w:rPr>
              <w:t>4</w:t>
            </w:r>
            <w:r w:rsidRPr="00A94288">
              <w:rPr>
                <w:rFonts w:ascii="Times New Roman" w:hAnsi="Times New Roman" w:cs="Times New Roman"/>
                <w:color w:val="000000"/>
                <w:sz w:val="14"/>
                <w:szCs w:val="14"/>
              </w:rPr>
              <w:t>00</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1 000 000</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1 000 000</w:t>
            </w:r>
          </w:p>
        </w:tc>
      </w:tr>
      <w:tr>
        <w:tblPrEx>
          <w:tblW w:w="4936" w:type="pct"/>
          <w:tblInd w:w="70" w:type="dxa"/>
          <w:tblCellMar>
            <w:left w:w="70" w:type="dxa"/>
            <w:right w:w="70" w:type="dxa"/>
          </w:tblCellMar>
          <w:tblLook w:val="04A0"/>
        </w:tblPrEx>
        <w:trPr>
          <w:trHeight w:val="266"/>
        </w:trPr>
        <w:tc>
          <w:tcPr>
            <w:tcW w:w="1827"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 xml:space="preserve">Podpora bývania </w:t>
            </w:r>
          </w:p>
        </w:tc>
        <w:tc>
          <w:tcPr>
            <w:tcW w:w="1039"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4 040 994</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159 251 033</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159 077 070</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w:t>
            </w:r>
            <w:r>
              <w:rPr>
                <w:rFonts w:ascii="Times New Roman" w:hAnsi="Times New Roman" w:cs="Times New Roman"/>
                <w:color w:val="000000"/>
                <w:sz w:val="14"/>
                <w:szCs w:val="14"/>
              </w:rPr>
              <w:t>57</w:t>
            </w:r>
            <w:r w:rsidRPr="00A94288">
              <w:rPr>
                <w:rFonts w:ascii="Times New Roman" w:hAnsi="Times New Roman" w:cs="Times New Roman"/>
                <w:color w:val="000000"/>
                <w:sz w:val="14"/>
                <w:szCs w:val="14"/>
              </w:rPr>
              <w:t xml:space="preserve"> 404 000</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25559" w:rsidP="00257E12">
            <w:pPr>
              <w:bidi w:val="0"/>
              <w:jc w:val="right"/>
              <w:rPr>
                <w:rFonts w:ascii="Times New Roman" w:hAnsi="Times New Roman" w:cs="Times New Roman"/>
                <w:color w:val="000000"/>
                <w:sz w:val="14"/>
                <w:szCs w:val="14"/>
              </w:rPr>
            </w:pPr>
            <w:r w:rsidRPr="00A25559">
              <w:rPr>
                <w:rFonts w:ascii="Times New Roman" w:hAnsi="Times New Roman" w:cs="Times New Roman"/>
                <w:color w:val="000000"/>
                <w:sz w:val="14"/>
                <w:szCs w:val="14"/>
              </w:rPr>
              <w:t>108 754 000</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25559" w:rsidP="00257E12">
            <w:pPr>
              <w:bidi w:val="0"/>
              <w:jc w:val="right"/>
              <w:rPr>
                <w:rFonts w:ascii="Times New Roman" w:hAnsi="Times New Roman" w:cs="Times New Roman"/>
                <w:color w:val="000000"/>
                <w:sz w:val="14"/>
                <w:szCs w:val="14"/>
              </w:rPr>
            </w:pPr>
            <w:r w:rsidRPr="00A25559">
              <w:rPr>
                <w:rFonts w:ascii="Times New Roman" w:hAnsi="Times New Roman" w:cs="Times New Roman"/>
                <w:color w:val="000000"/>
                <w:sz w:val="14"/>
                <w:szCs w:val="14"/>
              </w:rPr>
              <w:t>115 354 000</w:t>
            </w:r>
          </w:p>
        </w:tc>
      </w:tr>
      <w:tr>
        <w:tblPrEx>
          <w:tblW w:w="4936" w:type="pct"/>
          <w:tblInd w:w="70" w:type="dxa"/>
          <w:tblCellMar>
            <w:left w:w="70" w:type="dxa"/>
            <w:right w:w="70" w:type="dxa"/>
          </w:tblCellMar>
          <w:tblLook w:val="04A0"/>
        </w:tblPrEx>
        <w:trPr>
          <w:trHeight w:val="266"/>
        </w:trPr>
        <w:tc>
          <w:tcPr>
            <w:tcW w:w="1827"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OP Tech. pomoc</w:t>
            </w:r>
          </w:p>
        </w:tc>
        <w:tc>
          <w:tcPr>
            <w:tcW w:w="1039"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23 011 028</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7 471 900</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13 219 557</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12 163 602</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12 098 330</w:t>
            </w:r>
          </w:p>
        </w:tc>
      </w:tr>
      <w:tr>
        <w:tblPrEx>
          <w:tblW w:w="4936" w:type="pct"/>
          <w:tblInd w:w="70" w:type="dxa"/>
          <w:tblCellMar>
            <w:left w:w="70" w:type="dxa"/>
            <w:right w:w="70" w:type="dxa"/>
          </w:tblCellMar>
          <w:tblLook w:val="04A0"/>
        </w:tblPrEx>
        <w:trPr>
          <w:trHeight w:val="266"/>
        </w:trPr>
        <w:tc>
          <w:tcPr>
            <w:tcW w:w="1827"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Cestovný ruch</w:t>
            </w:r>
          </w:p>
        </w:tc>
        <w:tc>
          <w:tcPr>
            <w:tcW w:w="1039"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118 480</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56 336 673</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3 120 273</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7</w:t>
            </w:r>
            <w:r w:rsidRPr="00A94288">
              <w:rPr>
                <w:rFonts w:ascii="Times New Roman" w:hAnsi="Times New Roman" w:cs="Times New Roman"/>
                <w:color w:val="000000"/>
                <w:sz w:val="14"/>
                <w:szCs w:val="14"/>
              </w:rPr>
              <w:t xml:space="preserve"> </w:t>
            </w:r>
            <w:r>
              <w:rPr>
                <w:rFonts w:ascii="Times New Roman" w:hAnsi="Times New Roman" w:cs="Times New Roman"/>
                <w:color w:val="000000"/>
                <w:sz w:val="14"/>
                <w:szCs w:val="14"/>
              </w:rPr>
              <w:t>162</w:t>
            </w:r>
            <w:r w:rsidRPr="00A94288">
              <w:rPr>
                <w:rFonts w:ascii="Times New Roman" w:hAnsi="Times New Roman" w:cs="Times New Roman"/>
                <w:color w:val="000000"/>
                <w:sz w:val="14"/>
                <w:szCs w:val="14"/>
              </w:rPr>
              <w:t xml:space="preserve"> 978</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25559" w:rsidP="00257E12">
            <w:pPr>
              <w:bidi w:val="0"/>
              <w:jc w:val="right"/>
              <w:rPr>
                <w:rFonts w:ascii="Times New Roman" w:hAnsi="Times New Roman" w:cs="Times New Roman"/>
                <w:color w:val="000000"/>
                <w:sz w:val="14"/>
                <w:szCs w:val="14"/>
              </w:rPr>
            </w:pPr>
            <w:r w:rsidRPr="00A25559">
              <w:rPr>
                <w:rFonts w:ascii="Times New Roman" w:hAnsi="Times New Roman" w:cs="Times New Roman"/>
                <w:color w:val="000000"/>
                <w:sz w:val="14"/>
                <w:szCs w:val="14"/>
              </w:rPr>
              <w:t>10 019 684</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25559" w:rsidP="00257E12">
            <w:pPr>
              <w:bidi w:val="0"/>
              <w:jc w:val="right"/>
              <w:rPr>
                <w:rFonts w:ascii="Times New Roman" w:hAnsi="Times New Roman" w:cs="Times New Roman"/>
                <w:color w:val="000000"/>
                <w:sz w:val="14"/>
                <w:szCs w:val="14"/>
              </w:rPr>
            </w:pPr>
            <w:r w:rsidRPr="00A25559">
              <w:rPr>
                <w:rFonts w:ascii="Times New Roman" w:hAnsi="Times New Roman" w:cs="Times New Roman"/>
                <w:color w:val="000000"/>
                <w:sz w:val="14"/>
                <w:szCs w:val="14"/>
              </w:rPr>
              <w:t>11 835 880</w:t>
            </w:r>
          </w:p>
        </w:tc>
      </w:tr>
      <w:tr>
        <w:tblPrEx>
          <w:tblW w:w="4936" w:type="pct"/>
          <w:tblInd w:w="70" w:type="dxa"/>
          <w:tblCellMar>
            <w:left w:w="70" w:type="dxa"/>
            <w:right w:w="70" w:type="dxa"/>
          </w:tblCellMar>
          <w:tblLook w:val="04A0"/>
        </w:tblPrEx>
        <w:trPr>
          <w:trHeight w:val="266"/>
        </w:trPr>
        <w:tc>
          <w:tcPr>
            <w:tcW w:w="1827"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Ostatné činnosti</w:t>
            </w:r>
          </w:p>
        </w:tc>
        <w:tc>
          <w:tcPr>
            <w:tcW w:w="1039"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47 241 232</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46 321 180</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66 096 996</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71 822 470</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6</w:t>
            </w:r>
            <w:r>
              <w:rPr>
                <w:rFonts w:ascii="Times New Roman" w:hAnsi="Times New Roman" w:cs="Times New Roman"/>
                <w:color w:val="000000"/>
                <w:sz w:val="14"/>
                <w:szCs w:val="14"/>
              </w:rPr>
              <w:t>6</w:t>
            </w:r>
            <w:r w:rsidRPr="00A94288">
              <w:rPr>
                <w:rFonts w:ascii="Times New Roman" w:hAnsi="Times New Roman" w:cs="Times New Roman"/>
                <w:color w:val="000000"/>
                <w:sz w:val="14"/>
                <w:szCs w:val="14"/>
              </w:rPr>
              <w:t xml:space="preserve"> </w:t>
            </w:r>
            <w:r>
              <w:rPr>
                <w:rFonts w:ascii="Times New Roman" w:hAnsi="Times New Roman" w:cs="Times New Roman"/>
                <w:color w:val="000000"/>
                <w:sz w:val="14"/>
                <w:szCs w:val="14"/>
              </w:rPr>
              <w:t>425</w:t>
            </w:r>
            <w:r w:rsidRPr="00A94288">
              <w:rPr>
                <w:rFonts w:ascii="Times New Roman" w:hAnsi="Times New Roman" w:cs="Times New Roman"/>
                <w:color w:val="000000"/>
                <w:sz w:val="14"/>
                <w:szCs w:val="14"/>
              </w:rPr>
              <w:t xml:space="preserve"> </w:t>
            </w:r>
            <w:r>
              <w:rPr>
                <w:rFonts w:ascii="Times New Roman" w:hAnsi="Times New Roman" w:cs="Times New Roman"/>
                <w:color w:val="000000"/>
                <w:sz w:val="14"/>
                <w:szCs w:val="14"/>
              </w:rPr>
              <w:t>316</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6</w:t>
            </w:r>
            <w:r>
              <w:rPr>
                <w:rFonts w:ascii="Times New Roman" w:hAnsi="Times New Roman" w:cs="Times New Roman"/>
                <w:color w:val="000000"/>
                <w:sz w:val="14"/>
                <w:szCs w:val="14"/>
              </w:rPr>
              <w:t>3</w:t>
            </w:r>
            <w:r w:rsidRPr="00A94288">
              <w:rPr>
                <w:rFonts w:ascii="Times New Roman" w:hAnsi="Times New Roman" w:cs="Times New Roman"/>
                <w:color w:val="000000"/>
                <w:sz w:val="14"/>
                <w:szCs w:val="14"/>
              </w:rPr>
              <w:t xml:space="preserve"> </w:t>
            </w:r>
            <w:r>
              <w:rPr>
                <w:rFonts w:ascii="Times New Roman" w:hAnsi="Times New Roman" w:cs="Times New Roman"/>
                <w:color w:val="000000"/>
                <w:sz w:val="14"/>
                <w:szCs w:val="14"/>
              </w:rPr>
              <w:t>005</w:t>
            </w:r>
            <w:r w:rsidRPr="00A94288">
              <w:rPr>
                <w:rFonts w:ascii="Times New Roman" w:hAnsi="Times New Roman" w:cs="Times New Roman"/>
                <w:color w:val="000000"/>
                <w:sz w:val="14"/>
                <w:szCs w:val="14"/>
              </w:rPr>
              <w:t xml:space="preserve"> </w:t>
            </w:r>
            <w:r>
              <w:rPr>
                <w:rFonts w:ascii="Times New Roman" w:hAnsi="Times New Roman" w:cs="Times New Roman"/>
                <w:color w:val="000000"/>
                <w:sz w:val="14"/>
                <w:szCs w:val="14"/>
              </w:rPr>
              <w:t>380</w:t>
            </w:r>
          </w:p>
        </w:tc>
        <w:tc>
          <w:tcPr>
            <w:tcW w:w="1038"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62 595 135</w:t>
            </w:r>
          </w:p>
        </w:tc>
      </w:tr>
    </w:tbl>
    <w:p w:rsidR="00F42914" w:rsidRPr="00432A91" w:rsidP="00F42914">
      <w:pPr>
        <w:bidi w:val="0"/>
        <w:jc w:val="both"/>
        <w:rPr>
          <w:rFonts w:ascii="Times New Roman" w:hAnsi="Times New Roman" w:cs="Times New Roman"/>
        </w:rPr>
      </w:pPr>
    </w:p>
    <w:p w:rsidR="00F42914" w:rsidRPr="00432A91" w:rsidP="00F42914">
      <w:pPr>
        <w:bidi w:val="0"/>
        <w:ind w:firstLine="708"/>
        <w:jc w:val="both"/>
        <w:rPr>
          <w:rFonts w:ascii="Times New Roman" w:hAnsi="Times New Roman" w:cs="Times New Roman"/>
        </w:rPr>
      </w:pPr>
      <w:r w:rsidRPr="00432A91">
        <w:rPr>
          <w:rFonts w:ascii="Times New Roman" w:hAnsi="Times New Roman" w:cs="Times New Roman"/>
        </w:rPr>
        <w:t>Kapitola Ministerstva dopravy, výstavby a regionálneho rozvoja SR má v roku 2012 k dispozícií výdavky vo výške 2,13 mld. eur a ich použitie je podrobnejšie rozobrané pri jednotlivých oblastiach.</w:t>
      </w:r>
    </w:p>
    <w:p w:rsidR="00F42914" w:rsidRPr="00432A91" w:rsidP="00F42914">
      <w:pPr>
        <w:bidi w:val="0"/>
        <w:ind w:firstLine="708"/>
        <w:jc w:val="both"/>
        <w:rPr>
          <w:rFonts w:ascii="Times New Roman" w:hAnsi="Times New Roman" w:cs="Times New Roman"/>
        </w:rPr>
      </w:pPr>
    </w:p>
    <w:p w:rsidR="00F42914" w:rsidRPr="00432A91" w:rsidP="00F42914">
      <w:pPr>
        <w:bidi w:val="0"/>
        <w:jc w:val="both"/>
        <w:rPr>
          <w:rFonts w:ascii="Times New Roman" w:hAnsi="Times New Roman" w:cs="Times New Roman"/>
          <w:b/>
        </w:rPr>
      </w:pPr>
      <w:r w:rsidRPr="00432A91">
        <w:rPr>
          <w:rFonts w:ascii="Times New Roman" w:hAnsi="Times New Roman" w:cs="Times New Roman"/>
          <w:b/>
        </w:rPr>
        <w:t>Cestná a železničná infraštruktúra</w:t>
      </w:r>
    </w:p>
    <w:p w:rsidR="00F42914" w:rsidRPr="00432A91" w:rsidP="00F42914">
      <w:pPr>
        <w:bidi w:val="0"/>
        <w:jc w:val="both"/>
        <w:rPr>
          <w:rFonts w:ascii="Times New Roman" w:hAnsi="Times New Roman" w:cs="Times New Roman"/>
          <w:b/>
        </w:rPr>
      </w:pPr>
    </w:p>
    <w:p w:rsidR="00F42914" w:rsidRPr="00432A91" w:rsidP="00F42914">
      <w:pPr>
        <w:bidi w:val="0"/>
        <w:ind w:firstLine="708"/>
        <w:jc w:val="both"/>
        <w:rPr>
          <w:rFonts w:ascii="Times New Roman" w:hAnsi="Times New Roman" w:cs="Times New Roman"/>
        </w:rPr>
      </w:pPr>
      <w:r w:rsidRPr="00432A91">
        <w:rPr>
          <w:rFonts w:ascii="Times New Roman" w:hAnsi="Times New Roman" w:cs="Times New Roman"/>
        </w:rPr>
        <w:t xml:space="preserve">V rozpočte verejnej správy nebolo doposiaľ nikdy v histórii na cestnú a železničnú infraštruktúru rozpočtovaných toľko finančných prostriedkov ako na roky 2012, 2013 a 2014. </w:t>
      </w:r>
    </w:p>
    <w:p w:rsidR="00F42914" w:rsidRPr="00432A91" w:rsidP="00F42914">
      <w:pPr>
        <w:bidi w:val="0"/>
        <w:jc w:val="both"/>
        <w:rPr>
          <w:rFonts w:ascii="Times New Roman" w:hAnsi="Times New Roman" w:cs="Times New Roman"/>
        </w:rPr>
      </w:pPr>
    </w:p>
    <w:tbl>
      <w:tblPr>
        <w:tblStyle w:val="TableNormal"/>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065"/>
        <w:gridCol w:w="1003"/>
        <w:gridCol w:w="1001"/>
        <w:gridCol w:w="1001"/>
        <w:gridCol w:w="1001"/>
        <w:gridCol w:w="1001"/>
        <w:gridCol w:w="1001"/>
        <w:gridCol w:w="1001"/>
      </w:tblGrid>
      <w:tr>
        <w:tblPrEx>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268"/>
        </w:trPr>
        <w:tc>
          <w:tcPr>
            <w:tcW w:w="206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v eurách</w:t>
            </w:r>
          </w:p>
        </w:tc>
        <w:tc>
          <w:tcPr>
            <w:tcW w:w="100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2009 S</w:t>
            </w:r>
          </w:p>
        </w:tc>
        <w:tc>
          <w:tcPr>
            <w:tcW w:w="100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2010 S</w:t>
            </w:r>
          </w:p>
        </w:tc>
        <w:tc>
          <w:tcPr>
            <w:tcW w:w="100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2011 R</w:t>
            </w:r>
          </w:p>
        </w:tc>
        <w:tc>
          <w:tcPr>
            <w:tcW w:w="100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2011 OS</w:t>
            </w:r>
          </w:p>
        </w:tc>
        <w:tc>
          <w:tcPr>
            <w:tcW w:w="100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2012 N</w:t>
            </w:r>
          </w:p>
        </w:tc>
        <w:tc>
          <w:tcPr>
            <w:tcW w:w="100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2013 N</w:t>
            </w:r>
          </w:p>
        </w:tc>
        <w:tc>
          <w:tcPr>
            <w:tcW w:w="100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2014 N</w:t>
            </w:r>
          </w:p>
        </w:tc>
      </w:tr>
      <w:tr>
        <w:tblPrEx>
          <w:tblW w:w="4925" w:type="pct"/>
          <w:tblInd w:w="70" w:type="dxa"/>
          <w:tblLayout w:type="fixed"/>
          <w:tblCellMar>
            <w:left w:w="70" w:type="dxa"/>
            <w:right w:w="70" w:type="dxa"/>
          </w:tblCellMar>
          <w:tblLook w:val="04A0"/>
        </w:tblPrEx>
        <w:trPr>
          <w:trHeight w:val="268"/>
        </w:trPr>
        <w:tc>
          <w:tcPr>
            <w:tcW w:w="2065"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Prostriedky ŠR</w:t>
            </w:r>
          </w:p>
        </w:tc>
        <w:tc>
          <w:tcPr>
            <w:tcW w:w="1003"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834 493 044</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811 205 754</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910 979 907</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990 680 048</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962 395 016</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1 084 862 501</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1 321 401 488</w:t>
            </w:r>
          </w:p>
        </w:tc>
      </w:tr>
      <w:tr>
        <w:tblPrEx>
          <w:tblW w:w="4925" w:type="pct"/>
          <w:tblInd w:w="70" w:type="dxa"/>
          <w:tblLayout w:type="fixed"/>
          <w:tblCellMar>
            <w:left w:w="70" w:type="dxa"/>
            <w:right w:w="70" w:type="dxa"/>
          </w:tblCellMar>
          <w:tblLook w:val="04A0"/>
        </w:tblPrEx>
        <w:trPr>
          <w:trHeight w:val="268"/>
        </w:trPr>
        <w:tc>
          <w:tcPr>
            <w:tcW w:w="2065"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Prostriedky EÚ</w:t>
            </w:r>
          </w:p>
        </w:tc>
        <w:tc>
          <w:tcPr>
            <w:tcW w:w="1003"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289 557 295</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364 920 230</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542 995 224</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393 705 817</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746 810 421</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725 765 569</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903 573 792</w:t>
            </w:r>
          </w:p>
        </w:tc>
      </w:tr>
      <w:tr>
        <w:tblPrEx>
          <w:tblW w:w="4925" w:type="pct"/>
          <w:tblInd w:w="70" w:type="dxa"/>
          <w:tblLayout w:type="fixed"/>
          <w:tblCellMar>
            <w:left w:w="70" w:type="dxa"/>
            <w:right w:w="70" w:type="dxa"/>
          </w:tblCellMar>
          <w:tblLook w:val="04A0"/>
        </w:tblPrEx>
        <w:trPr>
          <w:trHeight w:val="268"/>
        </w:trPr>
        <w:tc>
          <w:tcPr>
            <w:tcW w:w="2065"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Spolufinancovanie</w:t>
            </w:r>
          </w:p>
        </w:tc>
        <w:tc>
          <w:tcPr>
            <w:tcW w:w="1003"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67 442 643</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66 582 388</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118 568 398</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94 606 935</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162 523 261</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139 360 750</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160 401 512</w:t>
            </w:r>
          </w:p>
        </w:tc>
      </w:tr>
      <w:tr>
        <w:tblPrEx>
          <w:tblW w:w="4925" w:type="pct"/>
          <w:tblInd w:w="70" w:type="dxa"/>
          <w:tblLayout w:type="fixed"/>
          <w:tblCellMar>
            <w:left w:w="70" w:type="dxa"/>
            <w:right w:w="70" w:type="dxa"/>
          </w:tblCellMar>
          <w:tblLook w:val="04A0"/>
        </w:tblPrEx>
        <w:trPr>
          <w:trHeight w:val="268"/>
        </w:trPr>
        <w:tc>
          <w:tcPr>
            <w:tcW w:w="2065"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42914" w:rsidRPr="00A94288" w:rsidP="00257E12">
            <w:pPr>
              <w:bidi w:val="0"/>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 xml:space="preserve">Spolu </w:t>
            </w:r>
          </w:p>
        </w:tc>
        <w:tc>
          <w:tcPr>
            <w:tcW w:w="100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42914" w:rsidRPr="000D40B7" w:rsidP="00257E12">
            <w:pPr>
              <w:bidi w:val="0"/>
              <w:jc w:val="right"/>
              <w:rPr>
                <w:rFonts w:ascii="Times New Roman" w:hAnsi="Times New Roman" w:cs="Times New Roman"/>
                <w:b/>
                <w:bCs/>
                <w:color w:val="000000"/>
                <w:sz w:val="14"/>
                <w:szCs w:val="14"/>
              </w:rPr>
            </w:pPr>
            <w:r w:rsidRPr="000D40B7">
              <w:rPr>
                <w:rFonts w:ascii="Times New Roman" w:hAnsi="Times New Roman" w:cs="Times New Roman"/>
                <w:b/>
                <w:bCs/>
                <w:color w:val="000000"/>
                <w:sz w:val="14"/>
                <w:szCs w:val="14"/>
              </w:rPr>
              <w:t>1 191 492 982</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42914" w:rsidRPr="000D40B7" w:rsidP="00257E12">
            <w:pPr>
              <w:bidi w:val="0"/>
              <w:jc w:val="right"/>
              <w:rPr>
                <w:rFonts w:ascii="Times New Roman" w:hAnsi="Times New Roman" w:cs="Times New Roman"/>
                <w:b/>
                <w:bCs/>
                <w:color w:val="000000"/>
                <w:sz w:val="14"/>
                <w:szCs w:val="14"/>
              </w:rPr>
            </w:pPr>
            <w:r w:rsidRPr="000D40B7">
              <w:rPr>
                <w:rFonts w:ascii="Times New Roman" w:hAnsi="Times New Roman" w:cs="Times New Roman"/>
                <w:b/>
                <w:bCs/>
                <w:color w:val="000000"/>
                <w:sz w:val="14"/>
                <w:szCs w:val="14"/>
              </w:rPr>
              <w:t>1 242 708 372</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42914" w:rsidRPr="000D40B7" w:rsidP="00257E12">
            <w:pPr>
              <w:bidi w:val="0"/>
              <w:jc w:val="right"/>
              <w:rPr>
                <w:rFonts w:ascii="Times New Roman" w:hAnsi="Times New Roman" w:cs="Times New Roman"/>
                <w:b/>
                <w:bCs/>
                <w:color w:val="000000"/>
                <w:sz w:val="14"/>
                <w:szCs w:val="14"/>
              </w:rPr>
            </w:pPr>
            <w:r w:rsidRPr="000D40B7">
              <w:rPr>
                <w:rFonts w:ascii="Times New Roman" w:hAnsi="Times New Roman" w:cs="Times New Roman"/>
                <w:b/>
                <w:bCs/>
                <w:color w:val="000000"/>
                <w:sz w:val="14"/>
                <w:szCs w:val="14"/>
              </w:rPr>
              <w:t>1 572 543 529</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42914" w:rsidRPr="000D40B7" w:rsidP="00257E12">
            <w:pPr>
              <w:bidi w:val="0"/>
              <w:jc w:val="right"/>
              <w:rPr>
                <w:rFonts w:ascii="Times New Roman" w:hAnsi="Times New Roman" w:cs="Times New Roman"/>
                <w:b/>
                <w:bCs/>
                <w:color w:val="000000"/>
                <w:sz w:val="14"/>
                <w:szCs w:val="14"/>
              </w:rPr>
            </w:pPr>
            <w:r w:rsidRPr="000D40B7">
              <w:rPr>
                <w:rFonts w:ascii="Times New Roman" w:hAnsi="Times New Roman" w:cs="Times New Roman"/>
                <w:b/>
                <w:bCs/>
                <w:color w:val="000000"/>
                <w:sz w:val="14"/>
                <w:szCs w:val="14"/>
              </w:rPr>
              <w:t>1 478 992 800</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42914" w:rsidRPr="000D40B7" w:rsidP="00257E12">
            <w:pPr>
              <w:bidi w:val="0"/>
              <w:jc w:val="right"/>
              <w:rPr>
                <w:rFonts w:ascii="Times New Roman" w:hAnsi="Times New Roman" w:cs="Times New Roman"/>
                <w:b/>
                <w:bCs/>
                <w:color w:val="000000"/>
                <w:sz w:val="14"/>
                <w:szCs w:val="14"/>
              </w:rPr>
            </w:pPr>
            <w:r w:rsidRPr="000D40B7">
              <w:rPr>
                <w:rFonts w:ascii="Times New Roman" w:hAnsi="Times New Roman" w:cs="Times New Roman"/>
                <w:b/>
                <w:bCs/>
                <w:color w:val="000000"/>
                <w:sz w:val="14"/>
                <w:szCs w:val="14"/>
              </w:rPr>
              <w:t>1</w:t>
            </w:r>
            <w:r>
              <w:rPr>
                <w:rFonts w:ascii="Times New Roman" w:hAnsi="Times New Roman" w:cs="Times New Roman"/>
                <w:b/>
                <w:bCs/>
                <w:color w:val="000000"/>
                <w:sz w:val="14"/>
                <w:szCs w:val="14"/>
              </w:rPr>
              <w:t> 871 728 698</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42914" w:rsidRPr="000D40B7" w:rsidP="00257E12">
            <w:pPr>
              <w:bidi w:val="0"/>
              <w:jc w:val="right"/>
              <w:rPr>
                <w:rFonts w:ascii="Times New Roman" w:hAnsi="Times New Roman" w:cs="Times New Roman"/>
                <w:b/>
                <w:bCs/>
                <w:color w:val="000000"/>
                <w:sz w:val="14"/>
                <w:szCs w:val="14"/>
              </w:rPr>
            </w:pPr>
            <w:r w:rsidRPr="000D40B7">
              <w:rPr>
                <w:rFonts w:ascii="Times New Roman" w:hAnsi="Times New Roman" w:cs="Times New Roman"/>
                <w:b/>
                <w:bCs/>
                <w:color w:val="000000"/>
                <w:sz w:val="14"/>
                <w:szCs w:val="14"/>
              </w:rPr>
              <w:t>1 9</w:t>
            </w:r>
            <w:r>
              <w:rPr>
                <w:rFonts w:ascii="Times New Roman" w:hAnsi="Times New Roman" w:cs="Times New Roman"/>
                <w:b/>
                <w:bCs/>
                <w:color w:val="000000"/>
                <w:sz w:val="14"/>
                <w:szCs w:val="14"/>
              </w:rPr>
              <w:t>49</w:t>
            </w:r>
            <w:r w:rsidRPr="000D40B7">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988</w:t>
            </w:r>
            <w:r w:rsidRPr="000D40B7">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820</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42914" w:rsidRPr="000D40B7" w:rsidP="00257E12">
            <w:pPr>
              <w:bidi w:val="0"/>
              <w:jc w:val="right"/>
              <w:rPr>
                <w:rFonts w:ascii="Times New Roman" w:hAnsi="Times New Roman" w:cs="Times New Roman"/>
                <w:b/>
                <w:bCs/>
                <w:color w:val="000000"/>
                <w:sz w:val="14"/>
                <w:szCs w:val="14"/>
              </w:rPr>
            </w:pPr>
            <w:r w:rsidRPr="000D40B7">
              <w:rPr>
                <w:rFonts w:ascii="Times New Roman" w:hAnsi="Times New Roman" w:cs="Times New Roman"/>
                <w:b/>
                <w:bCs/>
                <w:color w:val="000000"/>
                <w:sz w:val="14"/>
                <w:szCs w:val="14"/>
              </w:rPr>
              <w:t>2 38</w:t>
            </w:r>
            <w:r>
              <w:rPr>
                <w:rFonts w:ascii="Times New Roman" w:hAnsi="Times New Roman" w:cs="Times New Roman"/>
                <w:b/>
                <w:bCs/>
                <w:color w:val="000000"/>
                <w:sz w:val="14"/>
                <w:szCs w:val="14"/>
              </w:rPr>
              <w:t>5</w:t>
            </w:r>
            <w:r w:rsidRPr="000D40B7">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376</w:t>
            </w:r>
            <w:r w:rsidRPr="000D40B7">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792</w:t>
            </w:r>
          </w:p>
        </w:tc>
      </w:tr>
      <w:tr>
        <w:tblPrEx>
          <w:tblW w:w="4925" w:type="pct"/>
          <w:tblInd w:w="70" w:type="dxa"/>
          <w:tblLayout w:type="fixed"/>
          <w:tblCellMar>
            <w:left w:w="70" w:type="dxa"/>
            <w:right w:w="70" w:type="dxa"/>
          </w:tblCellMar>
          <w:tblLook w:val="04A0"/>
        </w:tblPrEx>
        <w:trPr>
          <w:trHeight w:val="268"/>
        </w:trPr>
        <w:tc>
          <w:tcPr>
            <w:tcW w:w="206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Prostriedky EÚ TEN-T mimoroz.</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2 900 693</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1 267 358</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681 700</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2 227 480</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2 224 545</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600 000</w:t>
            </w:r>
          </w:p>
        </w:tc>
      </w:tr>
      <w:tr>
        <w:tblPrEx>
          <w:tblW w:w="4925" w:type="pct"/>
          <w:tblInd w:w="70" w:type="dxa"/>
          <w:tblLayout w:type="fixed"/>
          <w:tblCellMar>
            <w:left w:w="70" w:type="dxa"/>
            <w:right w:w="70" w:type="dxa"/>
          </w:tblCellMar>
          <w:tblLook w:val="04A0"/>
        </w:tblPrEx>
        <w:trPr>
          <w:trHeight w:val="268"/>
        </w:trPr>
        <w:tc>
          <w:tcPr>
            <w:tcW w:w="206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Vlastné zdroje NDS  na cest. inf.</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84 577 229</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14 096 000</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57 550 335</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57 816 764</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125 785 211</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97 912 687</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106 770 337</w:t>
            </w:r>
          </w:p>
        </w:tc>
      </w:tr>
      <w:tr>
        <w:tblPrEx>
          <w:tblW w:w="4925" w:type="pct"/>
          <w:tblInd w:w="70" w:type="dxa"/>
          <w:tblLayout w:type="fixed"/>
          <w:tblCellMar>
            <w:left w:w="70" w:type="dxa"/>
            <w:right w:w="70" w:type="dxa"/>
          </w:tblCellMar>
          <w:tblLook w:val="04A0"/>
        </w:tblPrEx>
        <w:trPr>
          <w:trHeight w:val="268"/>
        </w:trPr>
        <w:tc>
          <w:tcPr>
            <w:tcW w:w="2065"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42914" w:rsidRPr="00A94288" w:rsidP="00257E12">
            <w:pPr>
              <w:bidi w:val="0"/>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Celkom zdroje</w:t>
            </w:r>
          </w:p>
        </w:tc>
        <w:tc>
          <w:tcPr>
            <w:tcW w:w="100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42914" w:rsidRPr="00A94288" w:rsidP="00257E12">
            <w:pPr>
              <w:bidi w:val="0"/>
              <w:jc w:val="right"/>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1 278 970 904</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42914" w:rsidRPr="00A94288" w:rsidP="00257E12">
            <w:pPr>
              <w:bidi w:val="0"/>
              <w:jc w:val="right"/>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1 258 071 730</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42914" w:rsidRPr="00A94288" w:rsidP="00257E12">
            <w:pPr>
              <w:bidi w:val="0"/>
              <w:jc w:val="right"/>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1 630 093 864</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42914" w:rsidRPr="00A94288" w:rsidP="00257E12">
            <w:pPr>
              <w:bidi w:val="0"/>
              <w:jc w:val="right"/>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1 537 491 264</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42914" w:rsidRPr="00A94288" w:rsidP="00257E1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1 999 741 389</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42914" w:rsidRPr="00A94288" w:rsidP="00257E1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2 050</w:t>
            </w:r>
            <w:r w:rsidRPr="00A94288">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126</w:t>
            </w:r>
            <w:r w:rsidRPr="00A94288">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052</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42914" w:rsidRPr="00A94288" w:rsidP="00257E12">
            <w:pPr>
              <w:bidi w:val="0"/>
              <w:jc w:val="right"/>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2 49</w:t>
            </w:r>
            <w:r>
              <w:rPr>
                <w:rFonts w:ascii="Times New Roman" w:hAnsi="Times New Roman" w:cs="Times New Roman"/>
                <w:b/>
                <w:bCs/>
                <w:color w:val="000000"/>
                <w:sz w:val="14"/>
                <w:szCs w:val="14"/>
              </w:rPr>
              <w:t>2</w:t>
            </w:r>
            <w:r w:rsidRPr="00A94288">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7</w:t>
            </w:r>
            <w:r w:rsidRPr="00A94288">
              <w:rPr>
                <w:rFonts w:ascii="Times New Roman" w:hAnsi="Times New Roman" w:cs="Times New Roman"/>
                <w:b/>
                <w:bCs/>
                <w:color w:val="000000"/>
                <w:sz w:val="14"/>
                <w:szCs w:val="14"/>
              </w:rPr>
              <w:t>4</w:t>
            </w:r>
            <w:r>
              <w:rPr>
                <w:rFonts w:ascii="Times New Roman" w:hAnsi="Times New Roman" w:cs="Times New Roman"/>
                <w:b/>
                <w:bCs/>
                <w:color w:val="000000"/>
                <w:sz w:val="14"/>
                <w:szCs w:val="14"/>
              </w:rPr>
              <w:t>7</w:t>
            </w:r>
            <w:r w:rsidRPr="00A94288">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129</w:t>
            </w:r>
          </w:p>
        </w:tc>
      </w:tr>
    </w:tbl>
    <w:p w:rsidR="00F42914" w:rsidRPr="00432A91" w:rsidP="00F42914">
      <w:pPr>
        <w:bidi w:val="0"/>
        <w:jc w:val="both"/>
        <w:rPr>
          <w:rFonts w:ascii="Times New Roman" w:hAnsi="Times New Roman" w:cs="Times New Roman"/>
        </w:rPr>
      </w:pPr>
    </w:p>
    <w:p w:rsidR="00F42914" w:rsidRPr="00432A91" w:rsidP="00F42914">
      <w:pPr>
        <w:bidi w:val="0"/>
        <w:ind w:firstLine="708"/>
        <w:jc w:val="both"/>
        <w:rPr>
          <w:rFonts w:ascii="Times New Roman" w:hAnsi="Times New Roman" w:cs="Times New Roman"/>
        </w:rPr>
      </w:pPr>
      <w:r w:rsidRPr="00432A91">
        <w:rPr>
          <w:rFonts w:ascii="Times New Roman" w:hAnsi="Times New Roman" w:cs="Times New Roman"/>
        </w:rPr>
        <w:t xml:space="preserve">Na cestnú a železničnú infraštruktúru spolu </w:t>
      </w:r>
      <w:r>
        <w:rPr>
          <w:rFonts w:ascii="Times New Roman" w:hAnsi="Times New Roman" w:cs="Times New Roman"/>
        </w:rPr>
        <w:t>s</w:t>
      </w:r>
      <w:r w:rsidRPr="00432A91">
        <w:rPr>
          <w:rFonts w:ascii="Times New Roman" w:hAnsi="Times New Roman" w:cs="Times New Roman"/>
        </w:rPr>
        <w:t xml:space="preserve"> vlastnými zdrojmi Národnej diaľničnej spoločnosti (ďalej len </w:t>
      </w:r>
      <w:r>
        <w:rPr>
          <w:rFonts w:ascii="Times New Roman" w:hAnsi="Times New Roman" w:cs="Times New Roman"/>
        </w:rPr>
        <w:t>„</w:t>
      </w:r>
      <w:r w:rsidRPr="00432A91">
        <w:rPr>
          <w:rFonts w:ascii="Times New Roman" w:hAnsi="Times New Roman" w:cs="Times New Roman"/>
        </w:rPr>
        <w:t>NDS</w:t>
      </w:r>
      <w:r>
        <w:rPr>
          <w:rFonts w:ascii="Times New Roman" w:hAnsi="Times New Roman" w:cs="Times New Roman"/>
        </w:rPr>
        <w:t>“</w:t>
      </w:r>
      <w:r w:rsidRPr="00432A91">
        <w:rPr>
          <w:rFonts w:ascii="Times New Roman" w:hAnsi="Times New Roman" w:cs="Times New Roman"/>
        </w:rPr>
        <w:t xml:space="preserve">) na investície a údržbu </w:t>
      </w:r>
      <w:r w:rsidR="00450760">
        <w:rPr>
          <w:rFonts w:ascii="Times New Roman" w:hAnsi="Times New Roman" w:cs="Times New Roman"/>
        </w:rPr>
        <w:t>sú</w:t>
      </w:r>
      <w:r w:rsidRPr="00432A91">
        <w:rPr>
          <w:rFonts w:ascii="Times New Roman" w:hAnsi="Times New Roman" w:cs="Times New Roman"/>
        </w:rPr>
        <w:t xml:space="preserve"> k dispozíci</w:t>
      </w:r>
      <w:r w:rsidR="00450760">
        <w:rPr>
          <w:rFonts w:ascii="Times New Roman" w:hAnsi="Times New Roman" w:cs="Times New Roman"/>
        </w:rPr>
        <w:t>i</w:t>
      </w:r>
      <w:r w:rsidRPr="00432A91">
        <w:rPr>
          <w:rFonts w:ascii="Times New Roman" w:hAnsi="Times New Roman" w:cs="Times New Roman"/>
        </w:rPr>
        <w:t xml:space="preserve"> 2,0</w:t>
      </w:r>
      <w:r>
        <w:rPr>
          <w:rFonts w:ascii="Times New Roman" w:hAnsi="Times New Roman" w:cs="Times New Roman"/>
        </w:rPr>
        <w:t>0</w:t>
      </w:r>
      <w:r w:rsidRPr="00432A91">
        <w:rPr>
          <w:rFonts w:ascii="Times New Roman" w:hAnsi="Times New Roman" w:cs="Times New Roman"/>
        </w:rPr>
        <w:t xml:space="preserve"> mld. eur, čo v porovnaní so schváleným rozpočtom roku 2011 predstavuje zvýšenie o 2</w:t>
      </w:r>
      <w:r>
        <w:rPr>
          <w:rFonts w:ascii="Times New Roman" w:hAnsi="Times New Roman" w:cs="Times New Roman"/>
        </w:rPr>
        <w:t>2</w:t>
      </w:r>
      <w:r w:rsidRPr="00432A91">
        <w:rPr>
          <w:rFonts w:ascii="Times New Roman" w:hAnsi="Times New Roman" w:cs="Times New Roman"/>
        </w:rPr>
        <w:t>,</w:t>
      </w:r>
      <w:r>
        <w:rPr>
          <w:rFonts w:ascii="Times New Roman" w:hAnsi="Times New Roman" w:cs="Times New Roman"/>
        </w:rPr>
        <w:t>7</w:t>
      </w:r>
      <w:r w:rsidRPr="00432A91">
        <w:rPr>
          <w:rFonts w:ascii="Times New Roman" w:hAnsi="Times New Roman" w:cs="Times New Roman"/>
        </w:rPr>
        <w:t xml:space="preserve"> %, teda o</w:t>
      </w:r>
      <w:r>
        <w:rPr>
          <w:rFonts w:ascii="Times New Roman" w:hAnsi="Times New Roman" w:cs="Times New Roman"/>
        </w:rPr>
        <w:t> 370 </w:t>
      </w:r>
      <w:r w:rsidRPr="00432A91">
        <w:rPr>
          <w:rFonts w:ascii="Times New Roman" w:hAnsi="Times New Roman" w:cs="Times New Roman"/>
        </w:rPr>
        <w:t xml:space="preserve">mil. eur. Tento nárast spolu s výrazným znížením cien, ktoré sa v súčasnosti dosahuje pri výberových konaniach na dodávateľov pri výstavbe ciest a železníc, dokáže zabezpečiť zrýchlenie výstavby v tomto sektore. Súčasne sa predpokladá, že na rozdiel od predchádzajúcich rokov sa skončí každoročné zadlžovanie železničných spoločností.  </w:t>
      </w:r>
    </w:p>
    <w:p w:rsidR="00F42914" w:rsidRPr="00432A91" w:rsidP="00F42914">
      <w:pPr>
        <w:bidi w:val="0"/>
        <w:ind w:firstLine="708"/>
        <w:jc w:val="both"/>
        <w:rPr>
          <w:rFonts w:ascii="Times New Roman" w:hAnsi="Times New Roman" w:cs="Times New Roman"/>
        </w:rPr>
      </w:pPr>
    </w:p>
    <w:p w:rsidR="00F42914" w:rsidRPr="003F017B" w:rsidP="00F42914">
      <w:pPr>
        <w:bidi w:val="0"/>
        <w:ind w:firstLine="708"/>
        <w:jc w:val="both"/>
        <w:rPr>
          <w:rFonts w:ascii="Times New Roman" w:hAnsi="Times New Roman" w:cs="Times New Roman"/>
        </w:rPr>
      </w:pPr>
      <w:r w:rsidRPr="003F017B">
        <w:rPr>
          <w:rFonts w:ascii="Times New Roman" w:hAnsi="Times New Roman" w:cs="Times New Roman"/>
        </w:rPr>
        <w:t>V kapitole MDVRR SR bez mimorozpočtových prostriedkov EÚ na TEN-T projekty sú rozpočtované výdavky v sume 1,</w:t>
      </w:r>
      <w:r>
        <w:rPr>
          <w:rFonts w:ascii="Times New Roman" w:hAnsi="Times New Roman" w:cs="Times New Roman"/>
        </w:rPr>
        <w:t>87</w:t>
      </w:r>
      <w:r w:rsidRPr="003F017B">
        <w:rPr>
          <w:rFonts w:ascii="Times New Roman" w:hAnsi="Times New Roman" w:cs="Times New Roman"/>
        </w:rPr>
        <w:t xml:space="preserve"> mil. eur, čo v porovnaní so schváleným rozpočtom roku 2011 predstavuje nárast o </w:t>
      </w:r>
      <w:r>
        <w:rPr>
          <w:rFonts w:ascii="Times New Roman" w:hAnsi="Times New Roman" w:cs="Times New Roman"/>
        </w:rPr>
        <w:t>19</w:t>
      </w:r>
      <w:r w:rsidRPr="003F017B">
        <w:rPr>
          <w:rFonts w:ascii="Times New Roman" w:hAnsi="Times New Roman" w:cs="Times New Roman"/>
        </w:rPr>
        <w:t>,</w:t>
      </w:r>
      <w:r>
        <w:rPr>
          <w:rFonts w:ascii="Times New Roman" w:hAnsi="Times New Roman" w:cs="Times New Roman"/>
        </w:rPr>
        <w:t>0</w:t>
      </w:r>
      <w:r w:rsidRPr="003F017B">
        <w:rPr>
          <w:rFonts w:ascii="Times New Roman" w:hAnsi="Times New Roman" w:cs="Times New Roman"/>
        </w:rPr>
        <w:t xml:space="preserve"> %, čo činí </w:t>
      </w:r>
      <w:r>
        <w:rPr>
          <w:rFonts w:ascii="Times New Roman" w:hAnsi="Times New Roman" w:cs="Times New Roman"/>
        </w:rPr>
        <w:t>299</w:t>
      </w:r>
      <w:r w:rsidRPr="003F017B">
        <w:rPr>
          <w:rFonts w:ascii="Times New Roman" w:hAnsi="Times New Roman" w:cs="Times New Roman"/>
        </w:rPr>
        <w:t xml:space="preserve"> mil. eur. </w:t>
      </w:r>
    </w:p>
    <w:p w:rsidR="00F42914" w:rsidRPr="003F017B" w:rsidP="00F42914">
      <w:pPr>
        <w:bidi w:val="0"/>
        <w:ind w:firstLine="708"/>
        <w:jc w:val="both"/>
        <w:rPr>
          <w:rFonts w:ascii="Times New Roman" w:hAnsi="Times New Roman" w:cs="Times New Roman"/>
        </w:rPr>
      </w:pPr>
    </w:p>
    <w:p w:rsidR="00F42914" w:rsidRPr="003F017B" w:rsidP="00F42914">
      <w:pPr>
        <w:bidi w:val="0"/>
        <w:ind w:firstLine="708"/>
        <w:jc w:val="both"/>
        <w:rPr>
          <w:rFonts w:ascii="Times New Roman" w:hAnsi="Times New Roman" w:cs="Times New Roman"/>
        </w:rPr>
      </w:pPr>
      <w:r w:rsidRPr="003F017B">
        <w:rPr>
          <w:rFonts w:ascii="Times New Roman" w:hAnsi="Times New Roman" w:cs="Times New Roman"/>
        </w:rPr>
        <w:t>Výdavky zo zdrojov EÚ v porovnaní so schváleným rozpočtom roku 2011 sú vyššie o 37,5 %, t.</w:t>
      </w:r>
      <w:r>
        <w:rPr>
          <w:rFonts w:ascii="Times New Roman" w:hAnsi="Times New Roman" w:cs="Times New Roman"/>
        </w:rPr>
        <w:t xml:space="preserve"> </w:t>
      </w:r>
      <w:r w:rsidRPr="003F017B">
        <w:rPr>
          <w:rFonts w:ascii="Times New Roman" w:hAnsi="Times New Roman" w:cs="Times New Roman"/>
        </w:rPr>
        <w:t>j. o 204 mil. eur a zo spolufinancovania vyššie o 37,1 %, teda o 44,0 mil. eur.</w:t>
      </w:r>
    </w:p>
    <w:p w:rsidR="00F42914" w:rsidRPr="003F017B" w:rsidP="00F42914">
      <w:pPr>
        <w:bidi w:val="0"/>
        <w:ind w:firstLine="708"/>
        <w:jc w:val="both"/>
        <w:rPr>
          <w:rFonts w:ascii="Times New Roman" w:hAnsi="Times New Roman" w:cs="Times New Roman"/>
        </w:rPr>
      </w:pPr>
    </w:p>
    <w:p w:rsidR="00F42914" w:rsidRPr="003F017B" w:rsidP="00F42914">
      <w:pPr>
        <w:bidi w:val="0"/>
        <w:ind w:firstLine="708"/>
        <w:jc w:val="both"/>
        <w:rPr>
          <w:rFonts w:ascii="Times New Roman" w:hAnsi="Times New Roman" w:cs="Times New Roman"/>
        </w:rPr>
      </w:pPr>
      <w:r w:rsidRPr="003F017B">
        <w:rPr>
          <w:rFonts w:ascii="Times New Roman" w:hAnsi="Times New Roman" w:cs="Times New Roman"/>
        </w:rPr>
        <w:t xml:space="preserve">Z prostriedkov štátneho rozpočtu sú rozpočtované výdavky v sume </w:t>
      </w:r>
      <w:r>
        <w:rPr>
          <w:rFonts w:ascii="Times New Roman" w:hAnsi="Times New Roman" w:cs="Times New Roman"/>
        </w:rPr>
        <w:t>962</w:t>
      </w:r>
      <w:r w:rsidRPr="003F017B">
        <w:rPr>
          <w:rFonts w:ascii="Times New Roman" w:hAnsi="Times New Roman" w:cs="Times New Roman"/>
        </w:rPr>
        <w:t xml:space="preserve"> m</w:t>
      </w:r>
      <w:r>
        <w:rPr>
          <w:rFonts w:ascii="Times New Roman" w:hAnsi="Times New Roman" w:cs="Times New Roman"/>
        </w:rPr>
        <w:t>i</w:t>
      </w:r>
      <w:r w:rsidRPr="003F017B">
        <w:rPr>
          <w:rFonts w:ascii="Times New Roman" w:hAnsi="Times New Roman" w:cs="Times New Roman"/>
        </w:rPr>
        <w:t>l. eur, čo v porovnaní so schváleným rozpočtom roku 2011 predstavuje zvýšenie o </w:t>
      </w:r>
      <w:r>
        <w:rPr>
          <w:rFonts w:ascii="Times New Roman" w:hAnsi="Times New Roman" w:cs="Times New Roman"/>
        </w:rPr>
        <w:t>5</w:t>
      </w:r>
      <w:r w:rsidRPr="003F017B">
        <w:rPr>
          <w:rFonts w:ascii="Times New Roman" w:hAnsi="Times New Roman" w:cs="Times New Roman"/>
        </w:rPr>
        <w:t>,</w:t>
      </w:r>
      <w:r>
        <w:rPr>
          <w:rFonts w:ascii="Times New Roman" w:hAnsi="Times New Roman" w:cs="Times New Roman"/>
        </w:rPr>
        <w:t>64</w:t>
      </w:r>
      <w:r w:rsidRPr="003F017B">
        <w:rPr>
          <w:rFonts w:ascii="Times New Roman" w:hAnsi="Times New Roman" w:cs="Times New Roman"/>
        </w:rPr>
        <w:t xml:space="preserve"> %, t.</w:t>
      </w:r>
      <w:r>
        <w:rPr>
          <w:rFonts w:ascii="Times New Roman" w:hAnsi="Times New Roman" w:cs="Times New Roman"/>
        </w:rPr>
        <w:t xml:space="preserve"> </w:t>
      </w:r>
      <w:r w:rsidRPr="003F017B">
        <w:rPr>
          <w:rFonts w:ascii="Times New Roman" w:hAnsi="Times New Roman" w:cs="Times New Roman"/>
        </w:rPr>
        <w:t>j. o </w:t>
      </w:r>
      <w:r>
        <w:rPr>
          <w:rFonts w:ascii="Times New Roman" w:hAnsi="Times New Roman" w:cs="Times New Roman"/>
        </w:rPr>
        <w:t>51</w:t>
      </w:r>
      <w:r w:rsidRPr="003F017B">
        <w:rPr>
          <w:rFonts w:ascii="Times New Roman" w:hAnsi="Times New Roman" w:cs="Times New Roman"/>
        </w:rPr>
        <w:t>,</w:t>
      </w:r>
      <w:r>
        <w:rPr>
          <w:rFonts w:ascii="Times New Roman" w:hAnsi="Times New Roman" w:cs="Times New Roman"/>
        </w:rPr>
        <w:t>4 </w:t>
      </w:r>
      <w:r w:rsidRPr="003F017B">
        <w:rPr>
          <w:rFonts w:ascii="Times New Roman" w:hAnsi="Times New Roman" w:cs="Times New Roman"/>
        </w:rPr>
        <w:t>mil. eur.</w:t>
      </w:r>
    </w:p>
    <w:p w:rsidR="00F42914" w:rsidRPr="003F017B" w:rsidP="00F42914">
      <w:pPr>
        <w:bidi w:val="0"/>
        <w:jc w:val="both"/>
        <w:rPr>
          <w:rFonts w:ascii="Times New Roman" w:hAnsi="Times New Roman" w:cs="Times New Roman"/>
        </w:rPr>
      </w:pPr>
    </w:p>
    <w:p w:rsidR="00F42914" w:rsidRPr="003F017B" w:rsidP="00F42914">
      <w:pPr>
        <w:bidi w:val="0"/>
        <w:ind w:firstLine="708"/>
        <w:jc w:val="both"/>
        <w:rPr>
          <w:rFonts w:ascii="Times New Roman" w:hAnsi="Times New Roman" w:cs="Times New Roman"/>
        </w:rPr>
      </w:pPr>
      <w:r w:rsidRPr="003F017B">
        <w:rPr>
          <w:rFonts w:ascii="Times New Roman" w:hAnsi="Times New Roman" w:cs="Times New Roman"/>
        </w:rPr>
        <w:t>Ďalším zdrojom sú mimorozpočtové prostriedky EÚ na TEN-T projekty vo výške 2,23</w:t>
      </w:r>
      <w:r>
        <w:rPr>
          <w:rFonts w:ascii="Times New Roman" w:hAnsi="Times New Roman" w:cs="Times New Roman"/>
        </w:rPr>
        <w:t> </w:t>
      </w:r>
      <w:r w:rsidRPr="003F017B">
        <w:rPr>
          <w:rFonts w:ascii="Times New Roman" w:hAnsi="Times New Roman" w:cs="Times New Roman"/>
        </w:rPr>
        <w:t>mil. eur.</w:t>
      </w:r>
    </w:p>
    <w:p w:rsidR="00F42914" w:rsidRPr="00432A91" w:rsidP="00F42914">
      <w:pPr>
        <w:bidi w:val="0"/>
        <w:ind w:firstLine="708"/>
        <w:jc w:val="both"/>
        <w:rPr>
          <w:rFonts w:ascii="Times New Roman" w:hAnsi="Times New Roman" w:cs="Times New Roman"/>
        </w:rPr>
      </w:pPr>
      <w:r w:rsidRPr="003F017B">
        <w:rPr>
          <w:rFonts w:ascii="Times New Roman" w:hAnsi="Times New Roman" w:cs="Times New Roman"/>
        </w:rPr>
        <w:t>Z vlastných zdrojov NDS určených na výstavbu, údržbu a opravy diaľnic a rýchlostných ciest sa v roku 2012 predpokladá čerpať čiastka 126</w:t>
      </w:r>
      <w:r w:rsidRPr="003F017B">
        <w:rPr>
          <w:rFonts w:ascii="Times New Roman" w:hAnsi="Times New Roman" w:cs="Times New Roman"/>
          <w:shd w:val="clear" w:color="auto" w:fill="FFFFFF"/>
        </w:rPr>
        <w:t xml:space="preserve"> mil. eur</w:t>
      </w:r>
      <w:r w:rsidRPr="003F017B">
        <w:rPr>
          <w:rFonts w:ascii="Times New Roman" w:hAnsi="Times New Roman" w:cs="Times New Roman"/>
        </w:rPr>
        <w:t>, čo v porovnaní so schváleným rozpočtom roku 2011 predstavuje zvýšenie o 68,2 mil. eur,</w:t>
      </w:r>
      <w:r w:rsidRPr="00432A91">
        <w:rPr>
          <w:rFonts w:ascii="Times New Roman" w:hAnsi="Times New Roman" w:cs="Times New Roman"/>
        </w:rPr>
        <w:t xml:space="preserve"> t.</w:t>
      </w:r>
      <w:r>
        <w:rPr>
          <w:rFonts w:ascii="Times New Roman" w:hAnsi="Times New Roman" w:cs="Times New Roman"/>
        </w:rPr>
        <w:t xml:space="preserve"> </w:t>
      </w:r>
      <w:r w:rsidRPr="00432A91">
        <w:rPr>
          <w:rFonts w:ascii="Times New Roman" w:hAnsi="Times New Roman" w:cs="Times New Roman"/>
        </w:rPr>
        <w:t>j. o 119 %.</w:t>
      </w:r>
    </w:p>
    <w:p w:rsidR="00F42914" w:rsidRPr="00432A91" w:rsidP="00F42914">
      <w:pPr>
        <w:bidi w:val="0"/>
        <w:rPr>
          <w:rFonts w:ascii="Times New Roman" w:hAnsi="Times New Roman" w:cs="Times New Roman"/>
        </w:rPr>
      </w:pPr>
    </w:p>
    <w:p w:rsidR="00F42914" w:rsidRPr="00E03853" w:rsidP="00F42914">
      <w:pPr>
        <w:bidi w:val="0"/>
        <w:jc w:val="both"/>
        <w:rPr>
          <w:rFonts w:ascii="Times New Roman" w:hAnsi="Times New Roman" w:cs="Times New Roman"/>
          <w:i/>
          <w:u w:val="single"/>
        </w:rPr>
      </w:pPr>
      <w:r w:rsidRPr="00E03853">
        <w:rPr>
          <w:rFonts w:ascii="Times New Roman" w:hAnsi="Times New Roman" w:cs="Times New Roman"/>
          <w:i/>
          <w:u w:val="single"/>
        </w:rPr>
        <w:t>OP Doprava</w:t>
      </w:r>
    </w:p>
    <w:p w:rsidR="00F42914" w:rsidRPr="00432A91" w:rsidP="00F42914">
      <w:pPr>
        <w:bidi w:val="0"/>
        <w:jc w:val="both"/>
        <w:rPr>
          <w:rFonts w:ascii="Times New Roman" w:hAnsi="Times New Roman" w:cs="Times New Roman"/>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000"/>
        <w:gridCol w:w="977"/>
        <w:gridCol w:w="1040"/>
        <w:gridCol w:w="1039"/>
        <w:gridCol w:w="1039"/>
        <w:gridCol w:w="1039"/>
        <w:gridCol w:w="1039"/>
        <w:gridCol w:w="103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70"/>
        </w:trPr>
        <w:tc>
          <w:tcPr>
            <w:tcW w:w="108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OPD investície spolu</w:t>
            </w:r>
            <w:r>
              <w:rPr>
                <w:rFonts w:ascii="Times New Roman" w:hAnsi="Times New Roman" w:cs="Times New Roman"/>
                <w:b/>
                <w:bCs/>
                <w:color w:val="000000"/>
                <w:sz w:val="14"/>
                <w:szCs w:val="14"/>
              </w:rPr>
              <w:t>, v eurách</w:t>
            </w:r>
          </w:p>
        </w:tc>
        <w:tc>
          <w:tcPr>
            <w:tcW w:w="53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2009 S</w:t>
            </w:r>
          </w:p>
        </w:tc>
        <w:tc>
          <w:tcPr>
            <w:tcW w:w="56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2010 S</w:t>
            </w:r>
          </w:p>
        </w:tc>
        <w:tc>
          <w:tcPr>
            <w:tcW w:w="56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2011 R</w:t>
            </w:r>
          </w:p>
        </w:tc>
        <w:tc>
          <w:tcPr>
            <w:tcW w:w="56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2011 OS</w:t>
            </w:r>
          </w:p>
        </w:tc>
        <w:tc>
          <w:tcPr>
            <w:tcW w:w="56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2012 N</w:t>
            </w:r>
          </w:p>
        </w:tc>
        <w:tc>
          <w:tcPr>
            <w:tcW w:w="56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2013 N</w:t>
            </w:r>
          </w:p>
        </w:tc>
        <w:tc>
          <w:tcPr>
            <w:tcW w:w="56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2014 N</w:t>
            </w:r>
          </w:p>
        </w:tc>
      </w:tr>
      <w:tr>
        <w:tblPrEx>
          <w:tblW w:w="5000" w:type="pct"/>
          <w:tblCellMar>
            <w:left w:w="70" w:type="dxa"/>
            <w:right w:w="70" w:type="dxa"/>
          </w:tblCellMar>
          <w:tblLook w:val="04A0"/>
        </w:tblPrEx>
        <w:trPr>
          <w:trHeight w:val="270"/>
        </w:trPr>
        <w:tc>
          <w:tcPr>
            <w:tcW w:w="108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 xml:space="preserve">NDS výstavba </w:t>
            </w:r>
          </w:p>
        </w:tc>
        <w:tc>
          <w:tcPr>
            <w:tcW w:w="53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369 215 863</w:t>
            </w:r>
          </w:p>
        </w:tc>
        <w:tc>
          <w:tcPr>
            <w:tcW w:w="56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258 474 378</w:t>
            </w:r>
          </w:p>
        </w:tc>
        <w:tc>
          <w:tcPr>
            <w:tcW w:w="56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316 103 346</w:t>
            </w:r>
          </w:p>
        </w:tc>
        <w:tc>
          <w:tcPr>
            <w:tcW w:w="56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143 557 334</w:t>
            </w:r>
          </w:p>
        </w:tc>
        <w:tc>
          <w:tcPr>
            <w:tcW w:w="56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4</w:t>
            </w:r>
            <w:r>
              <w:rPr>
                <w:rFonts w:ascii="Times New Roman" w:hAnsi="Times New Roman" w:cs="Times New Roman"/>
                <w:color w:val="000000"/>
                <w:sz w:val="14"/>
                <w:szCs w:val="14"/>
              </w:rPr>
              <w:t>3</w:t>
            </w:r>
            <w:r w:rsidRPr="00A94288">
              <w:rPr>
                <w:rFonts w:ascii="Times New Roman" w:hAnsi="Times New Roman" w:cs="Times New Roman"/>
                <w:color w:val="000000"/>
                <w:sz w:val="14"/>
                <w:szCs w:val="14"/>
              </w:rPr>
              <w:t xml:space="preserve">9 </w:t>
            </w:r>
            <w:r>
              <w:rPr>
                <w:rFonts w:ascii="Times New Roman" w:hAnsi="Times New Roman" w:cs="Times New Roman"/>
                <w:color w:val="000000"/>
                <w:sz w:val="14"/>
                <w:szCs w:val="14"/>
              </w:rPr>
              <w:t>577</w:t>
            </w:r>
            <w:r w:rsidRPr="00A94288">
              <w:rPr>
                <w:rFonts w:ascii="Times New Roman" w:hAnsi="Times New Roman" w:cs="Times New Roman"/>
                <w:color w:val="000000"/>
                <w:sz w:val="14"/>
                <w:szCs w:val="14"/>
              </w:rPr>
              <w:t xml:space="preserve"> </w:t>
            </w:r>
            <w:r>
              <w:rPr>
                <w:rFonts w:ascii="Times New Roman" w:hAnsi="Times New Roman" w:cs="Times New Roman"/>
                <w:color w:val="000000"/>
                <w:sz w:val="14"/>
                <w:szCs w:val="14"/>
              </w:rPr>
              <w:t>096</w:t>
            </w:r>
          </w:p>
        </w:tc>
        <w:tc>
          <w:tcPr>
            <w:tcW w:w="56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69</w:t>
            </w:r>
            <w:r>
              <w:rPr>
                <w:rFonts w:ascii="Times New Roman" w:hAnsi="Times New Roman" w:cs="Times New Roman"/>
                <w:color w:val="000000"/>
                <w:sz w:val="14"/>
                <w:szCs w:val="14"/>
              </w:rPr>
              <w:t>1</w:t>
            </w:r>
            <w:r w:rsidRPr="00A94288">
              <w:rPr>
                <w:rFonts w:ascii="Times New Roman" w:hAnsi="Times New Roman" w:cs="Times New Roman"/>
                <w:color w:val="000000"/>
                <w:sz w:val="14"/>
                <w:szCs w:val="14"/>
              </w:rPr>
              <w:t xml:space="preserve"> 3</w:t>
            </w:r>
            <w:r>
              <w:rPr>
                <w:rFonts w:ascii="Times New Roman" w:hAnsi="Times New Roman" w:cs="Times New Roman"/>
                <w:color w:val="000000"/>
                <w:sz w:val="14"/>
                <w:szCs w:val="14"/>
              </w:rPr>
              <w:t>10</w:t>
            </w:r>
            <w:r w:rsidRPr="00A94288">
              <w:rPr>
                <w:rFonts w:ascii="Times New Roman" w:hAnsi="Times New Roman" w:cs="Times New Roman"/>
                <w:color w:val="000000"/>
                <w:sz w:val="14"/>
                <w:szCs w:val="14"/>
              </w:rPr>
              <w:t xml:space="preserve"> </w:t>
            </w:r>
            <w:r>
              <w:rPr>
                <w:rFonts w:ascii="Times New Roman" w:hAnsi="Times New Roman" w:cs="Times New Roman"/>
                <w:color w:val="000000"/>
                <w:sz w:val="14"/>
                <w:szCs w:val="14"/>
              </w:rPr>
              <w:t>82</w:t>
            </w:r>
            <w:r w:rsidRPr="00A94288">
              <w:rPr>
                <w:rFonts w:ascii="Times New Roman" w:hAnsi="Times New Roman" w:cs="Times New Roman"/>
                <w:color w:val="000000"/>
                <w:sz w:val="14"/>
                <w:szCs w:val="14"/>
              </w:rPr>
              <w:t>7</w:t>
            </w:r>
          </w:p>
        </w:tc>
        <w:tc>
          <w:tcPr>
            <w:tcW w:w="56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60</w:t>
            </w:r>
            <w:r>
              <w:rPr>
                <w:rFonts w:ascii="Times New Roman" w:hAnsi="Times New Roman" w:cs="Times New Roman"/>
                <w:color w:val="000000"/>
                <w:sz w:val="14"/>
                <w:szCs w:val="14"/>
              </w:rPr>
              <w:t>7</w:t>
            </w:r>
            <w:r w:rsidRPr="00A94288">
              <w:rPr>
                <w:rFonts w:ascii="Times New Roman" w:hAnsi="Times New Roman" w:cs="Times New Roman"/>
                <w:color w:val="000000"/>
                <w:sz w:val="14"/>
                <w:szCs w:val="14"/>
              </w:rPr>
              <w:t xml:space="preserve"> 6</w:t>
            </w:r>
            <w:r>
              <w:rPr>
                <w:rFonts w:ascii="Times New Roman" w:hAnsi="Times New Roman" w:cs="Times New Roman"/>
                <w:color w:val="000000"/>
                <w:sz w:val="14"/>
                <w:szCs w:val="14"/>
              </w:rPr>
              <w:t>18</w:t>
            </w:r>
            <w:r w:rsidRPr="00A94288">
              <w:rPr>
                <w:rFonts w:ascii="Times New Roman" w:hAnsi="Times New Roman" w:cs="Times New Roman"/>
                <w:color w:val="000000"/>
                <w:sz w:val="14"/>
                <w:szCs w:val="14"/>
              </w:rPr>
              <w:t xml:space="preserve"> </w:t>
            </w:r>
            <w:r>
              <w:rPr>
                <w:rFonts w:ascii="Times New Roman" w:hAnsi="Times New Roman" w:cs="Times New Roman"/>
                <w:color w:val="000000"/>
                <w:sz w:val="14"/>
                <w:szCs w:val="14"/>
              </w:rPr>
              <w:t>720</w:t>
            </w:r>
          </w:p>
        </w:tc>
      </w:tr>
      <w:tr>
        <w:tblPrEx>
          <w:tblW w:w="5000" w:type="pct"/>
          <w:tblCellMar>
            <w:left w:w="70" w:type="dxa"/>
            <w:right w:w="70" w:type="dxa"/>
          </w:tblCellMar>
          <w:tblLook w:val="04A0"/>
        </w:tblPrEx>
        <w:trPr>
          <w:trHeight w:val="270"/>
        </w:trPr>
        <w:tc>
          <w:tcPr>
            <w:tcW w:w="1085"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Prostriedky EÚ</w:t>
            </w:r>
          </w:p>
        </w:tc>
        <w:tc>
          <w:tcPr>
            <w:tcW w:w="530"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235 592 552</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180 214 494</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136 581 150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78 260 790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259 000 850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355 029 299</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297 053 241</w:t>
            </w:r>
          </w:p>
        </w:tc>
      </w:tr>
      <w:tr>
        <w:tblPrEx>
          <w:tblW w:w="5000" w:type="pct"/>
          <w:tblCellMar>
            <w:left w:w="70" w:type="dxa"/>
            <w:right w:w="70" w:type="dxa"/>
          </w:tblCellMar>
          <w:tblLook w:val="04A0"/>
        </w:tblPrEx>
        <w:trPr>
          <w:trHeight w:val="270"/>
        </w:trPr>
        <w:tc>
          <w:tcPr>
            <w:tcW w:w="1085"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 xml:space="preserve">Spolufinanc. ŠR </w:t>
            </w:r>
          </w:p>
        </w:tc>
        <w:tc>
          <w:tcPr>
            <w:tcW w:w="530"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50 347 479</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32 563 723</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24 111 773</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13 936 201</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47 059 515</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64 117 189</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53 430 573</w:t>
            </w:r>
          </w:p>
        </w:tc>
      </w:tr>
      <w:tr>
        <w:tblPrEx>
          <w:tblW w:w="5000" w:type="pct"/>
          <w:tblCellMar>
            <w:left w:w="70" w:type="dxa"/>
            <w:right w:w="70" w:type="dxa"/>
          </w:tblCellMar>
          <w:tblLook w:val="04A0"/>
        </w:tblPrEx>
        <w:trPr>
          <w:trHeight w:val="270"/>
        </w:trPr>
        <w:tc>
          <w:tcPr>
            <w:tcW w:w="1085"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 xml:space="preserve">ŠR mimo spolufin. </w:t>
            </w:r>
          </w:p>
        </w:tc>
        <w:tc>
          <w:tcPr>
            <w:tcW w:w="530"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83 275 832</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45 696 161</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155 410 423</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51 360 343</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w:t>
            </w:r>
            <w:r>
              <w:rPr>
                <w:rFonts w:ascii="Times New Roman" w:hAnsi="Times New Roman" w:cs="Times New Roman"/>
                <w:color w:val="000000"/>
                <w:sz w:val="14"/>
                <w:szCs w:val="14"/>
              </w:rPr>
              <w:t>33</w:t>
            </w:r>
            <w:r w:rsidRPr="00A94288">
              <w:rPr>
                <w:rFonts w:ascii="Times New Roman" w:hAnsi="Times New Roman" w:cs="Times New Roman"/>
                <w:color w:val="000000"/>
                <w:sz w:val="14"/>
                <w:szCs w:val="14"/>
              </w:rPr>
              <w:t xml:space="preserve"> </w:t>
            </w:r>
            <w:r>
              <w:rPr>
                <w:rFonts w:ascii="Times New Roman" w:hAnsi="Times New Roman" w:cs="Times New Roman"/>
                <w:color w:val="000000"/>
                <w:sz w:val="14"/>
                <w:szCs w:val="14"/>
              </w:rPr>
              <w:t>516</w:t>
            </w:r>
            <w:r w:rsidRPr="00A94288">
              <w:rPr>
                <w:rFonts w:ascii="Times New Roman" w:hAnsi="Times New Roman" w:cs="Times New Roman"/>
                <w:color w:val="000000"/>
                <w:sz w:val="14"/>
                <w:szCs w:val="14"/>
              </w:rPr>
              <w:t xml:space="preserve"> </w:t>
            </w:r>
            <w:r>
              <w:rPr>
                <w:rFonts w:ascii="Times New Roman" w:hAnsi="Times New Roman" w:cs="Times New Roman"/>
                <w:color w:val="000000"/>
                <w:sz w:val="14"/>
                <w:szCs w:val="14"/>
              </w:rPr>
              <w:t>731</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27</w:t>
            </w:r>
            <w:r>
              <w:rPr>
                <w:rFonts w:ascii="Times New Roman" w:hAnsi="Times New Roman" w:cs="Times New Roman"/>
                <w:color w:val="000000"/>
                <w:sz w:val="14"/>
                <w:szCs w:val="14"/>
              </w:rPr>
              <w:t>2</w:t>
            </w:r>
            <w:r w:rsidRPr="00A94288">
              <w:rPr>
                <w:rFonts w:ascii="Times New Roman" w:hAnsi="Times New Roman" w:cs="Times New Roman"/>
                <w:color w:val="000000"/>
                <w:sz w:val="14"/>
                <w:szCs w:val="14"/>
              </w:rPr>
              <w:t xml:space="preserve"> 1</w:t>
            </w:r>
            <w:r>
              <w:rPr>
                <w:rFonts w:ascii="Times New Roman" w:hAnsi="Times New Roman" w:cs="Times New Roman"/>
                <w:color w:val="000000"/>
                <w:sz w:val="14"/>
                <w:szCs w:val="14"/>
              </w:rPr>
              <w:t>64</w:t>
            </w:r>
            <w:r w:rsidRPr="00A94288">
              <w:rPr>
                <w:rFonts w:ascii="Times New Roman" w:hAnsi="Times New Roman" w:cs="Times New Roman"/>
                <w:color w:val="000000"/>
                <w:sz w:val="14"/>
                <w:szCs w:val="14"/>
              </w:rPr>
              <w:t xml:space="preserve"> </w:t>
            </w:r>
            <w:r>
              <w:rPr>
                <w:rFonts w:ascii="Times New Roman" w:hAnsi="Times New Roman" w:cs="Times New Roman"/>
                <w:color w:val="000000"/>
                <w:sz w:val="14"/>
                <w:szCs w:val="14"/>
              </w:rPr>
              <w:t>339</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25</w:t>
            </w:r>
            <w:r>
              <w:rPr>
                <w:rFonts w:ascii="Times New Roman" w:hAnsi="Times New Roman" w:cs="Times New Roman"/>
                <w:color w:val="000000"/>
                <w:sz w:val="14"/>
                <w:szCs w:val="14"/>
              </w:rPr>
              <w:t>7</w:t>
            </w:r>
            <w:r w:rsidRPr="00A94288">
              <w:rPr>
                <w:rFonts w:ascii="Times New Roman" w:hAnsi="Times New Roman" w:cs="Times New Roman"/>
                <w:color w:val="000000"/>
                <w:sz w:val="14"/>
                <w:szCs w:val="14"/>
              </w:rPr>
              <w:t xml:space="preserve"> 1</w:t>
            </w:r>
            <w:r>
              <w:rPr>
                <w:rFonts w:ascii="Times New Roman" w:hAnsi="Times New Roman" w:cs="Times New Roman"/>
                <w:color w:val="000000"/>
                <w:sz w:val="14"/>
                <w:szCs w:val="14"/>
              </w:rPr>
              <w:t>34</w:t>
            </w:r>
            <w:r w:rsidRPr="00A94288">
              <w:rPr>
                <w:rFonts w:ascii="Times New Roman" w:hAnsi="Times New Roman" w:cs="Times New Roman"/>
                <w:color w:val="000000"/>
                <w:sz w:val="14"/>
                <w:szCs w:val="14"/>
              </w:rPr>
              <w:t xml:space="preserve"> </w:t>
            </w:r>
            <w:r>
              <w:rPr>
                <w:rFonts w:ascii="Times New Roman" w:hAnsi="Times New Roman" w:cs="Times New Roman"/>
                <w:color w:val="000000"/>
                <w:sz w:val="14"/>
                <w:szCs w:val="14"/>
              </w:rPr>
              <w:t>906</w:t>
            </w:r>
          </w:p>
        </w:tc>
      </w:tr>
      <w:tr>
        <w:tblPrEx>
          <w:tblW w:w="5000" w:type="pct"/>
          <w:tblCellMar>
            <w:left w:w="70" w:type="dxa"/>
            <w:right w:w="70" w:type="dxa"/>
          </w:tblCellMar>
          <w:tblLook w:val="04A0"/>
        </w:tblPrEx>
        <w:trPr>
          <w:trHeight w:val="270"/>
        </w:trPr>
        <w:tc>
          <w:tcPr>
            <w:tcW w:w="108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SSC výstavba</w:t>
            </w:r>
          </w:p>
        </w:tc>
        <w:tc>
          <w:tcPr>
            <w:tcW w:w="53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2 168 851</w:t>
            </w:r>
          </w:p>
        </w:tc>
        <w:tc>
          <w:tcPr>
            <w:tcW w:w="56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23 462 396</w:t>
            </w:r>
          </w:p>
        </w:tc>
        <w:tc>
          <w:tcPr>
            <w:tcW w:w="56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188 903 804</w:t>
            </w:r>
          </w:p>
        </w:tc>
        <w:tc>
          <w:tcPr>
            <w:tcW w:w="56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115 935 600</w:t>
            </w:r>
          </w:p>
        </w:tc>
        <w:tc>
          <w:tcPr>
            <w:tcW w:w="56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206 251 800</w:t>
            </w:r>
          </w:p>
        </w:tc>
        <w:tc>
          <w:tcPr>
            <w:tcW w:w="56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93 361 400</w:t>
            </w:r>
          </w:p>
        </w:tc>
        <w:tc>
          <w:tcPr>
            <w:tcW w:w="56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64 480 000</w:t>
            </w:r>
          </w:p>
        </w:tc>
      </w:tr>
      <w:tr>
        <w:tblPrEx>
          <w:tblW w:w="5000" w:type="pct"/>
          <w:tblCellMar>
            <w:left w:w="70" w:type="dxa"/>
            <w:right w:w="70" w:type="dxa"/>
          </w:tblCellMar>
          <w:tblLook w:val="04A0"/>
        </w:tblPrEx>
        <w:trPr>
          <w:trHeight w:val="270"/>
        </w:trPr>
        <w:tc>
          <w:tcPr>
            <w:tcW w:w="1085"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Prostriedky EÚ</w:t>
            </w:r>
          </w:p>
        </w:tc>
        <w:tc>
          <w:tcPr>
            <w:tcW w:w="530"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1 445 000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14 704 038</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161 348 420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90 301 263</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166 890 904</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75 861 650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51 353 498</w:t>
            </w:r>
          </w:p>
        </w:tc>
      </w:tr>
      <w:tr>
        <w:tblPrEx>
          <w:tblW w:w="5000" w:type="pct"/>
          <w:tblCellMar>
            <w:left w:w="70" w:type="dxa"/>
            <w:right w:w="70" w:type="dxa"/>
          </w:tblCellMar>
          <w:tblLook w:val="04A0"/>
        </w:tblPrEx>
        <w:trPr>
          <w:trHeight w:val="270"/>
        </w:trPr>
        <w:tc>
          <w:tcPr>
            <w:tcW w:w="1085"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 xml:space="preserve">Spolufin.ŠR </w:t>
            </w:r>
          </w:p>
        </w:tc>
        <w:tc>
          <w:tcPr>
            <w:tcW w:w="530"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255 000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2 594 830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27 555 384</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15 935 517</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29 451 336</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13 387 350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9 062 382</w:t>
            </w:r>
          </w:p>
        </w:tc>
      </w:tr>
      <w:tr>
        <w:tblPrEx>
          <w:tblW w:w="5000" w:type="pct"/>
          <w:tblCellMar>
            <w:left w:w="70" w:type="dxa"/>
            <w:right w:w="70" w:type="dxa"/>
          </w:tblCellMar>
          <w:tblLook w:val="04A0"/>
        </w:tblPrEx>
        <w:trPr>
          <w:trHeight w:val="270"/>
        </w:trPr>
        <w:tc>
          <w:tcPr>
            <w:tcW w:w="1085"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 xml:space="preserve">ŠR mimo spolufin.  </w:t>
            </w:r>
          </w:p>
        </w:tc>
        <w:tc>
          <w:tcPr>
            <w:tcW w:w="530"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468 851</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6 163 528</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9 698 820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9 909 560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4 112 400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4 064 120</w:t>
            </w:r>
          </w:p>
        </w:tc>
      </w:tr>
      <w:tr>
        <w:tblPrEx>
          <w:tblW w:w="5000" w:type="pct"/>
          <w:tblCellMar>
            <w:left w:w="70" w:type="dxa"/>
            <w:right w:w="70" w:type="dxa"/>
          </w:tblCellMar>
          <w:tblLook w:val="04A0"/>
        </w:tblPrEx>
        <w:trPr>
          <w:trHeight w:val="270"/>
        </w:trPr>
        <w:tc>
          <w:tcPr>
            <w:tcW w:w="1085"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ŽSR výstavba</w:t>
            </w:r>
          </w:p>
        </w:tc>
        <w:tc>
          <w:tcPr>
            <w:tcW w:w="530"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96 960 630</w:t>
            </w:r>
          </w:p>
        </w:tc>
        <w:tc>
          <w:tcPr>
            <w:tcW w:w="56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199 806 382</w:t>
            </w:r>
          </w:p>
        </w:tc>
        <w:tc>
          <w:tcPr>
            <w:tcW w:w="56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309 449 581</w:t>
            </w:r>
          </w:p>
        </w:tc>
        <w:tc>
          <w:tcPr>
            <w:tcW w:w="56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288 038 044</w:t>
            </w:r>
          </w:p>
        </w:tc>
        <w:tc>
          <w:tcPr>
            <w:tcW w:w="56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364 775 495</w:t>
            </w:r>
          </w:p>
        </w:tc>
        <w:tc>
          <w:tcPr>
            <w:tcW w:w="56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406 084 472</w:t>
            </w:r>
          </w:p>
        </w:tc>
        <w:tc>
          <w:tcPr>
            <w:tcW w:w="56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354 169 011</w:t>
            </w:r>
          </w:p>
        </w:tc>
      </w:tr>
      <w:tr>
        <w:tblPrEx>
          <w:tblW w:w="5000" w:type="pct"/>
          <w:tblCellMar>
            <w:left w:w="70" w:type="dxa"/>
            <w:right w:w="70" w:type="dxa"/>
          </w:tblCellMar>
          <w:tblLook w:val="04A0"/>
        </w:tblPrEx>
        <w:trPr>
          <w:trHeight w:val="270"/>
        </w:trPr>
        <w:tc>
          <w:tcPr>
            <w:tcW w:w="1085"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Prostriedky EÚ</w:t>
            </w:r>
          </w:p>
        </w:tc>
        <w:tc>
          <w:tcPr>
            <w:tcW w:w="530"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38 670 864</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157 806 537</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217 445 862</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189 579 309</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276 743 341</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274 874 620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165 867 053</w:t>
            </w:r>
          </w:p>
        </w:tc>
      </w:tr>
      <w:tr>
        <w:tblPrEx>
          <w:tblW w:w="5000" w:type="pct"/>
          <w:tblCellMar>
            <w:left w:w="70" w:type="dxa"/>
            <w:right w:w="70" w:type="dxa"/>
          </w:tblCellMar>
          <w:tblLook w:val="04A0"/>
        </w:tblPrEx>
        <w:trPr>
          <w:trHeight w:val="270"/>
        </w:trPr>
        <w:tc>
          <w:tcPr>
            <w:tcW w:w="1085"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 xml:space="preserve">Spolufin.ŠR </w:t>
            </w:r>
          </w:p>
        </w:tc>
        <w:tc>
          <w:tcPr>
            <w:tcW w:w="530"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7 136 353</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27 844 851</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38 363 582</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33 455 137</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48 837 084</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48 506 211</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29 208 557</w:t>
            </w:r>
          </w:p>
        </w:tc>
      </w:tr>
      <w:tr>
        <w:tblPrEx>
          <w:tblW w:w="5000" w:type="pct"/>
          <w:tblCellMar>
            <w:left w:w="70" w:type="dxa"/>
            <w:right w:w="70" w:type="dxa"/>
          </w:tblCellMar>
          <w:tblLook w:val="04A0"/>
        </w:tblPrEx>
        <w:trPr>
          <w:trHeight w:val="270"/>
        </w:trPr>
        <w:tc>
          <w:tcPr>
            <w:tcW w:w="1085"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 xml:space="preserve">ŠR mimo spolufin. </w:t>
            </w:r>
          </w:p>
        </w:tc>
        <w:tc>
          <w:tcPr>
            <w:tcW w:w="530"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51 153 413</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14 154 994</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53 640 137</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65 003 598</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39 195 070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82 703 641</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159 093 401</w:t>
            </w:r>
          </w:p>
        </w:tc>
      </w:tr>
      <w:tr>
        <w:tblPrEx>
          <w:tblW w:w="5000" w:type="pct"/>
          <w:tblCellMar>
            <w:left w:w="70" w:type="dxa"/>
            <w:right w:w="70" w:type="dxa"/>
          </w:tblCellMar>
          <w:tblLook w:val="04A0"/>
        </w:tblPrEx>
        <w:trPr>
          <w:trHeight w:val="270"/>
        </w:trPr>
        <w:tc>
          <w:tcPr>
            <w:tcW w:w="108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 xml:space="preserve">ŽSSK investície </w:t>
            </w:r>
          </w:p>
        </w:tc>
        <w:tc>
          <w:tcPr>
            <w:tcW w:w="53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17 631 164</w:t>
            </w:r>
          </w:p>
        </w:tc>
        <w:tc>
          <w:tcPr>
            <w:tcW w:w="56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3 465 320</w:t>
            </w:r>
          </w:p>
        </w:tc>
        <w:tc>
          <w:tcPr>
            <w:tcW w:w="56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55 239 584</w:t>
            </w:r>
          </w:p>
        </w:tc>
        <w:tc>
          <w:tcPr>
            <w:tcW w:w="56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60 724 000</w:t>
            </w:r>
          </w:p>
        </w:tc>
        <w:tc>
          <w:tcPr>
            <w:tcW w:w="56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71 350 652</w:t>
            </w:r>
          </w:p>
        </w:tc>
        <w:tc>
          <w:tcPr>
            <w:tcW w:w="56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23 850 000</w:t>
            </w:r>
          </w:p>
        </w:tc>
        <w:tc>
          <w:tcPr>
            <w:tcW w:w="56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70"/>
        </w:trPr>
        <w:tc>
          <w:tcPr>
            <w:tcW w:w="1085"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 xml:space="preserve">Prostriedky EÚ </w:t>
            </w:r>
          </w:p>
        </w:tc>
        <w:tc>
          <w:tcPr>
            <w:tcW w:w="530"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8 815 582</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1 732 660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27 619 792</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30 362 000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35 675 326</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11 925 000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70"/>
        </w:trPr>
        <w:tc>
          <w:tcPr>
            <w:tcW w:w="1085"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 xml:space="preserve">Spolufin. ŠR (50%) </w:t>
            </w:r>
          </w:p>
        </w:tc>
        <w:tc>
          <w:tcPr>
            <w:tcW w:w="530"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8 815 582</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1 732 660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27 619 792</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30 362 000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35 675 326</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11 925 000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70"/>
        </w:trPr>
        <w:tc>
          <w:tcPr>
            <w:tcW w:w="108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 xml:space="preserve">Tech. pomoc spolu </w:t>
            </w:r>
          </w:p>
        </w:tc>
        <w:tc>
          <w:tcPr>
            <w:tcW w:w="53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5 921 526</w:t>
            </w:r>
          </w:p>
        </w:tc>
        <w:tc>
          <w:tcPr>
            <w:tcW w:w="56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12 308 825</w:t>
            </w:r>
          </w:p>
        </w:tc>
        <w:tc>
          <w:tcPr>
            <w:tcW w:w="56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917 867</w:t>
            </w:r>
          </w:p>
        </w:tc>
        <w:tc>
          <w:tcPr>
            <w:tcW w:w="56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6 120 535</w:t>
            </w:r>
          </w:p>
        </w:tc>
        <w:tc>
          <w:tcPr>
            <w:tcW w:w="56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10 000 000</w:t>
            </w:r>
          </w:p>
        </w:tc>
        <w:tc>
          <w:tcPr>
            <w:tcW w:w="56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9 500 000</w:t>
            </w:r>
          </w:p>
        </w:tc>
        <w:tc>
          <w:tcPr>
            <w:tcW w:w="56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8 000 000</w:t>
            </w:r>
          </w:p>
        </w:tc>
      </w:tr>
      <w:tr>
        <w:tblPrEx>
          <w:tblW w:w="5000" w:type="pct"/>
          <w:tblCellMar>
            <w:left w:w="70" w:type="dxa"/>
            <w:right w:w="70" w:type="dxa"/>
          </w:tblCellMar>
          <w:tblLook w:val="04A0"/>
        </w:tblPrEx>
        <w:trPr>
          <w:trHeight w:val="270"/>
        </w:trPr>
        <w:tc>
          <w:tcPr>
            <w:tcW w:w="1085"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 xml:space="preserve">Prostriedky EÚ </w:t>
            </w:r>
          </w:p>
        </w:tc>
        <w:tc>
          <w:tcPr>
            <w:tcW w:w="530"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5 033 297</w:t>
            </w:r>
          </w:p>
        </w:tc>
        <w:tc>
          <w:tcPr>
            <w:tcW w:w="564"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10 462 501</w:t>
            </w:r>
          </w:p>
        </w:tc>
        <w:tc>
          <w:tcPr>
            <w:tcW w:w="564"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564"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5 202 455</w:t>
            </w:r>
          </w:p>
        </w:tc>
        <w:tc>
          <w:tcPr>
            <w:tcW w:w="564"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8 500 000</w:t>
            </w:r>
          </w:p>
        </w:tc>
        <w:tc>
          <w:tcPr>
            <w:tcW w:w="564"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8 075 000</w:t>
            </w:r>
          </w:p>
        </w:tc>
        <w:tc>
          <w:tcPr>
            <w:tcW w:w="564"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6 800 000</w:t>
            </w:r>
          </w:p>
        </w:tc>
      </w:tr>
      <w:tr>
        <w:tblPrEx>
          <w:tblW w:w="5000" w:type="pct"/>
          <w:tblCellMar>
            <w:left w:w="70" w:type="dxa"/>
            <w:right w:w="70" w:type="dxa"/>
          </w:tblCellMar>
          <w:tblLook w:val="04A0"/>
        </w:tblPrEx>
        <w:trPr>
          <w:trHeight w:val="270"/>
        </w:trPr>
        <w:tc>
          <w:tcPr>
            <w:tcW w:w="1085"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 xml:space="preserve">Spolufin. ŠR </w:t>
            </w:r>
          </w:p>
        </w:tc>
        <w:tc>
          <w:tcPr>
            <w:tcW w:w="530"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888 229</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1 846 324</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917 867</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918 080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1 500 000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1 425 000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1 200 000</w:t>
            </w:r>
          </w:p>
        </w:tc>
      </w:tr>
      <w:tr>
        <w:tblPrEx>
          <w:tblW w:w="5000" w:type="pct"/>
          <w:tblCellMar>
            <w:left w:w="70" w:type="dxa"/>
            <w:right w:w="70" w:type="dxa"/>
          </w:tblCellMar>
          <w:tblLook w:val="04A0"/>
        </w:tblPrEx>
        <w:trPr>
          <w:trHeight w:val="270"/>
        </w:trPr>
        <w:tc>
          <w:tcPr>
            <w:tcW w:w="108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Zdroje z 3. PO</w:t>
            </w:r>
          </w:p>
        </w:tc>
        <w:tc>
          <w:tcPr>
            <w:tcW w:w="53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56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56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56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56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56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56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650 000 000</w:t>
            </w:r>
          </w:p>
        </w:tc>
      </w:tr>
      <w:tr>
        <w:tblPrEx>
          <w:tblW w:w="5000" w:type="pct"/>
          <w:tblCellMar>
            <w:left w:w="70" w:type="dxa"/>
            <w:right w:w="70" w:type="dxa"/>
          </w:tblCellMar>
          <w:tblLook w:val="04A0"/>
        </w:tblPrEx>
        <w:trPr>
          <w:trHeight w:val="270"/>
        </w:trPr>
        <w:tc>
          <w:tcPr>
            <w:tcW w:w="1085"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Prostriedky EÚ</w:t>
            </w:r>
          </w:p>
        </w:tc>
        <w:tc>
          <w:tcPr>
            <w:tcW w:w="530"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564"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564"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564"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564"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564"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564"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382 500 000</w:t>
            </w:r>
          </w:p>
        </w:tc>
      </w:tr>
      <w:tr>
        <w:tblPrEx>
          <w:tblW w:w="5000" w:type="pct"/>
          <w:tblCellMar>
            <w:left w:w="70" w:type="dxa"/>
            <w:right w:w="70" w:type="dxa"/>
          </w:tblCellMar>
          <w:tblLook w:val="04A0"/>
        </w:tblPrEx>
        <w:trPr>
          <w:trHeight w:val="270"/>
        </w:trPr>
        <w:tc>
          <w:tcPr>
            <w:tcW w:w="1085"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 xml:space="preserve">Spolufin. ŠR </w:t>
            </w:r>
          </w:p>
        </w:tc>
        <w:tc>
          <w:tcPr>
            <w:tcW w:w="530"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67 500 000</w:t>
            </w:r>
          </w:p>
        </w:tc>
      </w:tr>
      <w:tr>
        <w:tblPrEx>
          <w:tblW w:w="5000" w:type="pct"/>
          <w:tblCellMar>
            <w:left w:w="70" w:type="dxa"/>
            <w:right w:w="70" w:type="dxa"/>
          </w:tblCellMar>
          <w:tblLook w:val="04A0"/>
        </w:tblPrEx>
        <w:trPr>
          <w:trHeight w:val="270"/>
        </w:trPr>
        <w:tc>
          <w:tcPr>
            <w:tcW w:w="1085"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 xml:space="preserve">ŠR mimo spolufin.  </w:t>
            </w:r>
          </w:p>
        </w:tc>
        <w:tc>
          <w:tcPr>
            <w:tcW w:w="530"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564"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200 000 000</w:t>
            </w:r>
          </w:p>
        </w:tc>
      </w:tr>
      <w:tr>
        <w:tblPrEx>
          <w:tblW w:w="5000" w:type="pct"/>
          <w:tblCellMar>
            <w:left w:w="70" w:type="dxa"/>
            <w:right w:w="70" w:type="dxa"/>
          </w:tblCellMar>
          <w:tblLook w:val="04A0"/>
        </w:tblPrEx>
        <w:trPr>
          <w:trHeight w:val="270"/>
        </w:trPr>
        <w:tc>
          <w:tcPr>
            <w:tcW w:w="1085"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42914" w:rsidRPr="00A94288" w:rsidP="00257E12">
            <w:pPr>
              <w:bidi w:val="0"/>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OPD invest. spolu</w:t>
            </w:r>
          </w:p>
        </w:tc>
        <w:tc>
          <w:tcPr>
            <w:tcW w:w="530"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42914" w:rsidRPr="00A94288" w:rsidP="00257E12">
            <w:pPr>
              <w:bidi w:val="0"/>
              <w:jc w:val="right"/>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491 898 034</w:t>
            </w:r>
          </w:p>
        </w:tc>
        <w:tc>
          <w:tcPr>
            <w:tcW w:w="56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42914" w:rsidRPr="00A94288" w:rsidP="00257E12">
            <w:pPr>
              <w:bidi w:val="0"/>
              <w:jc w:val="right"/>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497 517 301</w:t>
            </w:r>
          </w:p>
        </w:tc>
        <w:tc>
          <w:tcPr>
            <w:tcW w:w="56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42914" w:rsidRPr="00A94288" w:rsidP="00257E12">
            <w:pPr>
              <w:bidi w:val="0"/>
              <w:jc w:val="right"/>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870 614 182</w:t>
            </w:r>
          </w:p>
        </w:tc>
        <w:tc>
          <w:tcPr>
            <w:tcW w:w="56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42914" w:rsidRPr="00A94288" w:rsidP="00257E12">
            <w:pPr>
              <w:bidi w:val="0"/>
              <w:jc w:val="right"/>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614 375 513</w:t>
            </w:r>
          </w:p>
        </w:tc>
        <w:tc>
          <w:tcPr>
            <w:tcW w:w="56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42914" w:rsidRPr="00A94288" w:rsidP="00257E12">
            <w:pPr>
              <w:bidi w:val="0"/>
              <w:jc w:val="right"/>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 xml:space="preserve">1 </w:t>
            </w:r>
            <w:r>
              <w:rPr>
                <w:rFonts w:ascii="Times New Roman" w:hAnsi="Times New Roman" w:cs="Times New Roman"/>
                <w:b/>
                <w:bCs/>
                <w:color w:val="000000"/>
                <w:sz w:val="14"/>
                <w:szCs w:val="14"/>
              </w:rPr>
              <w:t>091</w:t>
            </w:r>
            <w:r w:rsidRPr="00A94288">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955</w:t>
            </w:r>
            <w:r w:rsidRPr="00A94288">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043</w:t>
            </w:r>
          </w:p>
        </w:tc>
        <w:tc>
          <w:tcPr>
            <w:tcW w:w="56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42914" w:rsidRPr="00A94288" w:rsidP="00257E12">
            <w:pPr>
              <w:bidi w:val="0"/>
              <w:jc w:val="right"/>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1 22</w:t>
            </w:r>
            <w:r>
              <w:rPr>
                <w:rFonts w:ascii="Times New Roman" w:hAnsi="Times New Roman" w:cs="Times New Roman"/>
                <w:b/>
                <w:bCs/>
                <w:color w:val="000000"/>
                <w:sz w:val="14"/>
                <w:szCs w:val="14"/>
              </w:rPr>
              <w:t>4</w:t>
            </w:r>
            <w:r w:rsidRPr="00A94288">
              <w:rPr>
                <w:rFonts w:ascii="Times New Roman" w:hAnsi="Times New Roman" w:cs="Times New Roman"/>
                <w:b/>
                <w:bCs/>
                <w:color w:val="000000"/>
                <w:sz w:val="14"/>
                <w:szCs w:val="14"/>
              </w:rPr>
              <w:t xml:space="preserve"> 1</w:t>
            </w:r>
            <w:r>
              <w:rPr>
                <w:rFonts w:ascii="Times New Roman" w:hAnsi="Times New Roman" w:cs="Times New Roman"/>
                <w:b/>
                <w:bCs/>
                <w:color w:val="000000"/>
                <w:sz w:val="14"/>
                <w:szCs w:val="14"/>
              </w:rPr>
              <w:t>06</w:t>
            </w:r>
            <w:r w:rsidRPr="00A94288">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699</w:t>
            </w:r>
          </w:p>
        </w:tc>
        <w:tc>
          <w:tcPr>
            <w:tcW w:w="56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F42914" w:rsidRPr="00A94288" w:rsidP="00257E1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1 684</w:t>
            </w:r>
            <w:r w:rsidRPr="00A94288">
              <w:rPr>
                <w:rFonts w:ascii="Times New Roman" w:hAnsi="Times New Roman" w:cs="Times New Roman"/>
                <w:b/>
                <w:bCs/>
                <w:color w:val="000000"/>
                <w:sz w:val="14"/>
                <w:szCs w:val="14"/>
              </w:rPr>
              <w:t xml:space="preserve"> 2</w:t>
            </w:r>
            <w:r>
              <w:rPr>
                <w:rFonts w:ascii="Times New Roman" w:hAnsi="Times New Roman" w:cs="Times New Roman"/>
                <w:b/>
                <w:bCs/>
                <w:color w:val="000000"/>
                <w:sz w:val="14"/>
                <w:szCs w:val="14"/>
              </w:rPr>
              <w:t>67</w:t>
            </w:r>
            <w:r w:rsidRPr="00A94288">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731</w:t>
            </w:r>
          </w:p>
        </w:tc>
      </w:tr>
      <w:tr>
        <w:tblPrEx>
          <w:tblW w:w="5000" w:type="pct"/>
          <w:tblCellMar>
            <w:left w:w="70" w:type="dxa"/>
            <w:right w:w="70" w:type="dxa"/>
          </w:tblCellMar>
          <w:tblLook w:val="04A0"/>
        </w:tblPrEx>
        <w:trPr>
          <w:trHeight w:val="270"/>
        </w:trPr>
        <w:tc>
          <w:tcPr>
            <w:tcW w:w="1085"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F42914" w:rsidRPr="000D40B7" w:rsidP="00257E12">
            <w:pPr>
              <w:bidi w:val="0"/>
              <w:rPr>
                <w:rFonts w:ascii="Times New Roman" w:hAnsi="Times New Roman" w:cs="Times New Roman"/>
                <w:bCs/>
                <w:color w:val="000000"/>
                <w:sz w:val="14"/>
                <w:szCs w:val="14"/>
              </w:rPr>
            </w:pPr>
            <w:r w:rsidRPr="000D40B7">
              <w:rPr>
                <w:rFonts w:ascii="Times New Roman" w:hAnsi="Times New Roman" w:cs="Times New Roman"/>
                <w:bCs/>
                <w:color w:val="000000"/>
                <w:sz w:val="14"/>
                <w:szCs w:val="14"/>
              </w:rPr>
              <w:t>Prostriedky EÚ</w:t>
            </w:r>
          </w:p>
        </w:tc>
        <w:tc>
          <w:tcPr>
            <w:tcW w:w="530"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F42914" w:rsidRPr="000D40B7" w:rsidP="00257E12">
            <w:pPr>
              <w:bidi w:val="0"/>
              <w:jc w:val="right"/>
              <w:rPr>
                <w:rFonts w:ascii="Times New Roman" w:hAnsi="Times New Roman" w:cs="Times New Roman"/>
                <w:bCs/>
                <w:color w:val="000000"/>
                <w:sz w:val="14"/>
                <w:szCs w:val="14"/>
              </w:rPr>
            </w:pPr>
            <w:r w:rsidRPr="000D40B7">
              <w:rPr>
                <w:rFonts w:ascii="Times New Roman" w:hAnsi="Times New Roman" w:cs="Times New Roman"/>
                <w:bCs/>
                <w:color w:val="000000"/>
                <w:sz w:val="14"/>
                <w:szCs w:val="14"/>
              </w:rPr>
              <w:t>289 557 295</w:t>
            </w:r>
          </w:p>
        </w:tc>
        <w:tc>
          <w:tcPr>
            <w:tcW w:w="564"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F42914" w:rsidRPr="000D40B7" w:rsidP="00257E12">
            <w:pPr>
              <w:bidi w:val="0"/>
              <w:jc w:val="right"/>
              <w:rPr>
                <w:rFonts w:ascii="Times New Roman" w:hAnsi="Times New Roman" w:cs="Times New Roman"/>
                <w:bCs/>
                <w:color w:val="000000"/>
                <w:sz w:val="14"/>
                <w:szCs w:val="14"/>
              </w:rPr>
            </w:pPr>
            <w:r w:rsidRPr="000D40B7">
              <w:rPr>
                <w:rFonts w:ascii="Times New Roman" w:hAnsi="Times New Roman" w:cs="Times New Roman"/>
                <w:bCs/>
                <w:color w:val="000000"/>
                <w:sz w:val="14"/>
                <w:szCs w:val="14"/>
              </w:rPr>
              <w:t>364 920 230</w:t>
            </w:r>
          </w:p>
        </w:tc>
        <w:tc>
          <w:tcPr>
            <w:tcW w:w="564"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F42914" w:rsidRPr="000D40B7" w:rsidP="00257E12">
            <w:pPr>
              <w:bidi w:val="0"/>
              <w:jc w:val="right"/>
              <w:rPr>
                <w:rFonts w:ascii="Times New Roman" w:hAnsi="Times New Roman" w:cs="Times New Roman"/>
                <w:bCs/>
                <w:color w:val="000000"/>
                <w:sz w:val="14"/>
                <w:szCs w:val="14"/>
              </w:rPr>
            </w:pPr>
            <w:r w:rsidRPr="000D40B7">
              <w:rPr>
                <w:rFonts w:ascii="Times New Roman" w:hAnsi="Times New Roman" w:cs="Times New Roman"/>
                <w:bCs/>
                <w:color w:val="000000"/>
                <w:sz w:val="14"/>
                <w:szCs w:val="14"/>
              </w:rPr>
              <w:t>542 995 224</w:t>
            </w:r>
          </w:p>
        </w:tc>
        <w:tc>
          <w:tcPr>
            <w:tcW w:w="564"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F42914" w:rsidRPr="000D40B7" w:rsidP="00257E12">
            <w:pPr>
              <w:bidi w:val="0"/>
              <w:jc w:val="right"/>
              <w:rPr>
                <w:rFonts w:ascii="Times New Roman" w:hAnsi="Times New Roman" w:cs="Times New Roman"/>
                <w:bCs/>
                <w:color w:val="000000"/>
                <w:sz w:val="14"/>
                <w:szCs w:val="14"/>
              </w:rPr>
            </w:pPr>
            <w:r w:rsidRPr="000D40B7">
              <w:rPr>
                <w:rFonts w:ascii="Times New Roman" w:hAnsi="Times New Roman" w:cs="Times New Roman"/>
                <w:bCs/>
                <w:color w:val="000000"/>
                <w:sz w:val="14"/>
                <w:szCs w:val="14"/>
              </w:rPr>
              <w:t>393 705 817</w:t>
            </w:r>
          </w:p>
        </w:tc>
        <w:tc>
          <w:tcPr>
            <w:tcW w:w="564"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F42914" w:rsidRPr="000D40B7" w:rsidP="00257E12">
            <w:pPr>
              <w:bidi w:val="0"/>
              <w:jc w:val="right"/>
              <w:rPr>
                <w:rFonts w:ascii="Times New Roman" w:hAnsi="Times New Roman" w:cs="Times New Roman"/>
                <w:bCs/>
                <w:color w:val="000000"/>
                <w:sz w:val="14"/>
                <w:szCs w:val="14"/>
              </w:rPr>
            </w:pPr>
            <w:r w:rsidRPr="000D40B7">
              <w:rPr>
                <w:rFonts w:ascii="Times New Roman" w:hAnsi="Times New Roman" w:cs="Times New Roman"/>
                <w:bCs/>
                <w:color w:val="000000"/>
                <w:sz w:val="14"/>
                <w:szCs w:val="14"/>
              </w:rPr>
              <w:t>746 810 421</w:t>
            </w:r>
          </w:p>
        </w:tc>
        <w:tc>
          <w:tcPr>
            <w:tcW w:w="564"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F42914" w:rsidRPr="000D40B7" w:rsidP="00257E12">
            <w:pPr>
              <w:bidi w:val="0"/>
              <w:jc w:val="right"/>
              <w:rPr>
                <w:rFonts w:ascii="Times New Roman" w:hAnsi="Times New Roman" w:cs="Times New Roman"/>
                <w:bCs/>
                <w:color w:val="000000"/>
                <w:sz w:val="14"/>
                <w:szCs w:val="14"/>
              </w:rPr>
            </w:pPr>
            <w:r w:rsidRPr="000D40B7">
              <w:rPr>
                <w:rFonts w:ascii="Times New Roman" w:hAnsi="Times New Roman" w:cs="Times New Roman"/>
                <w:bCs/>
                <w:color w:val="000000"/>
                <w:sz w:val="14"/>
                <w:szCs w:val="14"/>
              </w:rPr>
              <w:t>725 765 569</w:t>
            </w:r>
          </w:p>
        </w:tc>
        <w:tc>
          <w:tcPr>
            <w:tcW w:w="564"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F42914" w:rsidRPr="000D40B7" w:rsidP="00257E12">
            <w:pPr>
              <w:bidi w:val="0"/>
              <w:jc w:val="right"/>
              <w:rPr>
                <w:rFonts w:ascii="Times New Roman" w:hAnsi="Times New Roman" w:cs="Times New Roman"/>
                <w:bCs/>
                <w:color w:val="000000"/>
                <w:sz w:val="14"/>
                <w:szCs w:val="14"/>
              </w:rPr>
            </w:pPr>
            <w:r w:rsidRPr="000D40B7">
              <w:rPr>
                <w:rFonts w:ascii="Times New Roman" w:hAnsi="Times New Roman" w:cs="Times New Roman"/>
                <w:bCs/>
                <w:color w:val="000000"/>
                <w:sz w:val="14"/>
                <w:szCs w:val="14"/>
              </w:rPr>
              <w:t>903 573 792</w:t>
            </w:r>
          </w:p>
        </w:tc>
      </w:tr>
      <w:tr>
        <w:tblPrEx>
          <w:tblW w:w="5000" w:type="pct"/>
          <w:tblCellMar>
            <w:left w:w="70" w:type="dxa"/>
            <w:right w:w="70" w:type="dxa"/>
          </w:tblCellMar>
          <w:tblLook w:val="04A0"/>
        </w:tblPrEx>
        <w:trPr>
          <w:trHeight w:val="270"/>
        </w:trPr>
        <w:tc>
          <w:tcPr>
            <w:tcW w:w="1085"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F42914" w:rsidRPr="000D40B7" w:rsidP="00257E12">
            <w:pPr>
              <w:bidi w:val="0"/>
              <w:rPr>
                <w:rFonts w:ascii="Times New Roman" w:hAnsi="Times New Roman" w:cs="Times New Roman"/>
                <w:bCs/>
                <w:color w:val="000000"/>
                <w:sz w:val="14"/>
                <w:szCs w:val="14"/>
              </w:rPr>
            </w:pPr>
            <w:r w:rsidRPr="000D40B7">
              <w:rPr>
                <w:rFonts w:ascii="Times New Roman" w:hAnsi="Times New Roman" w:cs="Times New Roman"/>
                <w:bCs/>
                <w:color w:val="000000"/>
                <w:sz w:val="14"/>
                <w:szCs w:val="14"/>
              </w:rPr>
              <w:t xml:space="preserve">Spolufinancovanie ŠR </w:t>
            </w:r>
          </w:p>
        </w:tc>
        <w:tc>
          <w:tcPr>
            <w:tcW w:w="530"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F42914" w:rsidRPr="000D40B7" w:rsidP="00257E12">
            <w:pPr>
              <w:bidi w:val="0"/>
              <w:jc w:val="right"/>
              <w:rPr>
                <w:rFonts w:ascii="Times New Roman" w:hAnsi="Times New Roman" w:cs="Times New Roman"/>
                <w:bCs/>
                <w:color w:val="000000"/>
                <w:sz w:val="14"/>
                <w:szCs w:val="14"/>
              </w:rPr>
            </w:pPr>
            <w:r w:rsidRPr="000D40B7">
              <w:rPr>
                <w:rFonts w:ascii="Times New Roman" w:hAnsi="Times New Roman" w:cs="Times New Roman"/>
                <w:bCs/>
                <w:color w:val="000000"/>
                <w:sz w:val="14"/>
                <w:szCs w:val="14"/>
              </w:rPr>
              <w:t>67 442 643</w:t>
            </w:r>
          </w:p>
        </w:tc>
        <w:tc>
          <w:tcPr>
            <w:tcW w:w="564"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F42914" w:rsidRPr="000D40B7" w:rsidP="00257E12">
            <w:pPr>
              <w:bidi w:val="0"/>
              <w:jc w:val="right"/>
              <w:rPr>
                <w:rFonts w:ascii="Times New Roman" w:hAnsi="Times New Roman" w:cs="Times New Roman"/>
                <w:bCs/>
                <w:color w:val="000000"/>
                <w:sz w:val="14"/>
                <w:szCs w:val="14"/>
              </w:rPr>
            </w:pPr>
            <w:r w:rsidRPr="000D40B7">
              <w:rPr>
                <w:rFonts w:ascii="Times New Roman" w:hAnsi="Times New Roman" w:cs="Times New Roman"/>
                <w:bCs/>
                <w:color w:val="000000"/>
                <w:sz w:val="14"/>
                <w:szCs w:val="14"/>
              </w:rPr>
              <w:t>66 582 388</w:t>
            </w:r>
          </w:p>
        </w:tc>
        <w:tc>
          <w:tcPr>
            <w:tcW w:w="564"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F42914" w:rsidRPr="000D40B7" w:rsidP="00257E12">
            <w:pPr>
              <w:bidi w:val="0"/>
              <w:jc w:val="right"/>
              <w:rPr>
                <w:rFonts w:ascii="Times New Roman" w:hAnsi="Times New Roman" w:cs="Times New Roman"/>
                <w:bCs/>
                <w:color w:val="000000"/>
                <w:sz w:val="14"/>
                <w:szCs w:val="14"/>
              </w:rPr>
            </w:pPr>
            <w:r w:rsidRPr="000D40B7">
              <w:rPr>
                <w:rFonts w:ascii="Times New Roman" w:hAnsi="Times New Roman" w:cs="Times New Roman"/>
                <w:bCs/>
                <w:color w:val="000000"/>
                <w:sz w:val="14"/>
                <w:szCs w:val="14"/>
              </w:rPr>
              <w:t>118 568 398</w:t>
            </w:r>
          </w:p>
        </w:tc>
        <w:tc>
          <w:tcPr>
            <w:tcW w:w="564"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F42914" w:rsidRPr="000D40B7" w:rsidP="00257E12">
            <w:pPr>
              <w:bidi w:val="0"/>
              <w:jc w:val="right"/>
              <w:rPr>
                <w:rFonts w:ascii="Times New Roman" w:hAnsi="Times New Roman" w:cs="Times New Roman"/>
                <w:bCs/>
                <w:color w:val="000000"/>
                <w:sz w:val="14"/>
                <w:szCs w:val="14"/>
              </w:rPr>
            </w:pPr>
            <w:r w:rsidRPr="000D40B7">
              <w:rPr>
                <w:rFonts w:ascii="Times New Roman" w:hAnsi="Times New Roman" w:cs="Times New Roman"/>
                <w:bCs/>
                <w:color w:val="000000"/>
                <w:sz w:val="14"/>
                <w:szCs w:val="14"/>
              </w:rPr>
              <w:t>94 606 935</w:t>
            </w:r>
          </w:p>
        </w:tc>
        <w:tc>
          <w:tcPr>
            <w:tcW w:w="564"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F42914" w:rsidRPr="000D40B7" w:rsidP="00257E12">
            <w:pPr>
              <w:bidi w:val="0"/>
              <w:jc w:val="right"/>
              <w:rPr>
                <w:rFonts w:ascii="Times New Roman" w:hAnsi="Times New Roman" w:cs="Times New Roman"/>
                <w:bCs/>
                <w:color w:val="000000"/>
                <w:sz w:val="14"/>
                <w:szCs w:val="14"/>
              </w:rPr>
            </w:pPr>
            <w:r w:rsidRPr="000D40B7">
              <w:rPr>
                <w:rFonts w:ascii="Times New Roman" w:hAnsi="Times New Roman" w:cs="Times New Roman"/>
                <w:bCs/>
                <w:color w:val="000000"/>
                <w:sz w:val="14"/>
                <w:szCs w:val="14"/>
              </w:rPr>
              <w:t>162 523 261</w:t>
            </w:r>
          </w:p>
        </w:tc>
        <w:tc>
          <w:tcPr>
            <w:tcW w:w="564"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F42914" w:rsidRPr="000D40B7" w:rsidP="00257E12">
            <w:pPr>
              <w:bidi w:val="0"/>
              <w:jc w:val="right"/>
              <w:rPr>
                <w:rFonts w:ascii="Times New Roman" w:hAnsi="Times New Roman" w:cs="Times New Roman"/>
                <w:bCs/>
                <w:color w:val="000000"/>
                <w:sz w:val="14"/>
                <w:szCs w:val="14"/>
              </w:rPr>
            </w:pPr>
            <w:r w:rsidRPr="000D40B7">
              <w:rPr>
                <w:rFonts w:ascii="Times New Roman" w:hAnsi="Times New Roman" w:cs="Times New Roman"/>
                <w:bCs/>
                <w:color w:val="000000"/>
                <w:sz w:val="14"/>
                <w:szCs w:val="14"/>
              </w:rPr>
              <w:t>139 360 750</w:t>
            </w:r>
          </w:p>
        </w:tc>
        <w:tc>
          <w:tcPr>
            <w:tcW w:w="564"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F42914" w:rsidRPr="000D40B7" w:rsidP="00257E12">
            <w:pPr>
              <w:bidi w:val="0"/>
              <w:jc w:val="right"/>
              <w:rPr>
                <w:rFonts w:ascii="Times New Roman" w:hAnsi="Times New Roman" w:cs="Times New Roman"/>
                <w:bCs/>
                <w:color w:val="000000"/>
                <w:sz w:val="14"/>
                <w:szCs w:val="14"/>
              </w:rPr>
            </w:pPr>
            <w:r w:rsidRPr="000D40B7">
              <w:rPr>
                <w:rFonts w:ascii="Times New Roman" w:hAnsi="Times New Roman" w:cs="Times New Roman"/>
                <w:bCs/>
                <w:color w:val="000000"/>
                <w:sz w:val="14"/>
                <w:szCs w:val="14"/>
              </w:rPr>
              <w:t>160 401 512</w:t>
            </w:r>
          </w:p>
        </w:tc>
      </w:tr>
      <w:tr>
        <w:tblPrEx>
          <w:tblW w:w="5000" w:type="pct"/>
          <w:tblCellMar>
            <w:left w:w="70" w:type="dxa"/>
            <w:right w:w="70" w:type="dxa"/>
          </w:tblCellMar>
          <w:tblLook w:val="04A0"/>
        </w:tblPrEx>
        <w:trPr>
          <w:trHeight w:val="270"/>
        </w:trPr>
        <w:tc>
          <w:tcPr>
            <w:tcW w:w="1085"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F42914" w:rsidRPr="000D40B7" w:rsidP="00257E12">
            <w:pPr>
              <w:bidi w:val="0"/>
              <w:rPr>
                <w:rFonts w:ascii="Times New Roman" w:hAnsi="Times New Roman" w:cs="Times New Roman"/>
                <w:bCs/>
                <w:color w:val="000000"/>
                <w:sz w:val="14"/>
                <w:szCs w:val="14"/>
              </w:rPr>
            </w:pPr>
            <w:r w:rsidRPr="000D40B7">
              <w:rPr>
                <w:rFonts w:ascii="Times New Roman" w:hAnsi="Times New Roman" w:cs="Times New Roman"/>
                <w:bCs/>
                <w:color w:val="000000"/>
                <w:sz w:val="14"/>
                <w:szCs w:val="14"/>
              </w:rPr>
              <w:t>ŠR mimo spolufin.</w:t>
            </w:r>
          </w:p>
        </w:tc>
        <w:tc>
          <w:tcPr>
            <w:tcW w:w="530"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F42914" w:rsidRPr="000D40B7" w:rsidP="00257E12">
            <w:pPr>
              <w:bidi w:val="0"/>
              <w:jc w:val="right"/>
              <w:rPr>
                <w:rFonts w:ascii="Times New Roman" w:hAnsi="Times New Roman" w:cs="Times New Roman"/>
                <w:bCs/>
                <w:color w:val="000000"/>
                <w:sz w:val="14"/>
                <w:szCs w:val="14"/>
              </w:rPr>
            </w:pPr>
            <w:r w:rsidRPr="000D40B7">
              <w:rPr>
                <w:rFonts w:ascii="Times New Roman" w:hAnsi="Times New Roman" w:cs="Times New Roman"/>
                <w:bCs/>
                <w:color w:val="000000"/>
                <w:sz w:val="14"/>
                <w:szCs w:val="14"/>
              </w:rPr>
              <w:t>134 898 096</w:t>
            </w:r>
          </w:p>
        </w:tc>
        <w:tc>
          <w:tcPr>
            <w:tcW w:w="564"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F42914" w:rsidRPr="000D40B7" w:rsidP="00257E12">
            <w:pPr>
              <w:bidi w:val="0"/>
              <w:jc w:val="right"/>
              <w:rPr>
                <w:rFonts w:ascii="Times New Roman" w:hAnsi="Times New Roman" w:cs="Times New Roman"/>
                <w:bCs/>
                <w:color w:val="000000"/>
                <w:sz w:val="14"/>
                <w:szCs w:val="14"/>
              </w:rPr>
            </w:pPr>
            <w:r w:rsidRPr="000D40B7">
              <w:rPr>
                <w:rFonts w:ascii="Times New Roman" w:hAnsi="Times New Roman" w:cs="Times New Roman"/>
                <w:bCs/>
                <w:color w:val="000000"/>
                <w:sz w:val="14"/>
                <w:szCs w:val="14"/>
              </w:rPr>
              <w:t>66 014 683</w:t>
            </w:r>
          </w:p>
        </w:tc>
        <w:tc>
          <w:tcPr>
            <w:tcW w:w="564"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F42914" w:rsidRPr="000D40B7" w:rsidP="00257E12">
            <w:pPr>
              <w:bidi w:val="0"/>
              <w:jc w:val="right"/>
              <w:rPr>
                <w:rFonts w:ascii="Times New Roman" w:hAnsi="Times New Roman" w:cs="Times New Roman"/>
                <w:bCs/>
                <w:color w:val="000000"/>
                <w:sz w:val="14"/>
                <w:szCs w:val="14"/>
              </w:rPr>
            </w:pPr>
            <w:r w:rsidRPr="000D40B7">
              <w:rPr>
                <w:rFonts w:ascii="Times New Roman" w:hAnsi="Times New Roman" w:cs="Times New Roman"/>
                <w:bCs/>
                <w:color w:val="000000"/>
                <w:sz w:val="14"/>
                <w:szCs w:val="14"/>
              </w:rPr>
              <w:t>209 050 560</w:t>
            </w:r>
          </w:p>
        </w:tc>
        <w:tc>
          <w:tcPr>
            <w:tcW w:w="564"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F42914" w:rsidRPr="000D40B7" w:rsidP="00257E12">
            <w:pPr>
              <w:bidi w:val="0"/>
              <w:jc w:val="right"/>
              <w:rPr>
                <w:rFonts w:ascii="Times New Roman" w:hAnsi="Times New Roman" w:cs="Times New Roman"/>
                <w:bCs/>
                <w:color w:val="000000"/>
                <w:sz w:val="14"/>
                <w:szCs w:val="14"/>
              </w:rPr>
            </w:pPr>
            <w:r w:rsidRPr="000D40B7">
              <w:rPr>
                <w:rFonts w:ascii="Times New Roman" w:hAnsi="Times New Roman" w:cs="Times New Roman"/>
                <w:bCs/>
                <w:color w:val="000000"/>
                <w:sz w:val="14"/>
                <w:szCs w:val="14"/>
              </w:rPr>
              <w:t>126 062 761</w:t>
            </w:r>
          </w:p>
        </w:tc>
        <w:tc>
          <w:tcPr>
            <w:tcW w:w="564"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F42914" w:rsidRPr="000D40B7" w:rsidP="00257E12">
            <w:pPr>
              <w:bidi w:val="0"/>
              <w:jc w:val="right"/>
              <w:rPr>
                <w:rFonts w:ascii="Times New Roman" w:hAnsi="Times New Roman" w:cs="Times New Roman"/>
                <w:bCs/>
                <w:color w:val="000000"/>
                <w:sz w:val="14"/>
                <w:szCs w:val="14"/>
              </w:rPr>
            </w:pPr>
            <w:r>
              <w:rPr>
                <w:rFonts w:ascii="Times New Roman" w:hAnsi="Times New Roman" w:cs="Times New Roman"/>
                <w:bCs/>
                <w:color w:val="000000"/>
                <w:sz w:val="14"/>
                <w:szCs w:val="14"/>
              </w:rPr>
              <w:t>182</w:t>
            </w:r>
            <w:r w:rsidRPr="000D40B7">
              <w:rPr>
                <w:rFonts w:ascii="Times New Roman" w:hAnsi="Times New Roman" w:cs="Times New Roman"/>
                <w:bCs/>
                <w:color w:val="000000"/>
                <w:sz w:val="14"/>
                <w:szCs w:val="14"/>
              </w:rPr>
              <w:t xml:space="preserve"> </w:t>
            </w:r>
            <w:r>
              <w:rPr>
                <w:rFonts w:ascii="Times New Roman" w:hAnsi="Times New Roman" w:cs="Times New Roman"/>
                <w:bCs/>
                <w:color w:val="000000"/>
                <w:sz w:val="14"/>
                <w:szCs w:val="14"/>
              </w:rPr>
              <w:t>621</w:t>
            </w:r>
            <w:r w:rsidRPr="000D40B7">
              <w:rPr>
                <w:rFonts w:ascii="Times New Roman" w:hAnsi="Times New Roman" w:cs="Times New Roman"/>
                <w:bCs/>
                <w:color w:val="000000"/>
                <w:sz w:val="14"/>
                <w:szCs w:val="14"/>
              </w:rPr>
              <w:t xml:space="preserve"> </w:t>
            </w:r>
            <w:r>
              <w:rPr>
                <w:rFonts w:ascii="Times New Roman" w:hAnsi="Times New Roman" w:cs="Times New Roman"/>
                <w:bCs/>
                <w:color w:val="000000"/>
                <w:sz w:val="14"/>
                <w:szCs w:val="14"/>
              </w:rPr>
              <w:t>361</w:t>
            </w:r>
          </w:p>
        </w:tc>
        <w:tc>
          <w:tcPr>
            <w:tcW w:w="564"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F42914" w:rsidRPr="000D40B7" w:rsidP="00257E12">
            <w:pPr>
              <w:bidi w:val="0"/>
              <w:jc w:val="right"/>
              <w:rPr>
                <w:rFonts w:ascii="Times New Roman" w:hAnsi="Times New Roman" w:cs="Times New Roman"/>
                <w:bCs/>
                <w:color w:val="000000"/>
                <w:sz w:val="14"/>
                <w:szCs w:val="14"/>
              </w:rPr>
            </w:pPr>
            <w:r w:rsidRPr="000D40B7">
              <w:rPr>
                <w:rFonts w:ascii="Times New Roman" w:hAnsi="Times New Roman" w:cs="Times New Roman"/>
                <w:bCs/>
                <w:color w:val="000000"/>
                <w:sz w:val="14"/>
                <w:szCs w:val="14"/>
              </w:rPr>
              <w:t>3</w:t>
            </w:r>
            <w:r>
              <w:rPr>
                <w:rFonts w:ascii="Times New Roman" w:hAnsi="Times New Roman" w:cs="Times New Roman"/>
                <w:bCs/>
                <w:color w:val="000000"/>
                <w:sz w:val="14"/>
                <w:szCs w:val="14"/>
              </w:rPr>
              <w:t>58 980 380</w:t>
            </w:r>
          </w:p>
        </w:tc>
        <w:tc>
          <w:tcPr>
            <w:tcW w:w="564"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F42914" w:rsidRPr="000D40B7" w:rsidP="00257E12">
            <w:pPr>
              <w:bidi w:val="0"/>
              <w:jc w:val="right"/>
              <w:rPr>
                <w:rFonts w:ascii="Times New Roman" w:hAnsi="Times New Roman" w:cs="Times New Roman"/>
                <w:bCs/>
                <w:color w:val="000000"/>
                <w:sz w:val="14"/>
                <w:szCs w:val="14"/>
              </w:rPr>
            </w:pPr>
            <w:r w:rsidRPr="000D40B7">
              <w:rPr>
                <w:rFonts w:ascii="Times New Roman" w:hAnsi="Times New Roman" w:cs="Times New Roman"/>
                <w:bCs/>
                <w:color w:val="000000"/>
                <w:sz w:val="14"/>
                <w:szCs w:val="14"/>
              </w:rPr>
              <w:t>62</w:t>
            </w:r>
            <w:r>
              <w:rPr>
                <w:rFonts w:ascii="Times New Roman" w:hAnsi="Times New Roman" w:cs="Times New Roman"/>
                <w:bCs/>
                <w:color w:val="000000"/>
                <w:sz w:val="14"/>
                <w:szCs w:val="14"/>
              </w:rPr>
              <w:t>0</w:t>
            </w:r>
            <w:r w:rsidRPr="000D40B7">
              <w:rPr>
                <w:rFonts w:ascii="Times New Roman" w:hAnsi="Times New Roman" w:cs="Times New Roman"/>
                <w:bCs/>
                <w:color w:val="000000"/>
                <w:sz w:val="14"/>
                <w:szCs w:val="14"/>
              </w:rPr>
              <w:t xml:space="preserve"> </w:t>
            </w:r>
            <w:r>
              <w:rPr>
                <w:rFonts w:ascii="Times New Roman" w:hAnsi="Times New Roman" w:cs="Times New Roman"/>
                <w:bCs/>
                <w:color w:val="000000"/>
                <w:sz w:val="14"/>
                <w:szCs w:val="14"/>
              </w:rPr>
              <w:t>292</w:t>
            </w:r>
            <w:r w:rsidRPr="000D40B7">
              <w:rPr>
                <w:rFonts w:ascii="Times New Roman" w:hAnsi="Times New Roman" w:cs="Times New Roman"/>
                <w:bCs/>
                <w:color w:val="000000"/>
                <w:sz w:val="14"/>
                <w:szCs w:val="14"/>
              </w:rPr>
              <w:t xml:space="preserve"> </w:t>
            </w:r>
            <w:r>
              <w:rPr>
                <w:rFonts w:ascii="Times New Roman" w:hAnsi="Times New Roman" w:cs="Times New Roman"/>
                <w:bCs/>
                <w:color w:val="000000"/>
                <w:sz w:val="14"/>
                <w:szCs w:val="14"/>
              </w:rPr>
              <w:t>427</w:t>
            </w:r>
          </w:p>
        </w:tc>
      </w:tr>
    </w:tbl>
    <w:p w:rsidR="00F42914" w:rsidRPr="00432A91" w:rsidP="00F42914">
      <w:pPr>
        <w:bidi w:val="0"/>
        <w:jc w:val="both"/>
        <w:rPr>
          <w:rFonts w:ascii="Times New Roman" w:hAnsi="Times New Roman" w:cs="Times New Roman"/>
        </w:rPr>
      </w:pPr>
    </w:p>
    <w:p w:rsidR="00F42914" w:rsidRPr="00432A91" w:rsidP="00F42914">
      <w:pPr>
        <w:bidi w:val="0"/>
        <w:ind w:firstLine="708"/>
        <w:jc w:val="both"/>
        <w:rPr>
          <w:rFonts w:ascii="Times New Roman" w:hAnsi="Times New Roman" w:cs="Times New Roman"/>
        </w:rPr>
      </w:pPr>
      <w:r w:rsidRPr="00432A91">
        <w:rPr>
          <w:rFonts w:ascii="Times New Roman" w:hAnsi="Times New Roman" w:cs="Times New Roman"/>
        </w:rPr>
        <w:t>Na OP Doprava sa v roku 2012 rozpočtujú výdavky v sume 1,</w:t>
      </w:r>
      <w:r>
        <w:rPr>
          <w:rFonts w:ascii="Times New Roman" w:hAnsi="Times New Roman" w:cs="Times New Roman"/>
        </w:rPr>
        <w:t>09</w:t>
      </w:r>
      <w:r w:rsidRPr="00432A91">
        <w:rPr>
          <w:rFonts w:ascii="Times New Roman" w:hAnsi="Times New Roman" w:cs="Times New Roman"/>
        </w:rPr>
        <w:t xml:space="preserve"> mld. eur, čo v porovnaní so schváleným rozpočtom roku 2011 predstavuje zvýšenie o </w:t>
      </w:r>
      <w:r>
        <w:rPr>
          <w:rFonts w:ascii="Times New Roman" w:hAnsi="Times New Roman" w:cs="Times New Roman"/>
        </w:rPr>
        <w:t>25</w:t>
      </w:r>
      <w:r w:rsidRPr="00432A91">
        <w:rPr>
          <w:rFonts w:ascii="Times New Roman" w:hAnsi="Times New Roman" w:cs="Times New Roman"/>
        </w:rPr>
        <w:t>,</w:t>
      </w:r>
      <w:r>
        <w:rPr>
          <w:rFonts w:ascii="Times New Roman" w:hAnsi="Times New Roman" w:cs="Times New Roman"/>
        </w:rPr>
        <w:t>4</w:t>
      </w:r>
      <w:r w:rsidRPr="00432A91">
        <w:rPr>
          <w:rFonts w:ascii="Times New Roman" w:hAnsi="Times New Roman" w:cs="Times New Roman"/>
        </w:rPr>
        <w:t xml:space="preserve"> %, t. j. o</w:t>
      </w:r>
      <w:r>
        <w:rPr>
          <w:rFonts w:ascii="Times New Roman" w:hAnsi="Times New Roman" w:cs="Times New Roman"/>
        </w:rPr>
        <w:t> </w:t>
      </w:r>
      <w:r w:rsidRPr="00432A91">
        <w:rPr>
          <w:rFonts w:ascii="Times New Roman" w:hAnsi="Times New Roman" w:cs="Times New Roman"/>
        </w:rPr>
        <w:t>2</w:t>
      </w:r>
      <w:r>
        <w:rPr>
          <w:rFonts w:ascii="Times New Roman" w:hAnsi="Times New Roman" w:cs="Times New Roman"/>
        </w:rPr>
        <w:t>21 </w:t>
      </w:r>
      <w:r w:rsidRPr="00432A91">
        <w:rPr>
          <w:rFonts w:ascii="Times New Roman" w:hAnsi="Times New Roman" w:cs="Times New Roman"/>
        </w:rPr>
        <w:t xml:space="preserve">mil. eur z dôvodu nárastu výdavkov zo zdrojov EÚ a spolufinancovania a prostriedkov štátneho rozpočtu </w:t>
      </w:r>
      <w:r w:rsidRPr="003F017B">
        <w:rPr>
          <w:rFonts w:ascii="Times New Roman" w:hAnsi="Times New Roman" w:cs="Times New Roman"/>
        </w:rPr>
        <w:t>nevyhnutných k zabezpečeniu plynulého čerpania EÚ prostriedkov. Uvedený výrazný nárast výdavkov súvisí so zámerom vlády SR výstavbu ciest a diaľnic ako aj železničnú infraštruktúru financovať predovšetkým z prostriedkov EÚ  2. programov</w:t>
      </w:r>
      <w:r>
        <w:rPr>
          <w:rFonts w:ascii="Times New Roman" w:hAnsi="Times New Roman" w:cs="Times New Roman"/>
        </w:rPr>
        <w:t>ého</w:t>
      </w:r>
      <w:r w:rsidRPr="003F017B">
        <w:rPr>
          <w:rFonts w:ascii="Times New Roman" w:hAnsi="Times New Roman" w:cs="Times New Roman"/>
        </w:rPr>
        <w:t xml:space="preserve"> obdobia a od roku 2014 aj z prostriedkov EÚ 3. programov</w:t>
      </w:r>
      <w:r>
        <w:rPr>
          <w:rFonts w:ascii="Times New Roman" w:hAnsi="Times New Roman" w:cs="Times New Roman"/>
        </w:rPr>
        <w:t>ého</w:t>
      </w:r>
      <w:r w:rsidRPr="003F017B">
        <w:rPr>
          <w:rFonts w:ascii="Times New Roman" w:hAnsi="Times New Roman" w:cs="Times New Roman"/>
        </w:rPr>
        <w:t xml:space="preserve"> obdobia.</w:t>
      </w:r>
      <w:r w:rsidRPr="00432A91">
        <w:rPr>
          <w:rFonts w:ascii="Times New Roman" w:hAnsi="Times New Roman" w:cs="Times New Roman"/>
        </w:rPr>
        <w:t xml:space="preserve"> </w:t>
      </w:r>
    </w:p>
    <w:p w:rsidR="00F42914" w:rsidRPr="00432A91" w:rsidP="00F42914">
      <w:pPr>
        <w:bidi w:val="0"/>
        <w:jc w:val="both"/>
        <w:rPr>
          <w:rFonts w:ascii="Times New Roman" w:hAnsi="Times New Roman" w:cs="Times New Roman"/>
        </w:rPr>
      </w:pPr>
    </w:p>
    <w:p w:rsidR="00F42914" w:rsidRPr="00E03853" w:rsidP="00F42914">
      <w:pPr>
        <w:bidi w:val="0"/>
        <w:jc w:val="both"/>
        <w:rPr>
          <w:rFonts w:ascii="Times New Roman" w:hAnsi="Times New Roman" w:cs="Times New Roman"/>
          <w:i/>
          <w:u w:val="single"/>
        </w:rPr>
      </w:pPr>
      <w:r w:rsidRPr="00E03853">
        <w:rPr>
          <w:rFonts w:ascii="Times New Roman" w:hAnsi="Times New Roman" w:cs="Times New Roman"/>
          <w:i/>
          <w:u w:val="single"/>
        </w:rPr>
        <w:t>TEN-T projekty ŽSR</w:t>
      </w:r>
    </w:p>
    <w:p w:rsidR="00F42914" w:rsidRPr="00432A91" w:rsidP="00F42914">
      <w:pPr>
        <w:bidi w:val="0"/>
        <w:jc w:val="both"/>
        <w:rPr>
          <w:rFonts w:ascii="Times New Roman" w:hAnsi="Times New Roman" w:cs="Times New Roman"/>
        </w:rPr>
      </w:pPr>
    </w:p>
    <w:tbl>
      <w:tblPr>
        <w:tblStyle w:val="TableNormal"/>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753"/>
        <w:gridCol w:w="903"/>
        <w:gridCol w:w="903"/>
        <w:gridCol w:w="903"/>
        <w:gridCol w:w="903"/>
        <w:gridCol w:w="903"/>
        <w:gridCol w:w="903"/>
        <w:gridCol w:w="903"/>
      </w:tblGrid>
      <w:tr>
        <w:tblPrEx>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65"/>
        </w:trPr>
        <w:tc>
          <w:tcPr>
            <w:tcW w:w="275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v eurách</w:t>
            </w:r>
          </w:p>
        </w:tc>
        <w:tc>
          <w:tcPr>
            <w:tcW w:w="90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2009 S</w:t>
            </w:r>
          </w:p>
        </w:tc>
        <w:tc>
          <w:tcPr>
            <w:tcW w:w="90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2010 S</w:t>
            </w:r>
          </w:p>
        </w:tc>
        <w:tc>
          <w:tcPr>
            <w:tcW w:w="90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2011 R</w:t>
            </w:r>
          </w:p>
        </w:tc>
        <w:tc>
          <w:tcPr>
            <w:tcW w:w="90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 xml:space="preserve"> 2011 OS</w:t>
            </w:r>
          </w:p>
        </w:tc>
        <w:tc>
          <w:tcPr>
            <w:tcW w:w="90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2012 N</w:t>
            </w:r>
          </w:p>
        </w:tc>
        <w:tc>
          <w:tcPr>
            <w:tcW w:w="90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2013 N</w:t>
            </w:r>
          </w:p>
        </w:tc>
        <w:tc>
          <w:tcPr>
            <w:tcW w:w="90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2014 N</w:t>
            </w:r>
          </w:p>
        </w:tc>
      </w:tr>
      <w:tr>
        <w:tblPrEx>
          <w:tblW w:w="4925" w:type="pct"/>
          <w:tblInd w:w="70" w:type="dxa"/>
          <w:tblCellMar>
            <w:left w:w="70" w:type="dxa"/>
            <w:right w:w="70" w:type="dxa"/>
          </w:tblCellMar>
          <w:tblLook w:val="04A0"/>
        </w:tblPrEx>
        <w:trPr>
          <w:trHeight w:val="265"/>
        </w:trPr>
        <w:tc>
          <w:tcPr>
            <w:tcW w:w="275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A94288" w:rsidP="00257E12">
            <w:pPr>
              <w:bidi w:val="0"/>
              <w:rPr>
                <w:rFonts w:ascii="Times New Roman" w:hAnsi="Times New Roman" w:cs="Times New Roman"/>
                <w:b/>
                <w:color w:val="000000"/>
                <w:sz w:val="14"/>
                <w:szCs w:val="14"/>
              </w:rPr>
            </w:pPr>
            <w:r w:rsidRPr="00A94288">
              <w:rPr>
                <w:rFonts w:ascii="Times New Roman" w:hAnsi="Times New Roman" w:cs="Times New Roman"/>
                <w:b/>
                <w:color w:val="000000"/>
                <w:sz w:val="14"/>
                <w:szCs w:val="14"/>
              </w:rPr>
              <w:t>Spolu</w:t>
            </w:r>
          </w:p>
        </w:tc>
        <w:tc>
          <w:tcPr>
            <w:tcW w:w="90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5 801 386</w:t>
            </w:r>
          </w:p>
        </w:tc>
        <w:tc>
          <w:tcPr>
            <w:tcW w:w="90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2 534 716</w:t>
            </w:r>
          </w:p>
        </w:tc>
        <w:tc>
          <w:tcPr>
            <w:tcW w:w="90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90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11 000 456</w:t>
            </w:r>
          </w:p>
        </w:tc>
        <w:tc>
          <w:tcPr>
            <w:tcW w:w="90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16 814 960</w:t>
            </w:r>
          </w:p>
        </w:tc>
        <w:tc>
          <w:tcPr>
            <w:tcW w:w="90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16 809 090</w:t>
            </w:r>
          </w:p>
        </w:tc>
        <w:tc>
          <w:tcPr>
            <w:tcW w:w="90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8 920 000</w:t>
            </w:r>
          </w:p>
        </w:tc>
      </w:tr>
      <w:tr>
        <w:tblPrEx>
          <w:tblW w:w="4925" w:type="pct"/>
          <w:tblInd w:w="70" w:type="dxa"/>
          <w:tblCellMar>
            <w:left w:w="70" w:type="dxa"/>
            <w:right w:w="70" w:type="dxa"/>
          </w:tblCellMar>
          <w:tblLook w:val="04A0"/>
        </w:tblPrEx>
        <w:trPr>
          <w:trHeight w:val="265"/>
        </w:trPr>
        <w:tc>
          <w:tcPr>
            <w:tcW w:w="2751"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Prostriedky EÚ TEN-T (mimorozpočtové)</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2 900 693</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1 267 358</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681 700</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2 227 480</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2 224 545</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600 000</w:t>
            </w:r>
          </w:p>
        </w:tc>
      </w:tr>
      <w:tr>
        <w:tblPrEx>
          <w:tblW w:w="4925" w:type="pct"/>
          <w:tblInd w:w="70" w:type="dxa"/>
          <w:tblCellMar>
            <w:left w:w="70" w:type="dxa"/>
            <w:right w:w="70" w:type="dxa"/>
          </w:tblCellMar>
          <w:tblLook w:val="04A0"/>
        </w:tblPrEx>
        <w:trPr>
          <w:trHeight w:val="265"/>
        </w:trPr>
        <w:tc>
          <w:tcPr>
            <w:tcW w:w="2751"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 xml:space="preserve">ŠR na spolufin. k TEN-T (50 %) </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2 900 693</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1 267 358</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570 490</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2 227 480</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2 224 545</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600 000</w:t>
            </w:r>
          </w:p>
        </w:tc>
      </w:tr>
      <w:tr>
        <w:tblPrEx>
          <w:tblW w:w="4925" w:type="pct"/>
          <w:tblInd w:w="70" w:type="dxa"/>
          <w:tblCellMar>
            <w:left w:w="70" w:type="dxa"/>
            <w:right w:w="70" w:type="dxa"/>
          </w:tblCellMar>
          <w:tblLook w:val="04A0"/>
        </w:tblPrEx>
        <w:trPr>
          <w:trHeight w:val="265"/>
        </w:trPr>
        <w:tc>
          <w:tcPr>
            <w:tcW w:w="2751"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 xml:space="preserve">Štátna dotácia mimo spolufin. TEN-T </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9 748 266</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12 360 000</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12 360 000</w:t>
            </w:r>
          </w:p>
        </w:tc>
        <w:tc>
          <w:tcPr>
            <w:tcW w:w="90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7 720 000</w:t>
            </w:r>
          </w:p>
        </w:tc>
      </w:tr>
    </w:tbl>
    <w:p w:rsidR="00F42914" w:rsidP="00F42914">
      <w:pPr>
        <w:bidi w:val="0"/>
        <w:ind w:firstLine="709"/>
        <w:jc w:val="both"/>
        <w:rPr>
          <w:rFonts w:ascii="Times New Roman" w:hAnsi="Times New Roman" w:cs="Times New Roman"/>
        </w:rPr>
      </w:pPr>
    </w:p>
    <w:p w:rsidR="00F42914" w:rsidRPr="00432A91" w:rsidP="00F42914">
      <w:pPr>
        <w:bidi w:val="0"/>
        <w:ind w:firstLine="709"/>
        <w:jc w:val="both"/>
        <w:rPr>
          <w:rFonts w:ascii="Times New Roman" w:hAnsi="Times New Roman" w:cs="Times New Roman"/>
        </w:rPr>
      </w:pPr>
      <w:r w:rsidRPr="00432A91">
        <w:rPr>
          <w:rFonts w:ascii="Times New Roman" w:hAnsi="Times New Roman" w:cs="Times New Roman"/>
        </w:rPr>
        <w:t>Na TEN-T projekty ŽSR sa rozpočtujú výdavky v sume 16,8 mil. eur v nadväznosti na zámer vlády SR  financovať  výstavbu železničnej infraštruktúry predovšetkým z prostriedkov EÚ fondov. Výdavkami na TEN-T projekty sa realizuje príprava projektov železničnej infraštruktúry financovaných zo zdrojov EÚ ako sú štúdie a predprojektová dokumentácia. V schválenom rozpočte roku 2011 sa na uvedený účel finančné prostriedky nerozpočtovali.</w:t>
      </w:r>
    </w:p>
    <w:p w:rsidR="00F42914" w:rsidP="00F42914">
      <w:pPr>
        <w:bidi w:val="0"/>
        <w:jc w:val="both"/>
        <w:rPr>
          <w:rFonts w:ascii="Times New Roman" w:hAnsi="Times New Roman" w:cs="Times New Roman"/>
          <w:i/>
          <w:u w:val="single"/>
        </w:rPr>
      </w:pPr>
    </w:p>
    <w:p w:rsidR="00F42914" w:rsidRPr="00E03853" w:rsidP="00F42914">
      <w:pPr>
        <w:bidi w:val="0"/>
        <w:spacing w:after="240"/>
        <w:jc w:val="both"/>
        <w:rPr>
          <w:rFonts w:ascii="Times New Roman" w:hAnsi="Times New Roman" w:cs="Times New Roman"/>
          <w:i/>
          <w:u w:val="single"/>
        </w:rPr>
      </w:pPr>
      <w:r w:rsidRPr="00E03853">
        <w:rPr>
          <w:rFonts w:ascii="Times New Roman" w:hAnsi="Times New Roman" w:cs="Times New Roman"/>
          <w:i/>
          <w:u w:val="single"/>
        </w:rPr>
        <w:t>Investície NDS a Slovenskej správy ciest mimo OP Doprava</w:t>
      </w:r>
    </w:p>
    <w:tbl>
      <w:tblPr>
        <w:tblStyle w:val="TableNormal"/>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463"/>
        <w:gridCol w:w="946"/>
        <w:gridCol w:w="946"/>
        <w:gridCol w:w="946"/>
        <w:gridCol w:w="946"/>
        <w:gridCol w:w="946"/>
        <w:gridCol w:w="946"/>
        <w:gridCol w:w="946"/>
      </w:tblGrid>
      <w:tr>
        <w:tblPrEx>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63"/>
        </w:trPr>
        <w:tc>
          <w:tcPr>
            <w:tcW w:w="246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spacing w:after="120"/>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v eurách</w:t>
            </w:r>
          </w:p>
        </w:tc>
        <w:tc>
          <w:tcPr>
            <w:tcW w:w="94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spacing w:after="12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2009 S</w:t>
            </w:r>
          </w:p>
        </w:tc>
        <w:tc>
          <w:tcPr>
            <w:tcW w:w="94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spacing w:after="12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2010 S</w:t>
            </w:r>
          </w:p>
        </w:tc>
        <w:tc>
          <w:tcPr>
            <w:tcW w:w="94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spacing w:after="12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2011 R</w:t>
            </w:r>
          </w:p>
        </w:tc>
        <w:tc>
          <w:tcPr>
            <w:tcW w:w="94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spacing w:after="12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 xml:space="preserve"> 2011 OS</w:t>
            </w:r>
          </w:p>
        </w:tc>
        <w:tc>
          <w:tcPr>
            <w:tcW w:w="94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spacing w:after="12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2012 N</w:t>
            </w:r>
          </w:p>
        </w:tc>
        <w:tc>
          <w:tcPr>
            <w:tcW w:w="94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spacing w:after="12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2013 N</w:t>
            </w:r>
          </w:p>
        </w:tc>
        <w:tc>
          <w:tcPr>
            <w:tcW w:w="94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spacing w:after="12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2014 N</w:t>
            </w:r>
          </w:p>
        </w:tc>
      </w:tr>
      <w:tr>
        <w:tblPrEx>
          <w:tblW w:w="9085" w:type="dxa"/>
          <w:tblInd w:w="57" w:type="dxa"/>
          <w:tblCellMar>
            <w:left w:w="70" w:type="dxa"/>
            <w:right w:w="70" w:type="dxa"/>
          </w:tblCellMar>
          <w:tblLook w:val="04A0"/>
        </w:tblPrEx>
        <w:trPr>
          <w:trHeight w:val="263"/>
        </w:trPr>
        <w:tc>
          <w:tcPr>
            <w:tcW w:w="246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A94288" w:rsidP="00257E12">
            <w:pPr>
              <w:bidi w:val="0"/>
              <w:spacing w:after="120"/>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Spolu</w:t>
            </w:r>
          </w:p>
        </w:tc>
        <w:tc>
          <w:tcPr>
            <w:tcW w:w="946"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349 749 711</w:t>
            </w:r>
          </w:p>
        </w:tc>
        <w:tc>
          <w:tcPr>
            <w:tcW w:w="946"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279 352 764</w:t>
            </w:r>
          </w:p>
        </w:tc>
        <w:tc>
          <w:tcPr>
            <w:tcW w:w="946"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131 942 856</w:t>
            </w:r>
          </w:p>
        </w:tc>
        <w:tc>
          <w:tcPr>
            <w:tcW w:w="946"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105 067 765</w:t>
            </w:r>
          </w:p>
        </w:tc>
        <w:tc>
          <w:tcPr>
            <w:tcW w:w="946"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w:t>
            </w:r>
            <w:r>
              <w:rPr>
                <w:rFonts w:ascii="Times New Roman" w:hAnsi="Times New Roman" w:cs="Times New Roman"/>
                <w:color w:val="000000"/>
                <w:sz w:val="14"/>
                <w:szCs w:val="14"/>
              </w:rPr>
              <w:t>66</w:t>
            </w:r>
            <w:r w:rsidRPr="00A94288">
              <w:rPr>
                <w:rFonts w:ascii="Times New Roman" w:hAnsi="Times New Roman" w:cs="Times New Roman"/>
                <w:color w:val="000000"/>
                <w:sz w:val="14"/>
                <w:szCs w:val="14"/>
              </w:rPr>
              <w:t xml:space="preserve"> 514 211</w:t>
            </w:r>
          </w:p>
        </w:tc>
        <w:tc>
          <w:tcPr>
            <w:tcW w:w="946"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101 561 687</w:t>
            </w:r>
          </w:p>
        </w:tc>
        <w:tc>
          <w:tcPr>
            <w:tcW w:w="946"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97 064 337</w:t>
            </w:r>
          </w:p>
        </w:tc>
      </w:tr>
      <w:tr>
        <w:tblPrEx>
          <w:tblW w:w="9085" w:type="dxa"/>
          <w:tblInd w:w="57" w:type="dxa"/>
          <w:tblCellMar>
            <w:left w:w="70" w:type="dxa"/>
            <w:right w:w="70" w:type="dxa"/>
          </w:tblCellMar>
          <w:tblLook w:val="04A0"/>
        </w:tblPrEx>
        <w:trPr>
          <w:trHeight w:val="263"/>
        </w:trPr>
        <w:tc>
          <w:tcPr>
            <w:tcW w:w="246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rPr>
                <w:rFonts w:ascii="Times New Roman" w:hAnsi="Times New Roman" w:cs="Times New Roman"/>
                <w:color w:val="000000"/>
                <w:sz w:val="14"/>
                <w:szCs w:val="14"/>
              </w:rPr>
            </w:pPr>
            <w:r w:rsidRPr="00A94288">
              <w:rPr>
                <w:rFonts w:ascii="Times New Roman" w:hAnsi="Times New Roman" w:cs="Times New Roman"/>
                <w:color w:val="000000"/>
                <w:sz w:val="14"/>
                <w:szCs w:val="14"/>
              </w:rPr>
              <w:t xml:space="preserve">NDS výdavky zo ŠR mimo OPD </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186 342 622</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224 302 920</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60 000 000</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36 314 391</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41 400 000</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41 400 000</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31 400 000</w:t>
            </w:r>
          </w:p>
        </w:tc>
      </w:tr>
      <w:tr>
        <w:tblPrEx>
          <w:tblW w:w="9085" w:type="dxa"/>
          <w:tblInd w:w="57" w:type="dxa"/>
          <w:tblCellMar>
            <w:left w:w="70" w:type="dxa"/>
            <w:right w:w="70" w:type="dxa"/>
          </w:tblCellMar>
          <w:tblLook w:val="04A0"/>
        </w:tblPrEx>
        <w:trPr>
          <w:trHeight w:val="263"/>
        </w:trPr>
        <w:tc>
          <w:tcPr>
            <w:tcW w:w="246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rPr>
                <w:rFonts w:ascii="Times New Roman" w:hAnsi="Times New Roman" w:cs="Times New Roman"/>
                <w:color w:val="000000"/>
                <w:sz w:val="14"/>
                <w:szCs w:val="14"/>
              </w:rPr>
            </w:pPr>
            <w:r w:rsidRPr="00A94288">
              <w:rPr>
                <w:rFonts w:ascii="Times New Roman" w:hAnsi="Times New Roman" w:cs="Times New Roman"/>
                <w:color w:val="000000"/>
                <w:sz w:val="14"/>
                <w:szCs w:val="14"/>
              </w:rPr>
              <w:t xml:space="preserve">NDS investície z vlastných zdrojov </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69 071 517</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8 540 000</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sz w:val="14"/>
                <w:szCs w:val="14"/>
              </w:rPr>
              <w:t>28 790 763</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sz w:val="14"/>
                <w:szCs w:val="14"/>
              </w:rPr>
              <w:t>28 790 763</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sz w:val="14"/>
                <w:szCs w:val="14"/>
              </w:rPr>
              <w:t>86 114 211</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sz w:val="14"/>
                <w:szCs w:val="14"/>
              </w:rPr>
              <w:t>55 161 687</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sz w:val="14"/>
                <w:szCs w:val="14"/>
              </w:rPr>
              <w:t>60 664 337</w:t>
            </w:r>
          </w:p>
        </w:tc>
      </w:tr>
      <w:tr>
        <w:tblPrEx>
          <w:tblW w:w="9085" w:type="dxa"/>
          <w:tblInd w:w="57" w:type="dxa"/>
          <w:tblCellMar>
            <w:left w:w="70" w:type="dxa"/>
            <w:right w:w="70" w:type="dxa"/>
          </w:tblCellMar>
          <w:tblLook w:val="04A0"/>
        </w:tblPrEx>
        <w:trPr>
          <w:trHeight w:val="263"/>
        </w:trPr>
        <w:tc>
          <w:tcPr>
            <w:tcW w:w="246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rPr>
                <w:rFonts w:ascii="Times New Roman" w:hAnsi="Times New Roman" w:cs="Times New Roman"/>
                <w:color w:val="000000"/>
                <w:sz w:val="14"/>
                <w:szCs w:val="14"/>
              </w:rPr>
            </w:pPr>
            <w:r w:rsidRPr="00A94288">
              <w:rPr>
                <w:rFonts w:ascii="Times New Roman" w:hAnsi="Times New Roman" w:cs="Times New Roman"/>
                <w:color w:val="000000"/>
                <w:sz w:val="14"/>
                <w:szCs w:val="14"/>
              </w:rPr>
              <w:t>SSC výdavky zo ŠR mimo OPD</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63 617 458</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33 752 761</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43 152 093</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39 962 611</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Pr>
                <w:rFonts w:ascii="Times New Roman" w:hAnsi="Times New Roman" w:cs="Times New Roman"/>
                <w:color w:val="000000"/>
                <w:sz w:val="14"/>
                <w:szCs w:val="14"/>
              </w:rPr>
              <w:t>39</w:t>
            </w:r>
            <w:r w:rsidRPr="00A94288">
              <w:rPr>
                <w:rFonts w:ascii="Times New Roman" w:hAnsi="Times New Roman" w:cs="Times New Roman"/>
                <w:color w:val="000000"/>
                <w:sz w:val="14"/>
                <w:szCs w:val="14"/>
              </w:rPr>
              <w:t xml:space="preserve"> 000 000</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5 000 000</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5 000 000</w:t>
            </w:r>
          </w:p>
        </w:tc>
      </w:tr>
      <w:tr>
        <w:tblPrEx>
          <w:tblW w:w="9085" w:type="dxa"/>
          <w:tblInd w:w="57" w:type="dxa"/>
          <w:tblCellMar>
            <w:left w:w="70" w:type="dxa"/>
            <w:right w:w="70" w:type="dxa"/>
          </w:tblCellMar>
          <w:tblLook w:val="04A0"/>
        </w:tblPrEx>
        <w:trPr>
          <w:trHeight w:val="263"/>
        </w:trPr>
        <w:tc>
          <w:tcPr>
            <w:tcW w:w="246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rPr>
                <w:rFonts w:ascii="Times New Roman" w:hAnsi="Times New Roman" w:cs="Times New Roman"/>
                <w:color w:val="000000"/>
                <w:sz w:val="14"/>
                <w:szCs w:val="14"/>
              </w:rPr>
            </w:pPr>
            <w:r w:rsidRPr="00A94288">
              <w:rPr>
                <w:rFonts w:ascii="Times New Roman" w:hAnsi="Times New Roman" w:cs="Times New Roman"/>
                <w:color w:val="000000"/>
                <w:sz w:val="14"/>
                <w:szCs w:val="14"/>
              </w:rPr>
              <w:t>ŽSSK výdavky zo ŠR*</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30 718 114</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12 757 083</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r>
    </w:tbl>
    <w:p w:rsidR="00F42914" w:rsidP="00F42914">
      <w:pPr>
        <w:bidi w:val="0"/>
        <w:jc w:val="both"/>
        <w:rPr>
          <w:rFonts w:ascii="Times New Roman" w:hAnsi="Times New Roman" w:cs="Times New Roman"/>
          <w:sz w:val="16"/>
          <w:szCs w:val="16"/>
        </w:rPr>
      </w:pPr>
      <w:r w:rsidRPr="00E167C4">
        <w:rPr>
          <w:rFonts w:ascii="Times New Roman" w:hAnsi="Times New Roman" w:cs="Times New Roman"/>
          <w:sz w:val="16"/>
          <w:szCs w:val="16"/>
        </w:rPr>
        <w:t>*Výdavky na rekonštrukciu, modernizáciu a nákup nových koľajových vozidiel</w:t>
      </w:r>
    </w:p>
    <w:p w:rsidR="00F42914" w:rsidP="00F42914">
      <w:pPr>
        <w:bidi w:val="0"/>
        <w:jc w:val="both"/>
        <w:rPr>
          <w:rFonts w:ascii="Times New Roman" w:hAnsi="Times New Roman" w:cs="Times New Roman"/>
        </w:rPr>
      </w:pPr>
    </w:p>
    <w:p w:rsidR="00F42914" w:rsidP="00F42914">
      <w:pPr>
        <w:bidi w:val="0"/>
        <w:ind w:firstLine="709"/>
        <w:jc w:val="both"/>
        <w:rPr>
          <w:rFonts w:ascii="Times New Roman" w:hAnsi="Times New Roman" w:cs="Times New Roman"/>
        </w:rPr>
      </w:pPr>
      <w:r w:rsidRPr="00432A91">
        <w:rPr>
          <w:rFonts w:ascii="Times New Roman" w:hAnsi="Times New Roman" w:cs="Times New Roman"/>
        </w:rPr>
        <w:t xml:space="preserve">Na investície </w:t>
      </w:r>
      <w:r w:rsidRPr="003F017B">
        <w:rPr>
          <w:rFonts w:ascii="Times New Roman" w:hAnsi="Times New Roman" w:cs="Times New Roman"/>
        </w:rPr>
        <w:t>realizované NDS a Slovenskou správou ciest (ďalej len „SSC“) mimo OPD vrátane vlastných zdrojov NDS sú k dispozícií výdavky v sume 1</w:t>
      </w:r>
      <w:r>
        <w:rPr>
          <w:rFonts w:ascii="Times New Roman" w:hAnsi="Times New Roman" w:cs="Times New Roman"/>
        </w:rPr>
        <w:t>67</w:t>
      </w:r>
      <w:r w:rsidRPr="003F017B">
        <w:rPr>
          <w:rFonts w:ascii="Times New Roman" w:hAnsi="Times New Roman" w:cs="Times New Roman"/>
        </w:rPr>
        <w:t xml:space="preserve"> mil. eur, čo v porovnaní so schváleným rozpočtom roku 2011 predstavuje nárast o </w:t>
      </w:r>
      <w:r>
        <w:rPr>
          <w:rFonts w:ascii="Times New Roman" w:hAnsi="Times New Roman" w:cs="Times New Roman"/>
        </w:rPr>
        <w:t>26</w:t>
      </w:r>
      <w:r w:rsidRPr="003F017B">
        <w:rPr>
          <w:rFonts w:ascii="Times New Roman" w:hAnsi="Times New Roman" w:cs="Times New Roman"/>
        </w:rPr>
        <w:t>,</w:t>
      </w:r>
      <w:r>
        <w:rPr>
          <w:rFonts w:ascii="Times New Roman" w:hAnsi="Times New Roman" w:cs="Times New Roman"/>
        </w:rPr>
        <w:t>2</w:t>
      </w:r>
      <w:r w:rsidRPr="003F017B">
        <w:rPr>
          <w:rFonts w:ascii="Times New Roman" w:hAnsi="Times New Roman" w:cs="Times New Roman"/>
        </w:rPr>
        <w:t xml:space="preserve"> %, t.</w:t>
      </w:r>
      <w:r>
        <w:rPr>
          <w:rFonts w:ascii="Times New Roman" w:hAnsi="Times New Roman" w:cs="Times New Roman"/>
        </w:rPr>
        <w:t xml:space="preserve"> </w:t>
      </w:r>
      <w:r w:rsidRPr="003F017B">
        <w:rPr>
          <w:rFonts w:ascii="Times New Roman" w:hAnsi="Times New Roman" w:cs="Times New Roman"/>
        </w:rPr>
        <w:t>j. o</w:t>
      </w:r>
      <w:r>
        <w:rPr>
          <w:rFonts w:ascii="Times New Roman" w:hAnsi="Times New Roman" w:cs="Times New Roman"/>
        </w:rPr>
        <w:t xml:space="preserve"> 34,6 </w:t>
      </w:r>
      <w:r w:rsidRPr="003F017B">
        <w:rPr>
          <w:rFonts w:ascii="Times New Roman" w:hAnsi="Times New Roman" w:cs="Times New Roman"/>
        </w:rPr>
        <w:t>mil.</w:t>
      </w:r>
      <w:r>
        <w:rPr>
          <w:rFonts w:ascii="Times New Roman" w:hAnsi="Times New Roman" w:cs="Times New Roman"/>
        </w:rPr>
        <w:t> </w:t>
      </w:r>
      <w:r w:rsidRPr="003F017B">
        <w:rPr>
          <w:rFonts w:ascii="Times New Roman" w:hAnsi="Times New Roman" w:cs="Times New Roman"/>
        </w:rPr>
        <w:t>eur, z toho výdavky štátneho rozpočtu sú nižšie o</w:t>
      </w:r>
      <w:r>
        <w:rPr>
          <w:rFonts w:ascii="Times New Roman" w:hAnsi="Times New Roman" w:cs="Times New Roman"/>
        </w:rPr>
        <w:t> 22,1</w:t>
      </w:r>
      <w:r w:rsidRPr="003F017B">
        <w:rPr>
          <w:rFonts w:ascii="Times New Roman" w:hAnsi="Times New Roman" w:cs="Times New Roman"/>
        </w:rPr>
        <w:t xml:space="preserve"> %, t.</w:t>
      </w:r>
      <w:r>
        <w:rPr>
          <w:rFonts w:ascii="Times New Roman" w:hAnsi="Times New Roman" w:cs="Times New Roman"/>
        </w:rPr>
        <w:t xml:space="preserve"> </w:t>
      </w:r>
      <w:r w:rsidRPr="003F017B">
        <w:rPr>
          <w:rFonts w:ascii="Times New Roman" w:hAnsi="Times New Roman" w:cs="Times New Roman"/>
        </w:rPr>
        <w:t>j. o</w:t>
      </w:r>
      <w:r>
        <w:rPr>
          <w:rFonts w:ascii="Times New Roman" w:hAnsi="Times New Roman" w:cs="Times New Roman"/>
        </w:rPr>
        <w:t> 22,8</w:t>
      </w:r>
      <w:r w:rsidRPr="003F017B">
        <w:rPr>
          <w:rFonts w:ascii="Times New Roman" w:hAnsi="Times New Roman" w:cs="Times New Roman"/>
        </w:rPr>
        <w:t xml:space="preserve"> mil. eur. Prostriedky na investície z vlastných zdrojov NDS sú v porovnaní so schváleným rozpočtom roku 2011 vyššie o 199 %, čo predstavuje nárast o 57,3 mil. eur. Pri NDS a SSC sa na rok 2012 rozpočtujú aj výdavky na dostavbu rozostavaných stavieb zazmluvnených pred rokom 2011.</w:t>
      </w:r>
    </w:p>
    <w:p w:rsidR="00F42914" w:rsidRPr="003F017B" w:rsidP="00F42914">
      <w:pPr>
        <w:bidi w:val="0"/>
        <w:spacing w:after="120"/>
        <w:ind w:firstLine="708"/>
        <w:jc w:val="both"/>
        <w:rPr>
          <w:rFonts w:ascii="Times New Roman" w:hAnsi="Times New Roman" w:cs="Times New Roman"/>
        </w:rPr>
      </w:pPr>
    </w:p>
    <w:p w:rsidR="00F42914" w:rsidRPr="00E03853" w:rsidP="00F42914">
      <w:pPr>
        <w:bidi w:val="0"/>
        <w:spacing w:after="120"/>
        <w:jc w:val="both"/>
        <w:rPr>
          <w:rFonts w:ascii="Times New Roman" w:hAnsi="Times New Roman" w:cs="Times New Roman"/>
          <w:i/>
          <w:u w:val="single"/>
        </w:rPr>
      </w:pPr>
      <w:r w:rsidRPr="003F017B">
        <w:rPr>
          <w:rFonts w:ascii="Times New Roman" w:hAnsi="Times New Roman" w:cs="Times New Roman"/>
          <w:i/>
          <w:u w:val="single"/>
        </w:rPr>
        <w:t>Údržba a opravy ciest a diaľnic</w:t>
      </w:r>
    </w:p>
    <w:tbl>
      <w:tblPr>
        <w:tblStyle w:val="TableNormal"/>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75"/>
        <w:gridCol w:w="872"/>
        <w:gridCol w:w="873"/>
        <w:gridCol w:w="873"/>
        <w:gridCol w:w="873"/>
        <w:gridCol w:w="873"/>
        <w:gridCol w:w="873"/>
        <w:gridCol w:w="873"/>
      </w:tblGrid>
      <w:tr>
        <w:tblPrEx>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65"/>
        </w:trPr>
        <w:tc>
          <w:tcPr>
            <w:tcW w:w="297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spacing w:after="120"/>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v eurách</w:t>
            </w:r>
          </w:p>
        </w:tc>
        <w:tc>
          <w:tcPr>
            <w:tcW w:w="87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spacing w:after="12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2009 S</w:t>
            </w:r>
          </w:p>
        </w:tc>
        <w:tc>
          <w:tcPr>
            <w:tcW w:w="87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spacing w:after="12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2010 S</w:t>
            </w:r>
          </w:p>
        </w:tc>
        <w:tc>
          <w:tcPr>
            <w:tcW w:w="87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spacing w:after="12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2011 R</w:t>
            </w:r>
          </w:p>
        </w:tc>
        <w:tc>
          <w:tcPr>
            <w:tcW w:w="87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spacing w:after="12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 xml:space="preserve"> 2011 OS</w:t>
            </w:r>
          </w:p>
        </w:tc>
        <w:tc>
          <w:tcPr>
            <w:tcW w:w="87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spacing w:after="12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2012 N</w:t>
            </w:r>
          </w:p>
        </w:tc>
        <w:tc>
          <w:tcPr>
            <w:tcW w:w="87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spacing w:after="12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2013 N</w:t>
            </w:r>
          </w:p>
        </w:tc>
        <w:tc>
          <w:tcPr>
            <w:tcW w:w="87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spacing w:after="12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2014 N</w:t>
            </w:r>
          </w:p>
        </w:tc>
      </w:tr>
      <w:tr>
        <w:tblPrEx>
          <w:tblW w:w="9085" w:type="dxa"/>
          <w:tblInd w:w="57" w:type="dxa"/>
          <w:tblCellMar>
            <w:left w:w="70" w:type="dxa"/>
            <w:right w:w="70" w:type="dxa"/>
          </w:tblCellMar>
          <w:tblLook w:val="04A0"/>
        </w:tblPrEx>
        <w:trPr>
          <w:trHeight w:val="265"/>
        </w:trPr>
        <w:tc>
          <w:tcPr>
            <w:tcW w:w="2975"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A94288" w:rsidP="00257E12">
            <w:pPr>
              <w:bidi w:val="0"/>
              <w:spacing w:after="120"/>
              <w:rPr>
                <w:rFonts w:ascii="Times New Roman" w:hAnsi="Times New Roman" w:cs="Times New Roman"/>
                <w:color w:val="000000"/>
                <w:sz w:val="14"/>
                <w:szCs w:val="14"/>
              </w:rPr>
            </w:pPr>
            <w:r w:rsidRPr="00A94288">
              <w:rPr>
                <w:rFonts w:ascii="Times New Roman" w:hAnsi="Times New Roman" w:cs="Times New Roman"/>
                <w:color w:val="000000"/>
                <w:sz w:val="14"/>
                <w:szCs w:val="14"/>
              </w:rPr>
              <w:t xml:space="preserve">NDS a SSC opravy a údržba spolu </w:t>
            </w:r>
          </w:p>
        </w:tc>
        <w:tc>
          <w:tcPr>
            <w:tcW w:w="87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107 239 139</w:t>
            </w:r>
          </w:p>
        </w:tc>
        <w:tc>
          <w:tcPr>
            <w:tcW w:w="87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88 007 611</w:t>
            </w:r>
          </w:p>
        </w:tc>
        <w:tc>
          <w:tcPr>
            <w:tcW w:w="87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94 233 896</w:t>
            </w:r>
          </w:p>
        </w:tc>
        <w:tc>
          <w:tcPr>
            <w:tcW w:w="87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94 233 896</w:t>
            </w:r>
          </w:p>
        </w:tc>
        <w:tc>
          <w:tcPr>
            <w:tcW w:w="87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 xml:space="preserve">109 </w:t>
            </w:r>
            <w:r>
              <w:rPr>
                <w:rFonts w:ascii="Times New Roman" w:hAnsi="Times New Roman" w:cs="Times New Roman"/>
                <w:color w:val="000000"/>
                <w:sz w:val="14"/>
                <w:szCs w:val="14"/>
              </w:rPr>
              <w:t>315</w:t>
            </w:r>
            <w:r w:rsidRPr="00A94288">
              <w:rPr>
                <w:rFonts w:ascii="Times New Roman" w:hAnsi="Times New Roman" w:cs="Times New Roman"/>
                <w:color w:val="000000"/>
                <w:sz w:val="14"/>
                <w:szCs w:val="14"/>
              </w:rPr>
              <w:t xml:space="preserve"> </w:t>
            </w:r>
            <w:r>
              <w:rPr>
                <w:rFonts w:ascii="Times New Roman" w:hAnsi="Times New Roman" w:cs="Times New Roman"/>
                <w:color w:val="000000"/>
                <w:sz w:val="14"/>
                <w:szCs w:val="14"/>
              </w:rPr>
              <w:t>942</w:t>
            </w:r>
          </w:p>
        </w:tc>
        <w:tc>
          <w:tcPr>
            <w:tcW w:w="87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112</w:t>
            </w:r>
            <w:r>
              <w:rPr>
                <w:rFonts w:ascii="Times New Roman" w:hAnsi="Times New Roman" w:cs="Times New Roman"/>
                <w:color w:val="000000"/>
                <w:sz w:val="14"/>
                <w:szCs w:val="14"/>
              </w:rPr>
              <w:t> 561 942</w:t>
            </w:r>
          </w:p>
        </w:tc>
        <w:tc>
          <w:tcPr>
            <w:tcW w:w="87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 xml:space="preserve">116 </w:t>
            </w:r>
            <w:r>
              <w:rPr>
                <w:rFonts w:ascii="Times New Roman" w:hAnsi="Times New Roman" w:cs="Times New Roman"/>
                <w:color w:val="000000"/>
                <w:sz w:val="14"/>
                <w:szCs w:val="14"/>
              </w:rPr>
              <w:t>416</w:t>
            </w:r>
            <w:r w:rsidRPr="00A94288">
              <w:rPr>
                <w:rFonts w:ascii="Times New Roman" w:hAnsi="Times New Roman" w:cs="Times New Roman"/>
                <w:color w:val="000000"/>
                <w:sz w:val="14"/>
                <w:szCs w:val="14"/>
              </w:rPr>
              <w:t xml:space="preserve"> </w:t>
            </w:r>
            <w:r>
              <w:rPr>
                <w:rFonts w:ascii="Times New Roman" w:hAnsi="Times New Roman" w:cs="Times New Roman"/>
                <w:color w:val="000000"/>
                <w:sz w:val="14"/>
                <w:szCs w:val="14"/>
              </w:rPr>
              <w:t>942</w:t>
            </w:r>
          </w:p>
        </w:tc>
      </w:tr>
      <w:tr>
        <w:tblPrEx>
          <w:tblW w:w="9085" w:type="dxa"/>
          <w:tblInd w:w="57" w:type="dxa"/>
          <w:tblCellMar>
            <w:left w:w="70" w:type="dxa"/>
            <w:right w:w="70" w:type="dxa"/>
          </w:tblCellMar>
          <w:tblLook w:val="04A0"/>
        </w:tblPrEx>
        <w:trPr>
          <w:trHeight w:val="265"/>
        </w:trPr>
        <w:tc>
          <w:tcPr>
            <w:tcW w:w="2975"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rPr>
                <w:rFonts w:ascii="Times New Roman" w:hAnsi="Times New Roman" w:cs="Times New Roman"/>
                <w:color w:val="000000"/>
                <w:sz w:val="14"/>
                <w:szCs w:val="14"/>
              </w:rPr>
            </w:pPr>
            <w:r w:rsidRPr="00A94288">
              <w:rPr>
                <w:rFonts w:ascii="Times New Roman" w:hAnsi="Times New Roman" w:cs="Times New Roman"/>
                <w:color w:val="000000"/>
                <w:sz w:val="14"/>
                <w:szCs w:val="14"/>
              </w:rPr>
              <w:t>NDS - opravy a údržba zo ŠR</w:t>
            </w:r>
          </w:p>
        </w:tc>
        <w:tc>
          <w:tcPr>
            <w:tcW w:w="87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D2417B" w:rsidP="00257E12">
            <w:pPr>
              <w:bidi w:val="0"/>
              <w:spacing w:after="120"/>
              <w:jc w:val="right"/>
              <w:rPr>
                <w:rFonts w:ascii="Times New Roman" w:hAnsi="Times New Roman" w:cs="Times New Roman"/>
                <w:color w:val="000000"/>
                <w:sz w:val="14"/>
                <w:szCs w:val="14"/>
              </w:rPr>
            </w:pPr>
            <w:r w:rsidRPr="00D2417B">
              <w:rPr>
                <w:rFonts w:ascii="Times New Roman" w:hAnsi="Times New Roman" w:cs="Times New Roman"/>
                <w:color w:val="000000"/>
                <w:sz w:val="14"/>
                <w:szCs w:val="14"/>
              </w:rPr>
              <w:t>29 044 679</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D2417B" w:rsidP="00257E12">
            <w:pPr>
              <w:bidi w:val="0"/>
              <w:spacing w:after="120"/>
              <w:jc w:val="right"/>
              <w:rPr>
                <w:rFonts w:ascii="Times New Roman" w:hAnsi="Times New Roman" w:cs="Times New Roman"/>
                <w:color w:val="000000"/>
                <w:sz w:val="14"/>
                <w:szCs w:val="14"/>
              </w:rPr>
            </w:pPr>
            <w:r w:rsidRPr="00D2417B">
              <w:rPr>
                <w:rFonts w:ascii="Times New Roman" w:hAnsi="Times New Roman" w:cs="Times New Roman"/>
                <w:color w:val="000000"/>
                <w:sz w:val="14"/>
                <w:szCs w:val="14"/>
              </w:rPr>
              <w:t>42 029 003</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D2417B" w:rsidP="00257E12">
            <w:pPr>
              <w:bidi w:val="0"/>
              <w:spacing w:after="120"/>
              <w:jc w:val="right"/>
              <w:rPr>
                <w:rFonts w:ascii="Times New Roman" w:hAnsi="Times New Roman" w:cs="Times New Roman"/>
                <w:color w:val="000000"/>
                <w:sz w:val="14"/>
                <w:szCs w:val="14"/>
              </w:rPr>
            </w:pPr>
            <w:r w:rsidRPr="00D2417B">
              <w:rPr>
                <w:rFonts w:ascii="Times New Roman" w:hAnsi="Times New Roman" w:cs="Times New Roman"/>
                <w:color w:val="000000"/>
                <w:sz w:val="14"/>
                <w:szCs w:val="14"/>
              </w:rPr>
              <w:t>27 745 803</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D2417B" w:rsidP="00257E12">
            <w:pPr>
              <w:bidi w:val="0"/>
              <w:spacing w:after="120"/>
              <w:jc w:val="right"/>
              <w:rPr>
                <w:rFonts w:ascii="Times New Roman" w:hAnsi="Times New Roman" w:cs="Times New Roman"/>
                <w:color w:val="000000"/>
                <w:sz w:val="14"/>
                <w:szCs w:val="14"/>
              </w:rPr>
            </w:pPr>
            <w:r w:rsidRPr="00D2417B">
              <w:rPr>
                <w:rFonts w:ascii="Times New Roman" w:hAnsi="Times New Roman" w:cs="Times New Roman"/>
                <w:color w:val="000000"/>
                <w:sz w:val="14"/>
                <w:szCs w:val="14"/>
              </w:rPr>
              <w:t>27 745 803</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D2417B" w:rsidP="00257E12">
            <w:pPr>
              <w:bidi w:val="0"/>
              <w:spacing w:after="120"/>
              <w:jc w:val="right"/>
              <w:rPr>
                <w:rFonts w:ascii="Times New Roman" w:hAnsi="Times New Roman" w:cs="Times New Roman"/>
                <w:color w:val="000000"/>
                <w:sz w:val="14"/>
                <w:szCs w:val="14"/>
              </w:rPr>
            </w:pPr>
            <w:r w:rsidRPr="00D2417B">
              <w:rPr>
                <w:rFonts w:ascii="Times New Roman" w:hAnsi="Times New Roman" w:cs="Times New Roman"/>
                <w:color w:val="000000"/>
                <w:sz w:val="14"/>
                <w:szCs w:val="14"/>
              </w:rPr>
              <w:t>28 334 000</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D2417B" w:rsidP="00257E12">
            <w:pPr>
              <w:bidi w:val="0"/>
              <w:spacing w:after="120"/>
              <w:jc w:val="right"/>
              <w:rPr>
                <w:rFonts w:ascii="Times New Roman" w:hAnsi="Times New Roman" w:cs="Times New Roman"/>
                <w:color w:val="000000"/>
                <w:sz w:val="14"/>
                <w:szCs w:val="14"/>
              </w:rPr>
            </w:pPr>
            <w:r w:rsidRPr="00D2417B">
              <w:rPr>
                <w:rFonts w:ascii="Times New Roman" w:hAnsi="Times New Roman" w:cs="Times New Roman"/>
                <w:color w:val="000000"/>
                <w:sz w:val="14"/>
                <w:szCs w:val="14"/>
              </w:rPr>
              <w:t>28 500 000</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D2417B" w:rsidP="00257E12">
            <w:pPr>
              <w:bidi w:val="0"/>
              <w:spacing w:after="120"/>
              <w:jc w:val="right"/>
              <w:rPr>
                <w:rFonts w:ascii="Times New Roman" w:hAnsi="Times New Roman" w:cs="Times New Roman"/>
                <w:color w:val="000000"/>
                <w:sz w:val="14"/>
                <w:szCs w:val="14"/>
              </w:rPr>
            </w:pPr>
            <w:r w:rsidRPr="00D2417B">
              <w:rPr>
                <w:rFonts w:ascii="Times New Roman" w:hAnsi="Times New Roman" w:cs="Times New Roman"/>
                <w:color w:val="000000"/>
                <w:sz w:val="14"/>
                <w:szCs w:val="14"/>
              </w:rPr>
              <w:t>29 000 000</w:t>
            </w:r>
          </w:p>
        </w:tc>
      </w:tr>
      <w:tr>
        <w:tblPrEx>
          <w:tblW w:w="9085" w:type="dxa"/>
          <w:tblInd w:w="57" w:type="dxa"/>
          <w:tblCellMar>
            <w:left w:w="70" w:type="dxa"/>
            <w:right w:w="70" w:type="dxa"/>
          </w:tblCellMar>
          <w:tblLook w:val="04A0"/>
        </w:tblPrEx>
        <w:trPr>
          <w:trHeight w:val="265"/>
        </w:trPr>
        <w:tc>
          <w:tcPr>
            <w:tcW w:w="2975"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rPr>
                <w:rFonts w:ascii="Times New Roman" w:hAnsi="Times New Roman" w:cs="Times New Roman"/>
                <w:color w:val="000000"/>
                <w:sz w:val="14"/>
                <w:szCs w:val="14"/>
              </w:rPr>
            </w:pPr>
            <w:r w:rsidRPr="00A94288">
              <w:rPr>
                <w:rFonts w:ascii="Times New Roman" w:hAnsi="Times New Roman" w:cs="Times New Roman"/>
                <w:color w:val="000000"/>
                <w:sz w:val="14"/>
                <w:szCs w:val="14"/>
              </w:rPr>
              <w:t>SSC - opravy a údržba a prev. výd. SSC  zo ŠR</w:t>
            </w:r>
          </w:p>
        </w:tc>
        <w:tc>
          <w:tcPr>
            <w:tcW w:w="87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62 688 748</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40 422 608</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37 462 092</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37 462 092</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41</w:t>
            </w:r>
            <w:r>
              <w:rPr>
                <w:rFonts w:ascii="Times New Roman" w:hAnsi="Times New Roman" w:cs="Times New Roman"/>
                <w:color w:val="000000"/>
                <w:sz w:val="14"/>
                <w:szCs w:val="14"/>
              </w:rPr>
              <w:t> 310 942</w:t>
            </w:r>
          </w:p>
        </w:tc>
        <w:tc>
          <w:tcPr>
            <w:tcW w:w="873" w:type="dxa"/>
            <w:tcBorders>
              <w:top w:val="single" w:sz="4" w:space="0" w:color="auto"/>
              <w:left w:val="single" w:sz="4" w:space="0" w:color="auto"/>
              <w:bottom w:val="single" w:sz="4" w:space="0" w:color="auto"/>
              <w:right w:val="single" w:sz="4" w:space="0" w:color="auto"/>
            </w:tcBorders>
            <w:noWrap/>
            <w:textDirection w:val="lrTb"/>
            <w:vAlign w:val="top"/>
            <w:hideMark/>
          </w:tcPr>
          <w:p w:rsidR="00F42914" w:rsidP="00257E12">
            <w:pPr>
              <w:bidi w:val="0"/>
              <w:jc w:val="right"/>
            </w:pPr>
            <w:r w:rsidRPr="0041345B">
              <w:rPr>
                <w:rFonts w:ascii="Times New Roman" w:hAnsi="Times New Roman" w:cs="Times New Roman"/>
                <w:color w:val="000000"/>
                <w:sz w:val="14"/>
                <w:szCs w:val="14"/>
              </w:rPr>
              <w:t>41 310 942</w:t>
            </w:r>
          </w:p>
        </w:tc>
        <w:tc>
          <w:tcPr>
            <w:tcW w:w="873" w:type="dxa"/>
            <w:tcBorders>
              <w:top w:val="single" w:sz="4" w:space="0" w:color="auto"/>
              <w:left w:val="single" w:sz="4" w:space="0" w:color="auto"/>
              <w:bottom w:val="single" w:sz="4" w:space="0" w:color="auto"/>
              <w:right w:val="single" w:sz="4" w:space="0" w:color="auto"/>
            </w:tcBorders>
            <w:noWrap/>
            <w:textDirection w:val="lrTb"/>
            <w:vAlign w:val="top"/>
            <w:hideMark/>
          </w:tcPr>
          <w:p w:rsidR="00F42914" w:rsidP="00257E12">
            <w:pPr>
              <w:bidi w:val="0"/>
              <w:jc w:val="right"/>
            </w:pPr>
            <w:r w:rsidRPr="0041345B">
              <w:rPr>
                <w:rFonts w:ascii="Times New Roman" w:hAnsi="Times New Roman" w:cs="Times New Roman"/>
                <w:color w:val="000000"/>
                <w:sz w:val="14"/>
                <w:szCs w:val="14"/>
              </w:rPr>
              <w:t>41 310 942</w:t>
            </w:r>
          </w:p>
        </w:tc>
      </w:tr>
      <w:tr>
        <w:tblPrEx>
          <w:tblW w:w="9085" w:type="dxa"/>
          <w:tblInd w:w="57" w:type="dxa"/>
          <w:tblCellMar>
            <w:left w:w="70" w:type="dxa"/>
            <w:right w:w="70" w:type="dxa"/>
          </w:tblCellMar>
          <w:tblLook w:val="04A0"/>
        </w:tblPrEx>
        <w:trPr>
          <w:trHeight w:val="265"/>
        </w:trPr>
        <w:tc>
          <w:tcPr>
            <w:tcW w:w="2975"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rPr>
                <w:rFonts w:ascii="Times New Roman" w:hAnsi="Times New Roman" w:cs="Times New Roman"/>
                <w:color w:val="000000"/>
                <w:sz w:val="14"/>
                <w:szCs w:val="14"/>
              </w:rPr>
            </w:pPr>
            <w:r w:rsidRPr="00A94288">
              <w:rPr>
                <w:rFonts w:ascii="Times New Roman" w:hAnsi="Times New Roman" w:cs="Times New Roman"/>
                <w:color w:val="000000"/>
                <w:sz w:val="14"/>
                <w:szCs w:val="14"/>
              </w:rPr>
              <w:t xml:space="preserve">NDS - opravy a údržba z vlastných zdrojov </w:t>
            </w:r>
          </w:p>
        </w:tc>
        <w:tc>
          <w:tcPr>
            <w:tcW w:w="87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15 505 712</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5 556 000</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29 026 001</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29 026 001</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39 671 000</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42 751 000</w:t>
            </w:r>
          </w:p>
        </w:tc>
        <w:tc>
          <w:tcPr>
            <w:tcW w:w="873"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spacing w:after="12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46 106 000</w:t>
            </w:r>
          </w:p>
        </w:tc>
      </w:tr>
    </w:tbl>
    <w:p w:rsidR="00F42914" w:rsidRPr="00432A91" w:rsidP="00F42914">
      <w:pPr>
        <w:bidi w:val="0"/>
        <w:spacing w:before="120" w:after="120"/>
        <w:ind w:firstLine="709"/>
        <w:jc w:val="both"/>
        <w:rPr>
          <w:rFonts w:ascii="Times New Roman" w:hAnsi="Times New Roman" w:cs="Times New Roman"/>
        </w:rPr>
      </w:pPr>
      <w:r w:rsidRPr="003F017B">
        <w:rPr>
          <w:rFonts w:ascii="Times New Roman" w:hAnsi="Times New Roman" w:cs="Times New Roman"/>
        </w:rPr>
        <w:t>Na údržbu a opravy ciest a diaľnic vrátane vlastných zdrojov NDS sú k dispozícií výdavky vo výške 109 mil. eur, čo v porovnaní so schváleným rozpočtom roku 2011 predstavuje zvýšenie o 1</w:t>
      </w:r>
      <w:r>
        <w:rPr>
          <w:rFonts w:ascii="Times New Roman" w:hAnsi="Times New Roman" w:cs="Times New Roman"/>
        </w:rPr>
        <w:t>6</w:t>
      </w:r>
      <w:r w:rsidRPr="003F017B">
        <w:rPr>
          <w:rFonts w:ascii="Times New Roman" w:hAnsi="Times New Roman" w:cs="Times New Roman"/>
        </w:rPr>
        <w:t>,</w:t>
      </w:r>
      <w:r>
        <w:rPr>
          <w:rFonts w:ascii="Times New Roman" w:hAnsi="Times New Roman" w:cs="Times New Roman"/>
        </w:rPr>
        <w:t>0</w:t>
      </w:r>
      <w:r w:rsidRPr="003F017B">
        <w:rPr>
          <w:rFonts w:ascii="Times New Roman" w:hAnsi="Times New Roman" w:cs="Times New Roman"/>
        </w:rPr>
        <w:t xml:space="preserve"> %, t.</w:t>
      </w:r>
      <w:r>
        <w:rPr>
          <w:rFonts w:ascii="Times New Roman" w:hAnsi="Times New Roman" w:cs="Times New Roman"/>
        </w:rPr>
        <w:t xml:space="preserve"> </w:t>
      </w:r>
      <w:r w:rsidRPr="003F017B">
        <w:rPr>
          <w:rFonts w:ascii="Times New Roman" w:hAnsi="Times New Roman" w:cs="Times New Roman"/>
        </w:rPr>
        <w:t>j. o 1</w:t>
      </w:r>
      <w:r>
        <w:rPr>
          <w:rFonts w:ascii="Times New Roman" w:hAnsi="Times New Roman" w:cs="Times New Roman"/>
        </w:rPr>
        <w:t>5</w:t>
      </w:r>
      <w:r w:rsidRPr="003F017B">
        <w:rPr>
          <w:rFonts w:ascii="Times New Roman" w:hAnsi="Times New Roman" w:cs="Times New Roman"/>
        </w:rPr>
        <w:t>,</w:t>
      </w:r>
      <w:r>
        <w:rPr>
          <w:rFonts w:ascii="Times New Roman" w:hAnsi="Times New Roman" w:cs="Times New Roman"/>
        </w:rPr>
        <w:t>1</w:t>
      </w:r>
      <w:r w:rsidRPr="003F017B">
        <w:rPr>
          <w:rFonts w:ascii="Times New Roman" w:hAnsi="Times New Roman" w:cs="Times New Roman"/>
        </w:rPr>
        <w:t xml:space="preserve"> mil. eur, z toho výdavky štátneho rozpočtu sú vyššie o 6,</w:t>
      </w:r>
      <w:r>
        <w:rPr>
          <w:rFonts w:ascii="Times New Roman" w:hAnsi="Times New Roman" w:cs="Times New Roman"/>
        </w:rPr>
        <w:t>80</w:t>
      </w:r>
      <w:r w:rsidRPr="003F017B">
        <w:rPr>
          <w:rFonts w:ascii="Times New Roman" w:hAnsi="Times New Roman" w:cs="Times New Roman"/>
        </w:rPr>
        <w:t xml:space="preserve"> %, t.</w:t>
      </w:r>
      <w:r>
        <w:rPr>
          <w:rFonts w:ascii="Times New Roman" w:hAnsi="Times New Roman" w:cs="Times New Roman"/>
        </w:rPr>
        <w:t xml:space="preserve"> </w:t>
      </w:r>
      <w:r w:rsidRPr="003F017B">
        <w:rPr>
          <w:rFonts w:ascii="Times New Roman" w:hAnsi="Times New Roman" w:cs="Times New Roman"/>
        </w:rPr>
        <w:t>j. o 4,</w:t>
      </w:r>
      <w:r>
        <w:rPr>
          <w:rFonts w:ascii="Times New Roman" w:hAnsi="Times New Roman" w:cs="Times New Roman"/>
        </w:rPr>
        <w:t>44</w:t>
      </w:r>
      <w:r w:rsidRPr="00432A91">
        <w:rPr>
          <w:rFonts w:ascii="Times New Roman" w:hAnsi="Times New Roman" w:cs="Times New Roman"/>
        </w:rPr>
        <w:t xml:space="preserve"> mil. eur. Uvedené zvýšenie výdavkov poukazuje na skutočnosť, že vláda</w:t>
      </w:r>
      <w:r>
        <w:rPr>
          <w:rFonts w:ascii="Times New Roman" w:hAnsi="Times New Roman" w:cs="Times New Roman"/>
        </w:rPr>
        <w:t> </w:t>
      </w:r>
      <w:r w:rsidRPr="00432A91">
        <w:rPr>
          <w:rFonts w:ascii="Times New Roman" w:hAnsi="Times New Roman" w:cs="Times New Roman"/>
        </w:rPr>
        <w:t xml:space="preserve">SR venuje náležitú pozornosť nielen výstavbe ciest a diaľnic, ale aj zabezpečeniu ich údržby a opráv a vyčleňuje na uvedenú oblasť viac finančných prostriedkov ako doposiaľ.    </w:t>
      </w:r>
    </w:p>
    <w:p w:rsidR="00F42914" w:rsidP="00F42914">
      <w:pPr>
        <w:bidi w:val="0"/>
        <w:jc w:val="both"/>
        <w:rPr>
          <w:rFonts w:ascii="Times New Roman" w:hAnsi="Times New Roman" w:cs="Times New Roman"/>
          <w:i/>
          <w:u w:val="single"/>
        </w:rPr>
      </w:pPr>
    </w:p>
    <w:p w:rsidR="00F42914" w:rsidRPr="00E03853" w:rsidP="00F42914">
      <w:pPr>
        <w:bidi w:val="0"/>
        <w:jc w:val="both"/>
        <w:rPr>
          <w:rFonts w:ascii="Times New Roman" w:hAnsi="Times New Roman" w:cs="Times New Roman"/>
          <w:i/>
          <w:u w:val="single"/>
        </w:rPr>
      </w:pPr>
      <w:r w:rsidRPr="00E03853">
        <w:rPr>
          <w:rFonts w:ascii="Times New Roman" w:hAnsi="Times New Roman" w:cs="Times New Roman"/>
          <w:i/>
          <w:u w:val="single"/>
        </w:rPr>
        <w:t>Zmluva so ŽSR a zmluvy o dopravných službách vo verejnom záujme pre železničnú osobnú dopravu</w:t>
      </w:r>
    </w:p>
    <w:p w:rsidR="00F42914" w:rsidRPr="00432A91" w:rsidP="00F42914">
      <w:pPr>
        <w:bidi w:val="0"/>
        <w:jc w:val="both"/>
        <w:rPr>
          <w:rFonts w:ascii="Times New Roman" w:hAnsi="Times New Roman" w:cs="Times New Roman"/>
        </w:rPr>
      </w:pPr>
    </w:p>
    <w:tbl>
      <w:tblPr>
        <w:tblStyle w:val="TableNormal"/>
        <w:tblW w:w="9085" w:type="dxa"/>
        <w:tblInd w:w="57" w:type="dxa"/>
        <w:tblCellMar>
          <w:left w:w="70" w:type="dxa"/>
          <w:right w:w="70" w:type="dxa"/>
        </w:tblCellMar>
        <w:tblLook w:val="04A0"/>
      </w:tblPr>
      <w:tblGrid>
        <w:gridCol w:w="2269"/>
        <w:gridCol w:w="973"/>
        <w:gridCol w:w="973"/>
        <w:gridCol w:w="974"/>
        <w:gridCol w:w="974"/>
        <w:gridCol w:w="974"/>
        <w:gridCol w:w="974"/>
        <w:gridCol w:w="974"/>
      </w:tblGrid>
      <w:tr>
        <w:tblPrEx>
          <w:tblW w:w="9085" w:type="dxa"/>
          <w:tblInd w:w="57" w:type="dxa"/>
          <w:tblCellMar>
            <w:left w:w="70" w:type="dxa"/>
            <w:right w:w="70" w:type="dxa"/>
          </w:tblCellMar>
          <w:tblLook w:val="04A0"/>
        </w:tblPrEx>
        <w:trPr>
          <w:trHeight w:val="245"/>
        </w:trPr>
        <w:tc>
          <w:tcPr>
            <w:tcW w:w="224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v eurách</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2009 S</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2010 S</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2011 R</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 xml:space="preserve"> 2011 OS</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2012 N</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2013 N</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2014 N</w:t>
            </w:r>
          </w:p>
        </w:tc>
      </w:tr>
      <w:tr>
        <w:tblPrEx>
          <w:tblW w:w="9085" w:type="dxa"/>
          <w:tblInd w:w="57" w:type="dxa"/>
          <w:tblCellMar>
            <w:left w:w="70" w:type="dxa"/>
            <w:right w:w="70" w:type="dxa"/>
          </w:tblCellMar>
          <w:tblLook w:val="04A0"/>
        </w:tblPrEx>
        <w:trPr>
          <w:trHeight w:val="245"/>
        </w:trPr>
        <w:tc>
          <w:tcPr>
            <w:tcW w:w="224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A94288" w:rsidP="00257E12">
            <w:pPr>
              <w:bidi w:val="0"/>
              <w:rPr>
                <w:rFonts w:ascii="Times New Roman" w:hAnsi="Times New Roman" w:cs="Times New Roman"/>
                <w:b/>
                <w:color w:val="000000"/>
                <w:sz w:val="14"/>
                <w:szCs w:val="14"/>
              </w:rPr>
            </w:pPr>
            <w:r w:rsidRPr="00A94288">
              <w:rPr>
                <w:rFonts w:ascii="Times New Roman" w:hAnsi="Times New Roman" w:cs="Times New Roman"/>
                <w:b/>
                <w:color w:val="000000"/>
                <w:sz w:val="14"/>
                <w:szCs w:val="14"/>
              </w:rPr>
              <w:t>Spolu</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315 342 229</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336 918 007</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268 870 743</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404 498 108</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475 000 000</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465 000 000</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455 000 000</w:t>
            </w:r>
          </w:p>
        </w:tc>
      </w:tr>
      <w:tr>
        <w:tblPrEx>
          <w:tblW w:w="9085" w:type="dxa"/>
          <w:tblInd w:w="57" w:type="dxa"/>
          <w:tblCellMar>
            <w:left w:w="70" w:type="dxa"/>
            <w:right w:w="70" w:type="dxa"/>
          </w:tblCellMar>
          <w:tblLook w:val="04A0"/>
        </w:tblPrEx>
        <w:trPr>
          <w:trHeight w:val="245"/>
        </w:trPr>
        <w:tc>
          <w:tcPr>
            <w:tcW w:w="224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ŽSR - zmluva o prevadz. želez. inf.</w:t>
            </w:r>
          </w:p>
        </w:tc>
        <w:tc>
          <w:tcPr>
            <w:tcW w:w="964" w:type="dxa"/>
            <w:tcBorders>
              <w:top w:val="single" w:sz="4" w:space="0" w:color="auto"/>
              <w:left w:val="nil"/>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136 095 067</w:t>
            </w:r>
          </w:p>
        </w:tc>
        <w:tc>
          <w:tcPr>
            <w:tcW w:w="964" w:type="dxa"/>
            <w:tcBorders>
              <w:top w:val="single" w:sz="4" w:space="0" w:color="auto"/>
              <w:left w:val="nil"/>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164 309 899</w:t>
            </w:r>
          </w:p>
        </w:tc>
        <w:tc>
          <w:tcPr>
            <w:tcW w:w="964" w:type="dxa"/>
            <w:tcBorders>
              <w:top w:val="single" w:sz="4" w:space="0" w:color="auto"/>
              <w:left w:val="nil"/>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119 498 108</w:t>
            </w:r>
          </w:p>
        </w:tc>
        <w:tc>
          <w:tcPr>
            <w:tcW w:w="964" w:type="dxa"/>
            <w:tcBorders>
              <w:top w:val="single" w:sz="4" w:space="0" w:color="auto"/>
              <w:left w:val="nil"/>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199 498 108</w:t>
            </w:r>
          </w:p>
        </w:tc>
        <w:tc>
          <w:tcPr>
            <w:tcW w:w="964" w:type="dxa"/>
            <w:tcBorders>
              <w:top w:val="single" w:sz="4" w:space="0" w:color="auto"/>
              <w:left w:val="nil"/>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270 000 000</w:t>
            </w:r>
          </w:p>
        </w:tc>
        <w:tc>
          <w:tcPr>
            <w:tcW w:w="964" w:type="dxa"/>
            <w:tcBorders>
              <w:top w:val="single" w:sz="4" w:space="0" w:color="auto"/>
              <w:left w:val="nil"/>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260 000 000</w:t>
            </w:r>
          </w:p>
        </w:tc>
        <w:tc>
          <w:tcPr>
            <w:tcW w:w="964" w:type="dxa"/>
            <w:tcBorders>
              <w:top w:val="single" w:sz="4" w:space="0" w:color="auto"/>
              <w:left w:val="nil"/>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250 000 000</w:t>
            </w:r>
          </w:p>
        </w:tc>
      </w:tr>
      <w:tr>
        <w:tblPrEx>
          <w:tblW w:w="9085" w:type="dxa"/>
          <w:tblInd w:w="57" w:type="dxa"/>
          <w:tblCellMar>
            <w:left w:w="70" w:type="dxa"/>
            <w:right w:w="70" w:type="dxa"/>
          </w:tblCellMar>
          <w:tblLook w:val="04A0"/>
        </w:tblPrEx>
        <w:trPr>
          <w:trHeight w:val="245"/>
        </w:trPr>
        <w:tc>
          <w:tcPr>
            <w:tcW w:w="224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 xml:space="preserve">Zmluvy o dop. služ. vo ver záujme  </w:t>
            </w:r>
          </w:p>
        </w:tc>
        <w:tc>
          <w:tcPr>
            <w:tcW w:w="964" w:type="dxa"/>
            <w:tcBorders>
              <w:top w:val="single" w:sz="4" w:space="0" w:color="auto"/>
              <w:left w:val="nil"/>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179 247 162</w:t>
            </w:r>
          </w:p>
        </w:tc>
        <w:tc>
          <w:tcPr>
            <w:tcW w:w="964" w:type="dxa"/>
            <w:tcBorders>
              <w:top w:val="single" w:sz="4" w:space="0" w:color="auto"/>
              <w:left w:val="nil"/>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172 608 108</w:t>
            </w:r>
          </w:p>
        </w:tc>
        <w:tc>
          <w:tcPr>
            <w:tcW w:w="964" w:type="dxa"/>
            <w:tcBorders>
              <w:top w:val="single" w:sz="4" w:space="0" w:color="auto"/>
              <w:left w:val="nil"/>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149 372 635</w:t>
            </w:r>
          </w:p>
        </w:tc>
        <w:tc>
          <w:tcPr>
            <w:tcW w:w="964" w:type="dxa"/>
            <w:tcBorders>
              <w:top w:val="single" w:sz="4" w:space="0" w:color="auto"/>
              <w:left w:val="nil"/>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205 000 000</w:t>
            </w:r>
          </w:p>
        </w:tc>
        <w:tc>
          <w:tcPr>
            <w:tcW w:w="964" w:type="dxa"/>
            <w:tcBorders>
              <w:top w:val="single" w:sz="4" w:space="0" w:color="auto"/>
              <w:left w:val="nil"/>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205 000 000</w:t>
            </w:r>
          </w:p>
        </w:tc>
        <w:tc>
          <w:tcPr>
            <w:tcW w:w="964" w:type="dxa"/>
            <w:tcBorders>
              <w:top w:val="single" w:sz="4" w:space="0" w:color="auto"/>
              <w:left w:val="nil"/>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205 000 000</w:t>
            </w:r>
          </w:p>
        </w:tc>
        <w:tc>
          <w:tcPr>
            <w:tcW w:w="964" w:type="dxa"/>
            <w:tcBorders>
              <w:top w:val="single" w:sz="4" w:space="0" w:color="auto"/>
              <w:left w:val="nil"/>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205 000 000</w:t>
            </w:r>
          </w:p>
        </w:tc>
      </w:tr>
      <w:tr>
        <w:tblPrEx>
          <w:tblW w:w="9085" w:type="dxa"/>
          <w:tblInd w:w="57" w:type="dxa"/>
          <w:tblCellMar>
            <w:left w:w="70" w:type="dxa"/>
            <w:right w:w="70" w:type="dxa"/>
          </w:tblCellMar>
          <w:tblLook w:val="04A0"/>
        </w:tblPrEx>
        <w:trPr>
          <w:trHeight w:val="330"/>
        </w:trPr>
        <w:tc>
          <w:tcPr>
            <w:tcW w:w="2248" w:type="dxa"/>
            <w:tcBorders>
              <w:top w:val="nil"/>
              <w:left w:val="nil"/>
              <w:bottom w:val="nil"/>
              <w:right w:val="nil"/>
            </w:tcBorders>
            <w:noWrap/>
            <w:textDirection w:val="lrTb"/>
            <w:vAlign w:val="bottom"/>
            <w:hideMark/>
          </w:tcPr>
          <w:p w:rsidR="00F42914" w:rsidRPr="00432A91" w:rsidP="00257E12">
            <w:pPr>
              <w:bidi w:val="0"/>
              <w:rPr>
                <w:rFonts w:ascii="Times New Roman" w:hAnsi="Times New Roman" w:cs="Times New Roman"/>
                <w:color w:val="000000"/>
              </w:rPr>
            </w:pPr>
          </w:p>
        </w:tc>
        <w:tc>
          <w:tcPr>
            <w:tcW w:w="964" w:type="dxa"/>
            <w:tcBorders>
              <w:top w:val="nil"/>
              <w:left w:val="nil"/>
              <w:bottom w:val="nil"/>
              <w:right w:val="nil"/>
            </w:tcBorders>
            <w:noWrap/>
            <w:textDirection w:val="lrTb"/>
            <w:vAlign w:val="bottom"/>
            <w:hideMark/>
          </w:tcPr>
          <w:p w:rsidR="00F42914" w:rsidRPr="00432A91" w:rsidP="00257E12">
            <w:pPr>
              <w:bidi w:val="0"/>
              <w:rPr>
                <w:rFonts w:ascii="Times New Roman" w:hAnsi="Times New Roman" w:cs="Times New Roman"/>
                <w:color w:val="000000"/>
              </w:rPr>
            </w:pPr>
          </w:p>
        </w:tc>
        <w:tc>
          <w:tcPr>
            <w:tcW w:w="964" w:type="dxa"/>
            <w:tcBorders>
              <w:top w:val="nil"/>
              <w:left w:val="nil"/>
              <w:bottom w:val="nil"/>
              <w:right w:val="nil"/>
            </w:tcBorders>
            <w:noWrap/>
            <w:textDirection w:val="lrTb"/>
            <w:vAlign w:val="bottom"/>
            <w:hideMark/>
          </w:tcPr>
          <w:p w:rsidR="00F42914" w:rsidRPr="00432A91" w:rsidP="00257E12">
            <w:pPr>
              <w:bidi w:val="0"/>
              <w:rPr>
                <w:rFonts w:ascii="Times New Roman" w:hAnsi="Times New Roman" w:cs="Times New Roman"/>
                <w:color w:val="000000"/>
              </w:rPr>
            </w:pPr>
          </w:p>
        </w:tc>
        <w:tc>
          <w:tcPr>
            <w:tcW w:w="964" w:type="dxa"/>
            <w:tcBorders>
              <w:top w:val="nil"/>
              <w:left w:val="nil"/>
              <w:bottom w:val="nil"/>
              <w:right w:val="nil"/>
            </w:tcBorders>
            <w:noWrap/>
            <w:textDirection w:val="lrTb"/>
            <w:vAlign w:val="bottom"/>
            <w:hideMark/>
          </w:tcPr>
          <w:p w:rsidR="00F42914" w:rsidRPr="00432A91" w:rsidP="00257E12">
            <w:pPr>
              <w:bidi w:val="0"/>
              <w:rPr>
                <w:rFonts w:ascii="Times New Roman" w:hAnsi="Times New Roman" w:cs="Times New Roman"/>
                <w:color w:val="000000"/>
              </w:rPr>
            </w:pPr>
          </w:p>
        </w:tc>
        <w:tc>
          <w:tcPr>
            <w:tcW w:w="964" w:type="dxa"/>
            <w:tcBorders>
              <w:top w:val="nil"/>
              <w:left w:val="nil"/>
              <w:bottom w:val="nil"/>
              <w:right w:val="nil"/>
            </w:tcBorders>
            <w:noWrap/>
            <w:textDirection w:val="lrTb"/>
            <w:vAlign w:val="bottom"/>
            <w:hideMark/>
          </w:tcPr>
          <w:p w:rsidR="00F42914" w:rsidRPr="00432A91" w:rsidP="00257E12">
            <w:pPr>
              <w:bidi w:val="0"/>
              <w:rPr>
                <w:rFonts w:ascii="Times New Roman" w:hAnsi="Times New Roman" w:cs="Times New Roman"/>
                <w:color w:val="000000"/>
              </w:rPr>
            </w:pPr>
          </w:p>
        </w:tc>
        <w:tc>
          <w:tcPr>
            <w:tcW w:w="964" w:type="dxa"/>
            <w:tcBorders>
              <w:top w:val="nil"/>
              <w:left w:val="nil"/>
              <w:bottom w:val="nil"/>
              <w:right w:val="nil"/>
            </w:tcBorders>
            <w:noWrap/>
            <w:textDirection w:val="lrTb"/>
            <w:vAlign w:val="bottom"/>
            <w:hideMark/>
          </w:tcPr>
          <w:p w:rsidR="00F42914" w:rsidRPr="00432A91" w:rsidP="00257E12">
            <w:pPr>
              <w:bidi w:val="0"/>
              <w:rPr>
                <w:rFonts w:ascii="Times New Roman" w:hAnsi="Times New Roman" w:cs="Times New Roman"/>
                <w:color w:val="000000"/>
              </w:rPr>
            </w:pPr>
          </w:p>
        </w:tc>
        <w:tc>
          <w:tcPr>
            <w:tcW w:w="964" w:type="dxa"/>
            <w:tcBorders>
              <w:top w:val="nil"/>
              <w:left w:val="nil"/>
              <w:bottom w:val="nil"/>
              <w:right w:val="nil"/>
            </w:tcBorders>
            <w:noWrap/>
            <w:textDirection w:val="lrTb"/>
            <w:vAlign w:val="bottom"/>
            <w:hideMark/>
          </w:tcPr>
          <w:p w:rsidR="00F42914" w:rsidRPr="00432A91" w:rsidP="00257E12">
            <w:pPr>
              <w:bidi w:val="0"/>
              <w:rPr>
                <w:rFonts w:ascii="Times New Roman" w:hAnsi="Times New Roman" w:cs="Times New Roman"/>
                <w:color w:val="000000"/>
              </w:rPr>
            </w:pPr>
          </w:p>
        </w:tc>
        <w:tc>
          <w:tcPr>
            <w:tcW w:w="964" w:type="dxa"/>
            <w:tcBorders>
              <w:top w:val="nil"/>
              <w:left w:val="nil"/>
              <w:bottom w:val="nil"/>
              <w:right w:val="nil"/>
            </w:tcBorders>
            <w:noWrap/>
            <w:textDirection w:val="lrTb"/>
            <w:vAlign w:val="bottom"/>
            <w:hideMark/>
          </w:tcPr>
          <w:p w:rsidR="00F42914" w:rsidRPr="00432A91" w:rsidP="00257E12">
            <w:pPr>
              <w:bidi w:val="0"/>
              <w:rPr>
                <w:rFonts w:ascii="Times New Roman" w:hAnsi="Times New Roman" w:cs="Times New Roman"/>
                <w:color w:val="000000"/>
              </w:rPr>
            </w:pPr>
          </w:p>
        </w:tc>
      </w:tr>
    </w:tbl>
    <w:p w:rsidR="00F42914" w:rsidP="00D01F5D">
      <w:pPr>
        <w:bidi w:val="0"/>
        <w:ind w:firstLine="709"/>
        <w:jc w:val="both"/>
        <w:rPr>
          <w:rFonts w:ascii="Times New Roman" w:hAnsi="Times New Roman" w:cs="Times New Roman"/>
        </w:rPr>
      </w:pPr>
      <w:r w:rsidRPr="00432A91">
        <w:rPr>
          <w:rFonts w:ascii="Times New Roman" w:hAnsi="Times New Roman" w:cs="Times New Roman"/>
        </w:rPr>
        <w:t>Na zabezpečenie zmluvy o prevádzkovaní železničnej infraštruktúry so ŽSR a zmlúv o dopravných službách vo verejnom záujme pre železničnú osobnú dopravu sú rozpočtované výdavky v sume 475 mil. eur, čo v porovnaní so schváleným rozpočtom roku 2011 predstavuje zvýšenie o 76,7 %, t.</w:t>
      </w:r>
      <w:r>
        <w:rPr>
          <w:rFonts w:ascii="Times New Roman" w:hAnsi="Times New Roman" w:cs="Times New Roman"/>
        </w:rPr>
        <w:t xml:space="preserve"> </w:t>
      </w:r>
      <w:r w:rsidRPr="00432A91">
        <w:rPr>
          <w:rFonts w:ascii="Times New Roman" w:hAnsi="Times New Roman" w:cs="Times New Roman"/>
        </w:rPr>
        <w:t>j. o 206 mil. eur. Z uvedenej čiastky sú pre ŽSR na zmluvu o prevádzkovaní železničnej infraštruktúry rozpočtované výdavky v sume 270 mil. eur, čo v porovnaní so schváleným rozpočtom roku 2011 predstavuje nárast o 150 mil. eur</w:t>
      </w:r>
      <w:r>
        <w:rPr>
          <w:rFonts w:ascii="Times New Roman" w:hAnsi="Times New Roman" w:cs="Times New Roman"/>
        </w:rPr>
        <w:t>,</w:t>
      </w:r>
      <w:r w:rsidRPr="00432A91">
        <w:rPr>
          <w:rFonts w:ascii="Times New Roman" w:hAnsi="Times New Roman" w:cs="Times New Roman"/>
        </w:rPr>
        <w:t xml:space="preserve"> a na zmluvy o dopravných službách vo verejnom záujme pre železničnú osobnú dopravu sú rozpočtované výdavky v sume  205 mil. eur, čo v porovnaní so schváleným rozpočtom roku 2011 predstavuje zvýšenie  o 37,2 %, t.</w:t>
      </w:r>
      <w:r>
        <w:rPr>
          <w:rFonts w:ascii="Times New Roman" w:hAnsi="Times New Roman" w:cs="Times New Roman"/>
        </w:rPr>
        <w:t xml:space="preserve"> </w:t>
      </w:r>
      <w:r w:rsidRPr="00432A91">
        <w:rPr>
          <w:rFonts w:ascii="Times New Roman" w:hAnsi="Times New Roman" w:cs="Times New Roman"/>
        </w:rPr>
        <w:t>j. o 55,6 mil. eur. Uvedeným zvýšením výdavkov sa vytvárajú podmienky na stabilizáciu v železničnej doprave s tým, že od roku 2012 si bude štát plniť všetky svoje záväzky voči železničným spoločnostiam</w:t>
      </w:r>
      <w:r>
        <w:rPr>
          <w:rFonts w:ascii="Times New Roman" w:hAnsi="Times New Roman" w:cs="Times New Roman"/>
        </w:rPr>
        <w:t>,</w:t>
      </w:r>
      <w:r w:rsidRPr="00432A91">
        <w:rPr>
          <w:rFonts w:ascii="Times New Roman" w:hAnsi="Times New Roman" w:cs="Times New Roman"/>
        </w:rPr>
        <w:t xml:space="preserve"> a preto sa  neočakávajú straty ŽSR a ZSSK.</w:t>
      </w:r>
    </w:p>
    <w:p w:rsidR="00D01F5D" w:rsidRPr="00432A91" w:rsidP="00D01F5D">
      <w:pPr>
        <w:bidi w:val="0"/>
        <w:ind w:firstLine="708"/>
        <w:jc w:val="both"/>
        <w:rPr>
          <w:rFonts w:ascii="Times New Roman" w:hAnsi="Times New Roman" w:cs="Times New Roman"/>
        </w:rPr>
      </w:pPr>
    </w:p>
    <w:p w:rsidR="00F42914" w:rsidRPr="00E03853" w:rsidP="00D01F5D">
      <w:pPr>
        <w:bidi w:val="0"/>
        <w:jc w:val="both"/>
        <w:rPr>
          <w:rFonts w:ascii="Times New Roman" w:hAnsi="Times New Roman" w:cs="Times New Roman"/>
          <w:i/>
          <w:u w:val="single"/>
        </w:rPr>
      </w:pPr>
      <w:r w:rsidRPr="00E03853">
        <w:rPr>
          <w:rFonts w:ascii="Times New Roman" w:hAnsi="Times New Roman" w:cs="Times New Roman"/>
          <w:i/>
          <w:u w:val="single"/>
        </w:rPr>
        <w:t>Výstavba nadradenej cestnej siete a platba za dostupnosť</w:t>
      </w:r>
    </w:p>
    <w:p w:rsidR="00F42914" w:rsidRPr="00432A91" w:rsidP="00F42914">
      <w:pPr>
        <w:bidi w:val="0"/>
        <w:jc w:val="both"/>
        <w:rPr>
          <w:rFonts w:ascii="Times New Roman" w:hAnsi="Times New Roman" w:cs="Times New Roman"/>
        </w:rPr>
      </w:pPr>
    </w:p>
    <w:tbl>
      <w:tblPr>
        <w:tblStyle w:val="TableNormal"/>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85"/>
        <w:gridCol w:w="942"/>
        <w:gridCol w:w="942"/>
        <w:gridCol w:w="941"/>
        <w:gridCol w:w="941"/>
        <w:gridCol w:w="941"/>
        <w:gridCol w:w="941"/>
        <w:gridCol w:w="941"/>
      </w:tblGrid>
      <w:tr>
        <w:tblPrEx>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244"/>
        </w:trPr>
        <w:tc>
          <w:tcPr>
            <w:tcW w:w="248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 v eurách</w:t>
            </w:r>
          </w:p>
        </w:tc>
        <w:tc>
          <w:tcPr>
            <w:tcW w:w="94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2009 S</w:t>
            </w:r>
          </w:p>
        </w:tc>
        <w:tc>
          <w:tcPr>
            <w:tcW w:w="94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2010 S</w:t>
            </w:r>
          </w:p>
        </w:tc>
        <w:tc>
          <w:tcPr>
            <w:tcW w:w="94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2011 R</w:t>
            </w:r>
          </w:p>
        </w:tc>
        <w:tc>
          <w:tcPr>
            <w:tcW w:w="94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2011 OS</w:t>
            </w:r>
          </w:p>
        </w:tc>
        <w:tc>
          <w:tcPr>
            <w:tcW w:w="94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2012 N</w:t>
            </w:r>
          </w:p>
        </w:tc>
        <w:tc>
          <w:tcPr>
            <w:tcW w:w="94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2013 N</w:t>
            </w:r>
          </w:p>
        </w:tc>
        <w:tc>
          <w:tcPr>
            <w:tcW w:w="94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A94288" w:rsidP="00257E12">
            <w:pPr>
              <w:bidi w:val="0"/>
              <w:jc w:val="center"/>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2014 N</w:t>
            </w:r>
          </w:p>
        </w:tc>
      </w:tr>
      <w:tr>
        <w:tblPrEx>
          <w:tblW w:w="4925" w:type="pct"/>
          <w:tblInd w:w="70" w:type="dxa"/>
          <w:tblLayout w:type="fixed"/>
          <w:tblCellMar>
            <w:left w:w="70" w:type="dxa"/>
            <w:right w:w="70" w:type="dxa"/>
          </w:tblCellMar>
          <w:tblLook w:val="04A0"/>
        </w:tblPrEx>
        <w:trPr>
          <w:trHeight w:val="244"/>
        </w:trPr>
        <w:tc>
          <w:tcPr>
            <w:tcW w:w="2483"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F42914" w:rsidRPr="00A94288" w:rsidP="00257E12">
            <w:pPr>
              <w:bidi w:val="0"/>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Spolu</w:t>
            </w:r>
          </w:p>
        </w:tc>
        <w:tc>
          <w:tcPr>
            <w:tcW w:w="94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42914" w:rsidRPr="00A94288" w:rsidP="00257E12">
            <w:pPr>
              <w:bidi w:val="0"/>
              <w:jc w:val="right"/>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8 940 405</w:t>
            </w:r>
          </w:p>
        </w:tc>
        <w:tc>
          <w:tcPr>
            <w:tcW w:w="94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42914" w:rsidRPr="00A94288" w:rsidP="00257E12">
            <w:pPr>
              <w:bidi w:val="0"/>
              <w:jc w:val="right"/>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53 741 331</w:t>
            </w:r>
          </w:p>
        </w:tc>
        <w:tc>
          <w:tcPr>
            <w:tcW w:w="94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42914" w:rsidRPr="00A94288" w:rsidP="00257E12">
            <w:pPr>
              <w:bidi w:val="0"/>
              <w:jc w:val="right"/>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264 698 616</w:t>
            </w:r>
          </w:p>
        </w:tc>
        <w:tc>
          <w:tcPr>
            <w:tcW w:w="94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42914" w:rsidRPr="00A94288" w:rsidP="00257E12">
            <w:pPr>
              <w:bidi w:val="0"/>
              <w:jc w:val="right"/>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308 315 526</w:t>
            </w:r>
          </w:p>
        </w:tc>
        <w:tc>
          <w:tcPr>
            <w:tcW w:w="94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42914" w:rsidRPr="00A94288" w:rsidP="00257E12">
            <w:pPr>
              <w:bidi w:val="0"/>
              <w:jc w:val="right"/>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140 141 233</w:t>
            </w:r>
          </w:p>
        </w:tc>
        <w:tc>
          <w:tcPr>
            <w:tcW w:w="94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42914" w:rsidRPr="00A94288" w:rsidP="00257E12">
            <w:pPr>
              <w:bidi w:val="0"/>
              <w:jc w:val="right"/>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130 086 634</w:t>
            </w:r>
          </w:p>
        </w:tc>
        <w:tc>
          <w:tcPr>
            <w:tcW w:w="94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42914" w:rsidRPr="00A94288" w:rsidP="00257E12">
            <w:pPr>
              <w:bidi w:val="0"/>
              <w:jc w:val="right"/>
              <w:rPr>
                <w:rFonts w:ascii="Times New Roman" w:hAnsi="Times New Roman" w:cs="Times New Roman"/>
                <w:b/>
                <w:bCs/>
                <w:color w:val="000000"/>
                <w:sz w:val="14"/>
                <w:szCs w:val="14"/>
              </w:rPr>
            </w:pPr>
            <w:r w:rsidRPr="00A94288">
              <w:rPr>
                <w:rFonts w:ascii="Times New Roman" w:hAnsi="Times New Roman" w:cs="Times New Roman"/>
                <w:b/>
                <w:bCs/>
                <w:color w:val="000000"/>
                <w:sz w:val="14"/>
                <w:szCs w:val="14"/>
              </w:rPr>
              <w:t>131 078 119</w:t>
            </w:r>
          </w:p>
        </w:tc>
      </w:tr>
      <w:tr>
        <w:tblPrEx>
          <w:tblW w:w="4925" w:type="pct"/>
          <w:tblInd w:w="70" w:type="dxa"/>
          <w:tblLayout w:type="fixed"/>
          <w:tblCellMar>
            <w:left w:w="70" w:type="dxa"/>
            <w:right w:w="70" w:type="dxa"/>
          </w:tblCellMar>
          <w:tblLook w:val="04A0"/>
        </w:tblPrEx>
        <w:trPr>
          <w:trHeight w:val="244"/>
        </w:trPr>
        <w:tc>
          <w:tcPr>
            <w:tcW w:w="2483"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 xml:space="preserve">Platba za dostupnosť </w:t>
            </w:r>
          </w:p>
        </w:tc>
        <w:tc>
          <w:tcPr>
            <w:tcW w:w="94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94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941"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24 698 616</w:t>
            </w:r>
          </w:p>
        </w:tc>
        <w:tc>
          <w:tcPr>
            <w:tcW w:w="941"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25 329 916</w:t>
            </w:r>
          </w:p>
        </w:tc>
        <w:tc>
          <w:tcPr>
            <w:tcW w:w="941"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100 641 233</w:t>
            </w:r>
          </w:p>
        </w:tc>
        <w:tc>
          <w:tcPr>
            <w:tcW w:w="941"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130 086 634</w:t>
            </w:r>
          </w:p>
        </w:tc>
        <w:tc>
          <w:tcPr>
            <w:tcW w:w="941"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131 078 119</w:t>
            </w:r>
          </w:p>
        </w:tc>
      </w:tr>
      <w:tr>
        <w:tblPrEx>
          <w:tblW w:w="4925" w:type="pct"/>
          <w:tblInd w:w="70" w:type="dxa"/>
          <w:tblLayout w:type="fixed"/>
          <w:tblCellMar>
            <w:left w:w="70" w:type="dxa"/>
            <w:right w:w="70" w:type="dxa"/>
          </w:tblCellMar>
          <w:tblLook w:val="04A0"/>
        </w:tblPrEx>
        <w:trPr>
          <w:trHeight w:val="244"/>
        </w:trPr>
        <w:tc>
          <w:tcPr>
            <w:tcW w:w="2483"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DPH</w:t>
            </w:r>
          </w:p>
        </w:tc>
        <w:tc>
          <w:tcPr>
            <w:tcW w:w="94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94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941"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150 000 000</w:t>
            </w:r>
          </w:p>
        </w:tc>
        <w:tc>
          <w:tcPr>
            <w:tcW w:w="941"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169 300 000</w:t>
            </w:r>
          </w:p>
        </w:tc>
        <w:tc>
          <w:tcPr>
            <w:tcW w:w="941"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38 000 000</w:t>
            </w:r>
          </w:p>
        </w:tc>
        <w:tc>
          <w:tcPr>
            <w:tcW w:w="941"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941"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r>
      <w:tr>
        <w:tblPrEx>
          <w:tblW w:w="4925" w:type="pct"/>
          <w:tblInd w:w="70" w:type="dxa"/>
          <w:tblLayout w:type="fixed"/>
          <w:tblCellMar>
            <w:left w:w="70" w:type="dxa"/>
            <w:right w:w="70" w:type="dxa"/>
          </w:tblCellMar>
          <w:tblLook w:val="04A0"/>
        </w:tblPrEx>
        <w:trPr>
          <w:trHeight w:val="244"/>
        </w:trPr>
        <w:tc>
          <w:tcPr>
            <w:tcW w:w="2483" w:type="dxa"/>
            <w:tcBorders>
              <w:top w:val="single" w:sz="4" w:space="0" w:color="auto"/>
              <w:left w:val="single" w:sz="4" w:space="0" w:color="auto"/>
              <w:bottom w:val="single" w:sz="4" w:space="0" w:color="auto"/>
              <w:right w:val="single" w:sz="4" w:space="0" w:color="auto"/>
            </w:tcBorders>
            <w:textDirection w:val="lrTb"/>
            <w:vAlign w:val="bottom"/>
            <w:hideMark/>
          </w:tcPr>
          <w:p w:rsidR="00F42914" w:rsidRPr="00A94288" w:rsidP="00257E12">
            <w:pPr>
              <w:bidi w:val="0"/>
              <w:rPr>
                <w:rFonts w:ascii="Times New Roman" w:hAnsi="Times New Roman" w:cs="Times New Roman"/>
                <w:color w:val="000000"/>
                <w:sz w:val="14"/>
                <w:szCs w:val="14"/>
              </w:rPr>
            </w:pPr>
            <w:r w:rsidRPr="00A94288">
              <w:rPr>
                <w:rFonts w:ascii="Times New Roman" w:hAnsi="Times New Roman" w:cs="Times New Roman"/>
                <w:color w:val="000000"/>
                <w:sz w:val="14"/>
                <w:szCs w:val="14"/>
              </w:rPr>
              <w:t>Príprava a ukonč. PPP projektov</w:t>
            </w:r>
          </w:p>
        </w:tc>
        <w:tc>
          <w:tcPr>
            <w:tcW w:w="94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8 940 405</w:t>
            </w:r>
          </w:p>
        </w:tc>
        <w:tc>
          <w:tcPr>
            <w:tcW w:w="94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53 741 331</w:t>
            </w:r>
          </w:p>
        </w:tc>
        <w:tc>
          <w:tcPr>
            <w:tcW w:w="941"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90 000 000</w:t>
            </w:r>
          </w:p>
        </w:tc>
        <w:tc>
          <w:tcPr>
            <w:tcW w:w="941"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113 685 610</w:t>
            </w:r>
          </w:p>
        </w:tc>
        <w:tc>
          <w:tcPr>
            <w:tcW w:w="941"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1 500 000</w:t>
            </w:r>
          </w:p>
        </w:tc>
        <w:tc>
          <w:tcPr>
            <w:tcW w:w="941"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c>
          <w:tcPr>
            <w:tcW w:w="941"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A94288" w:rsidP="00257E12">
            <w:pPr>
              <w:bidi w:val="0"/>
              <w:jc w:val="right"/>
              <w:rPr>
                <w:rFonts w:ascii="Times New Roman" w:hAnsi="Times New Roman" w:cs="Times New Roman"/>
                <w:color w:val="000000"/>
                <w:sz w:val="14"/>
                <w:szCs w:val="14"/>
              </w:rPr>
            </w:pPr>
            <w:r w:rsidRPr="00A94288">
              <w:rPr>
                <w:rFonts w:ascii="Times New Roman" w:hAnsi="Times New Roman" w:cs="Times New Roman"/>
                <w:color w:val="000000"/>
                <w:sz w:val="14"/>
                <w:szCs w:val="14"/>
              </w:rPr>
              <w:t>0</w:t>
            </w:r>
          </w:p>
        </w:tc>
      </w:tr>
    </w:tbl>
    <w:p w:rsidR="00F42914" w:rsidRPr="00432A91" w:rsidP="00F42914">
      <w:pPr>
        <w:bidi w:val="0"/>
        <w:jc w:val="both"/>
        <w:rPr>
          <w:rFonts w:ascii="Times New Roman" w:hAnsi="Times New Roman" w:cs="Times New Roman"/>
        </w:rPr>
      </w:pPr>
    </w:p>
    <w:p w:rsidR="00F42914" w:rsidRPr="00432A91" w:rsidP="00F42914">
      <w:pPr>
        <w:bidi w:val="0"/>
        <w:ind w:firstLine="708"/>
        <w:jc w:val="both"/>
        <w:rPr>
          <w:rFonts w:ascii="Times New Roman" w:hAnsi="Times New Roman" w:cs="Times New Roman"/>
        </w:rPr>
      </w:pPr>
      <w:r w:rsidRPr="00432A91">
        <w:rPr>
          <w:rFonts w:ascii="Times New Roman" w:hAnsi="Times New Roman" w:cs="Times New Roman"/>
        </w:rPr>
        <w:t>V roku 2012 sa rozpočtujú výdavky na platbu za dostupnosť pre 2. balík PPP  projektu cesty R1 v sume 101 mil. eur, na úhradu DPH 38,0 mil. eur a na prípravu a ukončenie  PPP projektov 1,50 mil. eur. V porovnaní so schváleným rozpočtom roku 2011 sú výdavky na realizáciu PPP projektov aj napriek zvýšeniu výdavkov na platbu za dostupnosť nižšie o 47,1</w:t>
      </w:r>
      <w:r>
        <w:rPr>
          <w:rFonts w:ascii="Times New Roman" w:hAnsi="Times New Roman" w:cs="Times New Roman"/>
        </w:rPr>
        <w:t> </w:t>
      </w:r>
      <w:r w:rsidRPr="00432A91">
        <w:rPr>
          <w:rFonts w:ascii="Times New Roman" w:hAnsi="Times New Roman" w:cs="Times New Roman"/>
        </w:rPr>
        <w:t>%, t.</w:t>
      </w:r>
      <w:r>
        <w:rPr>
          <w:rFonts w:ascii="Times New Roman" w:hAnsi="Times New Roman" w:cs="Times New Roman"/>
        </w:rPr>
        <w:t xml:space="preserve"> </w:t>
      </w:r>
      <w:r w:rsidRPr="00432A91">
        <w:rPr>
          <w:rFonts w:ascii="Times New Roman" w:hAnsi="Times New Roman" w:cs="Times New Roman"/>
        </w:rPr>
        <w:t>j. o 125 mil. eur, z dôvodu zníženia výdavkov na úhradu DPH a na prípravu PPP projektov. DPH je jednorazová platba splatná pri ukončení stave</w:t>
      </w:r>
      <w:r>
        <w:rPr>
          <w:rFonts w:ascii="Times New Roman" w:hAnsi="Times New Roman" w:cs="Times New Roman"/>
        </w:rPr>
        <w:t>bných prác, ktoré sa predpokladajú ukončiť</w:t>
      </w:r>
      <w:r w:rsidRPr="00432A91">
        <w:rPr>
          <w:rFonts w:ascii="Times New Roman" w:hAnsi="Times New Roman" w:cs="Times New Roman"/>
        </w:rPr>
        <w:t xml:space="preserve"> čiastočne koncom roku 2011 a čiastočne v roku 2012.</w:t>
      </w:r>
    </w:p>
    <w:p w:rsidR="00F42914" w:rsidRPr="00432A91" w:rsidP="00F42914">
      <w:pPr>
        <w:bidi w:val="0"/>
        <w:spacing w:before="120" w:after="120"/>
        <w:ind w:firstLine="709"/>
        <w:jc w:val="both"/>
        <w:rPr>
          <w:rFonts w:ascii="Times New Roman" w:hAnsi="Times New Roman" w:cs="Times New Roman"/>
        </w:rPr>
      </w:pPr>
      <w:r w:rsidRPr="00432A91">
        <w:rPr>
          <w:rFonts w:ascii="Times New Roman" w:hAnsi="Times New Roman" w:cs="Times New Roman"/>
        </w:rPr>
        <w:t xml:space="preserve">V roku 2012 sa dokončí PPP projekt cesty R1 a od roku 2013 bude hradená platba za jej dostupnosť v plnej výške. Celková platba za dostupnosť PPP projektu cesty R1 počas celej doby trvania do roku 2041 bude predstavovať čiastku 3,92 mld. eur. </w:t>
      </w:r>
    </w:p>
    <w:p w:rsidR="00F42914" w:rsidRPr="00432A91" w:rsidP="00F42914">
      <w:pPr>
        <w:bidi w:val="0"/>
        <w:spacing w:before="240" w:after="120"/>
        <w:jc w:val="both"/>
        <w:rPr>
          <w:rFonts w:ascii="Times New Roman" w:hAnsi="Times New Roman" w:cs="Times New Roman"/>
          <w:i/>
        </w:rPr>
      </w:pPr>
      <w:r w:rsidRPr="00432A91">
        <w:rPr>
          <w:rFonts w:ascii="Times New Roman" w:hAnsi="Times New Roman" w:cs="Times New Roman"/>
          <w:i/>
        </w:rPr>
        <w:t xml:space="preserve">Hospodárenie NDS </w:t>
      </w:r>
    </w:p>
    <w:p w:rsidR="00F42914" w:rsidP="00F42914">
      <w:pPr>
        <w:bidi w:val="0"/>
        <w:ind w:firstLine="708"/>
        <w:jc w:val="both"/>
        <w:rPr>
          <w:rFonts w:ascii="Times New Roman" w:hAnsi="Times New Roman" w:cs="Times New Roman"/>
        </w:rPr>
      </w:pPr>
      <w:r w:rsidRPr="00432A91">
        <w:rPr>
          <w:rFonts w:ascii="Times New Roman" w:hAnsi="Times New Roman" w:cs="Times New Roman"/>
        </w:rPr>
        <w:t>Finančný plán NDS je zostavený na predpoklade stabilnej úrovne jej zadlženia. Zadlženosť NDS na konci roku 2014 bude dosahovať rovnakú  úroveň ako na konci roku 2010, t.</w:t>
      </w:r>
      <w:r>
        <w:rPr>
          <w:rFonts w:ascii="Times New Roman" w:hAnsi="Times New Roman" w:cs="Times New Roman"/>
        </w:rPr>
        <w:t xml:space="preserve"> </w:t>
      </w:r>
      <w:r w:rsidRPr="00432A91">
        <w:rPr>
          <w:rFonts w:ascii="Times New Roman" w:hAnsi="Times New Roman" w:cs="Times New Roman"/>
        </w:rPr>
        <w:t>j. 446 mil. eur. Druhým predpokladom je presun časti splátok za výstavbu systému elektronického mýta z  rokov 2012 a 2013 na ďalšie roky.</w:t>
      </w:r>
    </w:p>
    <w:p w:rsidR="00F42914" w:rsidP="00F42914">
      <w:pPr>
        <w:bidi w:val="0"/>
        <w:jc w:val="both"/>
        <w:rPr>
          <w:rFonts w:ascii="Times New Roman" w:hAnsi="Times New Roman" w:cs="Times New Roman"/>
        </w:rPr>
      </w:pPr>
    </w:p>
    <w:p w:rsidR="00D01F5D" w:rsidP="00F42914">
      <w:pPr>
        <w:bidi w:val="0"/>
        <w:jc w:val="both"/>
        <w:rPr>
          <w:rFonts w:ascii="Times New Roman" w:hAnsi="Times New Roman" w:cs="Times New Roman"/>
        </w:rPr>
      </w:pPr>
    </w:p>
    <w:p w:rsidR="00D01F5D" w:rsidP="00F42914">
      <w:pPr>
        <w:bidi w:val="0"/>
        <w:jc w:val="both"/>
        <w:rPr>
          <w:rFonts w:ascii="Times New Roman" w:hAnsi="Times New Roman" w:cs="Times New Roman"/>
        </w:rPr>
      </w:pPr>
    </w:p>
    <w:p w:rsidR="00D01F5D" w:rsidP="00F42914">
      <w:pPr>
        <w:bidi w:val="0"/>
        <w:jc w:val="both"/>
        <w:rPr>
          <w:rFonts w:ascii="Times New Roman" w:hAnsi="Times New Roman" w:cs="Times New Roman"/>
        </w:rPr>
      </w:pPr>
    </w:p>
    <w:p w:rsidR="00D01F5D" w:rsidP="00F42914">
      <w:pPr>
        <w:bidi w:val="0"/>
        <w:jc w:val="both"/>
        <w:rPr>
          <w:rFonts w:ascii="Times New Roman" w:hAnsi="Times New Roman" w:cs="Times New Roman"/>
        </w:rPr>
      </w:pPr>
    </w:p>
    <w:p w:rsidR="00D01F5D" w:rsidP="00F42914">
      <w:pPr>
        <w:bidi w:val="0"/>
        <w:jc w:val="both"/>
        <w:rPr>
          <w:rFonts w:ascii="Times New Roman" w:hAnsi="Times New Roman" w:cs="Times New Roman"/>
        </w:rPr>
      </w:pPr>
    </w:p>
    <w:p w:rsidR="00D01F5D" w:rsidP="00F42914">
      <w:pPr>
        <w:bidi w:val="0"/>
        <w:jc w:val="both"/>
        <w:rPr>
          <w:rFonts w:ascii="Times New Roman" w:hAnsi="Times New Roman" w:cs="Times New Roman"/>
        </w:rPr>
      </w:pPr>
    </w:p>
    <w:p w:rsidR="00D01F5D" w:rsidP="00F42914">
      <w:pPr>
        <w:bidi w:val="0"/>
        <w:jc w:val="both"/>
        <w:rPr>
          <w:rFonts w:ascii="Times New Roman" w:hAnsi="Times New Roman" w:cs="Times New Roman"/>
        </w:rPr>
      </w:pPr>
    </w:p>
    <w:p w:rsidR="00D01F5D" w:rsidP="00F42914">
      <w:pPr>
        <w:bidi w:val="0"/>
        <w:jc w:val="both"/>
        <w:rPr>
          <w:rFonts w:ascii="Times New Roman" w:hAnsi="Times New Roman" w:cs="Times New Roman"/>
        </w:rPr>
      </w:pPr>
    </w:p>
    <w:p w:rsidR="00D01F5D" w:rsidP="00F42914">
      <w:pPr>
        <w:bidi w:val="0"/>
        <w:jc w:val="both"/>
        <w:rPr>
          <w:rFonts w:ascii="Times New Roman" w:hAnsi="Times New Roman" w:cs="Times New Roman"/>
        </w:rPr>
      </w:pPr>
    </w:p>
    <w:p w:rsidR="00D01F5D" w:rsidP="00F42914">
      <w:pPr>
        <w:bidi w:val="0"/>
        <w:jc w:val="both"/>
        <w:rPr>
          <w:rFonts w:ascii="Times New Roman" w:hAnsi="Times New Roman" w:cs="Times New Roman"/>
        </w:rPr>
      </w:pPr>
    </w:p>
    <w:p w:rsidR="00D01F5D" w:rsidP="00F42914">
      <w:pPr>
        <w:bidi w:val="0"/>
        <w:jc w:val="both"/>
        <w:rPr>
          <w:rFonts w:ascii="Times New Roman" w:hAnsi="Times New Roman" w:cs="Times New Roman"/>
        </w:rPr>
      </w:pPr>
    </w:p>
    <w:p w:rsidR="00D01F5D" w:rsidP="00F42914">
      <w:pPr>
        <w:bidi w:val="0"/>
        <w:jc w:val="both"/>
        <w:rPr>
          <w:rFonts w:ascii="Times New Roman" w:hAnsi="Times New Roman" w:cs="Times New Roman"/>
        </w:rPr>
      </w:pPr>
    </w:p>
    <w:p w:rsidR="00D01F5D" w:rsidP="00F42914">
      <w:pPr>
        <w:bidi w:val="0"/>
        <w:jc w:val="both"/>
        <w:rPr>
          <w:rFonts w:ascii="Times New Roman" w:hAnsi="Times New Roman" w:cs="Times New Roman"/>
        </w:rPr>
      </w:pPr>
    </w:p>
    <w:p w:rsidR="00D01F5D" w:rsidP="00F42914">
      <w:pPr>
        <w:bidi w:val="0"/>
        <w:jc w:val="both"/>
        <w:rPr>
          <w:rFonts w:ascii="Times New Roman" w:hAnsi="Times New Roman" w:cs="Times New Roman"/>
        </w:rPr>
      </w:pPr>
    </w:p>
    <w:p w:rsidR="00D01F5D" w:rsidRPr="00432A91" w:rsidP="00F42914">
      <w:pPr>
        <w:bidi w:val="0"/>
        <w:jc w:val="both"/>
        <w:rPr>
          <w:rFonts w:ascii="Times New Roman" w:hAnsi="Times New Roman" w:cs="Times New Roman"/>
        </w:rPr>
      </w:pPr>
    </w:p>
    <w:tbl>
      <w:tblPr>
        <w:tblStyle w:val="TableNorm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900"/>
        <w:gridCol w:w="892"/>
        <w:gridCol w:w="892"/>
        <w:gridCol w:w="892"/>
        <w:gridCol w:w="892"/>
        <w:gridCol w:w="892"/>
        <w:gridCol w:w="892"/>
        <w:gridCol w:w="892"/>
      </w:tblGrid>
      <w:tr>
        <w:tblPrEx>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269"/>
        </w:trPr>
        <w:tc>
          <w:tcPr>
            <w:tcW w:w="290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42914" w:rsidRPr="00EA4611" w:rsidP="00257E12">
            <w:pPr>
              <w:bidi w:val="0"/>
              <w:rPr>
                <w:rFonts w:ascii="Times New Roman" w:hAnsi="Times New Roman" w:cs="Times New Roman"/>
                <w:b/>
                <w:bCs/>
                <w:color w:val="000000"/>
                <w:sz w:val="14"/>
                <w:szCs w:val="14"/>
              </w:rPr>
            </w:pPr>
            <w:r w:rsidRPr="00EA4611">
              <w:rPr>
                <w:rFonts w:ascii="Times New Roman" w:hAnsi="Times New Roman" w:cs="Times New Roman"/>
                <w:b/>
                <w:bCs/>
                <w:color w:val="000000"/>
                <w:sz w:val="14"/>
                <w:szCs w:val="14"/>
              </w:rPr>
              <w:t>NDS vlastné zdroje a ich použitie</w:t>
            </w:r>
            <w:r>
              <w:rPr>
                <w:rFonts w:ascii="Times New Roman" w:hAnsi="Times New Roman" w:cs="Times New Roman"/>
                <w:b/>
                <w:bCs/>
                <w:color w:val="000000"/>
                <w:sz w:val="14"/>
                <w:szCs w:val="14"/>
              </w:rPr>
              <w:t>, v eurách</w:t>
            </w:r>
          </w:p>
        </w:tc>
        <w:tc>
          <w:tcPr>
            <w:tcW w:w="89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42914" w:rsidRPr="00EA4611" w:rsidP="00257E12">
            <w:pPr>
              <w:bidi w:val="0"/>
              <w:jc w:val="center"/>
              <w:rPr>
                <w:rFonts w:ascii="Times New Roman" w:hAnsi="Times New Roman" w:cs="Times New Roman"/>
                <w:b/>
                <w:color w:val="000000"/>
                <w:sz w:val="14"/>
                <w:szCs w:val="14"/>
              </w:rPr>
            </w:pPr>
            <w:r w:rsidRPr="00EA4611">
              <w:rPr>
                <w:rFonts w:ascii="Times New Roman" w:hAnsi="Times New Roman" w:cs="Times New Roman"/>
                <w:b/>
                <w:color w:val="000000"/>
                <w:sz w:val="14"/>
                <w:szCs w:val="14"/>
              </w:rPr>
              <w:t>2009 S</w:t>
            </w:r>
          </w:p>
        </w:tc>
        <w:tc>
          <w:tcPr>
            <w:tcW w:w="89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42914" w:rsidRPr="00EA4611" w:rsidP="00257E12">
            <w:pPr>
              <w:bidi w:val="0"/>
              <w:jc w:val="center"/>
              <w:rPr>
                <w:rFonts w:ascii="Times New Roman" w:hAnsi="Times New Roman" w:cs="Times New Roman"/>
                <w:b/>
                <w:color w:val="000000"/>
                <w:sz w:val="14"/>
                <w:szCs w:val="14"/>
              </w:rPr>
            </w:pPr>
            <w:r w:rsidRPr="00EA4611">
              <w:rPr>
                <w:rFonts w:ascii="Times New Roman" w:hAnsi="Times New Roman" w:cs="Times New Roman"/>
                <w:b/>
                <w:color w:val="000000"/>
                <w:sz w:val="14"/>
                <w:szCs w:val="14"/>
              </w:rPr>
              <w:t>2010 S</w:t>
            </w:r>
          </w:p>
        </w:tc>
        <w:tc>
          <w:tcPr>
            <w:tcW w:w="89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42914" w:rsidRPr="00EA4611" w:rsidP="00257E12">
            <w:pPr>
              <w:bidi w:val="0"/>
              <w:jc w:val="center"/>
              <w:rPr>
                <w:rFonts w:ascii="Times New Roman" w:hAnsi="Times New Roman" w:cs="Times New Roman"/>
                <w:b/>
                <w:color w:val="000000"/>
                <w:sz w:val="14"/>
                <w:szCs w:val="14"/>
              </w:rPr>
            </w:pPr>
            <w:r w:rsidRPr="00EA4611">
              <w:rPr>
                <w:rFonts w:ascii="Times New Roman" w:hAnsi="Times New Roman" w:cs="Times New Roman"/>
                <w:b/>
                <w:color w:val="000000"/>
                <w:sz w:val="14"/>
                <w:szCs w:val="14"/>
              </w:rPr>
              <w:t>2011 R</w:t>
            </w:r>
          </w:p>
        </w:tc>
        <w:tc>
          <w:tcPr>
            <w:tcW w:w="89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42914" w:rsidRPr="00EA4611" w:rsidP="00257E12">
            <w:pPr>
              <w:bidi w:val="0"/>
              <w:jc w:val="center"/>
              <w:rPr>
                <w:rFonts w:ascii="Times New Roman" w:hAnsi="Times New Roman" w:cs="Times New Roman"/>
                <w:b/>
                <w:sz w:val="14"/>
                <w:szCs w:val="14"/>
              </w:rPr>
            </w:pPr>
            <w:r w:rsidRPr="00EA4611">
              <w:rPr>
                <w:rFonts w:ascii="Times New Roman" w:hAnsi="Times New Roman" w:cs="Times New Roman"/>
                <w:b/>
                <w:sz w:val="14"/>
                <w:szCs w:val="14"/>
              </w:rPr>
              <w:t>2011 OS</w:t>
            </w:r>
          </w:p>
        </w:tc>
        <w:tc>
          <w:tcPr>
            <w:tcW w:w="89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42914" w:rsidRPr="00EA4611" w:rsidP="00257E12">
            <w:pPr>
              <w:bidi w:val="0"/>
              <w:jc w:val="center"/>
              <w:rPr>
                <w:rFonts w:ascii="Times New Roman" w:hAnsi="Times New Roman" w:cs="Times New Roman"/>
                <w:b/>
                <w:sz w:val="14"/>
                <w:szCs w:val="14"/>
              </w:rPr>
            </w:pPr>
            <w:r w:rsidRPr="00EA4611">
              <w:rPr>
                <w:rFonts w:ascii="Times New Roman" w:hAnsi="Times New Roman" w:cs="Times New Roman"/>
                <w:b/>
                <w:sz w:val="14"/>
                <w:szCs w:val="14"/>
              </w:rPr>
              <w:t>2012 N</w:t>
            </w:r>
          </w:p>
        </w:tc>
        <w:tc>
          <w:tcPr>
            <w:tcW w:w="89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42914" w:rsidRPr="00EA4611" w:rsidP="00257E12">
            <w:pPr>
              <w:bidi w:val="0"/>
              <w:jc w:val="center"/>
              <w:rPr>
                <w:rFonts w:ascii="Times New Roman" w:hAnsi="Times New Roman" w:cs="Times New Roman"/>
                <w:b/>
                <w:sz w:val="14"/>
                <w:szCs w:val="14"/>
              </w:rPr>
            </w:pPr>
            <w:r w:rsidRPr="00EA4611">
              <w:rPr>
                <w:rFonts w:ascii="Times New Roman" w:hAnsi="Times New Roman" w:cs="Times New Roman"/>
                <w:b/>
                <w:sz w:val="14"/>
                <w:szCs w:val="14"/>
              </w:rPr>
              <w:t>2013 N</w:t>
            </w:r>
          </w:p>
        </w:tc>
        <w:tc>
          <w:tcPr>
            <w:tcW w:w="89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42914" w:rsidRPr="00EA4611" w:rsidP="00257E12">
            <w:pPr>
              <w:bidi w:val="0"/>
              <w:jc w:val="center"/>
              <w:rPr>
                <w:rFonts w:ascii="Times New Roman" w:hAnsi="Times New Roman" w:cs="Times New Roman"/>
                <w:b/>
                <w:sz w:val="14"/>
                <w:szCs w:val="14"/>
              </w:rPr>
            </w:pPr>
            <w:r w:rsidRPr="00EA4611">
              <w:rPr>
                <w:rFonts w:ascii="Times New Roman" w:hAnsi="Times New Roman" w:cs="Times New Roman"/>
                <w:b/>
                <w:sz w:val="14"/>
                <w:szCs w:val="14"/>
              </w:rPr>
              <w:t>2014 N</w:t>
            </w:r>
          </w:p>
        </w:tc>
      </w:tr>
      <w:tr>
        <w:tblPrEx>
          <w:tblW w:w="4963" w:type="pct"/>
          <w:tblLayout w:type="fixed"/>
          <w:tblCellMar>
            <w:left w:w="70" w:type="dxa"/>
            <w:right w:w="70" w:type="dxa"/>
          </w:tblCellMar>
          <w:tblLook w:val="04A0"/>
        </w:tblPrEx>
        <w:trPr>
          <w:trHeight w:val="269"/>
        </w:trPr>
        <w:tc>
          <w:tcPr>
            <w:tcW w:w="290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BC5817" w:rsidP="00257E12">
            <w:pPr>
              <w:bidi w:val="0"/>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Celkové vlastné zdroje - bez transferu zo ŠR</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BC5817" w:rsidP="00257E12">
            <w:pPr>
              <w:bidi w:val="0"/>
              <w:jc w:val="right"/>
              <w:rPr>
                <w:rFonts w:ascii="Times New Roman" w:hAnsi="Times New Roman" w:cs="Times New Roman"/>
                <w:b/>
                <w:bCs/>
                <w:sz w:val="14"/>
                <w:szCs w:val="14"/>
              </w:rPr>
            </w:pPr>
            <w:r w:rsidRPr="00BC5817">
              <w:rPr>
                <w:rFonts w:ascii="Times New Roman" w:hAnsi="Times New Roman" w:cs="Times New Roman"/>
                <w:b/>
                <w:bCs/>
                <w:sz w:val="14"/>
                <w:szCs w:val="14"/>
              </w:rPr>
              <w:t>161 417 229</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BC5817" w:rsidP="00257E12">
            <w:pPr>
              <w:bidi w:val="0"/>
              <w:jc w:val="right"/>
              <w:rPr>
                <w:rFonts w:ascii="Times New Roman" w:hAnsi="Times New Roman" w:cs="Times New Roman"/>
                <w:b/>
                <w:bCs/>
                <w:sz w:val="14"/>
                <w:szCs w:val="14"/>
              </w:rPr>
            </w:pPr>
            <w:r w:rsidRPr="00BC5817">
              <w:rPr>
                <w:rFonts w:ascii="Times New Roman" w:hAnsi="Times New Roman" w:cs="Times New Roman"/>
                <w:b/>
                <w:bCs/>
                <w:sz w:val="14"/>
                <w:szCs w:val="14"/>
              </w:rPr>
              <w:t>192 322 000</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BC5817" w:rsidP="00257E12">
            <w:pPr>
              <w:bidi w:val="0"/>
              <w:jc w:val="right"/>
              <w:rPr>
                <w:rFonts w:ascii="Times New Roman" w:hAnsi="Times New Roman" w:cs="Times New Roman"/>
                <w:b/>
                <w:bCs/>
                <w:sz w:val="14"/>
                <w:szCs w:val="14"/>
              </w:rPr>
            </w:pPr>
            <w:r w:rsidRPr="00BC5817">
              <w:rPr>
                <w:rFonts w:ascii="Times New Roman" w:hAnsi="Times New Roman" w:cs="Times New Roman"/>
                <w:b/>
                <w:bCs/>
                <w:sz w:val="14"/>
                <w:szCs w:val="14"/>
              </w:rPr>
              <w:t>242 692 701</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BC5817" w:rsidP="00257E12">
            <w:pPr>
              <w:bidi w:val="0"/>
              <w:jc w:val="right"/>
              <w:rPr>
                <w:rFonts w:ascii="Times New Roman" w:hAnsi="Times New Roman" w:cs="Times New Roman"/>
                <w:b/>
                <w:bCs/>
                <w:sz w:val="14"/>
                <w:szCs w:val="14"/>
              </w:rPr>
            </w:pPr>
            <w:r w:rsidRPr="00BC5817">
              <w:rPr>
                <w:rFonts w:ascii="Times New Roman" w:hAnsi="Times New Roman" w:cs="Times New Roman"/>
                <w:b/>
                <w:bCs/>
                <w:sz w:val="14"/>
                <w:szCs w:val="14"/>
              </w:rPr>
              <w:t>242 692 701</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BC5817" w:rsidP="00257E12">
            <w:pPr>
              <w:bidi w:val="0"/>
              <w:jc w:val="right"/>
              <w:rPr>
                <w:rFonts w:ascii="Times New Roman" w:hAnsi="Times New Roman" w:cs="Times New Roman"/>
                <w:b/>
                <w:bCs/>
                <w:sz w:val="14"/>
                <w:szCs w:val="14"/>
              </w:rPr>
            </w:pPr>
            <w:r w:rsidRPr="00BC5817">
              <w:rPr>
                <w:rFonts w:ascii="Times New Roman" w:hAnsi="Times New Roman" w:cs="Times New Roman"/>
                <w:b/>
                <w:bCs/>
                <w:sz w:val="14"/>
                <w:szCs w:val="14"/>
              </w:rPr>
              <w:t>313 288 000</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BC5817" w:rsidP="00257E12">
            <w:pPr>
              <w:bidi w:val="0"/>
              <w:jc w:val="right"/>
              <w:rPr>
                <w:rFonts w:ascii="Times New Roman" w:hAnsi="Times New Roman" w:cs="Times New Roman"/>
                <w:b/>
                <w:bCs/>
                <w:sz w:val="14"/>
                <w:szCs w:val="14"/>
              </w:rPr>
            </w:pPr>
            <w:r w:rsidRPr="00BC5817">
              <w:rPr>
                <w:rFonts w:ascii="Times New Roman" w:hAnsi="Times New Roman" w:cs="Times New Roman"/>
                <w:b/>
                <w:bCs/>
                <w:sz w:val="14"/>
                <w:szCs w:val="14"/>
              </w:rPr>
              <w:t>293 217 857</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BC5817" w:rsidP="00257E12">
            <w:pPr>
              <w:bidi w:val="0"/>
              <w:jc w:val="right"/>
              <w:rPr>
                <w:rFonts w:ascii="Times New Roman" w:hAnsi="Times New Roman" w:cs="Times New Roman"/>
                <w:b/>
                <w:bCs/>
                <w:sz w:val="14"/>
                <w:szCs w:val="14"/>
              </w:rPr>
            </w:pPr>
            <w:r w:rsidRPr="00BC5817">
              <w:rPr>
                <w:rFonts w:ascii="Times New Roman" w:hAnsi="Times New Roman" w:cs="Times New Roman"/>
                <w:b/>
                <w:bCs/>
                <w:sz w:val="14"/>
                <w:szCs w:val="14"/>
              </w:rPr>
              <w:t>305 937 538</w:t>
            </w:r>
          </w:p>
        </w:tc>
      </w:tr>
      <w:tr>
        <w:tblPrEx>
          <w:tblW w:w="4963" w:type="pct"/>
          <w:tblLayout w:type="fixed"/>
          <w:tblCellMar>
            <w:left w:w="70" w:type="dxa"/>
            <w:right w:w="70" w:type="dxa"/>
          </w:tblCellMar>
          <w:tblLook w:val="04A0"/>
        </w:tblPrEx>
        <w:trPr>
          <w:trHeight w:val="269"/>
        </w:trPr>
        <w:tc>
          <w:tcPr>
            <w:tcW w:w="2900"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z toho: diaľničné nálepky</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86 743 849</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33 865 000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46 925 000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46 925 000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49 271 000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51 734 000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54 321 000</w:t>
            </w:r>
          </w:p>
        </w:tc>
      </w:tr>
      <w:tr>
        <w:tblPrEx>
          <w:tblW w:w="4963" w:type="pct"/>
          <w:tblLayout w:type="fixed"/>
          <w:tblCellMar>
            <w:left w:w="70" w:type="dxa"/>
            <w:right w:w="70" w:type="dxa"/>
          </w:tblCellMar>
          <w:tblLook w:val="04A0"/>
        </w:tblPrEx>
        <w:trPr>
          <w:trHeight w:val="269"/>
        </w:trPr>
        <w:tc>
          <w:tcPr>
            <w:tcW w:w="2900"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 xml:space="preserve">             mýto</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140 946 000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152 546 000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152 546 000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182 800 000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186 456 000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190 185 120</w:t>
            </w:r>
          </w:p>
        </w:tc>
      </w:tr>
      <w:tr>
        <w:tblPrEx>
          <w:tblW w:w="4963" w:type="pct"/>
          <w:tblLayout w:type="fixed"/>
          <w:tblCellMar>
            <w:left w:w="70" w:type="dxa"/>
            <w:right w:w="70" w:type="dxa"/>
          </w:tblCellMar>
          <w:tblLook w:val="04A0"/>
        </w:tblPrEx>
        <w:trPr>
          <w:trHeight w:val="269"/>
        </w:trPr>
        <w:tc>
          <w:tcPr>
            <w:tcW w:w="2900"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 xml:space="preserve">             investičné úvery</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62 623 380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0</w:t>
            </w:r>
          </w:p>
        </w:tc>
      </w:tr>
      <w:tr>
        <w:tblPrEx>
          <w:tblW w:w="4963" w:type="pct"/>
          <w:tblLayout w:type="fixed"/>
          <w:tblCellMar>
            <w:left w:w="70" w:type="dxa"/>
            <w:right w:w="70" w:type="dxa"/>
          </w:tblCellMar>
          <w:tblLook w:val="04A0"/>
        </w:tblPrEx>
        <w:trPr>
          <w:trHeight w:val="269"/>
        </w:trPr>
        <w:tc>
          <w:tcPr>
            <w:tcW w:w="2900"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 xml:space="preserve">             iné vlastné zdroje </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12 050 000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17 511 000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31 929 701</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31 929 701</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6 717 000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6 885 000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6 672 000</w:t>
            </w:r>
          </w:p>
        </w:tc>
      </w:tr>
      <w:tr>
        <w:tblPrEx>
          <w:tblW w:w="4963" w:type="pct"/>
          <w:tblLayout w:type="fixed"/>
          <w:tblCellMar>
            <w:left w:w="70" w:type="dxa"/>
            <w:right w:w="70" w:type="dxa"/>
          </w:tblCellMar>
          <w:tblLook w:val="04A0"/>
        </w:tblPrEx>
        <w:trPr>
          <w:trHeight w:val="269"/>
        </w:trPr>
        <w:tc>
          <w:tcPr>
            <w:tcW w:w="2900"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 xml:space="preserve">             financovanie cez nové úvery</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11 292 000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11 292 000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74 500 000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48 142 857</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54 759 418</w:t>
            </w:r>
          </w:p>
        </w:tc>
      </w:tr>
      <w:tr>
        <w:tblPrEx>
          <w:tblW w:w="4963" w:type="pct"/>
          <w:tblLayout w:type="fixed"/>
          <w:tblCellMar>
            <w:left w:w="70" w:type="dxa"/>
            <w:right w:w="70" w:type="dxa"/>
          </w:tblCellMar>
          <w:tblLook w:val="04A0"/>
        </w:tblPrEx>
        <w:trPr>
          <w:trHeight w:val="269"/>
        </w:trPr>
        <w:tc>
          <w:tcPr>
            <w:tcW w:w="290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BC5817" w:rsidP="00257E12">
            <w:pPr>
              <w:bidi w:val="0"/>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Celkové použ</w:t>
            </w:r>
            <w:r w:rsidR="00450760">
              <w:rPr>
                <w:rFonts w:ascii="Times New Roman" w:hAnsi="Times New Roman" w:cs="Times New Roman"/>
                <w:b/>
                <w:bCs/>
                <w:color w:val="000000"/>
                <w:sz w:val="14"/>
                <w:szCs w:val="14"/>
              </w:rPr>
              <w:t>.</w:t>
            </w:r>
            <w:r w:rsidRPr="00BC5817">
              <w:rPr>
                <w:rFonts w:ascii="Times New Roman" w:hAnsi="Times New Roman" w:cs="Times New Roman"/>
                <w:b/>
                <w:bCs/>
                <w:color w:val="000000"/>
                <w:sz w:val="14"/>
                <w:szCs w:val="14"/>
              </w:rPr>
              <w:t xml:space="preserve"> zdrojov - bez transferu zo ŠR</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BC5817" w:rsidP="00257E12">
            <w:pPr>
              <w:bidi w:val="0"/>
              <w:jc w:val="right"/>
              <w:rPr>
                <w:rFonts w:ascii="Times New Roman" w:hAnsi="Times New Roman" w:cs="Times New Roman"/>
                <w:b/>
                <w:bCs/>
                <w:sz w:val="14"/>
                <w:szCs w:val="14"/>
              </w:rPr>
            </w:pPr>
            <w:r w:rsidRPr="00BC5817">
              <w:rPr>
                <w:rFonts w:ascii="Times New Roman" w:hAnsi="Times New Roman" w:cs="Times New Roman"/>
                <w:b/>
                <w:bCs/>
                <w:sz w:val="14"/>
                <w:szCs w:val="14"/>
              </w:rPr>
              <w:t>161 417 418</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BC5817" w:rsidP="00257E12">
            <w:pPr>
              <w:bidi w:val="0"/>
              <w:jc w:val="right"/>
              <w:rPr>
                <w:rFonts w:ascii="Times New Roman" w:hAnsi="Times New Roman" w:cs="Times New Roman"/>
                <w:b/>
                <w:bCs/>
                <w:sz w:val="14"/>
                <w:szCs w:val="14"/>
              </w:rPr>
            </w:pPr>
            <w:r w:rsidRPr="00BC5817">
              <w:rPr>
                <w:rFonts w:ascii="Times New Roman" w:hAnsi="Times New Roman" w:cs="Times New Roman"/>
                <w:b/>
                <w:bCs/>
                <w:sz w:val="14"/>
                <w:szCs w:val="14"/>
              </w:rPr>
              <w:t>192 322 189</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BC5817" w:rsidP="00257E12">
            <w:pPr>
              <w:bidi w:val="0"/>
              <w:jc w:val="right"/>
              <w:rPr>
                <w:rFonts w:ascii="Times New Roman" w:hAnsi="Times New Roman" w:cs="Times New Roman"/>
                <w:b/>
                <w:bCs/>
                <w:sz w:val="14"/>
                <w:szCs w:val="14"/>
              </w:rPr>
            </w:pPr>
            <w:r w:rsidRPr="00BC5817">
              <w:rPr>
                <w:rFonts w:ascii="Times New Roman" w:hAnsi="Times New Roman" w:cs="Times New Roman"/>
                <w:b/>
                <w:bCs/>
                <w:sz w:val="14"/>
                <w:szCs w:val="14"/>
              </w:rPr>
              <w:t>242 692 701</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BC5817" w:rsidP="00257E12">
            <w:pPr>
              <w:bidi w:val="0"/>
              <w:jc w:val="right"/>
              <w:rPr>
                <w:rFonts w:ascii="Times New Roman" w:hAnsi="Times New Roman" w:cs="Times New Roman"/>
                <w:b/>
                <w:bCs/>
                <w:sz w:val="14"/>
                <w:szCs w:val="14"/>
              </w:rPr>
            </w:pPr>
            <w:r w:rsidRPr="00BC5817">
              <w:rPr>
                <w:rFonts w:ascii="Times New Roman" w:hAnsi="Times New Roman" w:cs="Times New Roman"/>
                <w:b/>
                <w:bCs/>
                <w:sz w:val="14"/>
                <w:szCs w:val="14"/>
              </w:rPr>
              <w:t>242 692 701</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BC5817" w:rsidP="00257E12">
            <w:pPr>
              <w:bidi w:val="0"/>
              <w:jc w:val="right"/>
              <w:rPr>
                <w:rFonts w:ascii="Times New Roman" w:hAnsi="Times New Roman" w:cs="Times New Roman"/>
                <w:b/>
                <w:bCs/>
                <w:sz w:val="14"/>
                <w:szCs w:val="14"/>
              </w:rPr>
            </w:pPr>
            <w:r w:rsidRPr="00BC5817">
              <w:rPr>
                <w:rFonts w:ascii="Times New Roman" w:hAnsi="Times New Roman" w:cs="Times New Roman"/>
                <w:b/>
                <w:bCs/>
                <w:sz w:val="14"/>
                <w:szCs w:val="14"/>
              </w:rPr>
              <w:t>313 288 000</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BC5817" w:rsidP="00257E12">
            <w:pPr>
              <w:bidi w:val="0"/>
              <w:jc w:val="right"/>
              <w:rPr>
                <w:rFonts w:ascii="Times New Roman" w:hAnsi="Times New Roman" w:cs="Times New Roman"/>
                <w:b/>
                <w:bCs/>
                <w:sz w:val="14"/>
                <w:szCs w:val="14"/>
              </w:rPr>
            </w:pPr>
            <w:r w:rsidRPr="00BC5817">
              <w:rPr>
                <w:rFonts w:ascii="Times New Roman" w:hAnsi="Times New Roman" w:cs="Times New Roman"/>
                <w:b/>
                <w:bCs/>
                <w:sz w:val="14"/>
                <w:szCs w:val="14"/>
              </w:rPr>
              <w:t>293 217 858</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BC5817" w:rsidP="00257E12">
            <w:pPr>
              <w:bidi w:val="0"/>
              <w:jc w:val="right"/>
              <w:rPr>
                <w:rFonts w:ascii="Times New Roman" w:hAnsi="Times New Roman" w:cs="Times New Roman"/>
                <w:b/>
                <w:bCs/>
                <w:sz w:val="14"/>
                <w:szCs w:val="14"/>
              </w:rPr>
            </w:pPr>
            <w:r w:rsidRPr="00BC5817">
              <w:rPr>
                <w:rFonts w:ascii="Times New Roman" w:hAnsi="Times New Roman" w:cs="Times New Roman"/>
                <w:b/>
                <w:bCs/>
                <w:sz w:val="14"/>
                <w:szCs w:val="14"/>
              </w:rPr>
              <w:t>305 937 537</w:t>
            </w:r>
          </w:p>
        </w:tc>
      </w:tr>
      <w:tr>
        <w:tblPrEx>
          <w:tblW w:w="4963" w:type="pct"/>
          <w:tblLayout w:type="fixed"/>
          <w:tblCellMar>
            <w:left w:w="70" w:type="dxa"/>
            <w:right w:w="70" w:type="dxa"/>
          </w:tblCellMar>
          <w:tblLook w:val="04A0"/>
        </w:tblPrEx>
        <w:trPr>
          <w:trHeight w:val="269"/>
        </w:trPr>
        <w:tc>
          <w:tcPr>
            <w:tcW w:w="2900"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 xml:space="preserve">z toho: investície do príp. a výstavby  D a RC </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69 071 517</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8 540 000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28 790 763</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28 790 763</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86 114 211</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55 161 687</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60 664 337</w:t>
            </w:r>
          </w:p>
        </w:tc>
      </w:tr>
      <w:tr>
        <w:tblPrEx>
          <w:tblW w:w="4963" w:type="pct"/>
          <w:tblLayout w:type="fixed"/>
          <w:tblCellMar>
            <w:left w:w="70" w:type="dxa"/>
            <w:right w:w="70" w:type="dxa"/>
          </w:tblCellMar>
          <w:tblLook w:val="04A0"/>
        </w:tblPrEx>
        <w:trPr>
          <w:trHeight w:val="269"/>
        </w:trPr>
        <w:tc>
          <w:tcPr>
            <w:tcW w:w="2900"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 xml:space="preserve">             opravy a údržba D a RC </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15 505 712</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5 556 000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29 026 001</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29 026 001</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39 671 000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42 751 000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46 106 000</w:t>
            </w:r>
          </w:p>
        </w:tc>
      </w:tr>
      <w:tr>
        <w:tblPrEx>
          <w:tblW w:w="4963" w:type="pct"/>
          <w:tblLayout w:type="fixed"/>
          <w:tblCellMar>
            <w:left w:w="70" w:type="dxa"/>
            <w:right w:w="70" w:type="dxa"/>
          </w:tblCellMar>
          <w:tblLook w:val="04A0"/>
        </w:tblPrEx>
        <w:trPr>
          <w:trHeight w:val="269"/>
        </w:trPr>
        <w:tc>
          <w:tcPr>
            <w:tcW w:w="2900"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 xml:space="preserve">             náklady na ETC (mýto)</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106 877 000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105 504 916</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105 504 916</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89 433 451</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94 661 883</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90 466 233</w:t>
            </w:r>
          </w:p>
        </w:tc>
      </w:tr>
      <w:tr>
        <w:tblPrEx>
          <w:tblW w:w="4963" w:type="pct"/>
          <w:tblLayout w:type="fixed"/>
          <w:tblCellMar>
            <w:left w:w="70" w:type="dxa"/>
            <w:right w:w="70" w:type="dxa"/>
          </w:tblCellMar>
          <w:tblLook w:val="04A0"/>
        </w:tblPrEx>
        <w:trPr>
          <w:trHeight w:val="269"/>
        </w:trPr>
        <w:tc>
          <w:tcPr>
            <w:tcW w:w="2900"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450760">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 xml:space="preserve">             </w:t>
            </w:r>
            <w:r w:rsidR="00450760">
              <w:rPr>
                <w:rFonts w:ascii="Times New Roman" w:hAnsi="Times New Roman" w:cs="Times New Roman"/>
                <w:color w:val="000000"/>
                <w:sz w:val="14"/>
                <w:szCs w:val="14"/>
              </w:rPr>
              <w:t>d</w:t>
            </w:r>
            <w:r w:rsidRPr="00BC5817">
              <w:rPr>
                <w:rFonts w:ascii="Times New Roman" w:hAnsi="Times New Roman" w:cs="Times New Roman"/>
                <w:color w:val="000000"/>
                <w:sz w:val="14"/>
                <w:szCs w:val="14"/>
              </w:rPr>
              <w:t>iaľ</w:t>
            </w:r>
            <w:r w:rsidR="00450760">
              <w:rPr>
                <w:rFonts w:ascii="Times New Roman" w:hAnsi="Times New Roman" w:cs="Times New Roman"/>
                <w:color w:val="000000"/>
                <w:sz w:val="14"/>
                <w:szCs w:val="14"/>
              </w:rPr>
              <w:t>.</w:t>
            </w:r>
            <w:r w:rsidRPr="00BC5817">
              <w:rPr>
                <w:rFonts w:ascii="Times New Roman" w:hAnsi="Times New Roman" w:cs="Times New Roman"/>
                <w:color w:val="000000"/>
                <w:sz w:val="14"/>
                <w:szCs w:val="14"/>
              </w:rPr>
              <w:t xml:space="preserve"> nál</w:t>
            </w:r>
            <w:r w:rsidR="00450760">
              <w:rPr>
                <w:rFonts w:ascii="Times New Roman" w:hAnsi="Times New Roman" w:cs="Times New Roman"/>
                <w:color w:val="000000"/>
                <w:sz w:val="14"/>
                <w:szCs w:val="14"/>
              </w:rPr>
              <w:t>.</w:t>
            </w:r>
            <w:r w:rsidRPr="00BC5817">
              <w:rPr>
                <w:rFonts w:ascii="Times New Roman" w:hAnsi="Times New Roman" w:cs="Times New Roman"/>
                <w:color w:val="000000"/>
                <w:sz w:val="14"/>
                <w:szCs w:val="14"/>
              </w:rPr>
              <w:t xml:space="preserve"> – prov</w:t>
            </w:r>
            <w:r w:rsidR="00450760">
              <w:rPr>
                <w:rFonts w:ascii="Times New Roman" w:hAnsi="Times New Roman" w:cs="Times New Roman"/>
                <w:color w:val="000000"/>
                <w:sz w:val="14"/>
                <w:szCs w:val="14"/>
              </w:rPr>
              <w:t>.</w:t>
            </w:r>
            <w:r w:rsidRPr="00BC5817">
              <w:rPr>
                <w:rFonts w:ascii="Times New Roman" w:hAnsi="Times New Roman" w:cs="Times New Roman"/>
                <w:color w:val="000000"/>
                <w:sz w:val="14"/>
                <w:szCs w:val="14"/>
              </w:rPr>
              <w:t xml:space="preserve"> z predaj</w:t>
            </w:r>
            <w:r w:rsidR="00450760">
              <w:rPr>
                <w:rFonts w:ascii="Times New Roman" w:hAnsi="Times New Roman" w:cs="Times New Roman"/>
                <w:color w:val="000000"/>
                <w:sz w:val="14"/>
                <w:szCs w:val="14"/>
              </w:rPr>
              <w:t>a</w:t>
            </w:r>
            <w:r w:rsidRPr="00BC5817">
              <w:rPr>
                <w:rFonts w:ascii="Times New Roman" w:hAnsi="Times New Roman" w:cs="Times New Roman"/>
                <w:color w:val="000000"/>
                <w:sz w:val="14"/>
                <w:szCs w:val="14"/>
              </w:rPr>
              <w:t>, nákl</w:t>
            </w:r>
            <w:r w:rsidR="00450760">
              <w:rPr>
                <w:rFonts w:ascii="Times New Roman" w:hAnsi="Times New Roman" w:cs="Times New Roman"/>
                <w:color w:val="000000"/>
                <w:sz w:val="14"/>
                <w:szCs w:val="14"/>
              </w:rPr>
              <w:t>.</w:t>
            </w:r>
            <w:r w:rsidRPr="00BC5817">
              <w:rPr>
                <w:rFonts w:ascii="Times New Roman" w:hAnsi="Times New Roman" w:cs="Times New Roman"/>
                <w:color w:val="000000"/>
                <w:sz w:val="14"/>
                <w:szCs w:val="14"/>
              </w:rPr>
              <w:t xml:space="preserve"> na výr.</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4 461 327</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2 031 889</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3 060 166</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3 060 166</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3 213 174</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3 373 833</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3 542 524</w:t>
            </w:r>
          </w:p>
        </w:tc>
      </w:tr>
      <w:tr>
        <w:tblPrEx>
          <w:tblW w:w="4963" w:type="pct"/>
          <w:tblLayout w:type="fixed"/>
          <w:tblCellMar>
            <w:left w:w="70" w:type="dxa"/>
            <w:right w:w="70" w:type="dxa"/>
          </w:tblCellMar>
          <w:tblLook w:val="04A0"/>
        </w:tblPrEx>
        <w:trPr>
          <w:trHeight w:val="269"/>
        </w:trPr>
        <w:tc>
          <w:tcPr>
            <w:tcW w:w="2900"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 xml:space="preserve">             ostatné režijné náklady </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18 324 673</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21 008 111</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26 000 000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26 000 000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26 000 000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26 000 000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26 000 000</w:t>
            </w:r>
          </w:p>
        </w:tc>
      </w:tr>
      <w:tr>
        <w:tblPrEx>
          <w:tblW w:w="4963" w:type="pct"/>
          <w:tblLayout w:type="fixed"/>
          <w:tblCellMar>
            <w:left w:w="70" w:type="dxa"/>
            <w:right w:w="70" w:type="dxa"/>
          </w:tblCellMar>
          <w:tblLook w:val="04A0"/>
        </w:tblPrEx>
        <w:trPr>
          <w:trHeight w:val="269"/>
        </w:trPr>
        <w:tc>
          <w:tcPr>
            <w:tcW w:w="2900"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 xml:space="preserve">             úroky</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16 877 000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11 132 000</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13 133 666</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13 133 666</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20 386 975</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23 449 409</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24 460 846</w:t>
            </w:r>
          </w:p>
        </w:tc>
      </w:tr>
      <w:tr>
        <w:tblPrEx>
          <w:tblW w:w="4963" w:type="pct"/>
          <w:tblLayout w:type="fixed"/>
          <w:tblCellMar>
            <w:left w:w="70" w:type="dxa"/>
            <w:right w:w="70" w:type="dxa"/>
          </w:tblCellMar>
          <w:tblLook w:val="04A0"/>
        </w:tblPrEx>
        <w:trPr>
          <w:trHeight w:val="269"/>
        </w:trPr>
        <w:tc>
          <w:tcPr>
            <w:tcW w:w="2900"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 xml:space="preserve">             splátka istiny úve</w:t>
            </w:r>
            <w:r>
              <w:rPr>
                <w:rFonts w:ascii="Times New Roman" w:hAnsi="Times New Roman" w:cs="Times New Roman"/>
                <w:color w:val="000000"/>
                <w:sz w:val="14"/>
                <w:szCs w:val="14"/>
              </w:rPr>
              <w:t>rov</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37 177 189</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37 177 189</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37 177 189</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37 177 189</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48 469 189</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47 820 046</w:t>
            </w:r>
          </w:p>
        </w:tc>
        <w:tc>
          <w:tcPr>
            <w:tcW w:w="892"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sz w:val="14"/>
                <w:szCs w:val="14"/>
              </w:rPr>
            </w:pPr>
            <w:r w:rsidRPr="00BC5817">
              <w:rPr>
                <w:rFonts w:ascii="Times New Roman" w:hAnsi="Times New Roman" w:cs="Times New Roman"/>
                <w:sz w:val="14"/>
                <w:szCs w:val="14"/>
              </w:rPr>
              <w:t>54 697 597</w:t>
            </w:r>
          </w:p>
        </w:tc>
      </w:tr>
      <w:tr>
        <w:tblPrEx>
          <w:tblW w:w="4963" w:type="pct"/>
          <w:tblLayout w:type="fixed"/>
          <w:tblCellMar>
            <w:left w:w="70" w:type="dxa"/>
            <w:right w:w="70" w:type="dxa"/>
          </w:tblCellMar>
          <w:tblLook w:val="04A0"/>
        </w:tblPrEx>
        <w:trPr>
          <w:trHeight w:val="269"/>
        </w:trPr>
        <w:tc>
          <w:tcPr>
            <w:tcW w:w="290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1D16BA" w:rsidP="00257E12">
            <w:pPr>
              <w:bidi w:val="0"/>
              <w:rPr>
                <w:rFonts w:ascii="Times New Roman" w:hAnsi="Times New Roman" w:cs="Times New Roman"/>
                <w:b/>
                <w:bCs/>
                <w:color w:val="000000"/>
                <w:sz w:val="14"/>
                <w:szCs w:val="14"/>
              </w:rPr>
            </w:pPr>
            <w:r w:rsidRPr="001D16BA">
              <w:rPr>
                <w:rFonts w:ascii="Times New Roman" w:hAnsi="Times New Roman" w:cs="Times New Roman"/>
                <w:b/>
                <w:bCs/>
                <w:color w:val="000000"/>
                <w:sz w:val="14"/>
                <w:szCs w:val="14"/>
              </w:rPr>
              <w:t xml:space="preserve">Celkový objem cudzích  zdrojov NDS </w:t>
            </w:r>
          </w:p>
        </w:tc>
        <w:tc>
          <w:tcPr>
            <w:tcW w:w="89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1D16BA" w:rsidP="00257E12">
            <w:pPr>
              <w:bidi w:val="0"/>
              <w:jc w:val="right"/>
              <w:rPr>
                <w:rFonts w:ascii="Times New Roman" w:hAnsi="Times New Roman" w:cs="Times New Roman"/>
                <w:b/>
                <w:sz w:val="14"/>
                <w:szCs w:val="14"/>
              </w:rPr>
            </w:pPr>
            <w:r w:rsidRPr="001D16BA">
              <w:rPr>
                <w:rFonts w:ascii="Times New Roman" w:hAnsi="Times New Roman" w:cs="Times New Roman"/>
                <w:b/>
                <w:sz w:val="14"/>
                <w:szCs w:val="14"/>
              </w:rPr>
              <w:t>483 303 459</w:t>
            </w:r>
          </w:p>
        </w:tc>
        <w:tc>
          <w:tcPr>
            <w:tcW w:w="89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1D16BA" w:rsidP="00257E12">
            <w:pPr>
              <w:bidi w:val="0"/>
              <w:jc w:val="right"/>
              <w:rPr>
                <w:rFonts w:ascii="Times New Roman" w:hAnsi="Times New Roman" w:cs="Times New Roman"/>
                <w:b/>
                <w:bCs/>
                <w:sz w:val="14"/>
                <w:szCs w:val="14"/>
              </w:rPr>
            </w:pPr>
            <w:r w:rsidRPr="001D16BA">
              <w:rPr>
                <w:rFonts w:ascii="Times New Roman" w:hAnsi="Times New Roman" w:cs="Times New Roman"/>
                <w:b/>
                <w:bCs/>
                <w:sz w:val="14"/>
                <w:szCs w:val="14"/>
              </w:rPr>
              <w:t>446 126 270</w:t>
            </w:r>
          </w:p>
        </w:tc>
        <w:tc>
          <w:tcPr>
            <w:tcW w:w="89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1D16BA" w:rsidP="00257E12">
            <w:pPr>
              <w:bidi w:val="0"/>
              <w:jc w:val="right"/>
              <w:rPr>
                <w:rFonts w:ascii="Times New Roman" w:hAnsi="Times New Roman" w:cs="Times New Roman"/>
                <w:b/>
                <w:bCs/>
                <w:sz w:val="14"/>
                <w:szCs w:val="14"/>
              </w:rPr>
            </w:pPr>
            <w:r w:rsidRPr="001D16BA">
              <w:rPr>
                <w:rFonts w:ascii="Times New Roman" w:hAnsi="Times New Roman" w:cs="Times New Roman"/>
                <w:b/>
                <w:bCs/>
                <w:sz w:val="14"/>
                <w:szCs w:val="14"/>
              </w:rPr>
              <w:t>420 241 081</w:t>
            </w:r>
          </w:p>
        </w:tc>
        <w:tc>
          <w:tcPr>
            <w:tcW w:w="89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1D16BA" w:rsidP="00257E12">
            <w:pPr>
              <w:bidi w:val="0"/>
              <w:jc w:val="right"/>
              <w:rPr>
                <w:rFonts w:ascii="Times New Roman" w:hAnsi="Times New Roman" w:cs="Times New Roman"/>
                <w:b/>
                <w:bCs/>
                <w:sz w:val="14"/>
                <w:szCs w:val="14"/>
              </w:rPr>
            </w:pPr>
            <w:r w:rsidRPr="001D16BA">
              <w:rPr>
                <w:rFonts w:ascii="Times New Roman" w:hAnsi="Times New Roman" w:cs="Times New Roman"/>
                <w:b/>
                <w:bCs/>
                <w:sz w:val="14"/>
                <w:szCs w:val="14"/>
              </w:rPr>
              <w:t>420 241 081</w:t>
            </w:r>
          </w:p>
        </w:tc>
        <w:tc>
          <w:tcPr>
            <w:tcW w:w="89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1D16BA" w:rsidP="00257E12">
            <w:pPr>
              <w:bidi w:val="0"/>
              <w:jc w:val="right"/>
              <w:rPr>
                <w:rFonts w:ascii="Times New Roman" w:hAnsi="Times New Roman" w:cs="Times New Roman"/>
                <w:b/>
                <w:bCs/>
                <w:sz w:val="14"/>
                <w:szCs w:val="14"/>
              </w:rPr>
            </w:pPr>
            <w:r w:rsidRPr="001D16BA">
              <w:rPr>
                <w:rFonts w:ascii="Times New Roman" w:hAnsi="Times New Roman" w:cs="Times New Roman"/>
                <w:b/>
                <w:bCs/>
                <w:sz w:val="14"/>
                <w:szCs w:val="14"/>
              </w:rPr>
              <w:t>446 271 892</w:t>
            </w:r>
          </w:p>
        </w:tc>
        <w:tc>
          <w:tcPr>
            <w:tcW w:w="89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1D16BA" w:rsidP="00257E12">
            <w:pPr>
              <w:bidi w:val="0"/>
              <w:jc w:val="right"/>
              <w:rPr>
                <w:rFonts w:ascii="Times New Roman" w:hAnsi="Times New Roman" w:cs="Times New Roman"/>
                <w:b/>
                <w:bCs/>
                <w:sz w:val="14"/>
                <w:szCs w:val="14"/>
              </w:rPr>
            </w:pPr>
            <w:r w:rsidRPr="001D16BA">
              <w:rPr>
                <w:rFonts w:ascii="Times New Roman" w:hAnsi="Times New Roman" w:cs="Times New Roman"/>
                <w:b/>
                <w:bCs/>
                <w:sz w:val="14"/>
                <w:szCs w:val="14"/>
              </w:rPr>
              <w:t>446 594 703</w:t>
            </w:r>
          </w:p>
        </w:tc>
        <w:tc>
          <w:tcPr>
            <w:tcW w:w="89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1D16BA" w:rsidP="00257E12">
            <w:pPr>
              <w:bidi w:val="0"/>
              <w:jc w:val="right"/>
              <w:rPr>
                <w:rFonts w:ascii="Times New Roman" w:hAnsi="Times New Roman" w:cs="Times New Roman"/>
                <w:b/>
                <w:bCs/>
                <w:sz w:val="14"/>
                <w:szCs w:val="14"/>
              </w:rPr>
            </w:pPr>
            <w:r w:rsidRPr="001D16BA">
              <w:rPr>
                <w:rFonts w:ascii="Times New Roman" w:hAnsi="Times New Roman" w:cs="Times New Roman"/>
                <w:b/>
                <w:bCs/>
                <w:sz w:val="14"/>
                <w:szCs w:val="14"/>
              </w:rPr>
              <w:t>446 656 524</w:t>
            </w:r>
          </w:p>
        </w:tc>
      </w:tr>
    </w:tbl>
    <w:p w:rsidR="00F42914" w:rsidP="00F42914">
      <w:pPr>
        <w:bidi w:val="0"/>
        <w:ind w:firstLine="708"/>
        <w:jc w:val="both"/>
        <w:rPr>
          <w:rFonts w:ascii="Times New Roman" w:hAnsi="Times New Roman" w:cs="Times New Roman"/>
        </w:rPr>
      </w:pPr>
    </w:p>
    <w:p w:rsidR="00F42914" w:rsidRPr="00432A91" w:rsidP="00F42914">
      <w:pPr>
        <w:bidi w:val="0"/>
        <w:ind w:firstLine="708"/>
        <w:jc w:val="both"/>
        <w:rPr>
          <w:rFonts w:ascii="Times New Roman" w:hAnsi="Times New Roman" w:cs="Times New Roman"/>
        </w:rPr>
      </w:pPr>
      <w:r w:rsidRPr="00432A91">
        <w:rPr>
          <w:rFonts w:ascii="Times New Roman" w:hAnsi="Times New Roman" w:cs="Times New Roman"/>
        </w:rPr>
        <w:t>Vlastné zdroje NDS sa v roku 2012 predpokladajú dosiahnuť v sume 313 mil. eur, čo v porovnaní so schváleným rozpočtom roku 2011 predstavuje nárast o 29,1 %, t.</w:t>
      </w:r>
      <w:r>
        <w:rPr>
          <w:rFonts w:ascii="Times New Roman" w:hAnsi="Times New Roman" w:cs="Times New Roman"/>
        </w:rPr>
        <w:t xml:space="preserve"> </w:t>
      </w:r>
      <w:r w:rsidRPr="00432A91">
        <w:rPr>
          <w:rFonts w:ascii="Times New Roman" w:hAnsi="Times New Roman" w:cs="Times New Roman"/>
        </w:rPr>
        <w:t>j. o 70,6</w:t>
      </w:r>
      <w:r>
        <w:rPr>
          <w:rFonts w:ascii="Times New Roman" w:hAnsi="Times New Roman" w:cs="Times New Roman"/>
        </w:rPr>
        <w:t> </w:t>
      </w:r>
      <w:r w:rsidRPr="00432A91">
        <w:rPr>
          <w:rFonts w:ascii="Times New Roman" w:hAnsi="Times New Roman" w:cs="Times New Roman"/>
        </w:rPr>
        <w:t>mil.</w:t>
      </w:r>
      <w:r>
        <w:rPr>
          <w:rFonts w:ascii="Times New Roman" w:hAnsi="Times New Roman" w:cs="Times New Roman"/>
        </w:rPr>
        <w:t> </w:t>
      </w:r>
      <w:r w:rsidRPr="00432A91">
        <w:rPr>
          <w:rFonts w:ascii="Times New Roman" w:hAnsi="Times New Roman" w:cs="Times New Roman"/>
        </w:rPr>
        <w:t>eur. Tieto príjmy sú z diaľničných nálepiek, mýta, investičných úverov, nájmov a výnosov za služby.</w:t>
      </w:r>
    </w:p>
    <w:p w:rsidR="00F42914" w:rsidRPr="00432A91" w:rsidP="00F42914">
      <w:pPr>
        <w:bidi w:val="0"/>
        <w:jc w:val="both"/>
        <w:rPr>
          <w:rFonts w:ascii="Times New Roman" w:hAnsi="Times New Roman" w:cs="Times New Roman"/>
        </w:rPr>
      </w:pPr>
    </w:p>
    <w:p w:rsidR="00F42914" w:rsidRPr="00432A91" w:rsidP="00F42914">
      <w:pPr>
        <w:bidi w:val="0"/>
        <w:ind w:firstLine="708"/>
        <w:jc w:val="both"/>
        <w:rPr>
          <w:rFonts w:ascii="Times New Roman" w:hAnsi="Times New Roman" w:cs="Times New Roman"/>
        </w:rPr>
      </w:pPr>
      <w:r w:rsidRPr="00432A91">
        <w:rPr>
          <w:rFonts w:ascii="Times New Roman" w:hAnsi="Times New Roman" w:cs="Times New Roman"/>
        </w:rPr>
        <w:t>Uvedené zdroje sa použijú na investície do prípravy a výstavby diaľnic a rýchlostných ciest, na ich údržbu a opravy, na úhradu nákladov za mýto, náklady súvisiace s výrobou a predajom diaľničných nálepiek, na splátky investičného úveru a na ostatné režijné náklady.</w:t>
      </w:r>
    </w:p>
    <w:p w:rsidR="00F42914" w:rsidRPr="00432A91" w:rsidP="00F42914">
      <w:pPr>
        <w:bidi w:val="0"/>
        <w:jc w:val="both"/>
        <w:rPr>
          <w:rFonts w:ascii="Times New Roman" w:hAnsi="Times New Roman" w:cs="Times New Roman"/>
          <w:b/>
        </w:rPr>
      </w:pPr>
    </w:p>
    <w:p w:rsidR="00F42914" w:rsidRPr="00432A91" w:rsidP="00F42914">
      <w:pPr>
        <w:bidi w:val="0"/>
        <w:jc w:val="both"/>
        <w:rPr>
          <w:rFonts w:ascii="Times New Roman" w:hAnsi="Times New Roman" w:cs="Times New Roman"/>
          <w:i/>
          <w:iCs/>
        </w:rPr>
      </w:pPr>
      <w:r w:rsidRPr="00432A91">
        <w:rPr>
          <w:rFonts w:ascii="Times New Roman" w:hAnsi="Times New Roman" w:cs="Times New Roman"/>
          <w:i/>
          <w:iCs/>
        </w:rPr>
        <w:t>Mýto</w:t>
      </w:r>
    </w:p>
    <w:p w:rsidR="00F42914" w:rsidRPr="00432A91" w:rsidP="00F42914">
      <w:pPr>
        <w:bidi w:val="0"/>
        <w:jc w:val="both"/>
        <w:rPr>
          <w:rFonts w:ascii="Times New Roman" w:hAnsi="Times New Roman" w:cs="Times New Roman"/>
          <w:iCs/>
        </w:rPr>
      </w:pPr>
    </w:p>
    <w:p w:rsidR="00F42914" w:rsidRPr="00432A91" w:rsidP="00F42914">
      <w:pPr>
        <w:bidi w:val="0"/>
        <w:ind w:firstLine="708"/>
        <w:jc w:val="both"/>
        <w:rPr>
          <w:rFonts w:ascii="Times New Roman" w:hAnsi="Times New Roman" w:cs="Times New Roman"/>
        </w:rPr>
      </w:pPr>
      <w:r w:rsidRPr="00432A91">
        <w:rPr>
          <w:rFonts w:ascii="Times New Roman" w:hAnsi="Times New Roman" w:cs="Times New Roman"/>
        </w:rPr>
        <w:t xml:space="preserve">Systém elektronického mýta mal priniesť viac zdrojov na výstavbu a údržbu diaľnic a rýchlostných ciest. Jeho skutočným výsledkom je však dodatočné bremeno pre verejné financie, ktoré len výrazne znižuje zdroje na budovanie infraštruktúry. Z pohľadu verejných financií je existencia systému elektronického mýta jednoznačným negatívom. </w:t>
      </w:r>
    </w:p>
    <w:p w:rsidR="00F42914" w:rsidRPr="00432A91" w:rsidP="00F42914">
      <w:pPr>
        <w:bidi w:val="0"/>
        <w:jc w:val="both"/>
        <w:rPr>
          <w:rFonts w:ascii="Times New Roman" w:hAnsi="Times New Roman" w:cs="Times New Roman"/>
        </w:rPr>
      </w:pPr>
    </w:p>
    <w:tbl>
      <w:tblPr>
        <w:tblStyle w:val="TableNormal"/>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825"/>
        <w:gridCol w:w="1041"/>
        <w:gridCol w:w="1042"/>
        <w:gridCol w:w="1042"/>
        <w:gridCol w:w="1042"/>
        <w:gridCol w:w="1042"/>
        <w:gridCol w:w="1040"/>
      </w:tblGrid>
      <w:tr>
        <w:tblPrEx>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62"/>
        </w:trPr>
        <w:tc>
          <w:tcPr>
            <w:tcW w:w="155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42914" w:rsidRPr="00BC5817" w:rsidP="00257E12">
            <w:pPr>
              <w:bidi w:val="0"/>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Efektívnosť mýta v eurách</w:t>
            </w:r>
          </w:p>
        </w:tc>
        <w:tc>
          <w:tcPr>
            <w:tcW w:w="57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2010 S</w:t>
            </w:r>
          </w:p>
        </w:tc>
        <w:tc>
          <w:tcPr>
            <w:tcW w:w="57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2011 R</w:t>
            </w:r>
          </w:p>
        </w:tc>
        <w:tc>
          <w:tcPr>
            <w:tcW w:w="57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2011 OS</w:t>
            </w:r>
          </w:p>
        </w:tc>
        <w:tc>
          <w:tcPr>
            <w:tcW w:w="57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2012 N</w:t>
            </w:r>
          </w:p>
        </w:tc>
        <w:tc>
          <w:tcPr>
            <w:tcW w:w="57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2013 N</w:t>
            </w:r>
          </w:p>
        </w:tc>
        <w:tc>
          <w:tcPr>
            <w:tcW w:w="573"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2014 N</w:t>
            </w:r>
          </w:p>
        </w:tc>
      </w:tr>
      <w:tr>
        <w:tblPrEx>
          <w:tblW w:w="4925" w:type="pct"/>
          <w:tblInd w:w="70" w:type="dxa"/>
          <w:tblCellMar>
            <w:left w:w="70" w:type="dxa"/>
            <w:right w:w="70" w:type="dxa"/>
          </w:tblCellMar>
          <w:tblLook w:val="04A0"/>
        </w:tblPrEx>
        <w:trPr>
          <w:trHeight w:val="262"/>
        </w:trPr>
        <w:tc>
          <w:tcPr>
            <w:tcW w:w="1557"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BC5817" w:rsidP="00257E12">
            <w:pPr>
              <w:bidi w:val="0"/>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 xml:space="preserve">Rozdiel </w:t>
            </w:r>
          </w:p>
        </w:tc>
        <w:tc>
          <w:tcPr>
            <w:tcW w:w="57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1D16BA" w:rsidP="00257E12">
            <w:pPr>
              <w:bidi w:val="0"/>
              <w:spacing w:line="276" w:lineRule="auto"/>
              <w:jc w:val="right"/>
              <w:rPr>
                <w:rFonts w:ascii="Times New Roman" w:eastAsia="Calibri" w:hAnsi="Times New Roman" w:cs="Times New Roman"/>
                <w:b/>
                <w:bCs/>
                <w:color w:val="000000"/>
                <w:sz w:val="14"/>
                <w:szCs w:val="14"/>
              </w:rPr>
            </w:pPr>
            <w:r w:rsidRPr="001D16BA">
              <w:rPr>
                <w:rFonts w:ascii="Times New Roman" w:hAnsi="Times New Roman" w:cs="Times New Roman"/>
                <w:b/>
                <w:bCs/>
                <w:color w:val="000000"/>
                <w:sz w:val="14"/>
                <w:szCs w:val="14"/>
              </w:rPr>
              <w:t>-91 809 849</w:t>
            </w:r>
          </w:p>
        </w:tc>
        <w:tc>
          <w:tcPr>
            <w:tcW w:w="57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1D16BA" w:rsidP="00257E12">
            <w:pPr>
              <w:bidi w:val="0"/>
              <w:spacing w:line="276" w:lineRule="auto"/>
              <w:jc w:val="right"/>
              <w:rPr>
                <w:rFonts w:ascii="Times New Roman" w:eastAsia="Calibri" w:hAnsi="Times New Roman" w:cs="Times New Roman"/>
                <w:b/>
                <w:bCs/>
                <w:color w:val="000000"/>
                <w:sz w:val="14"/>
                <w:szCs w:val="14"/>
              </w:rPr>
            </w:pPr>
            <w:r w:rsidRPr="001D16BA">
              <w:rPr>
                <w:rFonts w:ascii="Times New Roman" w:hAnsi="Times New Roman" w:cs="Times New Roman"/>
                <w:b/>
                <w:bCs/>
                <w:color w:val="000000"/>
                <w:sz w:val="14"/>
                <w:szCs w:val="14"/>
              </w:rPr>
              <w:t>-86 038 916</w:t>
            </w:r>
          </w:p>
        </w:tc>
        <w:tc>
          <w:tcPr>
            <w:tcW w:w="57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1D16BA" w:rsidP="00257E12">
            <w:pPr>
              <w:bidi w:val="0"/>
              <w:spacing w:line="276" w:lineRule="auto"/>
              <w:jc w:val="right"/>
              <w:rPr>
                <w:rFonts w:ascii="Times New Roman" w:eastAsia="Calibri" w:hAnsi="Times New Roman" w:cs="Times New Roman"/>
                <w:b/>
                <w:bCs/>
                <w:color w:val="000000"/>
                <w:sz w:val="14"/>
                <w:szCs w:val="14"/>
              </w:rPr>
            </w:pPr>
            <w:r w:rsidRPr="001D16BA">
              <w:rPr>
                <w:rFonts w:ascii="Times New Roman" w:hAnsi="Times New Roman" w:cs="Times New Roman"/>
                <w:b/>
                <w:bCs/>
                <w:color w:val="000000"/>
                <w:sz w:val="14"/>
                <w:szCs w:val="14"/>
              </w:rPr>
              <w:t>-89 426 534</w:t>
            </w:r>
          </w:p>
        </w:tc>
        <w:tc>
          <w:tcPr>
            <w:tcW w:w="57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1D16BA" w:rsidP="00257E12">
            <w:pPr>
              <w:bidi w:val="0"/>
              <w:spacing w:line="276" w:lineRule="auto"/>
              <w:jc w:val="right"/>
              <w:rPr>
                <w:rFonts w:ascii="Times New Roman" w:eastAsia="Calibri" w:hAnsi="Times New Roman" w:cs="Times New Roman"/>
                <w:b/>
                <w:bCs/>
                <w:color w:val="000000"/>
                <w:sz w:val="14"/>
                <w:szCs w:val="14"/>
              </w:rPr>
            </w:pPr>
            <w:r w:rsidRPr="001D16BA">
              <w:rPr>
                <w:rFonts w:ascii="Times New Roman" w:hAnsi="Times New Roman" w:cs="Times New Roman"/>
                <w:b/>
                <w:bCs/>
                <w:color w:val="000000"/>
                <w:sz w:val="14"/>
                <w:szCs w:val="14"/>
              </w:rPr>
              <w:t>-48 155 443</w:t>
            </w:r>
          </w:p>
        </w:tc>
        <w:tc>
          <w:tcPr>
            <w:tcW w:w="57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1D16BA" w:rsidP="00257E12">
            <w:pPr>
              <w:bidi w:val="0"/>
              <w:spacing w:line="276" w:lineRule="auto"/>
              <w:jc w:val="right"/>
              <w:rPr>
                <w:rFonts w:ascii="Times New Roman" w:eastAsia="Calibri" w:hAnsi="Times New Roman" w:cs="Times New Roman"/>
                <w:b/>
                <w:bCs/>
                <w:color w:val="000000"/>
                <w:sz w:val="14"/>
                <w:szCs w:val="14"/>
              </w:rPr>
            </w:pPr>
            <w:r w:rsidRPr="001D16BA">
              <w:rPr>
                <w:rFonts w:ascii="Times New Roman" w:hAnsi="Times New Roman" w:cs="Times New Roman"/>
                <w:b/>
                <w:bCs/>
                <w:color w:val="000000"/>
                <w:sz w:val="14"/>
                <w:szCs w:val="14"/>
              </w:rPr>
              <w:t>-55 382 584</w:t>
            </w:r>
          </w:p>
        </w:tc>
        <w:tc>
          <w:tcPr>
            <w:tcW w:w="57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1D16BA" w:rsidP="00257E12">
            <w:pPr>
              <w:bidi w:val="0"/>
              <w:spacing w:line="276" w:lineRule="auto"/>
              <w:jc w:val="right"/>
              <w:rPr>
                <w:rFonts w:ascii="Times New Roman" w:eastAsia="Calibri" w:hAnsi="Times New Roman" w:cs="Times New Roman"/>
                <w:b/>
                <w:bCs/>
                <w:color w:val="000000"/>
                <w:sz w:val="14"/>
                <w:szCs w:val="14"/>
              </w:rPr>
            </w:pPr>
            <w:r w:rsidRPr="001D16BA">
              <w:rPr>
                <w:rFonts w:ascii="Times New Roman" w:hAnsi="Times New Roman" w:cs="Times New Roman"/>
                <w:b/>
                <w:bCs/>
                <w:color w:val="000000"/>
                <w:sz w:val="14"/>
                <w:szCs w:val="14"/>
              </w:rPr>
              <w:t>-52 813 105</w:t>
            </w:r>
          </w:p>
        </w:tc>
      </w:tr>
      <w:tr>
        <w:tblPrEx>
          <w:tblW w:w="4925" w:type="pct"/>
          <w:tblInd w:w="70" w:type="dxa"/>
          <w:tblCellMar>
            <w:left w:w="70" w:type="dxa"/>
            <w:right w:w="70" w:type="dxa"/>
          </w:tblCellMar>
          <w:tblLook w:val="04A0"/>
        </w:tblPrEx>
        <w:trPr>
          <w:trHeight w:val="262"/>
        </w:trPr>
        <w:tc>
          <w:tcPr>
            <w:tcW w:w="1557"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1D16BA" w:rsidP="00257E12">
            <w:pPr>
              <w:bidi w:val="0"/>
              <w:rPr>
                <w:rFonts w:ascii="Times New Roman" w:hAnsi="Times New Roman" w:cs="Times New Roman"/>
                <w:b/>
                <w:color w:val="000000"/>
                <w:sz w:val="14"/>
                <w:szCs w:val="14"/>
              </w:rPr>
            </w:pPr>
            <w:r w:rsidRPr="001D16BA">
              <w:rPr>
                <w:rFonts w:ascii="Times New Roman" w:hAnsi="Times New Roman" w:cs="Times New Roman"/>
                <w:b/>
                <w:color w:val="000000"/>
                <w:sz w:val="14"/>
                <w:szCs w:val="14"/>
              </w:rPr>
              <w:t>Príjem z mýta</w:t>
            </w:r>
          </w:p>
        </w:tc>
        <w:tc>
          <w:tcPr>
            <w:tcW w:w="574"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1D16BA" w:rsidP="00257E12">
            <w:pPr>
              <w:bidi w:val="0"/>
              <w:spacing w:line="276" w:lineRule="auto"/>
              <w:jc w:val="right"/>
              <w:rPr>
                <w:rFonts w:ascii="Times New Roman" w:eastAsia="Calibri" w:hAnsi="Times New Roman" w:cs="Times New Roman"/>
                <w:b/>
                <w:sz w:val="14"/>
                <w:szCs w:val="14"/>
              </w:rPr>
            </w:pPr>
            <w:r w:rsidRPr="001D16BA">
              <w:rPr>
                <w:rFonts w:ascii="Times New Roman" w:hAnsi="Times New Roman" w:cs="Times New Roman"/>
                <w:b/>
                <w:sz w:val="14"/>
                <w:szCs w:val="14"/>
              </w:rPr>
              <w:t>140 946 000</w:t>
            </w:r>
          </w:p>
        </w:tc>
        <w:tc>
          <w:tcPr>
            <w:tcW w:w="574"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1D16BA" w:rsidP="00257E12">
            <w:pPr>
              <w:bidi w:val="0"/>
              <w:spacing w:line="276" w:lineRule="auto"/>
              <w:jc w:val="right"/>
              <w:rPr>
                <w:rFonts w:ascii="Times New Roman" w:eastAsia="Calibri" w:hAnsi="Times New Roman" w:cs="Times New Roman"/>
                <w:b/>
                <w:sz w:val="14"/>
                <w:szCs w:val="14"/>
              </w:rPr>
            </w:pPr>
            <w:r w:rsidRPr="001D16BA">
              <w:rPr>
                <w:rFonts w:ascii="Times New Roman" w:hAnsi="Times New Roman" w:cs="Times New Roman"/>
                <w:b/>
                <w:sz w:val="14"/>
                <w:szCs w:val="14"/>
              </w:rPr>
              <w:t>152 546 000</w:t>
            </w:r>
          </w:p>
        </w:tc>
        <w:tc>
          <w:tcPr>
            <w:tcW w:w="574"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1D16BA" w:rsidP="00257E12">
            <w:pPr>
              <w:bidi w:val="0"/>
              <w:spacing w:line="276" w:lineRule="auto"/>
              <w:jc w:val="right"/>
              <w:rPr>
                <w:rFonts w:ascii="Times New Roman" w:eastAsia="Calibri" w:hAnsi="Times New Roman" w:cs="Times New Roman"/>
                <w:b/>
                <w:sz w:val="14"/>
                <w:szCs w:val="14"/>
              </w:rPr>
            </w:pPr>
            <w:r w:rsidRPr="001D16BA">
              <w:rPr>
                <w:rFonts w:ascii="Times New Roman" w:hAnsi="Times New Roman" w:cs="Times New Roman"/>
                <w:b/>
                <w:sz w:val="14"/>
                <w:szCs w:val="14"/>
              </w:rPr>
              <w:t>152 546 000</w:t>
            </w:r>
          </w:p>
        </w:tc>
        <w:tc>
          <w:tcPr>
            <w:tcW w:w="574"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1D16BA" w:rsidP="00257E12">
            <w:pPr>
              <w:bidi w:val="0"/>
              <w:spacing w:line="276" w:lineRule="auto"/>
              <w:jc w:val="right"/>
              <w:rPr>
                <w:rFonts w:ascii="Times New Roman" w:eastAsia="Calibri" w:hAnsi="Times New Roman" w:cs="Times New Roman"/>
                <w:b/>
                <w:sz w:val="14"/>
                <w:szCs w:val="14"/>
              </w:rPr>
            </w:pPr>
            <w:r w:rsidRPr="001D16BA">
              <w:rPr>
                <w:rFonts w:ascii="Times New Roman" w:hAnsi="Times New Roman" w:cs="Times New Roman"/>
                <w:b/>
                <w:sz w:val="14"/>
                <w:szCs w:val="14"/>
              </w:rPr>
              <w:t>182 800 000</w:t>
            </w:r>
          </w:p>
        </w:tc>
        <w:tc>
          <w:tcPr>
            <w:tcW w:w="574"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1D16BA" w:rsidP="00257E12">
            <w:pPr>
              <w:bidi w:val="0"/>
              <w:spacing w:line="276" w:lineRule="auto"/>
              <w:jc w:val="right"/>
              <w:rPr>
                <w:rFonts w:ascii="Times New Roman" w:eastAsia="Calibri" w:hAnsi="Times New Roman" w:cs="Times New Roman"/>
                <w:b/>
                <w:sz w:val="14"/>
                <w:szCs w:val="14"/>
              </w:rPr>
            </w:pPr>
            <w:r w:rsidRPr="001D16BA">
              <w:rPr>
                <w:rFonts w:ascii="Times New Roman" w:hAnsi="Times New Roman" w:cs="Times New Roman"/>
                <w:b/>
                <w:sz w:val="14"/>
                <w:szCs w:val="14"/>
              </w:rPr>
              <w:t>186 456 000</w:t>
            </w:r>
          </w:p>
        </w:tc>
        <w:tc>
          <w:tcPr>
            <w:tcW w:w="57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1D16BA" w:rsidP="00257E12">
            <w:pPr>
              <w:bidi w:val="0"/>
              <w:spacing w:line="276" w:lineRule="auto"/>
              <w:jc w:val="right"/>
              <w:rPr>
                <w:rFonts w:ascii="Times New Roman" w:eastAsia="Calibri" w:hAnsi="Times New Roman" w:cs="Times New Roman"/>
                <w:b/>
                <w:sz w:val="14"/>
                <w:szCs w:val="14"/>
              </w:rPr>
            </w:pPr>
            <w:r w:rsidRPr="001D16BA">
              <w:rPr>
                <w:rFonts w:ascii="Times New Roman" w:hAnsi="Times New Roman" w:cs="Times New Roman"/>
                <w:b/>
                <w:sz w:val="14"/>
                <w:szCs w:val="14"/>
              </w:rPr>
              <w:t>190 185 120</w:t>
            </w:r>
          </w:p>
        </w:tc>
      </w:tr>
      <w:tr>
        <w:tblPrEx>
          <w:tblW w:w="4925" w:type="pct"/>
          <w:tblInd w:w="70" w:type="dxa"/>
          <w:tblCellMar>
            <w:left w:w="70" w:type="dxa"/>
            <w:right w:w="70" w:type="dxa"/>
          </w:tblCellMar>
          <w:tblLook w:val="04A0"/>
        </w:tblPrEx>
        <w:trPr>
          <w:trHeight w:val="262"/>
        </w:trPr>
        <w:tc>
          <w:tcPr>
            <w:tcW w:w="1557"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b/>
                <w:color w:val="000000"/>
                <w:sz w:val="14"/>
                <w:szCs w:val="14"/>
              </w:rPr>
            </w:pPr>
            <w:r w:rsidRPr="00BC5817">
              <w:rPr>
                <w:rFonts w:ascii="Times New Roman" w:hAnsi="Times New Roman" w:cs="Times New Roman"/>
                <w:b/>
                <w:color w:val="000000"/>
                <w:sz w:val="14"/>
                <w:szCs w:val="14"/>
              </w:rPr>
              <w:t>Dopady súvisiace s mýtom, z toho:</w:t>
            </w:r>
          </w:p>
        </w:tc>
        <w:tc>
          <w:tcPr>
            <w:tcW w:w="574"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EE7D41" w:rsidP="00257E12">
            <w:pPr>
              <w:bidi w:val="0"/>
              <w:jc w:val="right"/>
              <w:rPr>
                <w:rFonts w:ascii="Times New Roman" w:hAnsi="Times New Roman" w:cs="Times New Roman"/>
                <w:b/>
                <w:color w:val="000000"/>
                <w:sz w:val="14"/>
                <w:szCs w:val="14"/>
              </w:rPr>
            </w:pPr>
            <w:r w:rsidRPr="00EE7D41">
              <w:rPr>
                <w:rFonts w:ascii="Times New Roman" w:hAnsi="Times New Roman" w:cs="Times New Roman"/>
                <w:b/>
                <w:color w:val="000000"/>
                <w:sz w:val="14"/>
                <w:szCs w:val="14"/>
              </w:rPr>
              <w:t>-232 755 849</w:t>
            </w:r>
          </w:p>
        </w:tc>
        <w:tc>
          <w:tcPr>
            <w:tcW w:w="574"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EE7D41" w:rsidP="00257E12">
            <w:pPr>
              <w:bidi w:val="0"/>
              <w:jc w:val="right"/>
              <w:rPr>
                <w:rFonts w:ascii="Times New Roman" w:hAnsi="Times New Roman" w:cs="Times New Roman"/>
                <w:b/>
                <w:color w:val="000000"/>
                <w:sz w:val="14"/>
                <w:szCs w:val="14"/>
              </w:rPr>
            </w:pPr>
            <w:r w:rsidRPr="00EE7D41">
              <w:rPr>
                <w:rFonts w:ascii="Times New Roman" w:hAnsi="Times New Roman" w:cs="Times New Roman"/>
                <w:b/>
                <w:color w:val="000000"/>
                <w:sz w:val="14"/>
                <w:szCs w:val="14"/>
              </w:rPr>
              <w:t>-238 584 916</w:t>
            </w:r>
          </w:p>
        </w:tc>
        <w:tc>
          <w:tcPr>
            <w:tcW w:w="574"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EE7D41" w:rsidP="00257E12">
            <w:pPr>
              <w:bidi w:val="0"/>
              <w:jc w:val="right"/>
              <w:rPr>
                <w:rFonts w:ascii="Times New Roman" w:hAnsi="Times New Roman" w:cs="Times New Roman"/>
                <w:b/>
                <w:color w:val="000000"/>
                <w:sz w:val="14"/>
                <w:szCs w:val="14"/>
              </w:rPr>
            </w:pPr>
            <w:r w:rsidRPr="00EE7D41">
              <w:rPr>
                <w:rFonts w:ascii="Times New Roman" w:hAnsi="Times New Roman" w:cs="Times New Roman"/>
                <w:b/>
                <w:color w:val="000000"/>
                <w:sz w:val="14"/>
                <w:szCs w:val="14"/>
              </w:rPr>
              <w:t>-241 972 534</w:t>
            </w:r>
          </w:p>
        </w:tc>
        <w:tc>
          <w:tcPr>
            <w:tcW w:w="574"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EE7D41" w:rsidP="00257E12">
            <w:pPr>
              <w:bidi w:val="0"/>
              <w:jc w:val="right"/>
              <w:rPr>
                <w:rFonts w:ascii="Times New Roman" w:hAnsi="Times New Roman" w:cs="Times New Roman"/>
                <w:b/>
                <w:color w:val="000000"/>
                <w:sz w:val="14"/>
                <w:szCs w:val="14"/>
              </w:rPr>
            </w:pPr>
            <w:r w:rsidRPr="00EE7D41">
              <w:rPr>
                <w:rFonts w:ascii="Times New Roman" w:hAnsi="Times New Roman" w:cs="Times New Roman"/>
                <w:b/>
                <w:color w:val="000000"/>
                <w:sz w:val="14"/>
                <w:szCs w:val="14"/>
              </w:rPr>
              <w:t>-230 955 443</w:t>
            </w:r>
          </w:p>
        </w:tc>
        <w:tc>
          <w:tcPr>
            <w:tcW w:w="574"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EE7D41" w:rsidP="00257E12">
            <w:pPr>
              <w:bidi w:val="0"/>
              <w:jc w:val="right"/>
              <w:rPr>
                <w:rFonts w:ascii="Times New Roman" w:hAnsi="Times New Roman" w:cs="Times New Roman"/>
                <w:b/>
                <w:color w:val="000000"/>
                <w:sz w:val="14"/>
                <w:szCs w:val="14"/>
              </w:rPr>
            </w:pPr>
            <w:r w:rsidRPr="00EE7D41">
              <w:rPr>
                <w:rFonts w:ascii="Times New Roman" w:hAnsi="Times New Roman" w:cs="Times New Roman"/>
                <w:b/>
                <w:color w:val="000000"/>
                <w:sz w:val="14"/>
                <w:szCs w:val="14"/>
              </w:rPr>
              <w:t>-241 838 584</w:t>
            </w:r>
          </w:p>
        </w:tc>
        <w:tc>
          <w:tcPr>
            <w:tcW w:w="57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EE7D41" w:rsidP="00257E12">
            <w:pPr>
              <w:bidi w:val="0"/>
              <w:jc w:val="right"/>
              <w:rPr>
                <w:rFonts w:ascii="Times New Roman" w:hAnsi="Times New Roman" w:cs="Times New Roman"/>
                <w:b/>
                <w:color w:val="000000"/>
                <w:sz w:val="14"/>
                <w:szCs w:val="14"/>
              </w:rPr>
            </w:pPr>
            <w:r w:rsidRPr="00EE7D41">
              <w:rPr>
                <w:rFonts w:ascii="Times New Roman" w:hAnsi="Times New Roman" w:cs="Times New Roman"/>
                <w:b/>
                <w:color w:val="000000"/>
                <w:sz w:val="14"/>
                <w:szCs w:val="14"/>
              </w:rPr>
              <w:t>-242 998 225</w:t>
            </w:r>
          </w:p>
        </w:tc>
      </w:tr>
      <w:tr>
        <w:tblPrEx>
          <w:tblW w:w="4925" w:type="pct"/>
          <w:tblInd w:w="70" w:type="dxa"/>
          <w:tblCellMar>
            <w:left w:w="70" w:type="dxa"/>
            <w:right w:w="70" w:type="dxa"/>
          </w:tblCellMar>
          <w:tblLook w:val="04A0"/>
        </w:tblPrEx>
        <w:trPr>
          <w:trHeight w:val="262"/>
        </w:trPr>
        <w:tc>
          <w:tcPr>
            <w:tcW w:w="1557"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 xml:space="preserve">      Platba za mýtny systém</w:t>
            </w:r>
          </w:p>
        </w:tc>
        <w:tc>
          <w:tcPr>
            <w:tcW w:w="574"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435BAE" w:rsidP="00257E12">
            <w:pPr>
              <w:bidi w:val="0"/>
              <w:jc w:val="right"/>
              <w:rPr>
                <w:rFonts w:ascii="Times New Roman" w:hAnsi="Times New Roman" w:cs="Times New Roman"/>
                <w:sz w:val="14"/>
                <w:szCs w:val="14"/>
              </w:rPr>
            </w:pPr>
            <w:r w:rsidRPr="00435BAE">
              <w:rPr>
                <w:rFonts w:ascii="Times New Roman" w:hAnsi="Times New Roman" w:cs="Times New Roman"/>
                <w:sz w:val="14"/>
                <w:szCs w:val="14"/>
              </w:rPr>
              <w:t>-106 877 000</w:t>
            </w:r>
          </w:p>
        </w:tc>
        <w:tc>
          <w:tcPr>
            <w:tcW w:w="574"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435BAE" w:rsidP="00257E12">
            <w:pPr>
              <w:bidi w:val="0"/>
              <w:jc w:val="right"/>
              <w:rPr>
                <w:rFonts w:ascii="Times New Roman" w:hAnsi="Times New Roman" w:cs="Times New Roman"/>
                <w:sz w:val="14"/>
                <w:szCs w:val="14"/>
              </w:rPr>
            </w:pPr>
            <w:r w:rsidRPr="00435BAE">
              <w:rPr>
                <w:rFonts w:ascii="Times New Roman" w:hAnsi="Times New Roman" w:cs="Times New Roman"/>
                <w:sz w:val="14"/>
                <w:szCs w:val="14"/>
              </w:rPr>
              <w:t>-105 504 916</w:t>
            </w:r>
          </w:p>
        </w:tc>
        <w:tc>
          <w:tcPr>
            <w:tcW w:w="574"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435BAE" w:rsidP="00257E12">
            <w:pPr>
              <w:bidi w:val="0"/>
              <w:jc w:val="right"/>
              <w:rPr>
                <w:rFonts w:ascii="Times New Roman" w:hAnsi="Times New Roman" w:cs="Times New Roman"/>
                <w:sz w:val="14"/>
                <w:szCs w:val="14"/>
              </w:rPr>
            </w:pPr>
            <w:r w:rsidRPr="00435BAE">
              <w:rPr>
                <w:rFonts w:ascii="Times New Roman" w:hAnsi="Times New Roman" w:cs="Times New Roman"/>
                <w:sz w:val="14"/>
                <w:szCs w:val="14"/>
              </w:rPr>
              <w:t>-105 504 916</w:t>
            </w:r>
          </w:p>
        </w:tc>
        <w:tc>
          <w:tcPr>
            <w:tcW w:w="574"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435BAE" w:rsidP="00257E12">
            <w:pPr>
              <w:bidi w:val="0"/>
              <w:jc w:val="right"/>
              <w:rPr>
                <w:rFonts w:ascii="Times New Roman" w:hAnsi="Times New Roman" w:cs="Times New Roman"/>
                <w:sz w:val="14"/>
                <w:szCs w:val="14"/>
              </w:rPr>
            </w:pPr>
            <w:r w:rsidRPr="00435BAE">
              <w:rPr>
                <w:rFonts w:ascii="Times New Roman" w:hAnsi="Times New Roman" w:cs="Times New Roman"/>
                <w:sz w:val="14"/>
                <w:szCs w:val="14"/>
              </w:rPr>
              <w:t>-89 433 451</w:t>
            </w:r>
          </w:p>
        </w:tc>
        <w:tc>
          <w:tcPr>
            <w:tcW w:w="574"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435BAE" w:rsidP="00257E12">
            <w:pPr>
              <w:bidi w:val="0"/>
              <w:jc w:val="right"/>
              <w:rPr>
                <w:rFonts w:ascii="Times New Roman" w:hAnsi="Times New Roman" w:cs="Times New Roman"/>
                <w:sz w:val="14"/>
                <w:szCs w:val="14"/>
              </w:rPr>
            </w:pPr>
            <w:r w:rsidRPr="00435BAE">
              <w:rPr>
                <w:rFonts w:ascii="Times New Roman" w:hAnsi="Times New Roman" w:cs="Times New Roman"/>
                <w:sz w:val="14"/>
                <w:szCs w:val="14"/>
              </w:rPr>
              <w:t>-94 661 883</w:t>
            </w:r>
          </w:p>
        </w:tc>
        <w:tc>
          <w:tcPr>
            <w:tcW w:w="57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435BAE" w:rsidP="00257E12">
            <w:pPr>
              <w:bidi w:val="0"/>
              <w:jc w:val="right"/>
              <w:rPr>
                <w:rFonts w:ascii="Times New Roman" w:hAnsi="Times New Roman" w:cs="Times New Roman"/>
                <w:sz w:val="14"/>
                <w:szCs w:val="14"/>
              </w:rPr>
            </w:pPr>
            <w:r w:rsidRPr="00435BAE">
              <w:rPr>
                <w:rFonts w:ascii="Times New Roman" w:hAnsi="Times New Roman" w:cs="Times New Roman"/>
                <w:sz w:val="14"/>
                <w:szCs w:val="14"/>
              </w:rPr>
              <w:t>-90 466 233</w:t>
            </w:r>
          </w:p>
        </w:tc>
      </w:tr>
      <w:tr>
        <w:tblPrEx>
          <w:tblW w:w="4925" w:type="pct"/>
          <w:tblInd w:w="70" w:type="dxa"/>
          <w:tblCellMar>
            <w:left w:w="70" w:type="dxa"/>
            <w:right w:w="70" w:type="dxa"/>
          </w:tblCellMar>
          <w:tblLook w:val="04A0"/>
        </w:tblPrEx>
        <w:trPr>
          <w:trHeight w:val="262"/>
        </w:trPr>
        <w:tc>
          <w:tcPr>
            <w:tcW w:w="155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 xml:space="preserve">      Výpadok príjmov z diaľničných nálepiek </w:t>
            </w:r>
          </w:p>
        </w:tc>
        <w:tc>
          <w:tcPr>
            <w:tcW w:w="574"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435BAE" w:rsidP="00257E12">
            <w:pPr>
              <w:bidi w:val="0"/>
              <w:jc w:val="right"/>
              <w:rPr>
                <w:rFonts w:ascii="Times New Roman" w:hAnsi="Times New Roman" w:cs="Times New Roman"/>
                <w:color w:val="000000"/>
                <w:sz w:val="14"/>
                <w:szCs w:val="14"/>
              </w:rPr>
            </w:pPr>
            <w:r w:rsidRPr="00435BAE">
              <w:rPr>
                <w:rFonts w:ascii="Times New Roman" w:hAnsi="Times New Roman" w:cs="Times New Roman"/>
                <w:color w:val="000000"/>
                <w:sz w:val="14"/>
                <w:szCs w:val="14"/>
              </w:rPr>
              <w:t>-52 878 849</w:t>
            </w:r>
          </w:p>
        </w:tc>
        <w:tc>
          <w:tcPr>
            <w:tcW w:w="574"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435BAE" w:rsidP="00257E12">
            <w:pPr>
              <w:bidi w:val="0"/>
              <w:jc w:val="right"/>
              <w:rPr>
                <w:rFonts w:ascii="Times New Roman" w:hAnsi="Times New Roman" w:cs="Times New Roman"/>
                <w:color w:val="000000"/>
                <w:sz w:val="14"/>
                <w:szCs w:val="14"/>
              </w:rPr>
            </w:pPr>
            <w:r w:rsidRPr="00435BAE">
              <w:rPr>
                <w:rFonts w:ascii="Times New Roman" w:hAnsi="Times New Roman" w:cs="Times New Roman"/>
                <w:color w:val="000000"/>
                <w:sz w:val="14"/>
                <w:szCs w:val="14"/>
              </w:rPr>
              <w:t>-43 280 000</w:t>
            </w:r>
          </w:p>
        </w:tc>
        <w:tc>
          <w:tcPr>
            <w:tcW w:w="574"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435BAE" w:rsidP="00257E12">
            <w:pPr>
              <w:bidi w:val="0"/>
              <w:jc w:val="right"/>
              <w:rPr>
                <w:rFonts w:ascii="Times New Roman" w:hAnsi="Times New Roman" w:cs="Times New Roman"/>
                <w:color w:val="000000"/>
                <w:sz w:val="14"/>
                <w:szCs w:val="14"/>
              </w:rPr>
            </w:pPr>
            <w:r w:rsidRPr="00435BAE">
              <w:rPr>
                <w:rFonts w:ascii="Times New Roman" w:hAnsi="Times New Roman" w:cs="Times New Roman"/>
                <w:color w:val="000000"/>
                <w:sz w:val="14"/>
                <w:szCs w:val="14"/>
              </w:rPr>
              <w:t>-56 759 618</w:t>
            </w:r>
          </w:p>
        </w:tc>
        <w:tc>
          <w:tcPr>
            <w:tcW w:w="574"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435BAE" w:rsidP="00257E12">
            <w:pPr>
              <w:bidi w:val="0"/>
              <w:jc w:val="right"/>
              <w:rPr>
                <w:rFonts w:ascii="Times New Roman" w:hAnsi="Times New Roman" w:cs="Times New Roman"/>
                <w:color w:val="000000"/>
                <w:sz w:val="14"/>
                <w:szCs w:val="14"/>
              </w:rPr>
            </w:pPr>
            <w:r w:rsidRPr="00435BAE">
              <w:rPr>
                <w:rFonts w:ascii="Times New Roman" w:hAnsi="Times New Roman" w:cs="Times New Roman"/>
                <w:color w:val="000000"/>
                <w:sz w:val="14"/>
                <w:szCs w:val="14"/>
              </w:rPr>
              <w:t>-59 023 992</w:t>
            </w:r>
          </w:p>
        </w:tc>
        <w:tc>
          <w:tcPr>
            <w:tcW w:w="574"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435BAE" w:rsidP="00257E12">
            <w:pPr>
              <w:bidi w:val="0"/>
              <w:jc w:val="right"/>
              <w:rPr>
                <w:rFonts w:ascii="Times New Roman" w:hAnsi="Times New Roman" w:cs="Times New Roman"/>
                <w:color w:val="000000"/>
                <w:sz w:val="14"/>
                <w:szCs w:val="14"/>
              </w:rPr>
            </w:pPr>
            <w:r w:rsidRPr="00435BAE">
              <w:rPr>
                <w:rFonts w:ascii="Times New Roman" w:hAnsi="Times New Roman" w:cs="Times New Roman"/>
                <w:color w:val="000000"/>
                <w:sz w:val="14"/>
                <w:szCs w:val="14"/>
              </w:rPr>
              <w:t>-61 378 701</w:t>
            </w:r>
          </w:p>
        </w:tc>
        <w:tc>
          <w:tcPr>
            <w:tcW w:w="573"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435BAE" w:rsidP="00257E12">
            <w:pPr>
              <w:bidi w:val="0"/>
              <w:jc w:val="right"/>
              <w:rPr>
                <w:rFonts w:ascii="Times New Roman" w:hAnsi="Times New Roman" w:cs="Times New Roman"/>
                <w:color w:val="000000"/>
                <w:sz w:val="14"/>
                <w:szCs w:val="14"/>
              </w:rPr>
            </w:pPr>
            <w:r w:rsidRPr="00435BAE">
              <w:rPr>
                <w:rFonts w:ascii="Times New Roman" w:hAnsi="Times New Roman" w:cs="Times New Roman"/>
                <w:color w:val="000000"/>
                <w:sz w:val="14"/>
                <w:szCs w:val="14"/>
              </w:rPr>
              <w:t>-63 216 992</w:t>
            </w:r>
          </w:p>
        </w:tc>
      </w:tr>
      <w:tr>
        <w:tblPrEx>
          <w:tblW w:w="4925" w:type="pct"/>
          <w:tblInd w:w="70" w:type="dxa"/>
          <w:tblCellMar>
            <w:left w:w="70" w:type="dxa"/>
            <w:right w:w="70" w:type="dxa"/>
          </w:tblCellMar>
          <w:tblLook w:val="04A0"/>
        </w:tblPrEx>
        <w:trPr>
          <w:trHeight w:val="262"/>
        </w:trPr>
        <w:tc>
          <w:tcPr>
            <w:tcW w:w="1557"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 xml:space="preserve">      Výpadok spotrebnej dane</w:t>
            </w:r>
          </w:p>
        </w:tc>
        <w:tc>
          <w:tcPr>
            <w:tcW w:w="574"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435BAE" w:rsidP="00257E12">
            <w:pPr>
              <w:bidi w:val="0"/>
              <w:jc w:val="right"/>
              <w:rPr>
                <w:rFonts w:ascii="Times New Roman" w:hAnsi="Times New Roman" w:cs="Times New Roman"/>
                <w:color w:val="000000"/>
                <w:sz w:val="14"/>
                <w:szCs w:val="14"/>
              </w:rPr>
            </w:pPr>
            <w:r w:rsidRPr="00435BAE">
              <w:rPr>
                <w:rFonts w:ascii="Times New Roman" w:hAnsi="Times New Roman" w:cs="Times New Roman"/>
                <w:color w:val="000000"/>
                <w:sz w:val="14"/>
                <w:szCs w:val="14"/>
              </w:rPr>
              <w:t>-73 000 000</w:t>
            </w:r>
          </w:p>
        </w:tc>
        <w:tc>
          <w:tcPr>
            <w:tcW w:w="574"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435BAE" w:rsidP="00257E12">
            <w:pPr>
              <w:bidi w:val="0"/>
              <w:jc w:val="right"/>
              <w:rPr>
                <w:rFonts w:ascii="Times New Roman" w:hAnsi="Times New Roman" w:cs="Times New Roman"/>
                <w:color w:val="000000"/>
                <w:sz w:val="14"/>
                <w:szCs w:val="14"/>
              </w:rPr>
            </w:pPr>
            <w:r w:rsidRPr="00435BAE">
              <w:rPr>
                <w:rFonts w:ascii="Times New Roman" w:hAnsi="Times New Roman" w:cs="Times New Roman"/>
                <w:color w:val="000000"/>
                <w:sz w:val="14"/>
                <w:szCs w:val="14"/>
              </w:rPr>
              <w:t>-89 800 000</w:t>
            </w:r>
          </w:p>
        </w:tc>
        <w:tc>
          <w:tcPr>
            <w:tcW w:w="574"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435BAE" w:rsidP="00257E12">
            <w:pPr>
              <w:bidi w:val="0"/>
              <w:jc w:val="right"/>
              <w:rPr>
                <w:rFonts w:ascii="Times New Roman" w:hAnsi="Times New Roman" w:cs="Times New Roman"/>
                <w:color w:val="000000"/>
                <w:sz w:val="14"/>
                <w:szCs w:val="14"/>
              </w:rPr>
            </w:pPr>
            <w:r w:rsidRPr="00435BAE">
              <w:rPr>
                <w:rFonts w:ascii="Times New Roman" w:hAnsi="Times New Roman" w:cs="Times New Roman"/>
                <w:color w:val="000000"/>
                <w:sz w:val="14"/>
                <w:szCs w:val="14"/>
              </w:rPr>
              <w:t>-79 708 000</w:t>
            </w:r>
          </w:p>
        </w:tc>
        <w:tc>
          <w:tcPr>
            <w:tcW w:w="574"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435BAE" w:rsidP="00257E12">
            <w:pPr>
              <w:bidi w:val="0"/>
              <w:jc w:val="right"/>
              <w:rPr>
                <w:rFonts w:ascii="Times New Roman" w:hAnsi="Times New Roman" w:cs="Times New Roman"/>
                <w:color w:val="000000"/>
                <w:sz w:val="14"/>
                <w:szCs w:val="14"/>
              </w:rPr>
            </w:pPr>
            <w:r w:rsidRPr="00435BAE">
              <w:rPr>
                <w:rFonts w:ascii="Times New Roman" w:hAnsi="Times New Roman" w:cs="Times New Roman"/>
                <w:color w:val="000000"/>
                <w:sz w:val="14"/>
                <w:szCs w:val="14"/>
              </w:rPr>
              <w:t>-82 498 000</w:t>
            </w:r>
          </w:p>
        </w:tc>
        <w:tc>
          <w:tcPr>
            <w:tcW w:w="574"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435BAE" w:rsidP="00257E12">
            <w:pPr>
              <w:bidi w:val="0"/>
              <w:jc w:val="right"/>
              <w:rPr>
                <w:rFonts w:ascii="Times New Roman" w:hAnsi="Times New Roman" w:cs="Times New Roman"/>
                <w:color w:val="000000"/>
                <w:sz w:val="14"/>
                <w:szCs w:val="14"/>
              </w:rPr>
            </w:pPr>
            <w:r w:rsidRPr="00435BAE">
              <w:rPr>
                <w:rFonts w:ascii="Times New Roman" w:hAnsi="Times New Roman" w:cs="Times New Roman"/>
                <w:color w:val="000000"/>
                <w:sz w:val="14"/>
                <w:szCs w:val="14"/>
              </w:rPr>
              <w:t>-85 798 000</w:t>
            </w:r>
          </w:p>
        </w:tc>
        <w:tc>
          <w:tcPr>
            <w:tcW w:w="57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435BAE" w:rsidP="00257E12">
            <w:pPr>
              <w:bidi w:val="0"/>
              <w:jc w:val="right"/>
              <w:rPr>
                <w:rFonts w:ascii="Times New Roman" w:hAnsi="Times New Roman" w:cs="Times New Roman"/>
                <w:color w:val="000000"/>
                <w:sz w:val="14"/>
                <w:szCs w:val="14"/>
              </w:rPr>
            </w:pPr>
            <w:r w:rsidRPr="00435BAE">
              <w:rPr>
                <w:rFonts w:ascii="Times New Roman" w:hAnsi="Times New Roman" w:cs="Times New Roman"/>
                <w:color w:val="000000"/>
                <w:sz w:val="14"/>
                <w:szCs w:val="14"/>
              </w:rPr>
              <w:t>-89 315 000</w:t>
            </w:r>
          </w:p>
        </w:tc>
      </w:tr>
    </w:tbl>
    <w:p w:rsidR="00F42914" w:rsidRPr="00432A91" w:rsidP="00F42914">
      <w:pPr>
        <w:bidi w:val="0"/>
        <w:jc w:val="both"/>
        <w:rPr>
          <w:rFonts w:ascii="Times New Roman" w:hAnsi="Times New Roman" w:cs="Times New Roman"/>
        </w:rPr>
      </w:pPr>
    </w:p>
    <w:p w:rsidR="00F42914" w:rsidP="00F42914">
      <w:pPr>
        <w:bidi w:val="0"/>
        <w:ind w:firstLine="708"/>
        <w:jc w:val="both"/>
        <w:rPr>
          <w:rFonts w:ascii="Times New Roman" w:hAnsi="Times New Roman" w:cs="Times New Roman"/>
        </w:rPr>
      </w:pPr>
      <w:r w:rsidRPr="0067187C">
        <w:rPr>
          <w:rFonts w:ascii="Times New Roman" w:hAnsi="Times New Roman" w:cs="Times New Roman"/>
        </w:rPr>
        <w:t xml:space="preserve">Celkový výpadok rozpočtových zdrojov zo zavedenia mýta predstavuje v roku 2012 sumu 48,2 mil. eur. Príjem z mýta sa síce </w:t>
      </w:r>
      <w:r>
        <w:rPr>
          <w:rFonts w:ascii="Times New Roman" w:hAnsi="Times New Roman" w:cs="Times New Roman"/>
        </w:rPr>
        <w:t>na</w:t>
      </w:r>
      <w:r w:rsidRPr="0067187C">
        <w:rPr>
          <w:rFonts w:ascii="Times New Roman" w:hAnsi="Times New Roman" w:cs="Times New Roman"/>
        </w:rPr>
        <w:t xml:space="preserve"> rok 2012 predpokladá vo výške 183 mil. eur, ale na druhej strane predstavujú negatívne dopady celkovú čiastku 231 mil. eur. Tieto negatívne dopady sú spôsobené potrebou platiť za vybudovanie a prevádzku mýta sumu </w:t>
      </w:r>
      <w:r>
        <w:rPr>
          <w:rFonts w:ascii="Times New Roman" w:hAnsi="Times New Roman" w:cs="Times New Roman"/>
        </w:rPr>
        <w:t xml:space="preserve">   </w:t>
      </w:r>
      <w:r w:rsidRPr="0067187C">
        <w:rPr>
          <w:rFonts w:ascii="Times New Roman" w:hAnsi="Times New Roman" w:cs="Times New Roman"/>
        </w:rPr>
        <w:t>89,4 mil. eur, zároveň štát prichádza o výnosy z diaľničných nálepiek od nákladných áut, ktoré by ročne predstavovali približne 59 mil. eur a okrem toho predchádzajúca vláda schválila ako kompenzáciu po zavedení elektronického mýta zníženie spotrebnej dane na naftu, čím znížila príjmy štátneho rozpočtu z tejto dane ročne o 82 mil. eur</w:t>
      </w:r>
      <w:r>
        <w:rPr>
          <w:rFonts w:ascii="Times New Roman" w:hAnsi="Times New Roman" w:cs="Times New Roman"/>
        </w:rPr>
        <w:t>.</w:t>
      </w:r>
      <w:r w:rsidRPr="009F6EA5">
        <w:rPr>
          <w:rFonts w:ascii="Times New Roman" w:hAnsi="Times New Roman" w:cs="Times New Roman"/>
        </w:rPr>
        <w:t xml:space="preserve"> </w:t>
      </w:r>
    </w:p>
    <w:p w:rsidR="00F42914" w:rsidRPr="00432A91" w:rsidP="00F42914">
      <w:pPr>
        <w:bidi w:val="0"/>
        <w:ind w:firstLine="708"/>
        <w:jc w:val="both"/>
        <w:rPr>
          <w:rFonts w:ascii="Times New Roman" w:hAnsi="Times New Roman" w:cs="Times New Roman"/>
        </w:rPr>
      </w:pPr>
    </w:p>
    <w:p w:rsidR="00F42914" w:rsidRPr="00432A91" w:rsidP="00F42914">
      <w:pPr>
        <w:bidi w:val="0"/>
        <w:jc w:val="both"/>
        <w:rPr>
          <w:rFonts w:ascii="Times New Roman" w:hAnsi="Times New Roman" w:cs="Times New Roman"/>
          <w:b/>
        </w:rPr>
      </w:pPr>
      <w:r w:rsidRPr="00432A91">
        <w:rPr>
          <w:rFonts w:ascii="Times New Roman" w:hAnsi="Times New Roman" w:cs="Times New Roman"/>
          <w:b/>
        </w:rPr>
        <w:t>Letecká doprava</w:t>
      </w:r>
    </w:p>
    <w:p w:rsidR="00F42914" w:rsidRPr="00432A91" w:rsidP="00F42914">
      <w:pPr>
        <w:bidi w:val="0"/>
        <w:jc w:val="both"/>
        <w:rPr>
          <w:rFonts w:ascii="Times New Roman" w:hAnsi="Times New Roman" w:cs="Times New Roman"/>
        </w:rPr>
      </w:pPr>
    </w:p>
    <w:tbl>
      <w:tblPr>
        <w:tblStyle w:val="TableNormal"/>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817"/>
        <w:gridCol w:w="1000"/>
        <w:gridCol w:w="1000"/>
        <w:gridCol w:w="1067"/>
        <w:gridCol w:w="1067"/>
        <w:gridCol w:w="1067"/>
        <w:gridCol w:w="1067"/>
        <w:gridCol w:w="989"/>
      </w:tblGrid>
      <w:tr>
        <w:tblPrEx>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45"/>
        </w:trPr>
        <w:tc>
          <w:tcPr>
            <w:tcW w:w="100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C13728" w:rsidP="00257E12">
            <w:pPr>
              <w:bidi w:val="0"/>
              <w:rPr>
                <w:rFonts w:ascii="Times New Roman" w:hAnsi="Times New Roman" w:cs="Times New Roman"/>
                <w:b/>
                <w:bCs/>
                <w:color w:val="000000"/>
                <w:sz w:val="14"/>
                <w:szCs w:val="14"/>
              </w:rPr>
            </w:pPr>
            <w:r w:rsidRPr="00C13728">
              <w:rPr>
                <w:rFonts w:ascii="Times New Roman" w:hAnsi="Times New Roman" w:cs="Times New Roman"/>
                <w:b/>
                <w:bCs/>
                <w:color w:val="000000"/>
                <w:sz w:val="14"/>
                <w:szCs w:val="14"/>
              </w:rPr>
              <w:t>v eurách</w:t>
            </w:r>
          </w:p>
        </w:tc>
        <w:tc>
          <w:tcPr>
            <w:tcW w:w="55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C13728" w:rsidP="00257E12">
            <w:pPr>
              <w:bidi w:val="0"/>
              <w:jc w:val="center"/>
              <w:rPr>
                <w:rFonts w:ascii="Times New Roman" w:hAnsi="Times New Roman" w:cs="Times New Roman"/>
                <w:b/>
                <w:bCs/>
                <w:color w:val="000000"/>
                <w:sz w:val="14"/>
                <w:szCs w:val="14"/>
              </w:rPr>
            </w:pPr>
            <w:r w:rsidRPr="00C13728">
              <w:rPr>
                <w:rFonts w:ascii="Times New Roman" w:hAnsi="Times New Roman" w:cs="Times New Roman"/>
                <w:b/>
                <w:bCs/>
                <w:color w:val="000000"/>
                <w:sz w:val="14"/>
                <w:szCs w:val="14"/>
              </w:rPr>
              <w:t>2009 S</w:t>
            </w:r>
          </w:p>
        </w:tc>
        <w:tc>
          <w:tcPr>
            <w:tcW w:w="55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C13728" w:rsidP="00257E12">
            <w:pPr>
              <w:bidi w:val="0"/>
              <w:jc w:val="center"/>
              <w:rPr>
                <w:rFonts w:ascii="Times New Roman" w:hAnsi="Times New Roman" w:cs="Times New Roman"/>
                <w:b/>
                <w:bCs/>
                <w:color w:val="000000"/>
                <w:sz w:val="14"/>
                <w:szCs w:val="14"/>
              </w:rPr>
            </w:pPr>
            <w:r w:rsidRPr="00C13728">
              <w:rPr>
                <w:rFonts w:ascii="Times New Roman" w:hAnsi="Times New Roman" w:cs="Times New Roman"/>
                <w:b/>
                <w:bCs/>
                <w:color w:val="000000"/>
                <w:sz w:val="14"/>
                <w:szCs w:val="14"/>
              </w:rPr>
              <w:t>2010 S</w:t>
            </w:r>
          </w:p>
        </w:tc>
        <w:tc>
          <w:tcPr>
            <w:tcW w:w="58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C13728" w:rsidP="00257E12">
            <w:pPr>
              <w:bidi w:val="0"/>
              <w:jc w:val="center"/>
              <w:rPr>
                <w:rFonts w:ascii="Times New Roman" w:hAnsi="Times New Roman" w:cs="Times New Roman"/>
                <w:b/>
                <w:bCs/>
                <w:color w:val="000000"/>
                <w:sz w:val="14"/>
                <w:szCs w:val="14"/>
              </w:rPr>
            </w:pPr>
            <w:r w:rsidRPr="00C13728">
              <w:rPr>
                <w:rFonts w:ascii="Times New Roman" w:hAnsi="Times New Roman" w:cs="Times New Roman"/>
                <w:b/>
                <w:bCs/>
                <w:color w:val="000000"/>
                <w:sz w:val="14"/>
                <w:szCs w:val="14"/>
              </w:rPr>
              <w:t>2011 N</w:t>
            </w:r>
          </w:p>
        </w:tc>
        <w:tc>
          <w:tcPr>
            <w:tcW w:w="58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C13728" w:rsidP="00257E12">
            <w:pPr>
              <w:bidi w:val="0"/>
              <w:jc w:val="center"/>
              <w:rPr>
                <w:rFonts w:ascii="Times New Roman" w:hAnsi="Times New Roman" w:cs="Times New Roman"/>
                <w:b/>
                <w:bCs/>
                <w:color w:val="000000"/>
                <w:sz w:val="14"/>
                <w:szCs w:val="14"/>
              </w:rPr>
            </w:pPr>
            <w:r w:rsidRPr="00C13728">
              <w:rPr>
                <w:rFonts w:ascii="Times New Roman" w:hAnsi="Times New Roman" w:cs="Times New Roman"/>
                <w:b/>
                <w:bCs/>
                <w:color w:val="000000"/>
                <w:sz w:val="14"/>
                <w:szCs w:val="14"/>
              </w:rPr>
              <w:t>2011 OS</w:t>
            </w:r>
          </w:p>
        </w:tc>
        <w:tc>
          <w:tcPr>
            <w:tcW w:w="58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C13728" w:rsidP="00257E12">
            <w:pPr>
              <w:bidi w:val="0"/>
              <w:jc w:val="center"/>
              <w:rPr>
                <w:rFonts w:ascii="Times New Roman" w:hAnsi="Times New Roman" w:cs="Times New Roman"/>
                <w:b/>
                <w:bCs/>
                <w:color w:val="000000"/>
                <w:sz w:val="14"/>
                <w:szCs w:val="14"/>
              </w:rPr>
            </w:pPr>
            <w:r w:rsidRPr="00C13728">
              <w:rPr>
                <w:rFonts w:ascii="Times New Roman" w:hAnsi="Times New Roman" w:cs="Times New Roman"/>
                <w:b/>
                <w:bCs/>
                <w:color w:val="000000"/>
                <w:sz w:val="14"/>
                <w:szCs w:val="14"/>
              </w:rPr>
              <w:t>2012 N</w:t>
            </w:r>
          </w:p>
        </w:tc>
        <w:tc>
          <w:tcPr>
            <w:tcW w:w="58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C13728" w:rsidP="00257E12">
            <w:pPr>
              <w:bidi w:val="0"/>
              <w:jc w:val="center"/>
              <w:rPr>
                <w:rFonts w:ascii="Times New Roman" w:hAnsi="Times New Roman" w:cs="Times New Roman"/>
                <w:b/>
                <w:bCs/>
                <w:color w:val="000000"/>
                <w:sz w:val="14"/>
                <w:szCs w:val="14"/>
              </w:rPr>
            </w:pPr>
            <w:r w:rsidRPr="00C13728">
              <w:rPr>
                <w:rFonts w:ascii="Times New Roman" w:hAnsi="Times New Roman" w:cs="Times New Roman"/>
                <w:b/>
                <w:bCs/>
                <w:color w:val="000000"/>
                <w:sz w:val="14"/>
                <w:szCs w:val="14"/>
              </w:rPr>
              <w:t>2013 N</w:t>
            </w:r>
          </w:p>
        </w:tc>
        <w:tc>
          <w:tcPr>
            <w:tcW w:w="54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C13728" w:rsidP="00257E12">
            <w:pPr>
              <w:bidi w:val="0"/>
              <w:jc w:val="center"/>
              <w:rPr>
                <w:rFonts w:ascii="Times New Roman" w:hAnsi="Times New Roman" w:cs="Times New Roman"/>
                <w:b/>
                <w:bCs/>
                <w:color w:val="000000"/>
                <w:sz w:val="14"/>
                <w:szCs w:val="14"/>
              </w:rPr>
            </w:pPr>
            <w:r w:rsidRPr="00C13728">
              <w:rPr>
                <w:rFonts w:ascii="Times New Roman" w:hAnsi="Times New Roman" w:cs="Times New Roman"/>
                <w:b/>
                <w:bCs/>
                <w:color w:val="000000"/>
                <w:sz w:val="14"/>
                <w:szCs w:val="14"/>
              </w:rPr>
              <w:t>2014 N</w:t>
            </w:r>
          </w:p>
        </w:tc>
      </w:tr>
      <w:tr>
        <w:tblPrEx>
          <w:tblW w:w="4925" w:type="pct"/>
          <w:tblInd w:w="70" w:type="dxa"/>
          <w:tblCellMar>
            <w:left w:w="70" w:type="dxa"/>
            <w:right w:w="70" w:type="dxa"/>
          </w:tblCellMar>
          <w:tblLook w:val="04A0"/>
        </w:tblPrEx>
        <w:trPr>
          <w:trHeight w:val="245"/>
        </w:trPr>
        <w:tc>
          <w:tcPr>
            <w:tcW w:w="100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42914" w:rsidRPr="00BC5817" w:rsidP="00257E12">
            <w:pPr>
              <w:bidi w:val="0"/>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Spolu</w:t>
            </w:r>
          </w:p>
        </w:tc>
        <w:tc>
          <w:tcPr>
            <w:tcW w:w="55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9 058 644</w:t>
            </w:r>
          </w:p>
        </w:tc>
        <w:tc>
          <w:tcPr>
            <w:tcW w:w="55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6 435 032</w:t>
            </w:r>
          </w:p>
        </w:tc>
        <w:tc>
          <w:tcPr>
            <w:tcW w:w="58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5 500 000</w:t>
            </w:r>
          </w:p>
        </w:tc>
        <w:tc>
          <w:tcPr>
            <w:tcW w:w="58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5 500 000</w:t>
            </w:r>
          </w:p>
        </w:tc>
        <w:tc>
          <w:tcPr>
            <w:tcW w:w="58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1</w:t>
            </w:r>
            <w:r>
              <w:rPr>
                <w:rFonts w:ascii="Times New Roman" w:hAnsi="Times New Roman" w:cs="Times New Roman"/>
                <w:b/>
                <w:bCs/>
                <w:color w:val="000000"/>
                <w:sz w:val="14"/>
                <w:szCs w:val="14"/>
              </w:rPr>
              <w:t>0 250</w:t>
            </w:r>
            <w:r w:rsidRPr="00BC5817">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4</w:t>
            </w:r>
            <w:r w:rsidRPr="00BC5817">
              <w:rPr>
                <w:rFonts w:ascii="Times New Roman" w:hAnsi="Times New Roman" w:cs="Times New Roman"/>
                <w:b/>
                <w:bCs/>
                <w:color w:val="000000"/>
                <w:sz w:val="14"/>
                <w:szCs w:val="14"/>
              </w:rPr>
              <w:t>00</w:t>
            </w:r>
          </w:p>
        </w:tc>
        <w:tc>
          <w:tcPr>
            <w:tcW w:w="58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1 000 000</w:t>
            </w:r>
          </w:p>
        </w:tc>
        <w:tc>
          <w:tcPr>
            <w:tcW w:w="54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1 000 000</w:t>
            </w:r>
          </w:p>
        </w:tc>
      </w:tr>
      <w:tr>
        <w:tblPrEx>
          <w:tblW w:w="4925" w:type="pct"/>
          <w:tblInd w:w="70" w:type="dxa"/>
          <w:tblCellMar>
            <w:left w:w="70" w:type="dxa"/>
            <w:right w:w="70" w:type="dxa"/>
          </w:tblCellMar>
          <w:tblLook w:val="04A0"/>
        </w:tblPrEx>
        <w:trPr>
          <w:trHeight w:val="245"/>
        </w:trPr>
        <w:tc>
          <w:tcPr>
            <w:tcW w:w="100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 xml:space="preserve">Zdroje ŠR </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8 661 996</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6 435 032</w:t>
            </w:r>
          </w:p>
        </w:tc>
        <w:tc>
          <w:tcPr>
            <w:tcW w:w="588"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5 500 000</w:t>
            </w:r>
          </w:p>
        </w:tc>
        <w:tc>
          <w:tcPr>
            <w:tcW w:w="588"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5 500 000</w:t>
            </w:r>
          </w:p>
        </w:tc>
        <w:tc>
          <w:tcPr>
            <w:tcW w:w="588"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w:t>
            </w:r>
            <w:r>
              <w:rPr>
                <w:rFonts w:ascii="Times New Roman" w:hAnsi="Times New Roman" w:cs="Times New Roman"/>
                <w:color w:val="000000"/>
                <w:sz w:val="14"/>
                <w:szCs w:val="14"/>
              </w:rPr>
              <w:t>0 250</w:t>
            </w:r>
            <w:r w:rsidRPr="00BC5817">
              <w:rPr>
                <w:rFonts w:ascii="Times New Roman" w:hAnsi="Times New Roman" w:cs="Times New Roman"/>
                <w:color w:val="000000"/>
                <w:sz w:val="14"/>
                <w:szCs w:val="14"/>
              </w:rPr>
              <w:t xml:space="preserve"> </w:t>
            </w:r>
            <w:r>
              <w:rPr>
                <w:rFonts w:ascii="Times New Roman" w:hAnsi="Times New Roman" w:cs="Times New Roman"/>
                <w:color w:val="000000"/>
                <w:sz w:val="14"/>
                <w:szCs w:val="14"/>
              </w:rPr>
              <w:t>4</w:t>
            </w:r>
            <w:r w:rsidRPr="00BC5817">
              <w:rPr>
                <w:rFonts w:ascii="Times New Roman" w:hAnsi="Times New Roman" w:cs="Times New Roman"/>
                <w:color w:val="000000"/>
                <w:sz w:val="14"/>
                <w:szCs w:val="14"/>
              </w:rPr>
              <w:t>00</w:t>
            </w:r>
          </w:p>
        </w:tc>
        <w:tc>
          <w:tcPr>
            <w:tcW w:w="588"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1 000 000</w:t>
            </w:r>
          </w:p>
        </w:tc>
        <w:tc>
          <w:tcPr>
            <w:tcW w:w="54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1 000 000</w:t>
            </w:r>
          </w:p>
        </w:tc>
      </w:tr>
      <w:tr>
        <w:tblPrEx>
          <w:tblW w:w="4925" w:type="pct"/>
          <w:tblInd w:w="70" w:type="dxa"/>
          <w:tblCellMar>
            <w:left w:w="70" w:type="dxa"/>
            <w:right w:w="70" w:type="dxa"/>
          </w:tblCellMar>
          <w:tblLook w:val="04A0"/>
        </w:tblPrEx>
        <w:trPr>
          <w:trHeight w:val="245"/>
        </w:trPr>
        <w:tc>
          <w:tcPr>
            <w:tcW w:w="1001" w:type="pct"/>
            <w:tcBorders>
              <w:top w:val="single" w:sz="4" w:space="0" w:color="auto"/>
              <w:left w:val="single" w:sz="4" w:space="0" w:color="auto"/>
              <w:bottom w:val="single" w:sz="4" w:space="0" w:color="auto"/>
              <w:right w:val="single" w:sz="4" w:space="0" w:color="auto"/>
            </w:tcBorders>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 xml:space="preserve">Zdroj EÚ </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313 143</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88"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88"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88"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88"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4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r>
      <w:tr>
        <w:tblPrEx>
          <w:tblW w:w="4925" w:type="pct"/>
          <w:tblInd w:w="70" w:type="dxa"/>
          <w:tblCellMar>
            <w:left w:w="70" w:type="dxa"/>
            <w:right w:w="70" w:type="dxa"/>
          </w:tblCellMar>
          <w:tblLook w:val="04A0"/>
        </w:tblPrEx>
        <w:trPr>
          <w:trHeight w:val="245"/>
        </w:trPr>
        <w:tc>
          <w:tcPr>
            <w:tcW w:w="1001" w:type="pct"/>
            <w:tcBorders>
              <w:top w:val="single" w:sz="4" w:space="0" w:color="auto"/>
              <w:left w:val="single" w:sz="4" w:space="0" w:color="auto"/>
              <w:bottom w:val="single" w:sz="4" w:space="0" w:color="auto"/>
              <w:right w:val="single" w:sz="4" w:space="0" w:color="auto"/>
            </w:tcBorders>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 xml:space="preserve">Zdroj spolufinancovanie  </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83 505</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88"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88"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88"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88"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4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r>
    </w:tbl>
    <w:p w:rsidR="00F42914" w:rsidRPr="00432A91" w:rsidP="00F42914">
      <w:pPr>
        <w:bidi w:val="0"/>
        <w:jc w:val="both"/>
        <w:rPr>
          <w:rFonts w:ascii="Times New Roman" w:hAnsi="Times New Roman" w:cs="Times New Roman"/>
        </w:rPr>
      </w:pPr>
    </w:p>
    <w:p w:rsidR="00F42914" w:rsidRPr="00432A91" w:rsidP="00F42914">
      <w:pPr>
        <w:bidi w:val="0"/>
        <w:ind w:firstLine="708"/>
        <w:jc w:val="both"/>
        <w:rPr>
          <w:rFonts w:ascii="Times New Roman" w:hAnsi="Times New Roman" w:cs="Times New Roman"/>
        </w:rPr>
      </w:pPr>
      <w:r w:rsidRPr="00432A91">
        <w:rPr>
          <w:rFonts w:ascii="Times New Roman" w:hAnsi="Times New Roman" w:cs="Times New Roman"/>
        </w:rPr>
        <w:t xml:space="preserve">V oblasti leteckej dopravy sú výdavky v roku </w:t>
      </w:r>
      <w:r>
        <w:rPr>
          <w:rFonts w:ascii="Times New Roman" w:hAnsi="Times New Roman" w:cs="Times New Roman"/>
        </w:rPr>
        <w:t>2012 rozpočtované vo výške 10,3 </w:t>
      </w:r>
      <w:r w:rsidRPr="00432A91">
        <w:rPr>
          <w:rFonts w:ascii="Times New Roman" w:hAnsi="Times New Roman" w:cs="Times New Roman"/>
        </w:rPr>
        <w:t>mil.</w:t>
      </w:r>
      <w:r>
        <w:rPr>
          <w:rFonts w:ascii="Times New Roman" w:hAnsi="Times New Roman" w:cs="Times New Roman"/>
        </w:rPr>
        <w:t> </w:t>
      </w:r>
      <w:r w:rsidRPr="00432A91">
        <w:rPr>
          <w:rFonts w:ascii="Times New Roman" w:hAnsi="Times New Roman" w:cs="Times New Roman"/>
        </w:rPr>
        <w:t xml:space="preserve">eur a sú smerované najmä na zabezpečenie poskytovania služieb súvisiacich s odletmi a pristátiami lietadiel pri vykonávaní letov, ktoré sú oslobodené od odplát za pristátia a odplát za používanie letiska. Uvedené výdavky sú smerované pre letiská v Bratislave, Košiciach, Poprade, Sliači, Piešťanoch a v Žiline. V porovnaní so schváleným rozpočtom roku 2011 sú výdavky </w:t>
      </w:r>
      <w:r>
        <w:rPr>
          <w:rFonts w:ascii="Times New Roman" w:hAnsi="Times New Roman" w:cs="Times New Roman"/>
        </w:rPr>
        <w:t>vyšš</w:t>
      </w:r>
      <w:r w:rsidRPr="00432A91">
        <w:rPr>
          <w:rFonts w:ascii="Times New Roman" w:hAnsi="Times New Roman" w:cs="Times New Roman"/>
        </w:rPr>
        <w:t>ie</w:t>
      </w:r>
      <w:r w:rsidRPr="00432A91">
        <w:rPr>
          <w:rFonts w:ascii="Times New Roman" w:hAnsi="Times New Roman" w:cs="Times New Roman"/>
          <w:b/>
        </w:rPr>
        <w:t xml:space="preserve"> </w:t>
      </w:r>
      <w:r w:rsidRPr="00432A91">
        <w:rPr>
          <w:rFonts w:ascii="Times New Roman" w:hAnsi="Times New Roman" w:cs="Times New Roman"/>
        </w:rPr>
        <w:t>o</w:t>
      </w:r>
      <w:r>
        <w:rPr>
          <w:rFonts w:ascii="Times New Roman" w:hAnsi="Times New Roman" w:cs="Times New Roman"/>
        </w:rPr>
        <w:t> 86,4 %, t, j.</w:t>
      </w:r>
      <w:r w:rsidRPr="00432A91">
        <w:rPr>
          <w:rFonts w:ascii="Times New Roman" w:hAnsi="Times New Roman" w:cs="Times New Roman"/>
        </w:rPr>
        <w:t> 4,</w:t>
      </w:r>
      <w:r>
        <w:rPr>
          <w:rFonts w:ascii="Times New Roman" w:hAnsi="Times New Roman" w:cs="Times New Roman"/>
        </w:rPr>
        <w:t>7</w:t>
      </w:r>
      <w:r w:rsidRPr="00432A91">
        <w:rPr>
          <w:rFonts w:ascii="Times New Roman" w:hAnsi="Times New Roman" w:cs="Times New Roman"/>
        </w:rPr>
        <w:t xml:space="preserve">5 mil. eur. </w:t>
      </w:r>
    </w:p>
    <w:p w:rsidR="00F42914" w:rsidP="00F42914">
      <w:pPr>
        <w:bidi w:val="0"/>
        <w:jc w:val="both"/>
        <w:rPr>
          <w:rFonts w:ascii="Times New Roman" w:hAnsi="Times New Roman" w:cs="Times New Roman"/>
          <w:b/>
        </w:rPr>
      </w:pPr>
    </w:p>
    <w:p w:rsidR="00F42914" w:rsidRPr="00432A91" w:rsidP="00F42914">
      <w:pPr>
        <w:bidi w:val="0"/>
        <w:jc w:val="both"/>
        <w:rPr>
          <w:rFonts w:ascii="Times New Roman" w:hAnsi="Times New Roman" w:cs="Times New Roman"/>
          <w:b/>
        </w:rPr>
      </w:pPr>
      <w:r w:rsidRPr="00432A91">
        <w:rPr>
          <w:rFonts w:ascii="Times New Roman" w:hAnsi="Times New Roman" w:cs="Times New Roman"/>
          <w:b/>
        </w:rPr>
        <w:t>Podpora rozvoja bývania</w:t>
      </w:r>
    </w:p>
    <w:p w:rsidR="00F42914" w:rsidRPr="00432A91" w:rsidP="00F42914">
      <w:pPr>
        <w:bidi w:val="0"/>
        <w:jc w:val="both"/>
        <w:rPr>
          <w:rFonts w:ascii="Times New Roman" w:hAnsi="Times New Roman" w:cs="Times New Roman"/>
          <w:b/>
        </w:rPr>
      </w:pPr>
    </w:p>
    <w:tbl>
      <w:tblPr>
        <w:tblStyle w:val="TableNormal"/>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08"/>
        <w:gridCol w:w="1017"/>
        <w:gridCol w:w="1017"/>
        <w:gridCol w:w="1017"/>
        <w:gridCol w:w="1017"/>
        <w:gridCol w:w="1017"/>
        <w:gridCol w:w="1017"/>
        <w:gridCol w:w="875"/>
      </w:tblGrid>
      <w:tr>
        <w:tblPrEx>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38"/>
        </w:trPr>
        <w:tc>
          <w:tcPr>
            <w:tcW w:w="210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BC5817" w:rsidP="00257E12">
            <w:pPr>
              <w:bidi w:val="0"/>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 xml:space="preserve"> v eurách</w:t>
            </w:r>
          </w:p>
        </w:tc>
        <w:tc>
          <w:tcPr>
            <w:tcW w:w="101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2009 S</w:t>
            </w:r>
          </w:p>
        </w:tc>
        <w:tc>
          <w:tcPr>
            <w:tcW w:w="101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2010 S</w:t>
            </w:r>
          </w:p>
        </w:tc>
        <w:tc>
          <w:tcPr>
            <w:tcW w:w="101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2011 R</w:t>
            </w:r>
          </w:p>
        </w:tc>
        <w:tc>
          <w:tcPr>
            <w:tcW w:w="101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2011 OS</w:t>
            </w:r>
          </w:p>
        </w:tc>
        <w:tc>
          <w:tcPr>
            <w:tcW w:w="101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2012 N</w:t>
            </w:r>
          </w:p>
        </w:tc>
        <w:tc>
          <w:tcPr>
            <w:tcW w:w="101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2013 N</w:t>
            </w:r>
          </w:p>
        </w:tc>
        <w:tc>
          <w:tcPr>
            <w:tcW w:w="87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2014 N</w:t>
            </w:r>
          </w:p>
        </w:tc>
      </w:tr>
      <w:tr>
        <w:tblPrEx>
          <w:tblW w:w="9085" w:type="dxa"/>
          <w:tblInd w:w="57" w:type="dxa"/>
          <w:tblCellMar>
            <w:left w:w="70" w:type="dxa"/>
            <w:right w:w="70" w:type="dxa"/>
          </w:tblCellMar>
          <w:tblLook w:val="04A0"/>
        </w:tblPrEx>
        <w:trPr>
          <w:trHeight w:val="238"/>
        </w:trPr>
        <w:tc>
          <w:tcPr>
            <w:tcW w:w="210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BC5817" w:rsidP="00257E12">
            <w:pPr>
              <w:bidi w:val="0"/>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 xml:space="preserve">Spolu dotácie </w:t>
            </w:r>
          </w:p>
        </w:tc>
        <w:tc>
          <w:tcPr>
            <w:tcW w:w="101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122 274 041</w:t>
            </w:r>
          </w:p>
        </w:tc>
        <w:tc>
          <w:tcPr>
            <w:tcW w:w="101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105 438 073</w:t>
            </w:r>
          </w:p>
        </w:tc>
        <w:tc>
          <w:tcPr>
            <w:tcW w:w="101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104 347 033</w:t>
            </w:r>
          </w:p>
        </w:tc>
        <w:tc>
          <w:tcPr>
            <w:tcW w:w="101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104 173 070</w:t>
            </w:r>
          </w:p>
        </w:tc>
        <w:tc>
          <w:tcPr>
            <w:tcW w:w="101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102</w:t>
            </w:r>
            <w:r w:rsidRPr="00BC5817">
              <w:rPr>
                <w:rFonts w:ascii="Times New Roman" w:hAnsi="Times New Roman" w:cs="Times New Roman"/>
                <w:b/>
                <w:bCs/>
                <w:color w:val="000000"/>
                <w:sz w:val="14"/>
                <w:szCs w:val="14"/>
              </w:rPr>
              <w:t xml:space="preserve"> 500 000</w:t>
            </w:r>
          </w:p>
        </w:tc>
        <w:tc>
          <w:tcPr>
            <w:tcW w:w="101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53</w:t>
            </w:r>
            <w:r w:rsidRPr="00BC5817">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8</w:t>
            </w:r>
            <w:r w:rsidRPr="00BC5817">
              <w:rPr>
                <w:rFonts w:ascii="Times New Roman" w:hAnsi="Times New Roman" w:cs="Times New Roman"/>
                <w:b/>
                <w:bCs/>
                <w:color w:val="000000"/>
                <w:sz w:val="14"/>
                <w:szCs w:val="14"/>
              </w:rPr>
              <w:t>50 000</w:t>
            </w:r>
          </w:p>
        </w:tc>
        <w:tc>
          <w:tcPr>
            <w:tcW w:w="875"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60</w:t>
            </w:r>
            <w:r w:rsidRPr="00BC5817">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4</w:t>
            </w:r>
            <w:r w:rsidRPr="00BC5817">
              <w:rPr>
                <w:rFonts w:ascii="Times New Roman" w:hAnsi="Times New Roman" w:cs="Times New Roman"/>
                <w:b/>
                <w:bCs/>
                <w:color w:val="000000"/>
                <w:sz w:val="14"/>
                <w:szCs w:val="14"/>
              </w:rPr>
              <w:t>50 000</w:t>
            </w:r>
          </w:p>
        </w:tc>
      </w:tr>
      <w:tr>
        <w:tblPrEx>
          <w:tblW w:w="9085" w:type="dxa"/>
          <w:tblInd w:w="57" w:type="dxa"/>
          <w:tblCellMar>
            <w:left w:w="70" w:type="dxa"/>
            <w:right w:w="70" w:type="dxa"/>
          </w:tblCellMar>
          <w:tblLook w:val="04A0"/>
        </w:tblPrEx>
        <w:trPr>
          <w:trHeight w:val="238"/>
        </w:trPr>
        <w:tc>
          <w:tcPr>
            <w:tcW w:w="2108"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 xml:space="preserve">Výst. a obn. byt. fondu (dotácie) </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56 927 351</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40 356 180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35 000 000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35 016 939</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25 000 000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875"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r>
      <w:tr>
        <w:tblPrEx>
          <w:tblW w:w="9085" w:type="dxa"/>
          <w:tblInd w:w="57" w:type="dxa"/>
          <w:tblCellMar>
            <w:left w:w="70" w:type="dxa"/>
            <w:right w:w="70" w:type="dxa"/>
          </w:tblCellMar>
          <w:tblLook w:val="04A0"/>
        </w:tblPrEx>
        <w:trPr>
          <w:trHeight w:val="238"/>
        </w:trPr>
        <w:tc>
          <w:tcPr>
            <w:tcW w:w="210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Náhradné nájomné byty</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7 000 000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13 550 000</w:t>
            </w:r>
          </w:p>
        </w:tc>
        <w:tc>
          <w:tcPr>
            <w:tcW w:w="875"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19 050 000</w:t>
            </w:r>
          </w:p>
        </w:tc>
      </w:tr>
      <w:tr>
        <w:tblPrEx>
          <w:tblW w:w="9085" w:type="dxa"/>
          <w:tblInd w:w="57" w:type="dxa"/>
          <w:tblCellMar>
            <w:left w:w="70" w:type="dxa"/>
            <w:right w:w="70" w:type="dxa"/>
          </w:tblCellMar>
          <w:tblLook w:val="04A0"/>
        </w:tblPrEx>
        <w:trPr>
          <w:trHeight w:val="238"/>
        </w:trPr>
        <w:tc>
          <w:tcPr>
            <w:tcW w:w="2108"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 xml:space="preserve">Štát. prémia v staveb. sporení </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43 624 145</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41 614 051</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43 347 033</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43 156 131</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43 000 000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9</w:t>
            </w:r>
            <w:r w:rsidRPr="00BC5817">
              <w:rPr>
                <w:rFonts w:ascii="Times New Roman" w:hAnsi="Times New Roman" w:cs="Times New Roman"/>
                <w:color w:val="000000"/>
                <w:sz w:val="14"/>
                <w:szCs w:val="14"/>
              </w:rPr>
              <w:t xml:space="preserve"> </w:t>
            </w:r>
            <w:r>
              <w:rPr>
                <w:rFonts w:ascii="Times New Roman" w:hAnsi="Times New Roman" w:cs="Times New Roman"/>
                <w:color w:val="000000"/>
                <w:sz w:val="14"/>
                <w:szCs w:val="14"/>
              </w:rPr>
              <w:t>3</w:t>
            </w:r>
            <w:r w:rsidRPr="00BC5817">
              <w:rPr>
                <w:rFonts w:ascii="Times New Roman" w:hAnsi="Times New Roman" w:cs="Times New Roman"/>
                <w:color w:val="000000"/>
                <w:sz w:val="14"/>
                <w:szCs w:val="14"/>
              </w:rPr>
              <w:t>00 000</w:t>
            </w:r>
          </w:p>
        </w:tc>
        <w:tc>
          <w:tcPr>
            <w:tcW w:w="875"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6 4</w:t>
            </w:r>
            <w:r w:rsidRPr="00BC5817">
              <w:rPr>
                <w:rFonts w:ascii="Times New Roman" w:hAnsi="Times New Roman" w:cs="Times New Roman"/>
                <w:color w:val="000000"/>
                <w:sz w:val="14"/>
                <w:szCs w:val="14"/>
              </w:rPr>
              <w:t>00 000</w:t>
            </w:r>
          </w:p>
        </w:tc>
      </w:tr>
      <w:tr>
        <w:tblPrEx>
          <w:tblW w:w="9085" w:type="dxa"/>
          <w:tblInd w:w="57" w:type="dxa"/>
          <w:tblCellMar>
            <w:left w:w="70" w:type="dxa"/>
            <w:right w:w="70" w:type="dxa"/>
          </w:tblCellMar>
          <w:tblLook w:val="04A0"/>
        </w:tblPrEx>
        <w:trPr>
          <w:trHeight w:val="238"/>
        </w:trPr>
        <w:tc>
          <w:tcPr>
            <w:tcW w:w="2108"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 xml:space="preserve">Bonifikácia k hypotek. úverom </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21 722 545</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23 467 842</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26 000 000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26 000 000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27 500 000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31 000 000</w:t>
            </w:r>
          </w:p>
        </w:tc>
        <w:tc>
          <w:tcPr>
            <w:tcW w:w="875"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35 000 000</w:t>
            </w:r>
          </w:p>
        </w:tc>
      </w:tr>
    </w:tbl>
    <w:p w:rsidR="00F42914" w:rsidRPr="00E167C4" w:rsidP="00F42914">
      <w:pPr>
        <w:bidi w:val="0"/>
        <w:jc w:val="both"/>
        <w:rPr>
          <w:rFonts w:ascii="Times New Roman" w:hAnsi="Times New Roman" w:cs="Times New Roman"/>
          <w:sz w:val="16"/>
          <w:szCs w:val="16"/>
        </w:rPr>
      </w:pPr>
      <w:r w:rsidRPr="00E167C4">
        <w:rPr>
          <w:rFonts w:ascii="Times New Roman" w:hAnsi="Times New Roman" w:cs="Times New Roman"/>
          <w:sz w:val="16"/>
          <w:szCs w:val="16"/>
        </w:rPr>
        <w:t>Poznámka: Výdavky boli do roku 2011 rozpočtované v kapitole MVRR SR</w:t>
      </w:r>
    </w:p>
    <w:p w:rsidR="00F42914" w:rsidRPr="00432A91" w:rsidP="00F42914">
      <w:pPr>
        <w:bidi w:val="0"/>
        <w:jc w:val="both"/>
        <w:rPr>
          <w:rFonts w:ascii="Times New Roman" w:hAnsi="Times New Roman" w:cs="Times New Roman"/>
          <w:szCs w:val="16"/>
        </w:rPr>
      </w:pPr>
    </w:p>
    <w:p w:rsidR="00F42914" w:rsidRPr="003F017B" w:rsidP="00F42914">
      <w:pPr>
        <w:shd w:val="clear" w:color="auto" w:fill="FFFFFF"/>
        <w:bidi w:val="0"/>
        <w:ind w:firstLine="708"/>
        <w:jc w:val="both"/>
        <w:rPr>
          <w:rFonts w:ascii="Times New Roman" w:hAnsi="Times New Roman" w:cs="Times New Roman"/>
          <w:szCs w:val="22"/>
        </w:rPr>
      </w:pPr>
      <w:r w:rsidRPr="00432A91">
        <w:rPr>
          <w:rFonts w:ascii="Times New Roman" w:hAnsi="Times New Roman" w:cs="Times New Roman"/>
          <w:szCs w:val="22"/>
        </w:rPr>
        <w:t>Na podporu rozvoja bývania cez</w:t>
      </w:r>
      <w:r w:rsidRPr="00432A91">
        <w:rPr>
          <w:rFonts w:ascii="Times New Roman" w:hAnsi="Times New Roman" w:cs="Times New Roman"/>
          <w:b/>
          <w:szCs w:val="22"/>
        </w:rPr>
        <w:t xml:space="preserve"> </w:t>
      </w:r>
      <w:r w:rsidRPr="00432A91">
        <w:rPr>
          <w:rFonts w:ascii="Times New Roman" w:hAnsi="Times New Roman" w:cs="Times New Roman"/>
          <w:szCs w:val="22"/>
        </w:rPr>
        <w:t>dotácie sa v roku 2012 rozpočtujú výdavky zo štátneho rozpočtu</w:t>
      </w:r>
      <w:r>
        <w:rPr>
          <w:rFonts w:ascii="Times New Roman" w:hAnsi="Times New Roman" w:cs="Times New Roman"/>
          <w:szCs w:val="22"/>
        </w:rPr>
        <w:t xml:space="preserve"> </w:t>
      </w:r>
      <w:r w:rsidRPr="00432A91">
        <w:rPr>
          <w:rFonts w:ascii="Times New Roman" w:hAnsi="Times New Roman" w:cs="Times New Roman"/>
          <w:szCs w:val="22"/>
        </w:rPr>
        <w:t>v</w:t>
      </w:r>
      <w:r>
        <w:rPr>
          <w:rFonts w:ascii="Times New Roman" w:hAnsi="Times New Roman" w:cs="Times New Roman"/>
          <w:szCs w:val="22"/>
        </w:rPr>
        <w:t> </w:t>
      </w:r>
      <w:r w:rsidRPr="00432A91">
        <w:rPr>
          <w:rFonts w:ascii="Times New Roman" w:hAnsi="Times New Roman" w:cs="Times New Roman"/>
          <w:szCs w:val="22"/>
        </w:rPr>
        <w:t>sume</w:t>
      </w:r>
      <w:r>
        <w:rPr>
          <w:rFonts w:ascii="Times New Roman" w:hAnsi="Times New Roman" w:cs="Times New Roman"/>
          <w:szCs w:val="22"/>
        </w:rPr>
        <w:t xml:space="preserve"> 103</w:t>
      </w:r>
      <w:r w:rsidRPr="00432A91">
        <w:rPr>
          <w:rFonts w:ascii="Times New Roman" w:hAnsi="Times New Roman" w:cs="Times New Roman"/>
          <w:szCs w:val="22"/>
        </w:rPr>
        <w:t xml:space="preserve"> mil. eur. Výdavky v porovnaní so schváleným rozpočtom roku 2011 sú nižšie o </w:t>
      </w:r>
      <w:r>
        <w:rPr>
          <w:rFonts w:ascii="Times New Roman" w:hAnsi="Times New Roman" w:cs="Times New Roman"/>
          <w:szCs w:val="22"/>
        </w:rPr>
        <w:t>1</w:t>
      </w:r>
      <w:r w:rsidRPr="003F017B">
        <w:rPr>
          <w:rFonts w:ascii="Times New Roman" w:hAnsi="Times New Roman" w:cs="Times New Roman"/>
          <w:szCs w:val="22"/>
        </w:rPr>
        <w:t>,</w:t>
      </w:r>
      <w:r>
        <w:rPr>
          <w:rFonts w:ascii="Times New Roman" w:hAnsi="Times New Roman" w:cs="Times New Roman"/>
          <w:szCs w:val="22"/>
        </w:rPr>
        <w:t>7</w:t>
      </w:r>
      <w:r w:rsidRPr="003F017B">
        <w:rPr>
          <w:rFonts w:ascii="Times New Roman" w:hAnsi="Times New Roman" w:cs="Times New Roman"/>
          <w:szCs w:val="22"/>
        </w:rPr>
        <w:t>7 %, t.</w:t>
      </w:r>
      <w:r>
        <w:rPr>
          <w:rFonts w:ascii="Times New Roman" w:hAnsi="Times New Roman" w:cs="Times New Roman"/>
          <w:szCs w:val="22"/>
        </w:rPr>
        <w:t xml:space="preserve"> </w:t>
      </w:r>
      <w:r w:rsidRPr="003F017B">
        <w:rPr>
          <w:rFonts w:ascii="Times New Roman" w:hAnsi="Times New Roman" w:cs="Times New Roman"/>
          <w:szCs w:val="22"/>
        </w:rPr>
        <w:t>j. o</w:t>
      </w:r>
      <w:r>
        <w:rPr>
          <w:rFonts w:ascii="Times New Roman" w:hAnsi="Times New Roman" w:cs="Times New Roman"/>
          <w:szCs w:val="22"/>
        </w:rPr>
        <w:t> 1,85</w:t>
      </w:r>
      <w:r w:rsidRPr="003F017B">
        <w:rPr>
          <w:rFonts w:ascii="Times New Roman" w:hAnsi="Times New Roman" w:cs="Times New Roman"/>
          <w:szCs w:val="22"/>
        </w:rPr>
        <w:t xml:space="preserve"> mil. eur</w:t>
      </w:r>
      <w:r w:rsidRPr="003F017B">
        <w:rPr>
          <w:rFonts w:ascii="Times New Roman" w:hAnsi="Times New Roman" w:cs="Times New Roman"/>
          <w:b/>
          <w:szCs w:val="22"/>
        </w:rPr>
        <w:t xml:space="preserve">, </w:t>
      </w:r>
      <w:r w:rsidRPr="003F017B">
        <w:rPr>
          <w:rFonts w:ascii="Times New Roman" w:hAnsi="Times New Roman" w:cs="Times New Roman"/>
          <w:szCs w:val="22"/>
        </w:rPr>
        <w:t xml:space="preserve">v nadväznosti na </w:t>
      </w:r>
      <w:r>
        <w:rPr>
          <w:rFonts w:ascii="Times New Roman" w:hAnsi="Times New Roman" w:cs="Times New Roman"/>
          <w:szCs w:val="22"/>
        </w:rPr>
        <w:t xml:space="preserve">zníženie </w:t>
      </w:r>
      <w:r w:rsidRPr="003F017B">
        <w:rPr>
          <w:rFonts w:ascii="Times New Roman" w:hAnsi="Times New Roman" w:cs="Times New Roman"/>
          <w:szCs w:val="22"/>
        </w:rPr>
        <w:t xml:space="preserve">výdavkov na  výstavbu a obnovu bytového fondu. Výdavky v sume 7 mil. eur sú v nadväznosti na zákon </w:t>
      </w:r>
      <w:r>
        <w:rPr>
          <w:rFonts w:ascii="Times New Roman" w:hAnsi="Times New Roman" w:cs="Times New Roman"/>
          <w:szCs w:val="22"/>
        </w:rPr>
        <w:br/>
      </w:r>
      <w:r w:rsidRPr="003F017B">
        <w:rPr>
          <w:rFonts w:ascii="Times New Roman" w:hAnsi="Times New Roman" w:cs="Times New Roman"/>
          <w:szCs w:val="22"/>
        </w:rPr>
        <w:t xml:space="preserve">č. 260/2011 </w:t>
      </w:r>
      <w:r>
        <w:rPr>
          <w:rFonts w:ascii="Times New Roman" w:hAnsi="Times New Roman" w:cs="Times New Roman"/>
          <w:szCs w:val="22"/>
        </w:rPr>
        <w:t xml:space="preserve">Z. z. </w:t>
      </w:r>
      <w:r w:rsidRPr="003F017B">
        <w:rPr>
          <w:rFonts w:ascii="Times New Roman" w:hAnsi="Times New Roman" w:cs="Times New Roman"/>
          <w:szCs w:val="22"/>
        </w:rPr>
        <w:t>o ukončení a spôsobe usporiadania niektorých nájomných vzťahov k bytom od roku 2012 určené na dotácie obciam na obstaranie náhradných nájomných bytov za reštituované byty. Okrem toho sa v rámci podpory rozvoja bývania rozpočtujú výdavky na štátnu prémiu k stavebnému sporeniu vo výške 43,0 mil. eur a na štátny príspevok k hypotekárnym úverom v čiastke 27,5 mil. eur. Vo výdavkoch na štátnu prémiu je zohľadnená legislatívna úprava zákona o stavebnom sporení.</w:t>
      </w:r>
    </w:p>
    <w:p w:rsidR="00F42914" w:rsidRPr="003F017B" w:rsidP="00F42914">
      <w:pPr>
        <w:bidi w:val="0"/>
        <w:jc w:val="both"/>
        <w:rPr>
          <w:rFonts w:ascii="Times New Roman" w:hAnsi="Times New Roman" w:cs="Times New Roman"/>
          <w:szCs w:val="22"/>
        </w:rPr>
      </w:pPr>
    </w:p>
    <w:p w:rsidR="00F42914" w:rsidP="00F42914">
      <w:pPr>
        <w:bidi w:val="0"/>
        <w:ind w:firstLine="708"/>
        <w:jc w:val="both"/>
        <w:rPr>
          <w:rFonts w:ascii="Times New Roman" w:hAnsi="Times New Roman" w:cs="Times New Roman"/>
          <w:szCs w:val="22"/>
        </w:rPr>
      </w:pPr>
      <w:r w:rsidRPr="003F017B">
        <w:rPr>
          <w:rFonts w:ascii="Times New Roman" w:hAnsi="Times New Roman" w:cs="Times New Roman"/>
          <w:szCs w:val="22"/>
        </w:rPr>
        <w:t>Z čiastky 27,5 mil. eur na štátny príspevok k hypotekárnym úverom je rozpočtovaných 15,5 mil. eur na príspevok pre mladých, čo v porovnaní so schváleným rozpočtom roku 2011 predstavuje zvýšenie o 3,77 mil. eur a na ostatné príspevky k hypotekárnym úverom je rozpočtovaných 12,0 mil. eur.</w:t>
      </w:r>
    </w:p>
    <w:p w:rsidR="00F42914" w:rsidRPr="00432A91" w:rsidP="00F42914">
      <w:pPr>
        <w:bidi w:val="0"/>
        <w:jc w:val="both"/>
        <w:rPr>
          <w:rFonts w:ascii="Times New Roman" w:hAnsi="Times New Roman" w:cs="Times New Roman"/>
          <w:szCs w:val="22"/>
        </w:rPr>
      </w:pPr>
    </w:p>
    <w:tbl>
      <w:tblPr>
        <w:tblStyle w:val="TableNormal"/>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41"/>
        <w:gridCol w:w="1124"/>
        <w:gridCol w:w="1051"/>
        <w:gridCol w:w="1045"/>
        <w:gridCol w:w="1045"/>
        <w:gridCol w:w="1045"/>
        <w:gridCol w:w="1045"/>
        <w:gridCol w:w="978"/>
      </w:tblGrid>
      <w:tr>
        <w:tblPrEx>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30"/>
        </w:trPr>
        <w:tc>
          <w:tcPr>
            <w:tcW w:w="95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BC5817" w:rsidP="00257E12">
            <w:pPr>
              <w:bidi w:val="0"/>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v eurách</w:t>
            </w:r>
          </w:p>
        </w:tc>
        <w:tc>
          <w:tcPr>
            <w:tcW w:w="61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2009 S</w:t>
            </w:r>
          </w:p>
        </w:tc>
        <w:tc>
          <w:tcPr>
            <w:tcW w:w="57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2010 S</w:t>
            </w:r>
          </w:p>
        </w:tc>
        <w:tc>
          <w:tcPr>
            <w:tcW w:w="57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2011 R</w:t>
            </w:r>
          </w:p>
        </w:tc>
        <w:tc>
          <w:tcPr>
            <w:tcW w:w="57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2011 OS</w:t>
            </w:r>
          </w:p>
        </w:tc>
        <w:tc>
          <w:tcPr>
            <w:tcW w:w="57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2012 N</w:t>
            </w:r>
          </w:p>
        </w:tc>
        <w:tc>
          <w:tcPr>
            <w:tcW w:w="57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2013 N</w:t>
            </w:r>
          </w:p>
        </w:tc>
        <w:tc>
          <w:tcPr>
            <w:tcW w:w="53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2014 N</w:t>
            </w:r>
          </w:p>
        </w:tc>
      </w:tr>
      <w:tr>
        <w:tblPrEx>
          <w:tblW w:w="4925" w:type="pct"/>
          <w:tblInd w:w="70" w:type="dxa"/>
          <w:tblCellMar>
            <w:left w:w="70" w:type="dxa"/>
            <w:right w:w="70" w:type="dxa"/>
          </w:tblCellMar>
          <w:tblLook w:val="04A0"/>
        </w:tblPrEx>
        <w:trPr>
          <w:trHeight w:val="230"/>
        </w:trPr>
        <w:tc>
          <w:tcPr>
            <w:tcW w:w="9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42914" w:rsidRPr="00BC5817" w:rsidP="00257E12">
            <w:pPr>
              <w:bidi w:val="0"/>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Zdroje ŠFRB</w:t>
            </w:r>
          </w:p>
        </w:tc>
        <w:tc>
          <w:tcPr>
            <w:tcW w:w="61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225 200 421</w:t>
            </w:r>
          </w:p>
        </w:tc>
        <w:tc>
          <w:tcPr>
            <w:tcW w:w="57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152 011 692</w:t>
            </w:r>
          </w:p>
        </w:tc>
        <w:tc>
          <w:tcPr>
            <w:tcW w:w="5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149 134 896</w:t>
            </w:r>
          </w:p>
        </w:tc>
        <w:tc>
          <w:tcPr>
            <w:tcW w:w="5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154 603 042</w:t>
            </w:r>
          </w:p>
        </w:tc>
        <w:tc>
          <w:tcPr>
            <w:tcW w:w="5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157 166 055</w:t>
            </w:r>
          </w:p>
        </w:tc>
        <w:tc>
          <w:tcPr>
            <w:tcW w:w="5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159 717 506</w:t>
            </w:r>
          </w:p>
        </w:tc>
        <w:tc>
          <w:tcPr>
            <w:tcW w:w="53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164 350 879</w:t>
            </w:r>
          </w:p>
        </w:tc>
      </w:tr>
      <w:tr>
        <w:tblPrEx>
          <w:tblW w:w="4925" w:type="pct"/>
          <w:tblInd w:w="70" w:type="dxa"/>
          <w:tblCellMar>
            <w:left w:w="70" w:type="dxa"/>
            <w:right w:w="70" w:type="dxa"/>
          </w:tblCellMar>
          <w:tblLook w:val="04A0"/>
        </w:tblPrEx>
        <w:trPr>
          <w:trHeight w:val="230"/>
        </w:trPr>
        <w:tc>
          <w:tcPr>
            <w:tcW w:w="95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Transfer zo ŠR</w:t>
            </w:r>
          </w:p>
        </w:tc>
        <w:tc>
          <w:tcPr>
            <w:tcW w:w="61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137 962 200</w:t>
            </w:r>
          </w:p>
        </w:tc>
        <w:tc>
          <w:tcPr>
            <w:tcW w:w="57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54 904 000</w:t>
            </w:r>
          </w:p>
        </w:tc>
        <w:tc>
          <w:tcPr>
            <w:tcW w:w="576"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54 904 000</w:t>
            </w:r>
          </w:p>
        </w:tc>
        <w:tc>
          <w:tcPr>
            <w:tcW w:w="576"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54 904 000</w:t>
            </w:r>
          </w:p>
        </w:tc>
        <w:tc>
          <w:tcPr>
            <w:tcW w:w="576"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54 904 000</w:t>
            </w:r>
          </w:p>
        </w:tc>
        <w:tc>
          <w:tcPr>
            <w:tcW w:w="576"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54 904 000</w:t>
            </w:r>
          </w:p>
        </w:tc>
        <w:tc>
          <w:tcPr>
            <w:tcW w:w="53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54 904 000</w:t>
            </w:r>
          </w:p>
        </w:tc>
      </w:tr>
      <w:tr>
        <w:tblPrEx>
          <w:tblW w:w="4925" w:type="pct"/>
          <w:tblInd w:w="70" w:type="dxa"/>
          <w:tblCellMar>
            <w:left w:w="70" w:type="dxa"/>
            <w:right w:w="70" w:type="dxa"/>
          </w:tblCellMar>
          <w:tblLook w:val="04A0"/>
        </w:tblPrEx>
        <w:trPr>
          <w:trHeight w:val="230"/>
        </w:trPr>
        <w:tc>
          <w:tcPr>
            <w:tcW w:w="95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Vlastné príjmy</w:t>
            </w:r>
          </w:p>
        </w:tc>
        <w:tc>
          <w:tcPr>
            <w:tcW w:w="61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87 238 221</w:t>
            </w:r>
          </w:p>
        </w:tc>
        <w:tc>
          <w:tcPr>
            <w:tcW w:w="57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97 107 692</w:t>
            </w:r>
          </w:p>
        </w:tc>
        <w:tc>
          <w:tcPr>
            <w:tcW w:w="576"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94 230 896</w:t>
            </w:r>
          </w:p>
        </w:tc>
        <w:tc>
          <w:tcPr>
            <w:tcW w:w="576"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99 699 042</w:t>
            </w:r>
          </w:p>
        </w:tc>
        <w:tc>
          <w:tcPr>
            <w:tcW w:w="576"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102 262 055</w:t>
            </w:r>
          </w:p>
        </w:tc>
        <w:tc>
          <w:tcPr>
            <w:tcW w:w="576"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104 813 506</w:t>
            </w:r>
          </w:p>
        </w:tc>
        <w:tc>
          <w:tcPr>
            <w:tcW w:w="53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109 449 879</w:t>
            </w:r>
          </w:p>
        </w:tc>
      </w:tr>
    </w:tbl>
    <w:p w:rsidR="00F42914" w:rsidRPr="00E167C4" w:rsidP="00F42914">
      <w:pPr>
        <w:bidi w:val="0"/>
        <w:jc w:val="both"/>
        <w:rPr>
          <w:rFonts w:ascii="Times New Roman" w:hAnsi="Times New Roman" w:cs="Times New Roman"/>
          <w:sz w:val="16"/>
          <w:szCs w:val="16"/>
        </w:rPr>
      </w:pPr>
      <w:r w:rsidRPr="00E167C4">
        <w:rPr>
          <w:rFonts w:ascii="Times New Roman" w:hAnsi="Times New Roman" w:cs="Times New Roman"/>
          <w:sz w:val="16"/>
          <w:szCs w:val="16"/>
        </w:rPr>
        <w:t>Poznámka: Výdavky boli do roku 2011 rozpočtované v kapitole MVRR SR</w:t>
      </w:r>
    </w:p>
    <w:p w:rsidR="00F42914" w:rsidRPr="00432A91" w:rsidP="00F42914">
      <w:pPr>
        <w:bidi w:val="0"/>
        <w:jc w:val="both"/>
        <w:rPr>
          <w:rFonts w:ascii="Times New Roman" w:hAnsi="Times New Roman" w:cs="Times New Roman"/>
        </w:rPr>
      </w:pPr>
    </w:p>
    <w:p w:rsidR="00F42914" w:rsidRPr="00432A91" w:rsidP="00F42914">
      <w:pPr>
        <w:bidi w:val="0"/>
        <w:ind w:firstLine="708"/>
        <w:jc w:val="both"/>
        <w:rPr>
          <w:rFonts w:ascii="Times New Roman" w:hAnsi="Times New Roman" w:cs="Times New Roman"/>
        </w:rPr>
      </w:pPr>
      <w:r w:rsidRPr="00432A91">
        <w:rPr>
          <w:rFonts w:ascii="Times New Roman" w:hAnsi="Times New Roman" w:cs="Times New Roman"/>
        </w:rPr>
        <w:t>Významnú úlohu v podpore rozvoja bývania má ŠFRB, ktorého celkové zdroje v r</w:t>
      </w:r>
      <w:r>
        <w:rPr>
          <w:rFonts w:ascii="Times New Roman" w:hAnsi="Times New Roman" w:cs="Times New Roman"/>
        </w:rPr>
        <w:t>oku 2012 predstavujú čiastku 157</w:t>
      </w:r>
      <w:r w:rsidRPr="00432A91">
        <w:rPr>
          <w:rFonts w:ascii="Times New Roman" w:hAnsi="Times New Roman" w:cs="Times New Roman"/>
        </w:rPr>
        <w:t xml:space="preserve"> mil. eur, čo je nárast o </w:t>
      </w:r>
      <w:r>
        <w:rPr>
          <w:rFonts w:ascii="Times New Roman" w:hAnsi="Times New Roman" w:cs="Times New Roman"/>
        </w:rPr>
        <w:t>5</w:t>
      </w:r>
      <w:r w:rsidRPr="00432A91">
        <w:rPr>
          <w:rFonts w:ascii="Times New Roman" w:hAnsi="Times New Roman" w:cs="Times New Roman"/>
        </w:rPr>
        <w:t>,</w:t>
      </w:r>
      <w:r>
        <w:rPr>
          <w:rFonts w:ascii="Times New Roman" w:hAnsi="Times New Roman" w:cs="Times New Roman"/>
        </w:rPr>
        <w:t>39</w:t>
      </w:r>
      <w:r w:rsidRPr="00432A91">
        <w:rPr>
          <w:rFonts w:ascii="Times New Roman" w:hAnsi="Times New Roman" w:cs="Times New Roman"/>
        </w:rPr>
        <w:t xml:space="preserve"> % v porovnaní so schváleným rozpočtom roku 2011. Príjmy zo štátneho rozpočtu  sú v sume 54,9 mil. eur a vlastné príjmy fondu  (najmä príjmy zo splácania v minulosti poskytnutých úverov a z úrokov) predstavujú </w:t>
      </w:r>
      <w:r>
        <w:rPr>
          <w:rFonts w:ascii="Times New Roman" w:hAnsi="Times New Roman" w:cs="Times New Roman"/>
        </w:rPr>
        <w:t>102</w:t>
      </w:r>
      <w:r w:rsidRPr="00432A91">
        <w:rPr>
          <w:rFonts w:ascii="Times New Roman" w:hAnsi="Times New Roman" w:cs="Times New Roman"/>
        </w:rPr>
        <w:t xml:space="preserve"> mil. eur.  </w:t>
      </w:r>
    </w:p>
    <w:p w:rsidR="00F42914" w:rsidRPr="00432A91" w:rsidP="00F42914">
      <w:pPr>
        <w:bidi w:val="0"/>
        <w:jc w:val="both"/>
        <w:rPr>
          <w:rFonts w:ascii="Times New Roman" w:hAnsi="Times New Roman" w:cs="Times New Roman"/>
          <w:b/>
        </w:rPr>
      </w:pPr>
      <w:r w:rsidRPr="00432A91">
        <w:rPr>
          <w:rFonts w:ascii="Times New Roman" w:hAnsi="Times New Roman" w:cs="Times New Roman"/>
          <w:b/>
        </w:rPr>
        <w:t>Podpora cestovného ruchu</w:t>
      </w:r>
    </w:p>
    <w:p w:rsidR="00F42914" w:rsidRPr="00432A91" w:rsidP="00F42914">
      <w:pPr>
        <w:bidi w:val="0"/>
        <w:jc w:val="both"/>
        <w:rPr>
          <w:rFonts w:ascii="Times New Roman" w:hAnsi="Times New Roman" w:cs="Times New Roman"/>
          <w:b/>
        </w:rPr>
      </w:pPr>
    </w:p>
    <w:tbl>
      <w:tblPr>
        <w:tblStyle w:val="TableNormal"/>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54"/>
        <w:gridCol w:w="1059"/>
        <w:gridCol w:w="1059"/>
        <w:gridCol w:w="1055"/>
        <w:gridCol w:w="1054"/>
        <w:gridCol w:w="1054"/>
        <w:gridCol w:w="1054"/>
        <w:gridCol w:w="985"/>
      </w:tblGrid>
      <w:tr>
        <w:tblPrEx>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44"/>
        </w:trPr>
        <w:tc>
          <w:tcPr>
            <w:tcW w:w="966"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jc w:val="both"/>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v eurách</w:t>
            </w:r>
          </w:p>
        </w:tc>
        <w:tc>
          <w:tcPr>
            <w:tcW w:w="583"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2009 S</w:t>
            </w:r>
          </w:p>
        </w:tc>
        <w:tc>
          <w:tcPr>
            <w:tcW w:w="583"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2010 S</w:t>
            </w:r>
          </w:p>
        </w:tc>
        <w:tc>
          <w:tcPr>
            <w:tcW w:w="581"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2011 R</w:t>
            </w:r>
          </w:p>
        </w:tc>
        <w:tc>
          <w:tcPr>
            <w:tcW w:w="581"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2011 OS</w:t>
            </w:r>
          </w:p>
        </w:tc>
        <w:tc>
          <w:tcPr>
            <w:tcW w:w="581"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2012 N</w:t>
            </w:r>
          </w:p>
        </w:tc>
        <w:tc>
          <w:tcPr>
            <w:tcW w:w="581"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2013 N</w:t>
            </w:r>
          </w:p>
        </w:tc>
        <w:tc>
          <w:tcPr>
            <w:tcW w:w="543"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2014 N</w:t>
            </w:r>
          </w:p>
        </w:tc>
      </w:tr>
      <w:tr>
        <w:tblPrEx>
          <w:tblW w:w="4925" w:type="pct"/>
          <w:tblInd w:w="70" w:type="dxa"/>
          <w:tblCellMar>
            <w:left w:w="70" w:type="dxa"/>
            <w:right w:w="70" w:type="dxa"/>
          </w:tblCellMar>
          <w:tblLook w:val="04A0"/>
        </w:tblPrEx>
        <w:trPr>
          <w:trHeight w:val="244"/>
        </w:trPr>
        <w:tc>
          <w:tcPr>
            <w:tcW w:w="966"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b/>
                <w:color w:val="000000"/>
                <w:sz w:val="14"/>
                <w:szCs w:val="14"/>
              </w:rPr>
            </w:pPr>
            <w:r w:rsidRPr="00BC5817">
              <w:rPr>
                <w:rFonts w:ascii="Times New Roman" w:hAnsi="Times New Roman" w:cs="Times New Roman"/>
                <w:b/>
                <w:color w:val="000000"/>
                <w:sz w:val="14"/>
                <w:szCs w:val="14"/>
              </w:rPr>
              <w:t>Spolu zdroje</w:t>
            </w:r>
          </w:p>
        </w:tc>
        <w:tc>
          <w:tcPr>
            <w:tcW w:w="58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b/>
                <w:color w:val="000000"/>
                <w:sz w:val="14"/>
                <w:szCs w:val="14"/>
              </w:rPr>
            </w:pPr>
            <w:r w:rsidRPr="00BC5817">
              <w:rPr>
                <w:rFonts w:ascii="Times New Roman" w:hAnsi="Times New Roman" w:cs="Times New Roman"/>
                <w:b/>
                <w:color w:val="000000"/>
                <w:sz w:val="14"/>
                <w:szCs w:val="14"/>
              </w:rPr>
              <w:t>0</w:t>
            </w:r>
          </w:p>
        </w:tc>
        <w:tc>
          <w:tcPr>
            <w:tcW w:w="58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b/>
                <w:color w:val="000000"/>
                <w:sz w:val="14"/>
                <w:szCs w:val="14"/>
              </w:rPr>
            </w:pPr>
            <w:r w:rsidRPr="00BC5817">
              <w:rPr>
                <w:rFonts w:ascii="Times New Roman" w:hAnsi="Times New Roman" w:cs="Times New Roman"/>
                <w:b/>
                <w:color w:val="000000"/>
                <w:sz w:val="14"/>
                <w:szCs w:val="14"/>
              </w:rPr>
              <w:t>0</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b/>
                <w:color w:val="000000"/>
                <w:sz w:val="14"/>
                <w:szCs w:val="14"/>
              </w:rPr>
            </w:pPr>
            <w:r w:rsidRPr="00BC5817">
              <w:rPr>
                <w:rFonts w:ascii="Times New Roman" w:hAnsi="Times New Roman" w:cs="Times New Roman"/>
                <w:b/>
                <w:color w:val="000000"/>
                <w:sz w:val="14"/>
                <w:szCs w:val="14"/>
              </w:rPr>
              <w:t>56 336 673</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b/>
                <w:color w:val="000000"/>
                <w:sz w:val="14"/>
                <w:szCs w:val="14"/>
              </w:rPr>
            </w:pPr>
            <w:r w:rsidRPr="00BC5817">
              <w:rPr>
                <w:rFonts w:ascii="Times New Roman" w:hAnsi="Times New Roman" w:cs="Times New Roman"/>
                <w:b/>
                <w:color w:val="000000"/>
                <w:sz w:val="14"/>
                <w:szCs w:val="14"/>
              </w:rPr>
              <w:t>3 120 273</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b/>
                <w:color w:val="000000"/>
                <w:sz w:val="14"/>
                <w:szCs w:val="14"/>
              </w:rPr>
            </w:pPr>
            <w:r>
              <w:rPr>
                <w:rFonts w:ascii="Times New Roman" w:hAnsi="Times New Roman" w:cs="Times New Roman"/>
                <w:b/>
                <w:color w:val="000000"/>
                <w:sz w:val="14"/>
                <w:szCs w:val="14"/>
              </w:rPr>
              <w:t>7 162 978</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b/>
                <w:color w:val="000000"/>
                <w:sz w:val="14"/>
                <w:szCs w:val="14"/>
              </w:rPr>
            </w:pPr>
            <w:r>
              <w:rPr>
                <w:rFonts w:ascii="Times New Roman" w:hAnsi="Times New Roman" w:cs="Times New Roman"/>
                <w:b/>
                <w:color w:val="000000"/>
                <w:sz w:val="14"/>
                <w:szCs w:val="14"/>
              </w:rPr>
              <w:t>10 019 684</w:t>
            </w:r>
          </w:p>
        </w:tc>
        <w:tc>
          <w:tcPr>
            <w:tcW w:w="54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b/>
                <w:color w:val="000000"/>
                <w:sz w:val="14"/>
                <w:szCs w:val="14"/>
              </w:rPr>
            </w:pPr>
            <w:r>
              <w:rPr>
                <w:rFonts w:ascii="Times New Roman" w:hAnsi="Times New Roman" w:cs="Times New Roman"/>
                <w:b/>
                <w:color w:val="000000"/>
                <w:sz w:val="14"/>
                <w:szCs w:val="14"/>
              </w:rPr>
              <w:t>11 835 880</w:t>
            </w:r>
          </w:p>
        </w:tc>
      </w:tr>
      <w:tr>
        <w:tblPrEx>
          <w:tblW w:w="4925" w:type="pct"/>
          <w:tblInd w:w="70" w:type="dxa"/>
          <w:tblCellMar>
            <w:left w:w="70" w:type="dxa"/>
            <w:right w:w="70" w:type="dxa"/>
          </w:tblCellMar>
          <w:tblLook w:val="04A0"/>
        </w:tblPrEx>
        <w:trPr>
          <w:trHeight w:val="244"/>
        </w:trPr>
        <w:tc>
          <w:tcPr>
            <w:tcW w:w="966"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 xml:space="preserve">Zdroje ŠR </w:t>
            </w:r>
          </w:p>
        </w:tc>
        <w:tc>
          <w:tcPr>
            <w:tcW w:w="58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8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2 706 918</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3 120 273</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7 162 978</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10 019 684</w:t>
            </w:r>
          </w:p>
        </w:tc>
        <w:tc>
          <w:tcPr>
            <w:tcW w:w="54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11 835 880</w:t>
            </w:r>
          </w:p>
        </w:tc>
      </w:tr>
      <w:tr>
        <w:tblPrEx>
          <w:tblW w:w="4925" w:type="pct"/>
          <w:tblInd w:w="70" w:type="dxa"/>
          <w:tblCellMar>
            <w:left w:w="70" w:type="dxa"/>
            <w:right w:w="70" w:type="dxa"/>
          </w:tblCellMar>
          <w:tblLook w:val="04A0"/>
        </w:tblPrEx>
        <w:trPr>
          <w:trHeight w:val="244"/>
        </w:trPr>
        <w:tc>
          <w:tcPr>
            <w:tcW w:w="966"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 xml:space="preserve">Zdroj EÚ  </w:t>
            </w:r>
          </w:p>
        </w:tc>
        <w:tc>
          <w:tcPr>
            <w:tcW w:w="58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8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45 616 971</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4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r>
      <w:tr>
        <w:tblPrEx>
          <w:tblW w:w="4925" w:type="pct"/>
          <w:tblInd w:w="70" w:type="dxa"/>
          <w:tblCellMar>
            <w:left w:w="70" w:type="dxa"/>
            <w:right w:w="70" w:type="dxa"/>
          </w:tblCellMar>
          <w:tblLook w:val="04A0"/>
        </w:tblPrEx>
        <w:trPr>
          <w:trHeight w:val="244"/>
        </w:trPr>
        <w:tc>
          <w:tcPr>
            <w:tcW w:w="966"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 xml:space="preserve">Zdroj spolufinancovanie   </w:t>
            </w:r>
          </w:p>
        </w:tc>
        <w:tc>
          <w:tcPr>
            <w:tcW w:w="58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8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8 012 784</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4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r>
    </w:tbl>
    <w:p w:rsidR="00F42914" w:rsidRPr="00E167C4" w:rsidP="00F42914">
      <w:pPr>
        <w:bidi w:val="0"/>
        <w:jc w:val="both"/>
        <w:rPr>
          <w:rFonts w:ascii="Times New Roman" w:hAnsi="Times New Roman" w:cs="Times New Roman"/>
          <w:sz w:val="16"/>
          <w:szCs w:val="16"/>
        </w:rPr>
      </w:pPr>
      <w:r w:rsidRPr="00E167C4">
        <w:rPr>
          <w:rFonts w:ascii="Times New Roman" w:hAnsi="Times New Roman" w:cs="Times New Roman"/>
          <w:sz w:val="16"/>
          <w:szCs w:val="16"/>
        </w:rPr>
        <w:t>Poznámka: Výdavky boli do roku 2011 rozpočtované v kapitole MH SR</w:t>
      </w:r>
    </w:p>
    <w:p w:rsidR="00F42914" w:rsidRPr="00432A91" w:rsidP="00F42914">
      <w:pPr>
        <w:bidi w:val="0"/>
        <w:jc w:val="both"/>
        <w:rPr>
          <w:rFonts w:ascii="Times New Roman" w:hAnsi="Times New Roman" w:cs="Times New Roman"/>
        </w:rPr>
      </w:pPr>
    </w:p>
    <w:p w:rsidR="00F42914" w:rsidRPr="00432A91" w:rsidP="00F42914">
      <w:pPr>
        <w:bidi w:val="0"/>
        <w:ind w:firstLine="708"/>
        <w:jc w:val="both"/>
        <w:rPr>
          <w:rFonts w:ascii="Times New Roman" w:hAnsi="Times New Roman" w:cs="Times New Roman"/>
        </w:rPr>
      </w:pPr>
      <w:r w:rsidRPr="00432A91">
        <w:rPr>
          <w:rFonts w:ascii="Times New Roman" w:hAnsi="Times New Roman" w:cs="Times New Roman"/>
        </w:rPr>
        <w:t xml:space="preserve">Výdavky na podporu cestovného ruchu sa </w:t>
      </w:r>
      <w:r>
        <w:rPr>
          <w:rFonts w:ascii="Times New Roman" w:hAnsi="Times New Roman" w:cs="Times New Roman"/>
        </w:rPr>
        <w:t>na</w:t>
      </w:r>
      <w:r w:rsidRPr="00432A91">
        <w:rPr>
          <w:rFonts w:ascii="Times New Roman" w:hAnsi="Times New Roman" w:cs="Times New Roman"/>
        </w:rPr>
        <w:t xml:space="preserve"> rok 2012 rozpočtujú v sume </w:t>
      </w:r>
      <w:r>
        <w:rPr>
          <w:rFonts w:ascii="Times New Roman" w:hAnsi="Times New Roman" w:cs="Times New Roman"/>
        </w:rPr>
        <w:t>7</w:t>
      </w:r>
      <w:r w:rsidRPr="00432A91">
        <w:rPr>
          <w:rFonts w:ascii="Times New Roman" w:hAnsi="Times New Roman" w:cs="Times New Roman"/>
        </w:rPr>
        <w:t>,</w:t>
      </w:r>
      <w:r>
        <w:rPr>
          <w:rFonts w:ascii="Times New Roman" w:hAnsi="Times New Roman" w:cs="Times New Roman"/>
        </w:rPr>
        <w:t>16 </w:t>
      </w:r>
      <w:r w:rsidRPr="008817E2">
        <w:rPr>
          <w:rFonts w:ascii="Times New Roman" w:hAnsi="Times New Roman" w:cs="Times New Roman"/>
        </w:rPr>
        <w:t>mil.</w:t>
      </w:r>
      <w:r>
        <w:rPr>
          <w:rFonts w:ascii="Times New Roman" w:hAnsi="Times New Roman" w:cs="Times New Roman"/>
        </w:rPr>
        <w:t> </w:t>
      </w:r>
      <w:r w:rsidRPr="00432A91">
        <w:rPr>
          <w:rFonts w:ascii="Times New Roman" w:hAnsi="Times New Roman" w:cs="Times New Roman"/>
        </w:rPr>
        <w:t>eur a sú určené pre Slovenskú agentúru pre cestovný ruch</w:t>
      </w:r>
      <w:r>
        <w:rPr>
          <w:rFonts w:ascii="Times New Roman" w:hAnsi="Times New Roman" w:cs="Times New Roman"/>
        </w:rPr>
        <w:t xml:space="preserve"> a na novelu zákona č. 91/2010 Z. z. o cestovnom ruchu</w:t>
      </w:r>
      <w:r w:rsidRPr="00432A91">
        <w:rPr>
          <w:rFonts w:ascii="Times New Roman" w:hAnsi="Times New Roman" w:cs="Times New Roman"/>
        </w:rPr>
        <w:t>. V porovnaní so schváleným rozpočtom roku 2011 ide o výrazné zníženie, pretože výdavky zo zdrojov EÚ a spolufinancovania sa už rozpočtujú v kapitole MH SR. Výdavky zo zdrojov štátneho rozpočtu v porovnaní so schváleným rozpočtom roku 2011</w:t>
      </w:r>
      <w:r>
        <w:rPr>
          <w:rFonts w:ascii="Times New Roman" w:hAnsi="Times New Roman" w:cs="Times New Roman"/>
        </w:rPr>
        <w:t xml:space="preserve"> sú vyššie o 165 %, t. j. o 4,46 mil. </w:t>
      </w:r>
      <w:r w:rsidRPr="00432A91">
        <w:rPr>
          <w:rFonts w:ascii="Times New Roman" w:hAnsi="Times New Roman" w:cs="Times New Roman"/>
        </w:rPr>
        <w:t>eur</w:t>
      </w:r>
      <w:r>
        <w:rPr>
          <w:rFonts w:ascii="Times New Roman" w:hAnsi="Times New Roman" w:cs="Times New Roman"/>
        </w:rPr>
        <w:t>.</w:t>
      </w:r>
      <w:r w:rsidRPr="00432A91">
        <w:rPr>
          <w:rFonts w:ascii="Times New Roman" w:hAnsi="Times New Roman" w:cs="Times New Roman"/>
        </w:rPr>
        <w:t xml:space="preserve"> Zvýšenie je spôsobené </w:t>
      </w:r>
      <w:r>
        <w:rPr>
          <w:rFonts w:ascii="Times New Roman" w:hAnsi="Times New Roman" w:cs="Times New Roman"/>
        </w:rPr>
        <w:t>nárastom výdavkov pre</w:t>
      </w:r>
      <w:r w:rsidRPr="00432A91">
        <w:rPr>
          <w:rFonts w:ascii="Times New Roman" w:hAnsi="Times New Roman" w:cs="Times New Roman"/>
        </w:rPr>
        <w:t xml:space="preserve"> SACR</w:t>
      </w:r>
      <w:r>
        <w:rPr>
          <w:rFonts w:ascii="Times New Roman" w:hAnsi="Times New Roman" w:cs="Times New Roman"/>
        </w:rPr>
        <w:t xml:space="preserve">, ktoré </w:t>
      </w:r>
      <w:r w:rsidRPr="00432A91">
        <w:rPr>
          <w:rFonts w:ascii="Times New Roman" w:hAnsi="Times New Roman" w:cs="Times New Roman"/>
        </w:rPr>
        <w:t>nebude mať príjmy z refundácií EÚ fondov z 1. programového obdobia</w:t>
      </w:r>
      <w:r>
        <w:rPr>
          <w:rFonts w:ascii="Times New Roman" w:hAnsi="Times New Roman" w:cs="Times New Roman"/>
        </w:rPr>
        <w:t xml:space="preserve"> a zabezpečením výdavkov v súvislosti s vyššie uvedenou novelou zákona o cestovnom ruchu</w:t>
      </w:r>
      <w:r w:rsidRPr="00432A91">
        <w:rPr>
          <w:rFonts w:ascii="Times New Roman" w:hAnsi="Times New Roman" w:cs="Times New Roman"/>
        </w:rPr>
        <w:t xml:space="preserve">. </w:t>
      </w:r>
    </w:p>
    <w:p w:rsidR="00F42914" w:rsidRPr="00432A91" w:rsidP="00F42914">
      <w:pPr>
        <w:bidi w:val="0"/>
        <w:rPr>
          <w:rFonts w:ascii="Times New Roman" w:hAnsi="Times New Roman" w:cs="Times New Roman"/>
          <w:b/>
        </w:rPr>
      </w:pPr>
    </w:p>
    <w:p w:rsidR="00F42914" w:rsidRPr="00432A91" w:rsidP="00F42914">
      <w:pPr>
        <w:bidi w:val="0"/>
        <w:jc w:val="both"/>
        <w:rPr>
          <w:rFonts w:ascii="Times New Roman" w:hAnsi="Times New Roman" w:cs="Times New Roman"/>
          <w:b/>
        </w:rPr>
      </w:pPr>
      <w:r w:rsidRPr="00432A91">
        <w:rPr>
          <w:rFonts w:ascii="Times New Roman" w:hAnsi="Times New Roman" w:cs="Times New Roman"/>
          <w:b/>
        </w:rPr>
        <w:t>OP Technická pomoc</w:t>
      </w:r>
    </w:p>
    <w:p w:rsidR="00F42914" w:rsidRPr="00432A91" w:rsidP="00F42914">
      <w:pPr>
        <w:bidi w:val="0"/>
        <w:jc w:val="both"/>
        <w:rPr>
          <w:rFonts w:ascii="Times New Roman" w:hAnsi="Times New Roman" w:cs="Times New Roman"/>
          <w:b/>
        </w:rPr>
      </w:pPr>
    </w:p>
    <w:tbl>
      <w:tblPr>
        <w:tblStyle w:val="TableNormal"/>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54"/>
        <w:gridCol w:w="1059"/>
        <w:gridCol w:w="1059"/>
        <w:gridCol w:w="1055"/>
        <w:gridCol w:w="1054"/>
        <w:gridCol w:w="1054"/>
        <w:gridCol w:w="1054"/>
        <w:gridCol w:w="985"/>
      </w:tblGrid>
      <w:tr>
        <w:tblPrEx>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35"/>
        </w:trPr>
        <w:tc>
          <w:tcPr>
            <w:tcW w:w="966"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v eurách</w:t>
            </w:r>
          </w:p>
        </w:tc>
        <w:tc>
          <w:tcPr>
            <w:tcW w:w="583"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2009 S</w:t>
            </w:r>
          </w:p>
        </w:tc>
        <w:tc>
          <w:tcPr>
            <w:tcW w:w="583"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2010 S</w:t>
            </w:r>
          </w:p>
        </w:tc>
        <w:tc>
          <w:tcPr>
            <w:tcW w:w="581"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 xml:space="preserve">2011 R </w:t>
            </w:r>
          </w:p>
        </w:tc>
        <w:tc>
          <w:tcPr>
            <w:tcW w:w="581"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2011 OS</w:t>
            </w:r>
          </w:p>
        </w:tc>
        <w:tc>
          <w:tcPr>
            <w:tcW w:w="581"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2012 N</w:t>
            </w:r>
          </w:p>
        </w:tc>
        <w:tc>
          <w:tcPr>
            <w:tcW w:w="581"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2013 N</w:t>
            </w:r>
          </w:p>
        </w:tc>
        <w:tc>
          <w:tcPr>
            <w:tcW w:w="543"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2014 N</w:t>
            </w:r>
          </w:p>
        </w:tc>
      </w:tr>
      <w:tr>
        <w:tblPrEx>
          <w:tblW w:w="4925" w:type="pct"/>
          <w:tblInd w:w="70" w:type="dxa"/>
          <w:tblCellMar>
            <w:left w:w="70" w:type="dxa"/>
            <w:right w:w="70" w:type="dxa"/>
          </w:tblCellMar>
          <w:tblLook w:val="04A0"/>
        </w:tblPrEx>
        <w:trPr>
          <w:trHeight w:val="235"/>
        </w:trPr>
        <w:tc>
          <w:tcPr>
            <w:tcW w:w="966"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OP Technická pomoc</w:t>
            </w:r>
          </w:p>
        </w:tc>
        <w:tc>
          <w:tcPr>
            <w:tcW w:w="58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10 570 248</w:t>
            </w:r>
          </w:p>
        </w:tc>
        <w:tc>
          <w:tcPr>
            <w:tcW w:w="58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5 614 548</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23 011 028</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7 471 900</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13 219 557</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12 163 602</w:t>
            </w:r>
          </w:p>
        </w:tc>
        <w:tc>
          <w:tcPr>
            <w:tcW w:w="54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12 098 330</w:t>
            </w:r>
          </w:p>
        </w:tc>
      </w:tr>
      <w:tr>
        <w:tblPrEx>
          <w:tblW w:w="4925" w:type="pct"/>
          <w:tblInd w:w="70" w:type="dxa"/>
          <w:tblCellMar>
            <w:left w:w="70" w:type="dxa"/>
            <w:right w:w="70" w:type="dxa"/>
          </w:tblCellMar>
          <w:tblLook w:val="04A0"/>
        </w:tblPrEx>
        <w:trPr>
          <w:trHeight w:val="235"/>
        </w:trPr>
        <w:tc>
          <w:tcPr>
            <w:tcW w:w="966"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 xml:space="preserve">Zdroje EÚ </w:t>
            </w:r>
          </w:p>
        </w:tc>
        <w:tc>
          <w:tcPr>
            <w:tcW w:w="58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8 697 169</w:t>
            </w:r>
          </w:p>
        </w:tc>
        <w:tc>
          <w:tcPr>
            <w:tcW w:w="58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4 435 581</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18 923 393</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4 550 600</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10 799 176</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9 899 499</w:t>
            </w:r>
          </w:p>
        </w:tc>
        <w:tc>
          <w:tcPr>
            <w:tcW w:w="54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9 891 795</w:t>
            </w:r>
          </w:p>
        </w:tc>
      </w:tr>
      <w:tr>
        <w:tblPrEx>
          <w:tblW w:w="4925" w:type="pct"/>
          <w:tblInd w:w="70" w:type="dxa"/>
          <w:tblCellMar>
            <w:left w:w="70" w:type="dxa"/>
            <w:right w:w="70" w:type="dxa"/>
          </w:tblCellMar>
          <w:tblLook w:val="04A0"/>
        </w:tblPrEx>
        <w:trPr>
          <w:trHeight w:val="235"/>
        </w:trPr>
        <w:tc>
          <w:tcPr>
            <w:tcW w:w="966"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 xml:space="preserve">Zdroje spolufinancovanie  </w:t>
            </w:r>
          </w:p>
        </w:tc>
        <w:tc>
          <w:tcPr>
            <w:tcW w:w="58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1 873 079</w:t>
            </w:r>
          </w:p>
        </w:tc>
        <w:tc>
          <w:tcPr>
            <w:tcW w:w="58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1 178 967</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4 087 635</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2 921 300</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2 420 381</w:t>
            </w:r>
          </w:p>
        </w:tc>
        <w:tc>
          <w:tcPr>
            <w:tcW w:w="58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2 264 103</w:t>
            </w:r>
          </w:p>
        </w:tc>
        <w:tc>
          <w:tcPr>
            <w:tcW w:w="54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2 206 535</w:t>
            </w:r>
          </w:p>
        </w:tc>
      </w:tr>
    </w:tbl>
    <w:p w:rsidR="00F42914" w:rsidRPr="00E167C4" w:rsidP="00F42914">
      <w:pPr>
        <w:bidi w:val="0"/>
        <w:jc w:val="both"/>
        <w:rPr>
          <w:rFonts w:ascii="Times New Roman" w:hAnsi="Times New Roman" w:cs="Times New Roman"/>
          <w:sz w:val="16"/>
          <w:szCs w:val="16"/>
        </w:rPr>
      </w:pPr>
      <w:r w:rsidRPr="00E167C4">
        <w:rPr>
          <w:rFonts w:ascii="Times New Roman" w:hAnsi="Times New Roman" w:cs="Times New Roman"/>
          <w:sz w:val="16"/>
          <w:szCs w:val="16"/>
        </w:rPr>
        <w:t>Poznámka: Výdavky boli do roku 2011 rozpočtované v kapitole MVRR SR</w:t>
      </w:r>
    </w:p>
    <w:p w:rsidR="00F42914" w:rsidRPr="00432A91" w:rsidP="00F42914">
      <w:pPr>
        <w:bidi w:val="0"/>
        <w:jc w:val="both"/>
        <w:rPr>
          <w:rFonts w:ascii="Times New Roman" w:hAnsi="Times New Roman" w:cs="Times New Roman"/>
        </w:rPr>
      </w:pPr>
    </w:p>
    <w:p w:rsidR="00F42914" w:rsidRPr="00432A91" w:rsidP="00F42914">
      <w:pPr>
        <w:bidi w:val="0"/>
        <w:ind w:firstLine="708"/>
        <w:jc w:val="both"/>
        <w:rPr>
          <w:rFonts w:ascii="Times New Roman" w:hAnsi="Times New Roman" w:cs="Times New Roman"/>
        </w:rPr>
      </w:pPr>
      <w:r w:rsidRPr="00432A91">
        <w:rPr>
          <w:rFonts w:ascii="Times New Roman" w:hAnsi="Times New Roman" w:cs="Times New Roman"/>
        </w:rPr>
        <w:t>Na OP technická pomoc  sú rozpočtované výdavky vo výške 13,3 mil. eur zo zdrojov EÚ a spolufinancovania a v porovnaní so schváleným rozpočtom roku 2011 sú nižšie o 42,6</w:t>
      </w:r>
      <w:r>
        <w:rPr>
          <w:rFonts w:ascii="Times New Roman" w:hAnsi="Times New Roman" w:cs="Times New Roman"/>
        </w:rPr>
        <w:t> </w:t>
      </w:r>
      <w:r w:rsidRPr="00432A91">
        <w:rPr>
          <w:rFonts w:ascii="Times New Roman" w:hAnsi="Times New Roman" w:cs="Times New Roman"/>
        </w:rPr>
        <w:t xml:space="preserve">%, čo predstavuje 9,79 mil. eur. Tieto finančné prostriedky predstavujú zdroje na technickú pomoc pre všetky rozpočtové kapitoly disponujúce prostriedkami zo štrukturálnych fondov. Sú smerované do oblastí monitorovania, pracovných a koordinačných skupín, výborov a komisií, posilnenia administratívnych kapacít a na podporu riadenia pomoci, informačných systémov pre oblasť riadenia a implementácie regionálnej politiky SR, finančného riadenia, kontroly a auditu, podpory zavádzania inovatívnych nástrojov. </w:t>
      </w:r>
    </w:p>
    <w:p w:rsidR="00F42914" w:rsidRPr="00432A91" w:rsidP="00F42914">
      <w:pPr>
        <w:bidi w:val="0"/>
        <w:jc w:val="both"/>
        <w:rPr>
          <w:rFonts w:ascii="Times New Roman" w:hAnsi="Times New Roman" w:cs="Times New Roman"/>
          <w:b/>
        </w:rPr>
      </w:pPr>
    </w:p>
    <w:p w:rsidR="00F42914" w:rsidRPr="00432A91" w:rsidP="00F42914">
      <w:pPr>
        <w:bidi w:val="0"/>
        <w:jc w:val="both"/>
        <w:rPr>
          <w:rFonts w:ascii="Times New Roman" w:hAnsi="Times New Roman" w:cs="Times New Roman"/>
          <w:b/>
        </w:rPr>
      </w:pPr>
      <w:r w:rsidRPr="00432A91">
        <w:rPr>
          <w:rFonts w:ascii="Times New Roman" w:hAnsi="Times New Roman" w:cs="Times New Roman"/>
          <w:b/>
        </w:rPr>
        <w:t>Administratíva</w:t>
      </w:r>
    </w:p>
    <w:p w:rsidR="00F42914" w:rsidRPr="00432A91" w:rsidP="00F42914">
      <w:pPr>
        <w:bidi w:val="0"/>
        <w:jc w:val="both"/>
        <w:rPr>
          <w:rFonts w:ascii="Times New Roman" w:hAnsi="Times New Roman" w:cs="Times New Roman"/>
          <w:b/>
        </w:rPr>
      </w:pPr>
    </w:p>
    <w:tbl>
      <w:tblPr>
        <w:tblStyle w:val="TableNormal"/>
        <w:tblW w:w="498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926"/>
        <w:gridCol w:w="1048"/>
        <w:gridCol w:w="1046"/>
        <w:gridCol w:w="1046"/>
        <w:gridCol w:w="1046"/>
        <w:gridCol w:w="1045"/>
        <w:gridCol w:w="1045"/>
        <w:gridCol w:w="977"/>
      </w:tblGrid>
      <w:tr>
        <w:tblPrEx>
          <w:tblW w:w="498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59"/>
        </w:trPr>
        <w:tc>
          <w:tcPr>
            <w:tcW w:w="1049"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jc w:val="both"/>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v eurách</w:t>
            </w:r>
          </w:p>
        </w:tc>
        <w:tc>
          <w:tcPr>
            <w:tcW w:w="571"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2009 S</w:t>
            </w:r>
          </w:p>
        </w:tc>
        <w:tc>
          <w:tcPr>
            <w:tcW w:w="570"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2010 S</w:t>
            </w:r>
          </w:p>
        </w:tc>
        <w:tc>
          <w:tcPr>
            <w:tcW w:w="570"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2011 R</w:t>
            </w:r>
          </w:p>
        </w:tc>
        <w:tc>
          <w:tcPr>
            <w:tcW w:w="570"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2011 OS</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2012 N</w:t>
            </w:r>
          </w:p>
        </w:tc>
        <w:tc>
          <w:tcPr>
            <w:tcW w:w="569"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2013 N</w:t>
            </w:r>
          </w:p>
        </w:tc>
        <w:tc>
          <w:tcPr>
            <w:tcW w:w="533" w:type="pct"/>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2014 N</w:t>
            </w:r>
          </w:p>
        </w:tc>
      </w:tr>
      <w:tr>
        <w:tblPrEx>
          <w:tblW w:w="4982" w:type="pct"/>
          <w:tblInd w:w="70" w:type="dxa"/>
          <w:tblCellMar>
            <w:left w:w="70" w:type="dxa"/>
            <w:right w:w="70" w:type="dxa"/>
          </w:tblCellMar>
          <w:tblLook w:val="04A0"/>
        </w:tblPrEx>
        <w:trPr>
          <w:trHeight w:val="259"/>
        </w:trPr>
        <w:tc>
          <w:tcPr>
            <w:tcW w:w="104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b/>
                <w:bCs/>
                <w:sz w:val="14"/>
                <w:szCs w:val="14"/>
              </w:rPr>
            </w:pPr>
            <w:r w:rsidRPr="00BC5817">
              <w:rPr>
                <w:rFonts w:ascii="Times New Roman" w:hAnsi="Times New Roman" w:cs="Times New Roman"/>
                <w:b/>
                <w:bCs/>
                <w:sz w:val="14"/>
                <w:szCs w:val="14"/>
              </w:rPr>
              <w:t>Spolu ostatné činnosti</w:t>
            </w:r>
          </w:p>
        </w:tc>
        <w:tc>
          <w:tcPr>
            <w:tcW w:w="57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47 241 232</w:t>
            </w:r>
          </w:p>
        </w:tc>
        <w:tc>
          <w:tcPr>
            <w:tcW w:w="570"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46 321 180</w:t>
            </w:r>
          </w:p>
        </w:tc>
        <w:tc>
          <w:tcPr>
            <w:tcW w:w="570"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66 096 996</w:t>
            </w:r>
          </w:p>
        </w:tc>
        <w:tc>
          <w:tcPr>
            <w:tcW w:w="570"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71 822 470</w:t>
            </w:r>
          </w:p>
        </w:tc>
        <w:tc>
          <w:tcPr>
            <w:tcW w:w="56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6</w:t>
            </w:r>
            <w:r>
              <w:rPr>
                <w:rFonts w:ascii="Times New Roman" w:hAnsi="Times New Roman" w:cs="Times New Roman"/>
                <w:b/>
                <w:bCs/>
                <w:color w:val="000000"/>
                <w:sz w:val="14"/>
                <w:szCs w:val="14"/>
              </w:rPr>
              <w:t>6</w:t>
            </w:r>
            <w:r w:rsidRPr="00BC5817">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425</w:t>
            </w:r>
            <w:r w:rsidRPr="00BC5817">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316</w:t>
            </w:r>
          </w:p>
        </w:tc>
        <w:tc>
          <w:tcPr>
            <w:tcW w:w="56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6</w:t>
            </w:r>
            <w:r>
              <w:rPr>
                <w:rFonts w:ascii="Times New Roman" w:hAnsi="Times New Roman" w:cs="Times New Roman"/>
                <w:b/>
                <w:bCs/>
                <w:color w:val="000000"/>
                <w:sz w:val="14"/>
                <w:szCs w:val="14"/>
              </w:rPr>
              <w:t>3</w:t>
            </w:r>
            <w:r w:rsidRPr="00BC5817">
              <w:rPr>
                <w:rFonts w:ascii="Times New Roman" w:hAnsi="Times New Roman" w:cs="Times New Roman"/>
                <w:b/>
                <w:bCs/>
                <w:color w:val="000000"/>
                <w:sz w:val="14"/>
                <w:szCs w:val="14"/>
              </w:rPr>
              <w:t> </w:t>
            </w:r>
            <w:r>
              <w:rPr>
                <w:rFonts w:ascii="Times New Roman" w:hAnsi="Times New Roman" w:cs="Times New Roman"/>
                <w:b/>
                <w:bCs/>
                <w:color w:val="000000"/>
                <w:sz w:val="14"/>
                <w:szCs w:val="14"/>
              </w:rPr>
              <w:t>005</w:t>
            </w:r>
            <w:r w:rsidRPr="00BC5817">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380</w:t>
            </w:r>
          </w:p>
        </w:tc>
        <w:tc>
          <w:tcPr>
            <w:tcW w:w="53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6</w:t>
            </w:r>
            <w:r>
              <w:rPr>
                <w:rFonts w:ascii="Times New Roman" w:hAnsi="Times New Roman" w:cs="Times New Roman"/>
                <w:b/>
                <w:bCs/>
                <w:color w:val="000000"/>
                <w:sz w:val="14"/>
                <w:szCs w:val="14"/>
              </w:rPr>
              <w:t>2</w:t>
            </w:r>
            <w:r w:rsidRPr="00BC5817">
              <w:rPr>
                <w:rFonts w:ascii="Times New Roman" w:hAnsi="Times New Roman" w:cs="Times New Roman"/>
                <w:b/>
                <w:bCs/>
                <w:color w:val="000000"/>
                <w:sz w:val="14"/>
                <w:szCs w:val="14"/>
              </w:rPr>
              <w:t> </w:t>
            </w:r>
            <w:r>
              <w:rPr>
                <w:rFonts w:ascii="Times New Roman" w:hAnsi="Times New Roman" w:cs="Times New Roman"/>
                <w:b/>
                <w:bCs/>
                <w:color w:val="000000"/>
                <w:sz w:val="14"/>
                <w:szCs w:val="14"/>
              </w:rPr>
              <w:t>595</w:t>
            </w:r>
            <w:r w:rsidRPr="00BC5817">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135</w:t>
            </w:r>
          </w:p>
        </w:tc>
      </w:tr>
      <w:tr>
        <w:tblPrEx>
          <w:tblW w:w="4982" w:type="pct"/>
          <w:tblInd w:w="70" w:type="dxa"/>
          <w:tblCellMar>
            <w:left w:w="70" w:type="dxa"/>
            <w:right w:w="70" w:type="dxa"/>
          </w:tblCellMar>
          <w:tblLook w:val="04A0"/>
        </w:tblPrEx>
        <w:trPr>
          <w:trHeight w:val="259"/>
        </w:trPr>
        <w:tc>
          <w:tcPr>
            <w:tcW w:w="104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sz w:val="14"/>
                <w:szCs w:val="14"/>
              </w:rPr>
            </w:pPr>
            <w:r w:rsidRPr="00BC5817">
              <w:rPr>
                <w:rFonts w:ascii="Times New Roman" w:hAnsi="Times New Roman" w:cs="Times New Roman"/>
                <w:sz w:val="14"/>
                <w:szCs w:val="14"/>
              </w:rPr>
              <w:t>Tvorba a implementácia politík</w:t>
            </w:r>
          </w:p>
        </w:tc>
        <w:tc>
          <w:tcPr>
            <w:tcW w:w="57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43 965 657</w:t>
            </w:r>
          </w:p>
        </w:tc>
        <w:tc>
          <w:tcPr>
            <w:tcW w:w="570"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42 901 494</w:t>
            </w:r>
          </w:p>
        </w:tc>
        <w:tc>
          <w:tcPr>
            <w:tcW w:w="570"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62 238 688</w:t>
            </w:r>
          </w:p>
        </w:tc>
        <w:tc>
          <w:tcPr>
            <w:tcW w:w="570"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67 804 812</w:t>
            </w:r>
          </w:p>
        </w:tc>
        <w:tc>
          <w:tcPr>
            <w:tcW w:w="56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62 441 129</w:t>
            </w:r>
          </w:p>
        </w:tc>
        <w:tc>
          <w:tcPr>
            <w:tcW w:w="56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59 021 193</w:t>
            </w:r>
          </w:p>
        </w:tc>
        <w:tc>
          <w:tcPr>
            <w:tcW w:w="53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58 610 948</w:t>
            </w:r>
          </w:p>
        </w:tc>
      </w:tr>
      <w:tr>
        <w:tblPrEx>
          <w:tblW w:w="4982" w:type="pct"/>
          <w:tblInd w:w="70" w:type="dxa"/>
          <w:tblCellMar>
            <w:left w:w="70" w:type="dxa"/>
            <w:right w:w="70" w:type="dxa"/>
          </w:tblCellMar>
          <w:tblLook w:val="04A0"/>
        </w:tblPrEx>
        <w:trPr>
          <w:trHeight w:val="259"/>
        </w:trPr>
        <w:tc>
          <w:tcPr>
            <w:tcW w:w="104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 xml:space="preserve">Civilné a núdzové plánovanie </w:t>
            </w:r>
          </w:p>
        </w:tc>
        <w:tc>
          <w:tcPr>
            <w:tcW w:w="57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14 013</w:t>
            </w:r>
          </w:p>
        </w:tc>
        <w:tc>
          <w:tcPr>
            <w:tcW w:w="570"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15 079</w:t>
            </w:r>
          </w:p>
        </w:tc>
        <w:tc>
          <w:tcPr>
            <w:tcW w:w="570"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24 497</w:t>
            </w:r>
          </w:p>
        </w:tc>
        <w:tc>
          <w:tcPr>
            <w:tcW w:w="570"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24 842</w:t>
            </w:r>
          </w:p>
        </w:tc>
        <w:tc>
          <w:tcPr>
            <w:tcW w:w="56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22 272</w:t>
            </w:r>
          </w:p>
        </w:tc>
        <w:tc>
          <w:tcPr>
            <w:tcW w:w="56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22 272</w:t>
            </w:r>
          </w:p>
        </w:tc>
        <w:tc>
          <w:tcPr>
            <w:tcW w:w="53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22 272</w:t>
            </w:r>
          </w:p>
        </w:tc>
      </w:tr>
      <w:tr>
        <w:tblPrEx>
          <w:tblW w:w="4982" w:type="pct"/>
          <w:tblInd w:w="70" w:type="dxa"/>
          <w:tblCellMar>
            <w:left w:w="70" w:type="dxa"/>
            <w:right w:w="70" w:type="dxa"/>
          </w:tblCellMar>
          <w:tblLook w:val="04A0"/>
        </w:tblPrEx>
        <w:trPr>
          <w:trHeight w:val="259"/>
        </w:trPr>
        <w:tc>
          <w:tcPr>
            <w:tcW w:w="104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Podpora obrany</w:t>
            </w:r>
          </w:p>
        </w:tc>
        <w:tc>
          <w:tcPr>
            <w:tcW w:w="57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1 257 595</w:t>
            </w:r>
          </w:p>
        </w:tc>
        <w:tc>
          <w:tcPr>
            <w:tcW w:w="570"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1 303 557</w:t>
            </w:r>
          </w:p>
        </w:tc>
        <w:tc>
          <w:tcPr>
            <w:tcW w:w="570"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1 327 756</w:t>
            </w:r>
          </w:p>
        </w:tc>
        <w:tc>
          <w:tcPr>
            <w:tcW w:w="570"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1 419 188</w:t>
            </w:r>
          </w:p>
        </w:tc>
        <w:tc>
          <w:tcPr>
            <w:tcW w:w="56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1 327 756</w:t>
            </w:r>
          </w:p>
        </w:tc>
        <w:tc>
          <w:tcPr>
            <w:tcW w:w="56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1 327 756</w:t>
            </w:r>
          </w:p>
        </w:tc>
        <w:tc>
          <w:tcPr>
            <w:tcW w:w="53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1 327 756</w:t>
            </w:r>
          </w:p>
        </w:tc>
      </w:tr>
      <w:tr>
        <w:tblPrEx>
          <w:tblW w:w="4982" w:type="pct"/>
          <w:tblInd w:w="70" w:type="dxa"/>
          <w:tblCellMar>
            <w:left w:w="70" w:type="dxa"/>
            <w:right w:w="70" w:type="dxa"/>
          </w:tblCellMar>
          <w:tblLook w:val="04A0"/>
        </w:tblPrEx>
        <w:trPr>
          <w:trHeight w:val="259"/>
        </w:trPr>
        <w:tc>
          <w:tcPr>
            <w:tcW w:w="104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 xml:space="preserve">Hospodárská mobilizácia </w:t>
            </w:r>
          </w:p>
        </w:tc>
        <w:tc>
          <w:tcPr>
            <w:tcW w:w="57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1 403 032</w:t>
            </w:r>
          </w:p>
        </w:tc>
        <w:tc>
          <w:tcPr>
            <w:tcW w:w="570"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1 520 469</w:t>
            </w:r>
          </w:p>
        </w:tc>
        <w:tc>
          <w:tcPr>
            <w:tcW w:w="570"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1 924 000</w:t>
            </w:r>
          </w:p>
        </w:tc>
        <w:tc>
          <w:tcPr>
            <w:tcW w:w="570"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1 924 000</w:t>
            </w:r>
          </w:p>
        </w:tc>
        <w:tc>
          <w:tcPr>
            <w:tcW w:w="56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1 827 800</w:t>
            </w:r>
          </w:p>
        </w:tc>
        <w:tc>
          <w:tcPr>
            <w:tcW w:w="56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1 827 800</w:t>
            </w:r>
          </w:p>
        </w:tc>
        <w:tc>
          <w:tcPr>
            <w:tcW w:w="53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1 827 800</w:t>
            </w:r>
          </w:p>
        </w:tc>
      </w:tr>
      <w:tr>
        <w:tblPrEx>
          <w:tblW w:w="4982" w:type="pct"/>
          <w:tblInd w:w="70" w:type="dxa"/>
          <w:tblCellMar>
            <w:left w:w="70" w:type="dxa"/>
            <w:right w:w="70" w:type="dxa"/>
          </w:tblCellMar>
          <w:tblLook w:val="04A0"/>
        </w:tblPrEx>
        <w:trPr>
          <w:trHeight w:val="259"/>
        </w:trPr>
        <w:tc>
          <w:tcPr>
            <w:tcW w:w="104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Ľudské zdroje</w:t>
            </w:r>
          </w:p>
        </w:tc>
        <w:tc>
          <w:tcPr>
            <w:tcW w:w="57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44 689</w:t>
            </w:r>
          </w:p>
        </w:tc>
        <w:tc>
          <w:tcPr>
            <w:tcW w:w="570"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70"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70"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6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6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3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r>
      <w:tr>
        <w:tblPrEx>
          <w:tblW w:w="4982" w:type="pct"/>
          <w:tblInd w:w="70" w:type="dxa"/>
          <w:tblCellMar>
            <w:left w:w="70" w:type="dxa"/>
            <w:right w:w="70" w:type="dxa"/>
          </w:tblCellMar>
          <w:tblLook w:val="04A0"/>
        </w:tblPrEx>
        <w:trPr>
          <w:trHeight w:val="259"/>
        </w:trPr>
        <w:tc>
          <w:tcPr>
            <w:tcW w:w="104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Príspevky SR do MO</w:t>
            </w:r>
          </w:p>
        </w:tc>
        <w:tc>
          <w:tcPr>
            <w:tcW w:w="57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556 246</w:t>
            </w:r>
          </w:p>
        </w:tc>
        <w:tc>
          <w:tcPr>
            <w:tcW w:w="570"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580 581</w:t>
            </w:r>
          </w:p>
        </w:tc>
        <w:tc>
          <w:tcPr>
            <w:tcW w:w="570"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582 055</w:t>
            </w:r>
          </w:p>
        </w:tc>
        <w:tc>
          <w:tcPr>
            <w:tcW w:w="570"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649 628</w:t>
            </w:r>
          </w:p>
        </w:tc>
        <w:tc>
          <w:tcPr>
            <w:tcW w:w="56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582 055</w:t>
            </w:r>
          </w:p>
        </w:tc>
        <w:tc>
          <w:tcPr>
            <w:tcW w:w="56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582 055</w:t>
            </w:r>
          </w:p>
        </w:tc>
        <w:tc>
          <w:tcPr>
            <w:tcW w:w="53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582 055</w:t>
            </w:r>
          </w:p>
        </w:tc>
      </w:tr>
      <w:tr>
        <w:tblPrEx>
          <w:tblW w:w="4982" w:type="pct"/>
          <w:tblInd w:w="70" w:type="dxa"/>
          <w:tblCellMar>
            <w:left w:w="70" w:type="dxa"/>
            <w:right w:w="70" w:type="dxa"/>
          </w:tblCellMar>
          <w:tblLook w:val="04A0"/>
        </w:tblPrEx>
        <w:trPr>
          <w:trHeight w:val="259"/>
        </w:trPr>
        <w:tc>
          <w:tcPr>
            <w:tcW w:w="104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Vodná doprava</w:t>
            </w:r>
          </w:p>
        </w:tc>
        <w:tc>
          <w:tcPr>
            <w:tcW w:w="57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70"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70"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70"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6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223 304</w:t>
            </w:r>
          </w:p>
        </w:tc>
        <w:tc>
          <w:tcPr>
            <w:tcW w:w="56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835775" w:rsidP="00257E12">
            <w:pPr>
              <w:bidi w:val="0"/>
              <w:jc w:val="right"/>
              <w:rPr>
                <w:rFonts w:ascii="Times New Roman" w:hAnsi="Times New Roman" w:cs="Times New Roman"/>
                <w:color w:val="000000"/>
                <w:sz w:val="14"/>
                <w:szCs w:val="14"/>
              </w:rPr>
            </w:pPr>
            <w:r w:rsidRPr="0067449E">
              <w:rPr>
                <w:rFonts w:ascii="Times New Roman" w:hAnsi="Times New Roman" w:cs="Times New Roman"/>
                <w:color w:val="000000"/>
                <w:sz w:val="14"/>
                <w:szCs w:val="14"/>
              </w:rPr>
              <w:t>223 304</w:t>
            </w:r>
          </w:p>
        </w:tc>
        <w:tc>
          <w:tcPr>
            <w:tcW w:w="53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835775" w:rsidP="00257E12">
            <w:pPr>
              <w:bidi w:val="0"/>
              <w:jc w:val="right"/>
              <w:rPr>
                <w:rFonts w:ascii="Times New Roman" w:hAnsi="Times New Roman" w:cs="Times New Roman"/>
                <w:color w:val="000000"/>
                <w:sz w:val="14"/>
                <w:szCs w:val="14"/>
              </w:rPr>
            </w:pPr>
            <w:r w:rsidRPr="0067449E">
              <w:rPr>
                <w:rFonts w:ascii="Times New Roman" w:hAnsi="Times New Roman" w:cs="Times New Roman"/>
                <w:color w:val="000000"/>
                <w:sz w:val="14"/>
                <w:szCs w:val="14"/>
              </w:rPr>
              <w:t>223 304</w:t>
            </w:r>
          </w:p>
        </w:tc>
      </w:tr>
      <w:tr>
        <w:tblPrEx>
          <w:tblW w:w="4982" w:type="pct"/>
          <w:tblInd w:w="70" w:type="dxa"/>
          <w:tblCellMar>
            <w:left w:w="70" w:type="dxa"/>
            <w:right w:w="70" w:type="dxa"/>
          </w:tblCellMar>
          <w:tblLook w:val="04A0"/>
        </w:tblPrEx>
        <w:trPr>
          <w:trHeight w:val="259"/>
        </w:trPr>
        <w:tc>
          <w:tcPr>
            <w:tcW w:w="104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Protidrogová politika</w:t>
            </w:r>
          </w:p>
        </w:tc>
        <w:tc>
          <w:tcPr>
            <w:tcW w:w="571"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70"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70"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70"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56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1 000</w:t>
            </w:r>
          </w:p>
        </w:tc>
        <w:tc>
          <w:tcPr>
            <w:tcW w:w="569"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1 000</w:t>
            </w:r>
          </w:p>
        </w:tc>
        <w:tc>
          <w:tcPr>
            <w:tcW w:w="533" w:type="pct"/>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1 000</w:t>
            </w:r>
          </w:p>
        </w:tc>
      </w:tr>
    </w:tbl>
    <w:p w:rsidR="00F42914" w:rsidRPr="00432A91" w:rsidP="00F42914">
      <w:pPr>
        <w:bidi w:val="0"/>
        <w:jc w:val="both"/>
        <w:rPr>
          <w:rFonts w:ascii="Times New Roman" w:hAnsi="Times New Roman" w:cs="Times New Roman"/>
        </w:rPr>
      </w:pPr>
    </w:p>
    <w:p w:rsidR="00F42914" w:rsidRPr="00432A91" w:rsidP="00F42914">
      <w:pPr>
        <w:bidi w:val="0"/>
        <w:ind w:firstLine="708"/>
        <w:jc w:val="both"/>
        <w:rPr>
          <w:rFonts w:ascii="Times New Roman" w:hAnsi="Times New Roman" w:cs="Times New Roman"/>
        </w:rPr>
      </w:pPr>
      <w:r w:rsidRPr="00432A91">
        <w:rPr>
          <w:rFonts w:ascii="Times New Roman" w:hAnsi="Times New Roman" w:cs="Times New Roman"/>
        </w:rPr>
        <w:t>Výdavky na ostatné činnosti sa v roku 2012 navrhujú v sume 6</w:t>
      </w:r>
      <w:r>
        <w:rPr>
          <w:rFonts w:ascii="Times New Roman" w:hAnsi="Times New Roman" w:cs="Times New Roman"/>
        </w:rPr>
        <w:t>6</w:t>
      </w:r>
      <w:r w:rsidRPr="00432A91">
        <w:rPr>
          <w:rFonts w:ascii="Times New Roman" w:hAnsi="Times New Roman" w:cs="Times New Roman"/>
        </w:rPr>
        <w:t>,</w:t>
      </w:r>
      <w:r>
        <w:rPr>
          <w:rFonts w:ascii="Times New Roman" w:hAnsi="Times New Roman" w:cs="Times New Roman"/>
        </w:rPr>
        <w:t>4</w:t>
      </w:r>
      <w:r w:rsidRPr="00432A91">
        <w:rPr>
          <w:rFonts w:ascii="Times New Roman" w:hAnsi="Times New Roman" w:cs="Times New Roman"/>
        </w:rPr>
        <w:t xml:space="preserve"> mil. eur a v porovnaní so schváleným rozpočtom roku 2011 sú </w:t>
      </w:r>
      <w:r>
        <w:rPr>
          <w:rFonts w:ascii="Times New Roman" w:hAnsi="Times New Roman" w:cs="Times New Roman"/>
        </w:rPr>
        <w:t>vyššie</w:t>
      </w:r>
      <w:r w:rsidRPr="00432A91">
        <w:rPr>
          <w:rFonts w:ascii="Times New Roman" w:hAnsi="Times New Roman" w:cs="Times New Roman"/>
        </w:rPr>
        <w:t xml:space="preserve">  o</w:t>
      </w:r>
      <w:r>
        <w:rPr>
          <w:rFonts w:ascii="Times New Roman" w:hAnsi="Times New Roman" w:cs="Times New Roman"/>
        </w:rPr>
        <w:t xml:space="preserve"> 0,5 </w:t>
      </w:r>
      <w:r w:rsidRPr="00C13728">
        <w:rPr>
          <w:rFonts w:ascii="Times New Roman" w:hAnsi="Times New Roman" w:cs="Times New Roman"/>
        </w:rPr>
        <w:t>%, t.</w:t>
      </w:r>
      <w:r>
        <w:rPr>
          <w:rFonts w:ascii="Times New Roman" w:hAnsi="Times New Roman" w:cs="Times New Roman"/>
        </w:rPr>
        <w:t xml:space="preserve"> </w:t>
      </w:r>
      <w:r w:rsidRPr="00432A91">
        <w:rPr>
          <w:rFonts w:ascii="Times New Roman" w:hAnsi="Times New Roman" w:cs="Times New Roman"/>
        </w:rPr>
        <w:t>j. o</w:t>
      </w:r>
      <w:r>
        <w:rPr>
          <w:rFonts w:ascii="Times New Roman" w:hAnsi="Times New Roman" w:cs="Times New Roman"/>
        </w:rPr>
        <w:t> 328 tis.</w:t>
      </w:r>
      <w:r w:rsidRPr="00432A91">
        <w:rPr>
          <w:rFonts w:ascii="Times New Roman" w:hAnsi="Times New Roman" w:cs="Times New Roman"/>
        </w:rPr>
        <w:t xml:space="preserve"> eur, pričom  v tvorbe a implementácií politík sa rozpočtujú aj výdavky súvisiace s administráciou cestovného ruchu, ktoré v schválenom rozpočte roku 2011 boli rozpočtované na programe  rozvoj cestovného </w:t>
      </w:r>
      <w:r w:rsidRPr="003F017B">
        <w:rPr>
          <w:rFonts w:ascii="Times New Roman" w:hAnsi="Times New Roman" w:cs="Times New Roman"/>
        </w:rPr>
        <w:t>ruchu v sume 844 tis. eur, výdavky súvisiace s činnosťou splnomocnenca vlády SR  pre výstavbu a prevádzku Sústavy vodných diel Gabčíkovo – Nagymaros v sume 565 tis. eur delimitované z MŽP SR a výdavky na poradenské služby v sume 4,05 mil. eur, a zároveň sa znížili jednorazové výdavky na zavádzanie digitálneho vysielania v SR o sumu 6,16 mil. eur. V uvedenej oblasti</w:t>
      </w:r>
      <w:r w:rsidRPr="00432A91">
        <w:rPr>
          <w:rFonts w:ascii="Times New Roman" w:hAnsi="Times New Roman" w:cs="Times New Roman"/>
        </w:rPr>
        <w:t xml:space="preserve"> sa</w:t>
      </w:r>
      <w:r>
        <w:rPr>
          <w:rFonts w:ascii="Times New Roman" w:hAnsi="Times New Roman" w:cs="Times New Roman"/>
        </w:rPr>
        <w:t xml:space="preserve"> </w:t>
      </w:r>
      <w:r w:rsidRPr="00432A91">
        <w:rPr>
          <w:rFonts w:ascii="Times New Roman" w:hAnsi="Times New Roman" w:cs="Times New Roman"/>
        </w:rPr>
        <w:t>rozpočtujú aj výdavky na programe vodná doprava a</w:t>
      </w:r>
      <w:r>
        <w:rPr>
          <w:rFonts w:ascii="Times New Roman" w:hAnsi="Times New Roman" w:cs="Times New Roman"/>
        </w:rPr>
        <w:t xml:space="preserve"> </w:t>
      </w:r>
      <w:r w:rsidRPr="00432A91">
        <w:rPr>
          <w:rFonts w:ascii="Times New Roman" w:hAnsi="Times New Roman" w:cs="Times New Roman"/>
        </w:rPr>
        <w:t>medzirezortnom podprograme</w:t>
      </w:r>
      <w:r>
        <w:rPr>
          <w:rFonts w:ascii="Times New Roman" w:hAnsi="Times New Roman" w:cs="Times New Roman"/>
        </w:rPr>
        <w:t xml:space="preserve"> </w:t>
      </w:r>
      <w:r w:rsidRPr="00432A91">
        <w:rPr>
          <w:rFonts w:ascii="Times New Roman" w:hAnsi="Times New Roman" w:cs="Times New Roman"/>
        </w:rPr>
        <w:t>protidrogová politika, na ktorých v</w:t>
      </w:r>
      <w:r>
        <w:rPr>
          <w:rFonts w:ascii="Times New Roman" w:hAnsi="Times New Roman" w:cs="Times New Roman"/>
        </w:rPr>
        <w:t xml:space="preserve"> </w:t>
      </w:r>
      <w:r w:rsidRPr="00432A91">
        <w:rPr>
          <w:rFonts w:ascii="Times New Roman" w:hAnsi="Times New Roman" w:cs="Times New Roman"/>
        </w:rPr>
        <w:t>schválenom rozpočte roku 2011 výdavky neboli rozpočtované.</w:t>
      </w:r>
    </w:p>
    <w:p w:rsidR="00F42914" w:rsidRPr="00432A91" w:rsidP="00F42914">
      <w:pPr>
        <w:bidi w:val="0"/>
        <w:jc w:val="both"/>
        <w:rPr>
          <w:rFonts w:ascii="Times New Roman" w:hAnsi="Times New Roman" w:cs="Times New Roman"/>
        </w:rPr>
      </w:pPr>
    </w:p>
    <w:p w:rsidR="00F42914" w:rsidRPr="00432A91" w:rsidP="00F42914">
      <w:pPr>
        <w:bidi w:val="0"/>
        <w:ind w:firstLine="708"/>
        <w:jc w:val="both"/>
        <w:rPr>
          <w:rFonts w:ascii="Times New Roman" w:hAnsi="Times New Roman" w:cs="Times New Roman"/>
        </w:rPr>
      </w:pPr>
      <w:r w:rsidRPr="00432A91">
        <w:rPr>
          <w:rFonts w:ascii="Times New Roman" w:hAnsi="Times New Roman" w:cs="Times New Roman"/>
        </w:rPr>
        <w:t>Na podprogramy, ktoré rozpočtová kapitola rieši ako účastník medzirezortného programu sa rozpočtujú výdavky v sume 3,76 mil. eur. Uvedené výdavky sú určené pre podprogramy Civilné núdzové plánovanie, Dopravná a telekomunikačná podpora, Hospodárska mobilizácia, Príspevky SR do medzinárodných organizácií a Protidrogová politika.</w:t>
      </w:r>
    </w:p>
    <w:p w:rsidR="00F42914" w:rsidRPr="00432A91" w:rsidP="00F42914">
      <w:pPr>
        <w:bidi w:val="0"/>
        <w:jc w:val="both"/>
        <w:rPr>
          <w:rFonts w:ascii="Times New Roman" w:hAnsi="Times New Roman" w:cs="Times New Roman"/>
        </w:rPr>
      </w:pPr>
    </w:p>
    <w:tbl>
      <w:tblPr>
        <w:tblStyle w:val="TableNormal"/>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39"/>
        <w:gridCol w:w="878"/>
        <w:gridCol w:w="878"/>
        <w:gridCol w:w="878"/>
        <w:gridCol w:w="878"/>
        <w:gridCol w:w="878"/>
        <w:gridCol w:w="878"/>
        <w:gridCol w:w="878"/>
      </w:tblGrid>
      <w:tr>
        <w:tblPrEx>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43"/>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v eurách</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2009 S</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2010 S</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2011 R</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2011 OS</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2012 N</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2013 N</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F42914" w:rsidRPr="00BC5817" w:rsidP="00257E12">
            <w:pPr>
              <w:bidi w:val="0"/>
              <w:jc w:val="center"/>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2014 N</w:t>
            </w:r>
          </w:p>
        </w:tc>
      </w:tr>
      <w:tr>
        <w:tblPrEx>
          <w:tblW w:w="9085" w:type="dxa"/>
          <w:tblInd w:w="57" w:type="dxa"/>
          <w:tblCellMar>
            <w:left w:w="70" w:type="dxa"/>
            <w:right w:w="70" w:type="dxa"/>
          </w:tblCellMar>
          <w:tblLook w:val="04A0"/>
        </w:tblPrEx>
        <w:trPr>
          <w:trHeight w:val="243"/>
        </w:trPr>
        <w:tc>
          <w:tcPr>
            <w:tcW w:w="2939"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Tvorba a implementácia politík spolu</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43 965 657</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42 901 494</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62 238 688</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67 804 812</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62 441 129</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sidRPr="00BC5817">
              <w:rPr>
                <w:rFonts w:ascii="Times New Roman" w:hAnsi="Times New Roman" w:cs="Times New Roman"/>
                <w:b/>
                <w:bCs/>
                <w:color w:val="000000"/>
                <w:sz w:val="14"/>
                <w:szCs w:val="14"/>
              </w:rPr>
              <w:t>5</w:t>
            </w:r>
            <w:r>
              <w:rPr>
                <w:rFonts w:ascii="Times New Roman" w:hAnsi="Times New Roman" w:cs="Times New Roman"/>
                <w:b/>
                <w:bCs/>
                <w:color w:val="000000"/>
                <w:sz w:val="14"/>
                <w:szCs w:val="14"/>
              </w:rPr>
              <w:t>9</w:t>
            </w:r>
            <w:r w:rsidRPr="00BC5817">
              <w:rPr>
                <w:rFonts w:ascii="Times New Roman" w:hAnsi="Times New Roman" w:cs="Times New Roman"/>
                <w:b/>
                <w:bCs/>
                <w:color w:val="000000"/>
                <w:sz w:val="14"/>
                <w:szCs w:val="14"/>
              </w:rPr>
              <w:t> </w:t>
            </w:r>
            <w:r>
              <w:rPr>
                <w:rFonts w:ascii="Times New Roman" w:hAnsi="Times New Roman" w:cs="Times New Roman"/>
                <w:b/>
                <w:bCs/>
                <w:color w:val="000000"/>
                <w:sz w:val="14"/>
                <w:szCs w:val="14"/>
              </w:rPr>
              <w:t>021</w:t>
            </w:r>
            <w:r w:rsidRPr="00BC5817">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193</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58</w:t>
            </w:r>
            <w:r w:rsidRPr="00BC5817">
              <w:rPr>
                <w:rFonts w:ascii="Times New Roman" w:hAnsi="Times New Roman" w:cs="Times New Roman"/>
                <w:b/>
                <w:bCs/>
                <w:color w:val="000000"/>
                <w:sz w:val="14"/>
                <w:szCs w:val="14"/>
              </w:rPr>
              <w:t> </w:t>
            </w:r>
            <w:r>
              <w:rPr>
                <w:rFonts w:ascii="Times New Roman" w:hAnsi="Times New Roman" w:cs="Times New Roman"/>
                <w:b/>
                <w:bCs/>
                <w:color w:val="000000"/>
                <w:sz w:val="14"/>
                <w:szCs w:val="14"/>
              </w:rPr>
              <w:t>610</w:t>
            </w:r>
            <w:r w:rsidRPr="00BC5817">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948</w:t>
            </w:r>
          </w:p>
        </w:tc>
      </w:tr>
      <w:tr>
        <w:tblPrEx>
          <w:tblW w:w="9085" w:type="dxa"/>
          <w:tblInd w:w="57" w:type="dxa"/>
          <w:tblCellMar>
            <w:left w:w="70" w:type="dxa"/>
            <w:right w:w="70" w:type="dxa"/>
          </w:tblCellMar>
          <w:tblLook w:val="04A0"/>
        </w:tblPrEx>
        <w:trPr>
          <w:trHeight w:val="243"/>
        </w:trPr>
        <w:tc>
          <w:tcPr>
            <w:tcW w:w="2939"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Ústredný orgán MDVRR SR</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19 739 471</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19 598 092</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25 298 017</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26 864 141</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w:t>
            </w:r>
            <w:r>
              <w:rPr>
                <w:rFonts w:ascii="Times New Roman" w:hAnsi="Times New Roman" w:cs="Times New Roman"/>
                <w:color w:val="000000"/>
                <w:sz w:val="14"/>
                <w:szCs w:val="14"/>
              </w:rPr>
              <w:t>7</w:t>
            </w:r>
            <w:r w:rsidRPr="00BC5817">
              <w:rPr>
                <w:rFonts w:ascii="Times New Roman" w:hAnsi="Times New Roman" w:cs="Times New Roman"/>
                <w:color w:val="000000"/>
                <w:sz w:val="14"/>
                <w:szCs w:val="14"/>
              </w:rPr>
              <w:t xml:space="preserve"> </w:t>
            </w:r>
            <w:r>
              <w:rPr>
                <w:rFonts w:ascii="Times New Roman" w:hAnsi="Times New Roman" w:cs="Times New Roman"/>
                <w:color w:val="000000"/>
                <w:sz w:val="14"/>
                <w:szCs w:val="14"/>
              </w:rPr>
              <w:t>053</w:t>
            </w:r>
            <w:r w:rsidRPr="00BC5817">
              <w:rPr>
                <w:rFonts w:ascii="Times New Roman" w:hAnsi="Times New Roman" w:cs="Times New Roman"/>
                <w:color w:val="000000"/>
                <w:sz w:val="14"/>
                <w:szCs w:val="14"/>
              </w:rPr>
              <w:t xml:space="preserve"> </w:t>
            </w:r>
            <w:r>
              <w:rPr>
                <w:rFonts w:ascii="Times New Roman" w:hAnsi="Times New Roman" w:cs="Times New Roman"/>
                <w:color w:val="000000"/>
                <w:sz w:val="14"/>
                <w:szCs w:val="14"/>
              </w:rPr>
              <w:t>037</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w:t>
            </w:r>
            <w:r>
              <w:rPr>
                <w:rFonts w:ascii="Times New Roman" w:hAnsi="Times New Roman" w:cs="Times New Roman"/>
                <w:color w:val="000000"/>
                <w:sz w:val="14"/>
                <w:szCs w:val="14"/>
              </w:rPr>
              <w:t>7</w:t>
            </w:r>
            <w:r w:rsidRPr="00BC5817">
              <w:rPr>
                <w:rFonts w:ascii="Times New Roman" w:hAnsi="Times New Roman" w:cs="Times New Roman"/>
                <w:color w:val="000000"/>
                <w:sz w:val="14"/>
                <w:szCs w:val="14"/>
              </w:rPr>
              <w:t xml:space="preserve"> </w:t>
            </w:r>
            <w:r>
              <w:rPr>
                <w:rFonts w:ascii="Times New Roman" w:hAnsi="Times New Roman" w:cs="Times New Roman"/>
                <w:color w:val="000000"/>
                <w:sz w:val="14"/>
                <w:szCs w:val="14"/>
              </w:rPr>
              <w:t>090</w:t>
            </w:r>
            <w:r w:rsidRPr="00BC5817">
              <w:rPr>
                <w:rFonts w:ascii="Times New Roman" w:hAnsi="Times New Roman" w:cs="Times New Roman"/>
                <w:color w:val="000000"/>
                <w:sz w:val="14"/>
                <w:szCs w:val="14"/>
              </w:rPr>
              <w:t xml:space="preserve"> </w:t>
            </w:r>
            <w:r>
              <w:rPr>
                <w:rFonts w:ascii="Times New Roman" w:hAnsi="Times New Roman" w:cs="Times New Roman"/>
                <w:color w:val="000000"/>
                <w:sz w:val="14"/>
                <w:szCs w:val="14"/>
              </w:rPr>
              <w:t>361</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w:t>
            </w:r>
            <w:r>
              <w:rPr>
                <w:rFonts w:ascii="Times New Roman" w:hAnsi="Times New Roman" w:cs="Times New Roman"/>
                <w:color w:val="000000"/>
                <w:sz w:val="14"/>
                <w:szCs w:val="14"/>
              </w:rPr>
              <w:t>7</w:t>
            </w:r>
            <w:r w:rsidRPr="00BC5817">
              <w:rPr>
                <w:rFonts w:ascii="Times New Roman" w:hAnsi="Times New Roman" w:cs="Times New Roman"/>
                <w:color w:val="000000"/>
                <w:sz w:val="14"/>
                <w:szCs w:val="14"/>
              </w:rPr>
              <w:t xml:space="preserve"> </w:t>
            </w:r>
            <w:r>
              <w:rPr>
                <w:rFonts w:ascii="Times New Roman" w:hAnsi="Times New Roman" w:cs="Times New Roman"/>
                <w:color w:val="000000"/>
                <w:sz w:val="14"/>
                <w:szCs w:val="14"/>
              </w:rPr>
              <w:t>100</w:t>
            </w:r>
            <w:r w:rsidRPr="00BC5817">
              <w:rPr>
                <w:rFonts w:ascii="Times New Roman" w:hAnsi="Times New Roman" w:cs="Times New Roman"/>
                <w:color w:val="000000"/>
                <w:sz w:val="14"/>
                <w:szCs w:val="14"/>
              </w:rPr>
              <w:t xml:space="preserve"> </w:t>
            </w:r>
            <w:r>
              <w:rPr>
                <w:rFonts w:ascii="Times New Roman" w:hAnsi="Times New Roman" w:cs="Times New Roman"/>
                <w:color w:val="000000"/>
                <w:sz w:val="14"/>
                <w:szCs w:val="14"/>
              </w:rPr>
              <w:t>116</w:t>
            </w:r>
          </w:p>
        </w:tc>
      </w:tr>
      <w:tr>
        <w:tblPrEx>
          <w:tblW w:w="9085" w:type="dxa"/>
          <w:tblInd w:w="57" w:type="dxa"/>
          <w:tblCellMar>
            <w:left w:w="70" w:type="dxa"/>
            <w:right w:w="70" w:type="dxa"/>
          </w:tblCellMar>
          <w:tblLook w:val="04A0"/>
        </w:tblPrEx>
        <w:trPr>
          <w:trHeight w:val="243"/>
        </w:trPr>
        <w:tc>
          <w:tcPr>
            <w:tcW w:w="2939"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Poradenské služby  (CARGO, Letisko BA)</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4 050 000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600 000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180 000</w:t>
            </w:r>
          </w:p>
        </w:tc>
      </w:tr>
      <w:tr>
        <w:tblPrEx>
          <w:tblW w:w="9085" w:type="dxa"/>
          <w:tblInd w:w="57" w:type="dxa"/>
          <w:tblCellMar>
            <w:left w:w="70" w:type="dxa"/>
            <w:right w:w="70" w:type="dxa"/>
          </w:tblCellMar>
          <w:tblLook w:val="04A0"/>
        </w:tblPrEx>
        <w:trPr>
          <w:trHeight w:val="243"/>
        </w:trPr>
        <w:tc>
          <w:tcPr>
            <w:tcW w:w="2939"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Útvar splnomocnenca vlády SR pre SVD G-N</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565 496</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565 496</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565 496</w:t>
            </w:r>
          </w:p>
        </w:tc>
      </w:tr>
      <w:tr>
        <w:tblPrEx>
          <w:tblW w:w="9085" w:type="dxa"/>
          <w:tblInd w:w="57" w:type="dxa"/>
          <w:tblCellMar>
            <w:left w:w="70" w:type="dxa"/>
            <w:right w:w="70" w:type="dxa"/>
          </w:tblCellMar>
          <w:tblLook w:val="04A0"/>
        </w:tblPrEx>
        <w:trPr>
          <w:trHeight w:val="243"/>
        </w:trPr>
        <w:tc>
          <w:tcPr>
            <w:tcW w:w="2939"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Úrad pre reguláciu železničnej dopravy</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1 455 205</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1 552 504</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1 437 521</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1 437 521</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1 424 077</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1 424 077</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1 424 077</w:t>
            </w:r>
          </w:p>
        </w:tc>
      </w:tr>
      <w:tr>
        <w:tblPrEx>
          <w:tblW w:w="9085" w:type="dxa"/>
          <w:tblInd w:w="57" w:type="dxa"/>
          <w:tblCellMar>
            <w:left w:w="70" w:type="dxa"/>
            <w:right w:w="70" w:type="dxa"/>
          </w:tblCellMar>
          <w:tblLook w:val="04A0"/>
        </w:tblPrEx>
        <w:trPr>
          <w:trHeight w:val="243"/>
        </w:trPr>
        <w:tc>
          <w:tcPr>
            <w:tcW w:w="2939"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Telekomunikačný úrad SR</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4 880 676</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5 141 020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4 786 318</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4 786 318</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4 727 308</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4 727 308</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4 727 308</w:t>
            </w:r>
          </w:p>
        </w:tc>
      </w:tr>
      <w:tr>
        <w:tblPrEx>
          <w:tblW w:w="9085" w:type="dxa"/>
          <w:tblInd w:w="57" w:type="dxa"/>
          <w:tblCellMar>
            <w:left w:w="70" w:type="dxa"/>
            <w:right w:w="70" w:type="dxa"/>
          </w:tblCellMar>
          <w:tblLook w:val="04A0"/>
        </w:tblPrEx>
        <w:trPr>
          <w:trHeight w:val="243"/>
        </w:trPr>
        <w:tc>
          <w:tcPr>
            <w:tcW w:w="2939"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Letecký úrad</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3 120 428</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3 447 294</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2 211 099</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2 211 099</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2 172 598</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2 172 598</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2 172 598</w:t>
            </w:r>
          </w:p>
        </w:tc>
      </w:tr>
      <w:tr>
        <w:tblPrEx>
          <w:tblW w:w="9085" w:type="dxa"/>
          <w:tblInd w:w="57" w:type="dxa"/>
          <w:tblCellMar>
            <w:left w:w="70" w:type="dxa"/>
            <w:right w:w="70" w:type="dxa"/>
          </w:tblCellMar>
          <w:tblLook w:val="04A0"/>
        </w:tblPrEx>
        <w:trPr>
          <w:trHeight w:val="243"/>
        </w:trPr>
        <w:tc>
          <w:tcPr>
            <w:tcW w:w="2939"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Poštový regulačný úrad</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531 838</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716 333</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380 584</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380 584</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690 855</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683 595</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683 595</w:t>
            </w:r>
          </w:p>
        </w:tc>
      </w:tr>
      <w:tr>
        <w:tblPrEx>
          <w:tblW w:w="9085" w:type="dxa"/>
          <w:tblInd w:w="57" w:type="dxa"/>
          <w:tblCellMar>
            <w:left w:w="70" w:type="dxa"/>
            <w:right w:w="70" w:type="dxa"/>
          </w:tblCellMar>
          <w:tblLook w:val="04A0"/>
        </w:tblPrEx>
        <w:trPr>
          <w:trHeight w:val="243"/>
        </w:trPr>
        <w:tc>
          <w:tcPr>
            <w:tcW w:w="2939"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Štátna plavebná správa</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1 930 159</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1 690 291</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1 521 371</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1 521 371</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1 365 805</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1 365 805</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1 365 805</w:t>
            </w:r>
          </w:p>
        </w:tc>
      </w:tr>
      <w:tr>
        <w:tblPrEx>
          <w:tblW w:w="9085" w:type="dxa"/>
          <w:tblInd w:w="57" w:type="dxa"/>
          <w:tblCellMar>
            <w:left w:w="70" w:type="dxa"/>
            <w:right w:w="70" w:type="dxa"/>
          </w:tblCellMar>
          <w:tblLook w:val="04A0"/>
        </w:tblPrEx>
        <w:trPr>
          <w:trHeight w:val="243"/>
        </w:trPr>
        <w:tc>
          <w:tcPr>
            <w:tcW w:w="2939"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Úrad verejného zdravotníctva MDVRR SR</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955 601</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1 008 756</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951 362</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951 362</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941 022</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941 022</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941 022</w:t>
            </w:r>
          </w:p>
        </w:tc>
      </w:tr>
      <w:tr>
        <w:tblPrEx>
          <w:tblW w:w="9085" w:type="dxa"/>
          <w:tblInd w:w="57" w:type="dxa"/>
          <w:tblCellMar>
            <w:left w:w="70" w:type="dxa"/>
            <w:right w:w="70" w:type="dxa"/>
          </w:tblCellMar>
          <w:tblLook w:val="04A0"/>
        </w:tblPrEx>
        <w:trPr>
          <w:trHeight w:val="243"/>
        </w:trPr>
        <w:tc>
          <w:tcPr>
            <w:tcW w:w="2939"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Železničná polícia</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3 579 643</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r>
      <w:tr>
        <w:tblPrEx>
          <w:tblW w:w="9085" w:type="dxa"/>
          <w:tblInd w:w="57" w:type="dxa"/>
          <w:tblCellMar>
            <w:left w:w="70" w:type="dxa"/>
            <w:right w:w="70" w:type="dxa"/>
          </w:tblCellMar>
          <w:tblLook w:val="04A0"/>
        </w:tblPrEx>
        <w:trPr>
          <w:trHeight w:val="243"/>
        </w:trPr>
        <w:tc>
          <w:tcPr>
            <w:tcW w:w="2939"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KÚ v cestnej doprave</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6 586 224</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7 150 598</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6 108 711</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6 108 711</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5 751 296</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5 751 296</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5 751 296</w:t>
            </w:r>
          </w:p>
        </w:tc>
      </w:tr>
      <w:tr>
        <w:tblPrEx>
          <w:tblW w:w="9085" w:type="dxa"/>
          <w:tblInd w:w="57" w:type="dxa"/>
          <w:tblCellMar>
            <w:left w:w="70" w:type="dxa"/>
            <w:right w:w="70" w:type="dxa"/>
          </w:tblCellMar>
          <w:tblLook w:val="04A0"/>
        </w:tblPrEx>
        <w:trPr>
          <w:trHeight w:val="243"/>
        </w:trPr>
        <w:tc>
          <w:tcPr>
            <w:tcW w:w="2939"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KÚ v stavebníctve</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236 271</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3 646 738</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3 646 738</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3 870 678</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3 870 678</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3 870 678</w:t>
            </w:r>
          </w:p>
        </w:tc>
      </w:tr>
      <w:tr>
        <w:tblPrEx>
          <w:tblW w:w="9085" w:type="dxa"/>
          <w:tblInd w:w="57" w:type="dxa"/>
          <w:tblCellMar>
            <w:left w:w="70" w:type="dxa"/>
            <w:right w:w="70" w:type="dxa"/>
          </w:tblCellMar>
          <w:tblLook w:val="04A0"/>
        </w:tblPrEx>
        <w:trPr>
          <w:trHeight w:val="243"/>
        </w:trPr>
        <w:tc>
          <w:tcPr>
            <w:tcW w:w="2939"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Slovenská stavebná inšpekcia</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135 143</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472 135</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472 135</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464 367</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464 367</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464 367</w:t>
            </w:r>
          </w:p>
        </w:tc>
      </w:tr>
      <w:tr>
        <w:tblPrEx>
          <w:tblW w:w="9085" w:type="dxa"/>
          <w:tblInd w:w="57" w:type="dxa"/>
          <w:tblCellMar>
            <w:left w:w="70" w:type="dxa"/>
            <w:right w:w="70" w:type="dxa"/>
          </w:tblCellMar>
          <w:tblLook w:val="04A0"/>
        </w:tblPrEx>
        <w:trPr>
          <w:trHeight w:val="243"/>
        </w:trPr>
        <w:tc>
          <w:tcPr>
            <w:tcW w:w="2939"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PO URBION</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33 431</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180 532</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180 532</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180 532</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180 532</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180 532</w:t>
            </w:r>
          </w:p>
        </w:tc>
      </w:tr>
      <w:tr>
        <w:tblPrEx>
          <w:tblW w:w="9085" w:type="dxa"/>
          <w:tblInd w:w="57" w:type="dxa"/>
          <w:tblCellMar>
            <w:left w:w="70" w:type="dxa"/>
            <w:right w:w="70" w:type="dxa"/>
          </w:tblCellMar>
          <w:tblLook w:val="04A0"/>
        </w:tblPrEx>
        <w:trPr>
          <w:trHeight w:val="243"/>
        </w:trPr>
        <w:tc>
          <w:tcPr>
            <w:tcW w:w="2939"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Prenes. výkon ŠS  v cest. doprave a staveb.</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268 212</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1 451 208</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6 492 665</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6 492 665</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6 492 665</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6 492 665</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6 492 665</w:t>
            </w:r>
          </w:p>
        </w:tc>
      </w:tr>
      <w:tr>
        <w:tblPrEx>
          <w:tblW w:w="9085" w:type="dxa"/>
          <w:tblInd w:w="57" w:type="dxa"/>
          <w:tblCellMar>
            <w:left w:w="70" w:type="dxa"/>
            <w:right w:w="70" w:type="dxa"/>
          </w:tblCellMar>
          <w:tblLook w:val="04A0"/>
        </w:tblPrEx>
        <w:trPr>
          <w:trHeight w:val="243"/>
        </w:trPr>
        <w:tc>
          <w:tcPr>
            <w:tcW w:w="2939"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Zavádzanie digitálneho vysielania v SR</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6 459 000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10 459 000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298 745</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298 745</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298 745</w:t>
            </w:r>
          </w:p>
        </w:tc>
      </w:tr>
      <w:tr>
        <w:tblPrEx>
          <w:tblW w:w="9085" w:type="dxa"/>
          <w:tblInd w:w="57" w:type="dxa"/>
          <w:tblCellMar>
            <w:left w:w="70" w:type="dxa"/>
            <w:right w:w="70" w:type="dxa"/>
          </w:tblCellMar>
          <w:tblLook w:val="04A0"/>
        </w:tblPrEx>
        <w:trPr>
          <w:trHeight w:val="243"/>
        </w:trPr>
        <w:tc>
          <w:tcPr>
            <w:tcW w:w="2939"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Podpora integrov. siete reg.rozvoj. agentúr</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161 785</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832 634</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832 634</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832 634</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832 634</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832 634</w:t>
            </w:r>
          </w:p>
        </w:tc>
      </w:tr>
      <w:tr>
        <w:tblPrEx>
          <w:tblW w:w="9085" w:type="dxa"/>
          <w:tblInd w:w="57" w:type="dxa"/>
          <w:tblCellMar>
            <w:left w:w="70" w:type="dxa"/>
            <w:right w:w="70" w:type="dxa"/>
          </w:tblCellMar>
          <w:tblLook w:val="04A0"/>
        </w:tblPrEx>
        <w:trPr>
          <w:trHeight w:val="243"/>
        </w:trPr>
        <w:tc>
          <w:tcPr>
            <w:tcW w:w="2939"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Podpora na projekty Euroregiónov</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277 544</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277 544</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277 544</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277 544</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277 544</w:t>
            </w:r>
          </w:p>
        </w:tc>
      </w:tr>
      <w:tr>
        <w:tblPrEx>
          <w:tblW w:w="9085" w:type="dxa"/>
          <w:tblInd w:w="57" w:type="dxa"/>
          <w:tblCellMar>
            <w:left w:w="70" w:type="dxa"/>
            <w:right w:w="70" w:type="dxa"/>
          </w:tblCellMar>
          <w:tblLook w:val="04A0"/>
        </w:tblPrEx>
        <w:trPr>
          <w:trHeight w:val="243"/>
        </w:trPr>
        <w:tc>
          <w:tcPr>
            <w:tcW w:w="2939"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Program podpory územ. rozvoja obcí a miest</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180 000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180 000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180 000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180 000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180 000</w:t>
            </w:r>
          </w:p>
        </w:tc>
      </w:tr>
      <w:tr>
        <w:tblPrEx>
          <w:tblW w:w="9085" w:type="dxa"/>
          <w:tblInd w:w="57" w:type="dxa"/>
          <w:tblCellMar>
            <w:left w:w="70" w:type="dxa"/>
            <w:right w:w="70" w:type="dxa"/>
          </w:tblCellMar>
          <w:tblLook w:val="04A0"/>
        </w:tblPrEx>
        <w:trPr>
          <w:trHeight w:val="243"/>
        </w:trPr>
        <w:tc>
          <w:tcPr>
            <w:tcW w:w="2939"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rPr>
                <w:rFonts w:ascii="Times New Roman" w:hAnsi="Times New Roman" w:cs="Times New Roman"/>
                <w:color w:val="000000"/>
                <w:sz w:val="14"/>
                <w:szCs w:val="14"/>
              </w:rPr>
            </w:pPr>
            <w:r w:rsidRPr="00BC5817">
              <w:rPr>
                <w:rFonts w:ascii="Times New Roman" w:hAnsi="Times New Roman" w:cs="Times New Roman"/>
                <w:color w:val="000000"/>
                <w:sz w:val="14"/>
                <w:szCs w:val="14"/>
              </w:rPr>
              <w:t>Veda a výskum</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918 200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578 768</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1 002 457</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1 002 457</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1 102 470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1 102 470</w:t>
            </w:r>
          </w:p>
        </w:tc>
        <w:tc>
          <w:tcPr>
            <w:tcW w:w="878" w:type="dxa"/>
            <w:tcBorders>
              <w:top w:val="single" w:sz="4" w:space="0" w:color="auto"/>
              <w:left w:val="single" w:sz="4" w:space="0" w:color="auto"/>
              <w:bottom w:val="single" w:sz="4" w:space="0" w:color="auto"/>
              <w:right w:val="single" w:sz="4" w:space="0" w:color="auto"/>
            </w:tcBorders>
            <w:noWrap/>
            <w:textDirection w:val="lrTb"/>
            <w:vAlign w:val="bottom"/>
            <w:hideMark/>
          </w:tcPr>
          <w:p w:rsidR="00F42914" w:rsidRPr="00BC5817" w:rsidP="00257E12">
            <w:pPr>
              <w:bidi w:val="0"/>
              <w:jc w:val="right"/>
              <w:rPr>
                <w:rFonts w:ascii="Times New Roman" w:hAnsi="Times New Roman" w:cs="Times New Roman"/>
                <w:color w:val="000000"/>
                <w:sz w:val="14"/>
                <w:szCs w:val="14"/>
              </w:rPr>
            </w:pPr>
            <w:r w:rsidRPr="00BC5817">
              <w:rPr>
                <w:rFonts w:ascii="Times New Roman" w:hAnsi="Times New Roman" w:cs="Times New Roman"/>
                <w:color w:val="000000"/>
                <w:sz w:val="14"/>
                <w:szCs w:val="14"/>
              </w:rPr>
              <w:t>1 102 470</w:t>
            </w:r>
          </w:p>
        </w:tc>
      </w:tr>
    </w:tbl>
    <w:p w:rsidR="00F42914" w:rsidRPr="00432A91" w:rsidP="00F42914">
      <w:pPr>
        <w:bidi w:val="0"/>
        <w:jc w:val="both"/>
        <w:rPr>
          <w:rFonts w:ascii="Times New Roman" w:hAnsi="Times New Roman" w:cs="Times New Roman"/>
        </w:rPr>
      </w:pPr>
    </w:p>
    <w:p w:rsidR="00F42914" w:rsidRPr="00432A91" w:rsidP="00F42914">
      <w:pPr>
        <w:bidi w:val="0"/>
        <w:ind w:firstLine="708"/>
        <w:jc w:val="both"/>
        <w:rPr>
          <w:rFonts w:ascii="Times New Roman" w:hAnsi="Times New Roman" w:cs="Times New Roman"/>
        </w:rPr>
      </w:pPr>
      <w:r w:rsidRPr="00432A91">
        <w:rPr>
          <w:rFonts w:ascii="Times New Roman" w:hAnsi="Times New Roman" w:cs="Times New Roman"/>
        </w:rPr>
        <w:t xml:space="preserve">Výdavky na tvorbu a implementáciu politík sú určené na zabezpečenie financovania úloh samotného úradu MDVRR SR, pre organizácie ministerstva dopravy a tiež na prenesený výkon štátnej správy. Výdavky v roku 2012 v porovnaní so schváleným rozpočtom roku 2011 </w:t>
      </w:r>
      <w:r>
        <w:rPr>
          <w:rFonts w:ascii="Times New Roman" w:hAnsi="Times New Roman" w:cs="Times New Roman"/>
        </w:rPr>
        <w:t>sú vyššie</w:t>
      </w:r>
      <w:r w:rsidRPr="00432A91">
        <w:rPr>
          <w:rFonts w:ascii="Times New Roman" w:hAnsi="Times New Roman" w:cs="Times New Roman"/>
        </w:rPr>
        <w:t xml:space="preserve"> o </w:t>
      </w:r>
      <w:r>
        <w:rPr>
          <w:rFonts w:ascii="Times New Roman" w:hAnsi="Times New Roman" w:cs="Times New Roman"/>
        </w:rPr>
        <w:t>0</w:t>
      </w:r>
      <w:r w:rsidRPr="00432A91">
        <w:rPr>
          <w:rFonts w:ascii="Times New Roman" w:hAnsi="Times New Roman" w:cs="Times New Roman"/>
        </w:rPr>
        <w:t>,3</w:t>
      </w:r>
      <w:r>
        <w:rPr>
          <w:rFonts w:ascii="Times New Roman" w:hAnsi="Times New Roman" w:cs="Times New Roman"/>
        </w:rPr>
        <w:t>3</w:t>
      </w:r>
      <w:r w:rsidRPr="00432A91">
        <w:rPr>
          <w:rFonts w:ascii="Times New Roman" w:hAnsi="Times New Roman" w:cs="Times New Roman"/>
        </w:rPr>
        <w:t xml:space="preserve"> %, čo predstavuje </w:t>
      </w:r>
      <w:r>
        <w:rPr>
          <w:rFonts w:ascii="Times New Roman" w:hAnsi="Times New Roman" w:cs="Times New Roman"/>
        </w:rPr>
        <w:t>nárast</w:t>
      </w:r>
      <w:r w:rsidRPr="00432A91">
        <w:rPr>
          <w:rFonts w:ascii="Times New Roman" w:hAnsi="Times New Roman" w:cs="Times New Roman"/>
        </w:rPr>
        <w:t xml:space="preserve"> o </w:t>
      </w:r>
      <w:r>
        <w:rPr>
          <w:rFonts w:ascii="Times New Roman" w:hAnsi="Times New Roman" w:cs="Times New Roman"/>
        </w:rPr>
        <w:t>202</w:t>
      </w:r>
      <w:r w:rsidRPr="00432A91">
        <w:rPr>
          <w:rFonts w:ascii="Times New Roman" w:hAnsi="Times New Roman" w:cs="Times New Roman"/>
        </w:rPr>
        <w:t xml:space="preserve"> </w:t>
      </w:r>
      <w:r>
        <w:rPr>
          <w:rFonts w:ascii="Times New Roman" w:hAnsi="Times New Roman" w:cs="Times New Roman"/>
        </w:rPr>
        <w:t>tis.</w:t>
      </w:r>
      <w:r w:rsidRPr="00432A91">
        <w:rPr>
          <w:rFonts w:ascii="Times New Roman" w:hAnsi="Times New Roman" w:cs="Times New Roman"/>
        </w:rPr>
        <w:t xml:space="preserve"> eur. </w:t>
      </w:r>
    </w:p>
    <w:p w:rsidR="00CB350B" w:rsidP="00CB350B">
      <w:pPr>
        <w:bidi w:val="0"/>
        <w:jc w:val="both"/>
        <w:rPr>
          <w:rFonts w:ascii="Times New Roman" w:hAnsi="Times New Roman" w:cs="Times New Roman"/>
        </w:rPr>
      </w:pPr>
    </w:p>
    <w:p w:rsidR="00CB350B" w:rsidP="00CB350B">
      <w:pPr>
        <w:pBdr>
          <w:bottom w:val="single" w:sz="4" w:space="1" w:color="000000"/>
        </w:pBdr>
        <w:bidi w:val="0"/>
        <w:jc w:val="both"/>
        <w:rPr>
          <w:rFonts w:ascii="Times New Roman" w:hAnsi="Times New Roman" w:cs="Times New Roman"/>
          <w:lang w:eastAsia="sk-SK"/>
        </w:rPr>
      </w:pPr>
      <w:r>
        <w:rPr>
          <w:rFonts w:ascii="Times New Roman" w:hAnsi="Times New Roman" w:cs="Times New Roman"/>
          <w:b/>
          <w:bCs/>
          <w:lang w:eastAsia="sk-SK"/>
        </w:rPr>
        <w:t xml:space="preserve">Ministerstvo práce, sociálnych vecí a rodiny SR </w:t>
      </w:r>
    </w:p>
    <w:p w:rsidR="00CB350B" w:rsidP="00CB350B">
      <w:pPr>
        <w:bidi w:val="0"/>
        <w:rPr>
          <w:rFonts w:ascii="Times New Roman" w:hAnsi="Times New Roman" w:cs="Times New Roman"/>
          <w:lang w:eastAsia="sk-SK"/>
        </w:rPr>
      </w:pPr>
      <w:r>
        <w:rPr>
          <w:rFonts w:ascii="Times New Roman" w:hAnsi="Times New Roman" w:cs="Times New Roman"/>
          <w:lang w:eastAsia="sk-SK"/>
        </w:rPr>
        <w:t> </w:t>
      </w:r>
    </w:p>
    <w:tbl>
      <w:tblPr>
        <w:tblStyle w:val="TableNormal"/>
        <w:tblW w:w="9072" w:type="dxa"/>
        <w:tblCellMar>
          <w:left w:w="0" w:type="dxa"/>
          <w:right w:w="0" w:type="dxa"/>
        </w:tblCellMar>
        <w:tblLook w:val="04A0"/>
      </w:tblPr>
      <w:tblGrid>
        <w:gridCol w:w="1857"/>
        <w:gridCol w:w="1030"/>
        <w:gridCol w:w="1031"/>
        <w:gridCol w:w="1031"/>
        <w:gridCol w:w="1030"/>
        <w:gridCol w:w="1031"/>
        <w:gridCol w:w="1031"/>
        <w:gridCol w:w="1031"/>
      </w:tblGrid>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b/>
                <w:bCs/>
                <w:color w:val="000000"/>
                <w:sz w:val="14"/>
                <w:szCs w:val="14"/>
                <w:lang w:eastAsia="sk-SK"/>
              </w:rPr>
              <w:t>v eurách</w:t>
            </w:r>
          </w:p>
        </w:tc>
        <w:tc>
          <w:tcPr>
            <w:tcW w:w="10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color w:val="000000"/>
                <w:sz w:val="14"/>
                <w:szCs w:val="14"/>
                <w:lang w:eastAsia="sk-SK"/>
              </w:rPr>
              <w:t>2009 S</w:t>
            </w:r>
          </w:p>
        </w:tc>
        <w:tc>
          <w:tcPr>
            <w:tcW w:w="103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color w:val="000000"/>
                <w:sz w:val="14"/>
                <w:szCs w:val="14"/>
                <w:lang w:eastAsia="sk-SK"/>
              </w:rPr>
              <w:t>2010 S</w:t>
            </w:r>
          </w:p>
        </w:tc>
        <w:tc>
          <w:tcPr>
            <w:tcW w:w="103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color w:val="000000"/>
                <w:sz w:val="14"/>
                <w:szCs w:val="14"/>
                <w:lang w:eastAsia="sk-SK"/>
              </w:rPr>
              <w:t>2011 R</w:t>
            </w:r>
          </w:p>
        </w:tc>
        <w:tc>
          <w:tcPr>
            <w:tcW w:w="103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color w:val="000000"/>
                <w:sz w:val="14"/>
                <w:szCs w:val="14"/>
                <w:lang w:eastAsia="sk-SK"/>
              </w:rPr>
              <w:t>2011 OS</w:t>
            </w:r>
          </w:p>
        </w:tc>
        <w:tc>
          <w:tcPr>
            <w:tcW w:w="103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color w:val="000000"/>
                <w:sz w:val="14"/>
                <w:szCs w:val="14"/>
                <w:lang w:eastAsia="sk-SK"/>
              </w:rPr>
              <w:t>2012 N</w:t>
            </w:r>
          </w:p>
        </w:tc>
        <w:tc>
          <w:tcPr>
            <w:tcW w:w="103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color w:val="000000"/>
                <w:sz w:val="14"/>
                <w:szCs w:val="14"/>
                <w:lang w:eastAsia="sk-SK"/>
              </w:rPr>
              <w:t>2013 N</w:t>
            </w:r>
          </w:p>
        </w:tc>
        <w:tc>
          <w:tcPr>
            <w:tcW w:w="103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color w:val="000000"/>
                <w:sz w:val="14"/>
                <w:szCs w:val="14"/>
                <w:lang w:eastAsia="sk-SK"/>
              </w:rPr>
              <w:t>2014 N</w:t>
            </w:r>
          </w:p>
        </w:tc>
      </w:tr>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b/>
                <w:bCs/>
                <w:color w:val="000000"/>
                <w:sz w:val="14"/>
                <w:szCs w:val="14"/>
                <w:lang w:eastAsia="sk-SK"/>
              </w:rPr>
              <w:t>Zdroje príslušnej kapitoly</w:t>
            </w:r>
          </w:p>
        </w:tc>
        <w:tc>
          <w:tcPr>
            <w:tcW w:w="10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color w:val="000000"/>
                <w:sz w:val="14"/>
                <w:szCs w:val="14"/>
                <w:lang w:eastAsia="sk-SK"/>
              </w:rPr>
              <w:t>1 814 743 722</w:t>
            </w:r>
          </w:p>
        </w:tc>
        <w:tc>
          <w:tcPr>
            <w:tcW w:w="103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color w:val="000000"/>
                <w:sz w:val="14"/>
                <w:szCs w:val="14"/>
                <w:lang w:eastAsia="sk-SK"/>
              </w:rPr>
              <w:t>2 023 666 999</w:t>
            </w:r>
          </w:p>
        </w:tc>
        <w:tc>
          <w:tcPr>
            <w:tcW w:w="103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color w:val="000000"/>
                <w:sz w:val="14"/>
                <w:szCs w:val="14"/>
                <w:lang w:eastAsia="sk-SK"/>
              </w:rPr>
              <w:t>2 009 192 040</w:t>
            </w:r>
          </w:p>
        </w:tc>
        <w:tc>
          <w:tcPr>
            <w:tcW w:w="103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color w:val="000000"/>
                <w:sz w:val="14"/>
                <w:szCs w:val="14"/>
                <w:lang w:eastAsia="sk-SK"/>
              </w:rPr>
              <w:t>2 010 483 025</w:t>
            </w:r>
          </w:p>
        </w:tc>
        <w:tc>
          <w:tcPr>
            <w:tcW w:w="103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color w:val="000000"/>
                <w:sz w:val="14"/>
                <w:szCs w:val="14"/>
                <w:lang w:eastAsia="sk-SK"/>
              </w:rPr>
              <w:t>1 961 535 670</w:t>
            </w:r>
          </w:p>
        </w:tc>
        <w:tc>
          <w:tcPr>
            <w:tcW w:w="103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color w:val="000000"/>
                <w:sz w:val="14"/>
                <w:szCs w:val="14"/>
                <w:lang w:eastAsia="sk-SK"/>
              </w:rPr>
              <w:t>1 988 975 922</w:t>
            </w:r>
          </w:p>
        </w:tc>
        <w:tc>
          <w:tcPr>
            <w:tcW w:w="103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color w:val="000000"/>
                <w:sz w:val="14"/>
                <w:szCs w:val="14"/>
                <w:lang w:eastAsia="sk-SK"/>
              </w:rPr>
              <w:t>2 027 727 156</w:t>
            </w:r>
          </w:p>
        </w:tc>
      </w:tr>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rPr>
                <w:rFonts w:ascii="Times New Roman" w:hAnsi="Times New Roman" w:cs="Times New Roman"/>
                <w:lang w:eastAsia="sk-SK"/>
              </w:rPr>
            </w:pPr>
            <w:r>
              <w:rPr>
                <w:rFonts w:ascii="Times New Roman" w:hAnsi="Times New Roman" w:cs="Times New Roman"/>
                <w:sz w:val="14"/>
                <w:szCs w:val="14"/>
                <w:lang w:eastAsia="sk-SK"/>
              </w:rPr>
              <w:t>Sociálna inklúzia</w:t>
            </w:r>
          </w:p>
        </w:tc>
        <w:tc>
          <w:tcPr>
            <w:tcW w:w="10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1 479 660 471</w:t>
            </w:r>
          </w:p>
        </w:tc>
        <w:tc>
          <w:tcPr>
            <w:tcW w:w="103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1 636 553 776</w:t>
            </w:r>
          </w:p>
        </w:tc>
        <w:tc>
          <w:tcPr>
            <w:tcW w:w="103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1 722 022 547</w:t>
            </w:r>
          </w:p>
        </w:tc>
        <w:tc>
          <w:tcPr>
            <w:tcW w:w="103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1 708 132 711</w:t>
            </w:r>
          </w:p>
        </w:tc>
        <w:tc>
          <w:tcPr>
            <w:tcW w:w="103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1 681 539 022</w:t>
            </w:r>
          </w:p>
        </w:tc>
        <w:tc>
          <w:tcPr>
            <w:tcW w:w="103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1 720 688 555</w:t>
            </w:r>
          </w:p>
        </w:tc>
        <w:tc>
          <w:tcPr>
            <w:tcW w:w="103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1 775 236 719</w:t>
            </w:r>
          </w:p>
        </w:tc>
      </w:tr>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rPr>
                <w:rFonts w:ascii="Times New Roman" w:hAnsi="Times New Roman" w:cs="Times New Roman"/>
                <w:lang w:eastAsia="sk-SK"/>
              </w:rPr>
            </w:pPr>
            <w:r>
              <w:rPr>
                <w:rFonts w:ascii="Times New Roman" w:hAnsi="Times New Roman" w:cs="Times New Roman"/>
                <w:sz w:val="14"/>
                <w:szCs w:val="14"/>
                <w:lang w:eastAsia="sk-SK"/>
              </w:rPr>
              <w:t>Politika zamestnanosti</w:t>
            </w:r>
          </w:p>
        </w:tc>
        <w:tc>
          <w:tcPr>
            <w:tcW w:w="10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186 504 774</w:t>
            </w:r>
          </w:p>
        </w:tc>
        <w:tc>
          <w:tcPr>
            <w:tcW w:w="103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235 521 490</w:t>
            </w:r>
          </w:p>
        </w:tc>
        <w:tc>
          <w:tcPr>
            <w:tcW w:w="103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154 711 622</w:t>
            </w:r>
          </w:p>
        </w:tc>
        <w:tc>
          <w:tcPr>
            <w:tcW w:w="103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169 671 795</w:t>
            </w:r>
          </w:p>
        </w:tc>
        <w:tc>
          <w:tcPr>
            <w:tcW w:w="103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144 371 882</w:t>
            </w:r>
          </w:p>
        </w:tc>
        <w:tc>
          <w:tcPr>
            <w:tcW w:w="103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131 448 871</w:t>
            </w:r>
          </w:p>
        </w:tc>
        <w:tc>
          <w:tcPr>
            <w:tcW w:w="103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114 409 228</w:t>
            </w:r>
          </w:p>
        </w:tc>
      </w:tr>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rPr>
                <w:rFonts w:ascii="Times New Roman" w:hAnsi="Times New Roman" w:cs="Times New Roman"/>
                <w:lang w:eastAsia="sk-SK"/>
              </w:rPr>
            </w:pPr>
            <w:r>
              <w:rPr>
                <w:rFonts w:ascii="Times New Roman" w:hAnsi="Times New Roman" w:cs="Times New Roman"/>
                <w:color w:val="000000"/>
                <w:sz w:val="14"/>
                <w:szCs w:val="14"/>
                <w:lang w:eastAsia="sk-SK"/>
              </w:rPr>
              <w:t xml:space="preserve">Inštitucionálna podpora </w:t>
            </w:r>
          </w:p>
        </w:tc>
        <w:tc>
          <w:tcPr>
            <w:tcW w:w="10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148 578 477</w:t>
            </w:r>
          </w:p>
        </w:tc>
        <w:tc>
          <w:tcPr>
            <w:tcW w:w="103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151 591 733</w:t>
            </w:r>
          </w:p>
        </w:tc>
        <w:tc>
          <w:tcPr>
            <w:tcW w:w="103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132 457 871</w:t>
            </w:r>
          </w:p>
        </w:tc>
        <w:tc>
          <w:tcPr>
            <w:tcW w:w="103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132 678 519</w:t>
            </w:r>
          </w:p>
        </w:tc>
        <w:tc>
          <w:tcPr>
            <w:tcW w:w="103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135 624 766</w:t>
            </w:r>
          </w:p>
        </w:tc>
        <w:tc>
          <w:tcPr>
            <w:tcW w:w="103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136 838 496</w:t>
            </w:r>
          </w:p>
        </w:tc>
        <w:tc>
          <w:tcPr>
            <w:tcW w:w="103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138 081 209</w:t>
            </w:r>
          </w:p>
        </w:tc>
      </w:tr>
    </w:tbl>
    <w:p w:rsidR="00CB350B" w:rsidP="00CB350B">
      <w:pPr>
        <w:bidi w:val="0"/>
        <w:jc w:val="both"/>
        <w:rPr>
          <w:rFonts w:ascii="Times New Roman" w:hAnsi="Times New Roman" w:cs="Times New Roman"/>
          <w:lang w:eastAsia="sk-SK"/>
        </w:rPr>
      </w:pPr>
      <w:r>
        <w:rPr>
          <w:rFonts w:ascii="Times New Roman" w:hAnsi="Times New Roman" w:cs="Times New Roman"/>
          <w:lang w:eastAsia="sk-SK"/>
        </w:rPr>
        <w:t> </w:t>
      </w:r>
    </w:p>
    <w:p w:rsidR="00CB350B" w:rsidP="00CB350B">
      <w:pPr>
        <w:bidi w:val="0"/>
        <w:ind w:firstLine="708"/>
        <w:jc w:val="both"/>
        <w:rPr>
          <w:rFonts w:ascii="Times New Roman" w:hAnsi="Times New Roman" w:cs="Times New Roman"/>
          <w:lang w:eastAsia="sk-SK"/>
        </w:rPr>
      </w:pPr>
      <w:r>
        <w:rPr>
          <w:rFonts w:ascii="Times New Roman" w:hAnsi="Times New Roman" w:cs="Times New Roman"/>
          <w:lang w:eastAsia="sk-SK"/>
        </w:rPr>
        <w:t>Celkové výdavky kapitoly Ministerstva práce, sociálnych vecí a rodiny SR (ďalej len „MPSVR SR“) sa na rok 2012 navrhujú v sume 1,96 mld. eur a oproti schválenému rozpočtu  roku 2011 klesajú o 47,7 mil. eur, t. j. o 2,37 %. Najvýraznejší podiel na uvedenom medziročnom poklese má zníženie výdavkov v oblasti sociálnej inklúzie, a to zohľadnením pripravovanej legislatívnej zmeny – zavedenia príjmu na tzv. „superhrubú úroveň“, v rámci ktorej sa sadzba poistného na sociálne poistenie plateného štátom za zákonom ustanovený okruh osôb určuje vo výške 19 % z vymeriavacieho základu, čo predstavuje zníženie oproti schválenému rozpočtu roka 2011 o 39,4 mil. eur. Zároveň dochádza k zníženiu výdavkov štátneho rozpočtu v nadväznosti na prognózovanú mieru evidovanej nezamestnanosti, ktorá má v roku 2012 klesnúť o 0,5 %.</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w:t>
      </w:r>
    </w:p>
    <w:p w:rsidR="00CB350B" w:rsidP="00CB350B">
      <w:pPr>
        <w:bidi w:val="0"/>
        <w:ind w:firstLine="708"/>
        <w:jc w:val="both"/>
        <w:rPr>
          <w:rFonts w:ascii="Times New Roman" w:hAnsi="Times New Roman" w:cs="Times New Roman"/>
          <w:lang w:eastAsia="sk-SK"/>
        </w:rPr>
      </w:pPr>
      <w:r>
        <w:rPr>
          <w:rFonts w:ascii="Times New Roman" w:hAnsi="Times New Roman" w:cs="Times New Roman"/>
          <w:lang w:eastAsia="sk-SK"/>
        </w:rPr>
        <w:t>Financovanie jednotlivých oblastí kapitoly je nasledovné.</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w:t>
      </w:r>
    </w:p>
    <w:p w:rsidR="00CB350B" w:rsidP="00CB350B">
      <w:pPr>
        <w:bidi w:val="0"/>
        <w:jc w:val="both"/>
        <w:rPr>
          <w:rFonts w:ascii="Times New Roman" w:hAnsi="Times New Roman" w:cs="Times New Roman"/>
          <w:lang w:eastAsia="sk-SK"/>
        </w:rPr>
      </w:pPr>
      <w:r>
        <w:rPr>
          <w:rFonts w:ascii="Times New Roman" w:hAnsi="Times New Roman" w:cs="Times New Roman"/>
          <w:b/>
          <w:bCs/>
          <w:lang w:eastAsia="sk-SK"/>
        </w:rPr>
        <w:t>Sociálna inklúzia</w:t>
      </w:r>
    </w:p>
    <w:p w:rsidR="00CB350B" w:rsidP="00CB350B">
      <w:pPr>
        <w:bidi w:val="0"/>
        <w:jc w:val="both"/>
        <w:rPr>
          <w:rFonts w:ascii="Times New Roman" w:hAnsi="Times New Roman" w:cs="Times New Roman"/>
          <w:lang w:eastAsia="sk-SK"/>
        </w:rPr>
      </w:pPr>
      <w:r>
        <w:rPr>
          <w:rFonts w:ascii="Times New Roman" w:hAnsi="Times New Roman" w:cs="Times New Roman"/>
          <w:b/>
          <w:bCs/>
          <w:lang w:eastAsia="sk-SK"/>
        </w:rPr>
        <w:t> </w:t>
      </w:r>
    </w:p>
    <w:tbl>
      <w:tblPr>
        <w:tblStyle w:val="TableNormal"/>
        <w:tblW w:w="9072" w:type="dxa"/>
        <w:tblCellMar>
          <w:left w:w="0" w:type="dxa"/>
          <w:right w:w="0" w:type="dxa"/>
        </w:tblCellMar>
        <w:tblLook w:val="04A0"/>
      </w:tblPr>
      <w:tblGrid>
        <w:gridCol w:w="2427"/>
        <w:gridCol w:w="950"/>
        <w:gridCol w:w="950"/>
        <w:gridCol w:w="949"/>
        <w:gridCol w:w="949"/>
        <w:gridCol w:w="949"/>
        <w:gridCol w:w="949"/>
        <w:gridCol w:w="949"/>
      </w:tblGrid>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v eurách</w:t>
            </w:r>
          </w:p>
        </w:tc>
        <w:tc>
          <w:tcPr>
            <w:tcW w:w="0" w:type="auto"/>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2009 S</w:t>
            </w:r>
          </w:p>
        </w:tc>
        <w:tc>
          <w:tcPr>
            <w:tcW w:w="0" w:type="auto"/>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2010 S</w:t>
            </w:r>
          </w:p>
        </w:tc>
        <w:tc>
          <w:tcPr>
            <w:tcW w:w="0" w:type="auto"/>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2011 R</w:t>
            </w:r>
          </w:p>
        </w:tc>
        <w:tc>
          <w:tcPr>
            <w:tcW w:w="0" w:type="auto"/>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2011 OS</w:t>
            </w:r>
          </w:p>
        </w:tc>
        <w:tc>
          <w:tcPr>
            <w:tcW w:w="0" w:type="auto"/>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2012 N</w:t>
            </w:r>
          </w:p>
        </w:tc>
        <w:tc>
          <w:tcPr>
            <w:tcW w:w="0" w:type="auto"/>
            <w:tcBorders>
              <w:top w:val="nil"/>
              <w:left w:val="nil"/>
              <w:bottom w:val="nil"/>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2013 N</w:t>
            </w:r>
          </w:p>
        </w:tc>
        <w:tc>
          <w:tcPr>
            <w:tcW w:w="0" w:type="auto"/>
            <w:tcBorders>
              <w:top w:val="nil"/>
              <w:left w:val="nil"/>
              <w:bottom w:val="nil"/>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2014 N</w:t>
            </w:r>
          </w:p>
        </w:tc>
      </w:tr>
      <w:tr>
        <w:tblPrEx>
          <w:tblW w:w="9072" w:type="dxa"/>
          <w:tblCellMar>
            <w:left w:w="0" w:type="dxa"/>
            <w:right w:w="0" w:type="dxa"/>
          </w:tblCellMar>
          <w:tblLook w:val="04A0"/>
        </w:tblPrEx>
        <w:trPr>
          <w:trHeight w:val="284"/>
        </w:trPr>
        <w:tc>
          <w:tcPr>
            <w:tcW w:w="0" w:type="auto"/>
            <w:tcBorders>
              <w:top w:val="nil"/>
              <w:left w:val="single" w:sz="4" w:space="0" w:color="000000"/>
              <w:bottom w:val="single" w:sz="4" w:space="0" w:color="000000"/>
              <w:right w:val="nil"/>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Sociálna inklúzia zdroje spolu</w:t>
            </w:r>
          </w:p>
        </w:tc>
        <w:tc>
          <w:tcPr>
            <w:tcW w:w="0" w:type="auto"/>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1 479 660 471</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1 636 553 776</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1 722 022 547</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1 708 132 711</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1 681 539 022</w:t>
            </w:r>
          </w:p>
        </w:tc>
        <w:tc>
          <w:tcPr>
            <w:tcW w:w="0" w:type="auto"/>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1 720 688 555</w:t>
            </w:r>
          </w:p>
        </w:tc>
        <w:tc>
          <w:tcPr>
            <w:tcW w:w="0" w:type="auto"/>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1 775 236 719</w:t>
            </w:r>
          </w:p>
        </w:tc>
      </w:tr>
      <w:tr>
        <w:tblPrEx>
          <w:tblW w:w="9072" w:type="dxa"/>
          <w:tblCellMar>
            <w:left w:w="0" w:type="dxa"/>
            <w:right w:w="0" w:type="dxa"/>
          </w:tblCellMar>
          <w:tblLook w:val="04A0"/>
        </w:tblPrEx>
        <w:trPr>
          <w:trHeight w:val="284"/>
        </w:trPr>
        <w:tc>
          <w:tcPr>
            <w:tcW w:w="0" w:type="auto"/>
            <w:tcBorders>
              <w:top w:val="nil"/>
              <w:left w:val="single" w:sz="4" w:space="0" w:color="000000"/>
              <w:bottom w:val="single" w:sz="4" w:space="0" w:color="000000"/>
              <w:right w:val="nil"/>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EÚ zdroje + spolufinancovanie</w:t>
            </w:r>
          </w:p>
        </w:tc>
        <w:tc>
          <w:tcPr>
            <w:tcW w:w="0" w:type="auto"/>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5 741 130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17 790 950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34 139 392</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35 089 157</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33 369 014</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39 543 327</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44 558 079</w:t>
            </w:r>
          </w:p>
        </w:tc>
      </w:tr>
      <w:tr>
        <w:tblPrEx>
          <w:tblW w:w="9072" w:type="dxa"/>
          <w:tblCellMar>
            <w:left w:w="0" w:type="dxa"/>
            <w:right w:w="0" w:type="dxa"/>
          </w:tblCellMar>
          <w:tblLook w:val="04A0"/>
        </w:tblPrEx>
        <w:trPr>
          <w:trHeight w:val="284"/>
        </w:trPr>
        <w:tc>
          <w:tcPr>
            <w:tcW w:w="0" w:type="auto"/>
            <w:tcBorders>
              <w:top w:val="nil"/>
              <w:left w:val="single" w:sz="4" w:space="0" w:color="000000"/>
              <w:bottom w:val="single" w:sz="4" w:space="0" w:color="000000"/>
              <w:right w:val="nil"/>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Iné zdroje</w:t>
            </w:r>
          </w:p>
        </w:tc>
        <w:tc>
          <w:tcPr>
            <w:tcW w:w="0" w:type="auto"/>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534 860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225 980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0</w:t>
            </w:r>
          </w:p>
        </w:tc>
      </w:tr>
      <w:tr>
        <w:tblPrEx>
          <w:tblW w:w="9072" w:type="dxa"/>
          <w:tblCellMar>
            <w:left w:w="0" w:type="dxa"/>
            <w:right w:w="0" w:type="dxa"/>
          </w:tblCellMar>
          <w:tblLook w:val="04A0"/>
        </w:tblPrEx>
        <w:trPr>
          <w:trHeight w:val="284"/>
        </w:trPr>
        <w:tc>
          <w:tcPr>
            <w:tcW w:w="0" w:type="auto"/>
            <w:tcBorders>
              <w:top w:val="nil"/>
              <w:left w:val="single" w:sz="4" w:space="0" w:color="000000"/>
              <w:bottom w:val="single" w:sz="4" w:space="0" w:color="000000"/>
              <w:right w:val="nil"/>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Sociálna inklúzia (zdroj 111), v tom:</w:t>
            </w:r>
          </w:p>
        </w:tc>
        <w:tc>
          <w:tcPr>
            <w:tcW w:w="0" w:type="auto"/>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1 473 384 481</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1 618 762 826</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1 687 883 155</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1 672 817 574</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1 648 170 008</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1 681 145 228</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1 730 678 640</w:t>
            </w:r>
          </w:p>
        </w:tc>
      </w:tr>
      <w:tr>
        <w:tblPrEx>
          <w:tblW w:w="9072" w:type="dxa"/>
          <w:tblCellMar>
            <w:left w:w="0" w:type="dxa"/>
            <w:right w:w="0" w:type="dxa"/>
          </w:tblCellMar>
          <w:tblLook w:val="04A0"/>
        </w:tblPrEx>
        <w:trPr>
          <w:trHeight w:val="284"/>
        </w:trPr>
        <w:tc>
          <w:tcPr>
            <w:tcW w:w="0" w:type="auto"/>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sz w:val="14"/>
                <w:szCs w:val="14"/>
                <w:lang w:eastAsia="sk-SK"/>
              </w:rPr>
              <w:t>pomoc v hmotnej núdzi</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248 824 484</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300 888 171</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301 915 583</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304 364 060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302 994 504</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302 521 630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301 577 640</w:t>
            </w:r>
          </w:p>
        </w:tc>
      </w:tr>
      <w:tr>
        <w:tblPrEx>
          <w:tblW w:w="9072" w:type="dxa"/>
          <w:tblCellMar>
            <w:left w:w="0" w:type="dxa"/>
            <w:right w:w="0" w:type="dxa"/>
          </w:tblCellMar>
          <w:tblLook w:val="04A0"/>
        </w:tblPrEx>
        <w:trPr>
          <w:trHeight w:val="284"/>
        </w:trPr>
        <w:tc>
          <w:tcPr>
            <w:tcW w:w="0" w:type="auto"/>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sz w:val="14"/>
                <w:szCs w:val="14"/>
                <w:lang w:eastAsia="sk-SK"/>
              </w:rPr>
              <w:t xml:space="preserve">podpora rodiny </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623 805 823</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703 966 700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732 811 396</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728 079 580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735 949 417</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750 589 545</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770 562 440</w:t>
            </w:r>
          </w:p>
        </w:tc>
      </w:tr>
      <w:tr>
        <w:tblPrEx>
          <w:tblW w:w="9072" w:type="dxa"/>
          <w:tblCellMar>
            <w:left w:w="0" w:type="dxa"/>
            <w:right w:w="0" w:type="dxa"/>
          </w:tblCellMar>
          <w:tblLook w:val="04A0"/>
        </w:tblPrEx>
        <w:trPr>
          <w:trHeight w:val="284"/>
        </w:trPr>
        <w:tc>
          <w:tcPr>
            <w:tcW w:w="0" w:type="auto"/>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sz w:val="14"/>
                <w:szCs w:val="14"/>
                <w:lang w:eastAsia="sk-SK"/>
              </w:rPr>
              <w:t>poistné platené štátom</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235 841 512</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221 083 980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231 517 695</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234 154 185</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192 155 903</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201 119 515</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213 348 002</w:t>
            </w:r>
          </w:p>
        </w:tc>
      </w:tr>
      <w:tr>
        <w:tblPrEx>
          <w:tblW w:w="9072" w:type="dxa"/>
          <w:tblCellMar>
            <w:left w:w="0" w:type="dxa"/>
            <w:right w:w="0" w:type="dxa"/>
          </w:tblCellMar>
          <w:tblLook w:val="04A0"/>
        </w:tblPrEx>
        <w:trPr>
          <w:trHeight w:val="284"/>
        </w:trPr>
        <w:tc>
          <w:tcPr>
            <w:tcW w:w="0" w:type="auto"/>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sz w:val="14"/>
                <w:szCs w:val="14"/>
                <w:lang w:eastAsia="sk-SK"/>
              </w:rPr>
              <w:t>kompenzácia sociálnych dôsledkov ŤZP</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184 598 380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207 062 411</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227 912 467</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219 873 335</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226 637 289</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234 257 393</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249 753 807</w:t>
            </w:r>
          </w:p>
        </w:tc>
      </w:tr>
      <w:tr>
        <w:tblPrEx>
          <w:tblW w:w="9072" w:type="dxa"/>
          <w:tblCellMar>
            <w:left w:w="0" w:type="dxa"/>
            <w:right w:w="0" w:type="dxa"/>
          </w:tblCellMar>
          <w:tblLook w:val="04A0"/>
        </w:tblPrEx>
        <w:trPr>
          <w:trHeight w:val="284"/>
        </w:trPr>
        <w:tc>
          <w:tcPr>
            <w:tcW w:w="0" w:type="auto"/>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sz w:val="14"/>
                <w:szCs w:val="14"/>
                <w:lang w:eastAsia="sk-SK"/>
              </w:rPr>
              <w:t>iniciatívy v oblasti sociálnej inklúzie</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4 409 634</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5 057 869</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4 152 270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4 152 270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4 077 495</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4 081 793</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4 086 220</w:t>
            </w:r>
          </w:p>
        </w:tc>
      </w:tr>
      <w:tr>
        <w:tblPrEx>
          <w:tblW w:w="9072" w:type="dxa"/>
          <w:tblCellMar>
            <w:left w:w="0" w:type="dxa"/>
            <w:right w:w="0" w:type="dxa"/>
          </w:tblCellMar>
          <w:tblLook w:val="04A0"/>
        </w:tblPrEx>
        <w:trPr>
          <w:trHeight w:val="284"/>
        </w:trPr>
        <w:tc>
          <w:tcPr>
            <w:tcW w:w="0" w:type="auto"/>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sz w:val="14"/>
                <w:szCs w:val="14"/>
                <w:lang w:eastAsia="sk-SK"/>
              </w:rPr>
              <w:t>starostlivosť o ohrozené deti</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71 710 915</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72 373 541</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75 795 744</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74 290 647</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75 921 725</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76 673 119</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77 187 579</w:t>
            </w:r>
          </w:p>
        </w:tc>
      </w:tr>
      <w:tr>
        <w:tblPrEx>
          <w:tblW w:w="9072" w:type="dxa"/>
          <w:tblCellMar>
            <w:left w:w="0" w:type="dxa"/>
            <w:right w:w="0" w:type="dxa"/>
          </w:tblCellMar>
          <w:tblLook w:val="04A0"/>
        </w:tblPrEx>
        <w:trPr>
          <w:trHeight w:val="284"/>
        </w:trPr>
        <w:tc>
          <w:tcPr>
            <w:tcW w:w="0" w:type="auto"/>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sz w:val="14"/>
                <w:szCs w:val="14"/>
                <w:lang w:eastAsia="sk-SK"/>
              </w:rPr>
              <w:t>nesystémové dávky sociálneho poistenia</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40 434 565</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43 488 266</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45 400 000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44 525 497</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45 433 675</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46 902 233</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49 162 952</w:t>
            </w:r>
          </w:p>
        </w:tc>
      </w:tr>
      <w:tr>
        <w:tblPrEx>
          <w:tblW w:w="9072" w:type="dxa"/>
          <w:tblCellMar>
            <w:left w:w="0" w:type="dxa"/>
            <w:right w:w="0" w:type="dxa"/>
          </w:tblCellMar>
          <w:tblLook w:val="04A0"/>
        </w:tblPrEx>
        <w:trPr>
          <w:trHeight w:val="284"/>
        </w:trPr>
        <w:tc>
          <w:tcPr>
            <w:tcW w:w="0" w:type="auto"/>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sz w:val="14"/>
                <w:szCs w:val="14"/>
                <w:lang w:eastAsia="sk-SK"/>
              </w:rPr>
              <w:t>vianočný príspevok</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63 759 168</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64 841 888</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68 378 000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63 378 000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65 000 000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65 000 000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65 000 000</w:t>
            </w:r>
          </w:p>
        </w:tc>
      </w:tr>
    </w:tbl>
    <w:p w:rsidR="00CB350B" w:rsidP="00CB350B">
      <w:pPr>
        <w:bidi w:val="0"/>
        <w:jc w:val="both"/>
        <w:rPr>
          <w:rFonts w:ascii="Times New Roman" w:hAnsi="Times New Roman" w:cs="Times New Roman"/>
          <w:lang w:eastAsia="sk-SK"/>
        </w:rPr>
      </w:pPr>
      <w:r>
        <w:rPr>
          <w:rFonts w:ascii="Times New Roman" w:hAnsi="Times New Roman" w:cs="Times New Roman"/>
          <w:b/>
          <w:bCs/>
          <w:lang w:eastAsia="sk-SK"/>
        </w:rPr>
        <w:t> </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V roku 2012 sa v rámci výdavkov na sociálnu inklúziu budú financovať všetky uplatňované dávky, príspevky v hmotnej núdzi a dotačné programy pre deti z nízkopríjmových skupín, dávky na podporu rodiny (prídavok na dieťa, rodičovský príspevok), peňažné príspevky na kompenzáciu ťažkého zdravotného postihnutia, vianočný príspevok dôchodcom a ďalšie dávky sociálnej pomoci a podpory.</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xml:space="preserve">              Rozpočtovaný objem výdavkov reaguje na vývoj počtu poberateľov a zohľadňuje makroekonomické ukazovatele tak, aby bola umožnená úprava povinne valorizovaných dávok v zákonnej výške, na rok 2012 o index, ktorým sa k 1. júlu 2011 upravili sumy životného minima, t. j. o 2,4 %, na roky 2013 a 2014 sa uvažuje s koeficientom vo výške 2,5 %. </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Zároveň sa zohľadňujú vplyvy vyplývajúce z komplexného riešenia reformy daňovo-odvodového systému.</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xml:space="preserve">              Na rok 2012 sa </w:t>
      </w:r>
      <w:r>
        <w:rPr>
          <w:rFonts w:ascii="Times New Roman" w:hAnsi="Times New Roman" w:cs="Times New Roman"/>
          <w:color w:val="000000"/>
          <w:lang w:eastAsia="sk-SK"/>
        </w:rPr>
        <w:t xml:space="preserve">zo štátneho rozpočtu pre oblasť sociálnej inklúzie </w:t>
      </w:r>
      <w:r>
        <w:rPr>
          <w:rFonts w:ascii="Times New Roman" w:hAnsi="Times New Roman" w:cs="Times New Roman"/>
          <w:lang w:eastAsia="sk-SK"/>
        </w:rPr>
        <w:t xml:space="preserve">rozpočtuje celkovo suma 1,65 mld. </w:t>
      </w:r>
      <w:r>
        <w:rPr>
          <w:rFonts w:ascii="Times New Roman" w:hAnsi="Times New Roman" w:cs="Times New Roman"/>
          <w:color w:val="000000"/>
          <w:lang w:eastAsia="sk-SK"/>
        </w:rPr>
        <w:t>eur, čo je oproti roku 2011 pokles o 2,35 %.</w:t>
      </w:r>
    </w:p>
    <w:p w:rsidR="00CB350B" w:rsidP="00CB350B">
      <w:pPr>
        <w:bidi w:val="0"/>
        <w:jc w:val="both"/>
        <w:rPr>
          <w:rFonts w:ascii="Times New Roman" w:hAnsi="Times New Roman" w:cs="Times New Roman"/>
          <w:color w:val="000000"/>
          <w:lang w:eastAsia="sk-SK"/>
        </w:rPr>
      </w:pPr>
      <w:r>
        <w:rPr>
          <w:rFonts w:ascii="Times New Roman" w:hAnsi="Times New Roman" w:cs="Times New Roman"/>
          <w:color w:val="000000"/>
          <w:lang w:eastAsia="sk-SK"/>
        </w:rPr>
        <w:t> </w:t>
      </w:r>
    </w:p>
    <w:p w:rsidR="00CB350B" w:rsidP="00CB350B">
      <w:pPr>
        <w:bidi w:val="0"/>
        <w:jc w:val="both"/>
        <w:rPr>
          <w:rFonts w:ascii="Times New Roman" w:hAnsi="Times New Roman" w:cs="Times New Roman"/>
          <w:color w:val="000000"/>
          <w:lang w:eastAsia="sk-SK"/>
        </w:rPr>
      </w:pPr>
    </w:p>
    <w:p w:rsidR="00CB350B" w:rsidP="00CB350B">
      <w:pPr>
        <w:bidi w:val="0"/>
        <w:jc w:val="both"/>
        <w:rPr>
          <w:rFonts w:ascii="Times New Roman" w:hAnsi="Times New Roman" w:cs="Times New Roman"/>
          <w:color w:val="000000"/>
          <w:lang w:eastAsia="sk-SK"/>
        </w:rPr>
      </w:pPr>
    </w:p>
    <w:p w:rsidR="00257E12" w:rsidP="00CB350B">
      <w:pPr>
        <w:bidi w:val="0"/>
        <w:jc w:val="both"/>
        <w:rPr>
          <w:rFonts w:ascii="Times New Roman" w:hAnsi="Times New Roman" w:cs="Times New Roman"/>
          <w:color w:val="000000"/>
          <w:lang w:eastAsia="sk-SK"/>
        </w:rPr>
      </w:pPr>
    </w:p>
    <w:p w:rsidR="00257E12" w:rsidP="00CB350B">
      <w:pPr>
        <w:bidi w:val="0"/>
        <w:jc w:val="both"/>
        <w:rPr>
          <w:rFonts w:ascii="Times New Roman" w:hAnsi="Times New Roman" w:cs="Times New Roman"/>
          <w:color w:val="000000"/>
          <w:lang w:eastAsia="sk-SK"/>
        </w:rPr>
      </w:pPr>
    </w:p>
    <w:p w:rsidR="00CB350B" w:rsidP="00CB350B">
      <w:pPr>
        <w:bidi w:val="0"/>
        <w:jc w:val="both"/>
        <w:rPr>
          <w:rFonts w:ascii="Times New Roman" w:hAnsi="Times New Roman" w:cs="Times New Roman"/>
          <w:lang w:eastAsia="sk-SK"/>
        </w:rPr>
      </w:pPr>
    </w:p>
    <w:tbl>
      <w:tblPr>
        <w:tblStyle w:val="TableNormal"/>
        <w:tblW w:w="9072" w:type="dxa"/>
        <w:tblCellMar>
          <w:left w:w="0" w:type="dxa"/>
          <w:right w:w="0" w:type="dxa"/>
        </w:tblCellMar>
        <w:tblLook w:val="04A0"/>
      </w:tblPr>
      <w:tblGrid>
        <w:gridCol w:w="2786"/>
        <w:gridCol w:w="898"/>
        <w:gridCol w:w="898"/>
        <w:gridCol w:w="898"/>
        <w:gridCol w:w="898"/>
        <w:gridCol w:w="898"/>
        <w:gridCol w:w="898"/>
        <w:gridCol w:w="898"/>
      </w:tblGrid>
      <w:tr>
        <w:tblPrEx>
          <w:tblW w:w="9072" w:type="dxa"/>
          <w:tblCellMar>
            <w:left w:w="0" w:type="dxa"/>
            <w:right w:w="0" w:type="dxa"/>
          </w:tblCellMar>
          <w:tblLook w:val="04A0"/>
        </w:tblPrEx>
        <w:trPr>
          <w:trHeight w:val="25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v eurách</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2009 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2010 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2011 R</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2011 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2012 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2013 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2014 N</w:t>
            </w:r>
          </w:p>
        </w:tc>
      </w:tr>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b/>
                <w:bCs/>
                <w:color w:val="000000"/>
                <w:sz w:val="14"/>
                <w:szCs w:val="14"/>
                <w:lang w:eastAsia="sk-SK"/>
              </w:rPr>
              <w:t>Pomoc v hmotnej núdzi</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248 824 484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300 888 171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301 915 583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304 364 060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302 994 504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302 521 630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301 577 640</w:t>
            </w:r>
          </w:p>
        </w:tc>
      </w:tr>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color w:val="000000"/>
                <w:sz w:val="14"/>
                <w:szCs w:val="14"/>
                <w:lang w:eastAsia="sk-SK"/>
              </w:rPr>
              <w:t>Dávka v hmotnej núdzi</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232 457 891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280 535 047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278 374 735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278 096 191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276 984 962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276 357 997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275 311 188</w:t>
            </w:r>
          </w:p>
        </w:tc>
      </w:tr>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color w:val="000000"/>
                <w:sz w:val="14"/>
                <w:szCs w:val="14"/>
                <w:lang w:eastAsia="sk-SK"/>
              </w:rPr>
              <w:t>Dotácia na výkon osobitného príjemcu</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100 314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124 025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127 954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125 570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124 200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131 100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138 000</w:t>
            </w:r>
          </w:p>
        </w:tc>
      </w:tr>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color w:val="000000"/>
                <w:sz w:val="14"/>
                <w:szCs w:val="14"/>
                <w:lang w:eastAsia="sk-SK"/>
              </w:rPr>
              <w:t>Dotácia na stravu pre dieťa v hmotnej núdzi</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9 076 267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10 918 833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13 619 257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15 698 047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14 920 871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14 887 097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14 830 707</w:t>
            </w:r>
          </w:p>
        </w:tc>
      </w:tr>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color w:val="000000"/>
                <w:sz w:val="14"/>
                <w:szCs w:val="14"/>
                <w:lang w:eastAsia="sk-SK"/>
              </w:rPr>
              <w:t>Dotácia na školské potreby pre dieťa v HN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2 361 413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2 708 585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2 812 968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2 826 141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2 805 000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2 772 000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2 739 000</w:t>
            </w:r>
          </w:p>
        </w:tc>
      </w:tr>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color w:val="000000"/>
                <w:sz w:val="14"/>
                <w:szCs w:val="14"/>
                <w:lang w:eastAsia="sk-SK"/>
              </w:rPr>
              <w:t>Náhradné výživné</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4 828 599</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6 601 681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6 980 669</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7 618 111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8 159 471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8 373 436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8 558 745</w:t>
            </w:r>
          </w:p>
        </w:tc>
      </w:tr>
    </w:tbl>
    <w:p w:rsidR="00CB350B" w:rsidP="00CB350B">
      <w:pPr>
        <w:bidi w:val="0"/>
        <w:jc w:val="both"/>
        <w:rPr>
          <w:rFonts w:ascii="Times New Roman" w:hAnsi="Times New Roman" w:cs="Times New Roman"/>
          <w:lang w:eastAsia="sk-SK"/>
        </w:rPr>
      </w:pPr>
      <w:r>
        <w:rPr>
          <w:rFonts w:ascii="Times New Roman" w:hAnsi="Times New Roman" w:cs="Times New Roman"/>
          <w:color w:val="000000"/>
          <w:lang w:eastAsia="sk-SK"/>
        </w:rPr>
        <w:t> </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Na pomoc v hmotnej núdzi sa v roku 2012 rozpočtuje 303 mil. eur, t. j. o 0,36 % viac v porovnaní so schválen</w:t>
      </w:r>
      <w:r w:rsidR="00450760">
        <w:rPr>
          <w:rFonts w:ascii="Times New Roman" w:hAnsi="Times New Roman" w:cs="Times New Roman"/>
          <w:lang w:eastAsia="sk-SK"/>
        </w:rPr>
        <w:t>ý</w:t>
      </w:r>
      <w:r>
        <w:rPr>
          <w:rFonts w:ascii="Times New Roman" w:hAnsi="Times New Roman" w:cs="Times New Roman"/>
          <w:lang w:eastAsia="sk-SK"/>
        </w:rPr>
        <w:t xml:space="preserve">m rozpočtom na rok 2011. </w:t>
      </w:r>
    </w:p>
    <w:p w:rsidR="00CB350B" w:rsidP="00CB350B">
      <w:pPr>
        <w:bidi w:val="0"/>
        <w:jc w:val="both"/>
        <w:rPr>
          <w:rFonts w:ascii="Times New Roman" w:hAnsi="Times New Roman" w:cs="Times New Roman"/>
          <w:lang w:eastAsia="sk-SK"/>
        </w:rPr>
      </w:pPr>
      <w:r>
        <w:rPr>
          <w:rFonts w:ascii="Times New Roman" w:hAnsi="Times New Roman" w:cs="Times New Roman"/>
          <w:color w:val="000000"/>
          <w:lang w:eastAsia="sk-SK"/>
        </w:rPr>
        <w:t> </w:t>
      </w:r>
    </w:p>
    <w:tbl>
      <w:tblPr>
        <w:tblStyle w:val="TableNormal"/>
        <w:tblW w:w="9072" w:type="dxa"/>
        <w:tblCellMar>
          <w:left w:w="0" w:type="dxa"/>
          <w:right w:w="0" w:type="dxa"/>
        </w:tblCellMar>
        <w:tblLook w:val="04A0"/>
      </w:tblPr>
      <w:tblGrid>
        <w:gridCol w:w="2835"/>
        <w:gridCol w:w="891"/>
        <w:gridCol w:w="891"/>
        <w:gridCol w:w="891"/>
        <w:gridCol w:w="891"/>
        <w:gridCol w:w="891"/>
        <w:gridCol w:w="891"/>
        <w:gridCol w:w="891"/>
      </w:tblGrid>
      <w:tr>
        <w:tblPrEx>
          <w:tblW w:w="9072" w:type="dxa"/>
          <w:tblCellMar>
            <w:left w:w="0" w:type="dxa"/>
            <w:right w:w="0" w:type="dxa"/>
          </w:tblCellMar>
          <w:tblLook w:val="04A0"/>
        </w:tblPrEx>
        <w:trPr>
          <w:trHeight w:val="284"/>
        </w:trPr>
        <w:tc>
          <w:tcPr>
            <w:tcW w:w="28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v eurách</w:t>
            </w:r>
          </w:p>
        </w:tc>
        <w:tc>
          <w:tcPr>
            <w:tcW w:w="89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2009 S</w:t>
            </w:r>
          </w:p>
        </w:tc>
        <w:tc>
          <w:tcPr>
            <w:tcW w:w="89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2010 S</w:t>
            </w:r>
          </w:p>
        </w:tc>
        <w:tc>
          <w:tcPr>
            <w:tcW w:w="89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2011 R</w:t>
            </w:r>
          </w:p>
        </w:tc>
        <w:tc>
          <w:tcPr>
            <w:tcW w:w="89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2011 OS</w:t>
            </w:r>
          </w:p>
        </w:tc>
        <w:tc>
          <w:tcPr>
            <w:tcW w:w="89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2012 N</w:t>
            </w:r>
          </w:p>
        </w:tc>
        <w:tc>
          <w:tcPr>
            <w:tcW w:w="89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2013 N</w:t>
            </w:r>
          </w:p>
        </w:tc>
        <w:tc>
          <w:tcPr>
            <w:tcW w:w="89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2014 N</w:t>
            </w:r>
          </w:p>
        </w:tc>
      </w:tr>
      <w:tr>
        <w:tblPrEx>
          <w:tblW w:w="9072" w:type="dxa"/>
          <w:tblCellMar>
            <w:left w:w="0" w:type="dxa"/>
            <w:right w:w="0" w:type="dxa"/>
          </w:tblCellMar>
          <w:tblLook w:val="04A0"/>
        </w:tblPrEx>
        <w:trPr>
          <w:trHeight w:val="284"/>
        </w:trPr>
        <w:tc>
          <w:tcPr>
            <w:tcW w:w="2835"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b/>
                <w:bCs/>
                <w:color w:val="000000"/>
                <w:sz w:val="14"/>
                <w:szCs w:val="14"/>
                <w:lang w:eastAsia="sk-SK"/>
              </w:rPr>
              <w:t>ø počet poberate</w:t>
            </w:r>
            <w:r>
              <w:rPr>
                <w:rFonts w:ascii="Times New Roman" w:hAnsi="Times New Roman" w:cs="Times New Roman"/>
                <w:b/>
                <w:bCs/>
                <w:color w:val="000000"/>
                <w:sz w:val="14"/>
                <w:szCs w:val="14"/>
                <w:lang w:eastAsia="sk-SK"/>
              </w:rPr>
              <w:t>ľov dávky v HN</w:t>
            </w:r>
          </w:p>
        </w:tc>
        <w:tc>
          <w:tcPr>
            <w:tcW w:w="89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164 707</w:t>
            </w:r>
          </w:p>
        </w:tc>
        <w:tc>
          <w:tcPr>
            <w:tcW w:w="89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189 653</w:t>
            </w:r>
          </w:p>
        </w:tc>
        <w:tc>
          <w:tcPr>
            <w:tcW w:w="89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187 815</w:t>
            </w:r>
          </w:p>
        </w:tc>
        <w:tc>
          <w:tcPr>
            <w:tcW w:w="89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189 505</w:t>
            </w:r>
          </w:p>
        </w:tc>
        <w:tc>
          <w:tcPr>
            <w:tcW w:w="89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188 855</w:t>
            </w:r>
          </w:p>
        </w:tc>
        <w:tc>
          <w:tcPr>
            <w:tcW w:w="89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188 427</w:t>
            </w:r>
          </w:p>
        </w:tc>
        <w:tc>
          <w:tcPr>
            <w:tcW w:w="89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187 714</w:t>
            </w:r>
          </w:p>
        </w:tc>
      </w:tr>
      <w:tr>
        <w:tblPrEx>
          <w:tblW w:w="9072" w:type="dxa"/>
          <w:tblCellMar>
            <w:left w:w="0" w:type="dxa"/>
            <w:right w:w="0" w:type="dxa"/>
          </w:tblCellMar>
          <w:tblLook w:val="04A0"/>
        </w:tblPrEx>
        <w:trPr>
          <w:trHeight w:val="284"/>
        </w:trPr>
        <w:tc>
          <w:tcPr>
            <w:tcW w:w="2835"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b/>
                <w:bCs/>
                <w:color w:val="000000"/>
                <w:sz w:val="14"/>
                <w:szCs w:val="14"/>
                <w:lang w:eastAsia="sk-SK"/>
              </w:rPr>
              <w:t>ø výška dávky v eurách</w:t>
            </w:r>
          </w:p>
        </w:tc>
        <w:tc>
          <w:tcPr>
            <w:tcW w:w="89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117,6</w:t>
            </w:r>
          </w:p>
        </w:tc>
        <w:tc>
          <w:tcPr>
            <w:tcW w:w="89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123,3</w:t>
            </w:r>
          </w:p>
        </w:tc>
        <w:tc>
          <w:tcPr>
            <w:tcW w:w="89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123,5</w:t>
            </w:r>
          </w:p>
        </w:tc>
        <w:tc>
          <w:tcPr>
            <w:tcW w:w="89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122,3</w:t>
            </w:r>
          </w:p>
        </w:tc>
        <w:tc>
          <w:tcPr>
            <w:tcW w:w="89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122,2</w:t>
            </w:r>
          </w:p>
        </w:tc>
        <w:tc>
          <w:tcPr>
            <w:tcW w:w="89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122,2</w:t>
            </w:r>
          </w:p>
        </w:tc>
        <w:tc>
          <w:tcPr>
            <w:tcW w:w="89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122,2</w:t>
            </w:r>
          </w:p>
        </w:tc>
      </w:tr>
    </w:tbl>
    <w:p w:rsidR="00CB350B" w:rsidP="00CB350B">
      <w:pPr>
        <w:bidi w:val="0"/>
        <w:jc w:val="both"/>
        <w:rPr>
          <w:rFonts w:ascii="Times New Roman" w:hAnsi="Times New Roman" w:cs="Times New Roman"/>
          <w:lang w:eastAsia="sk-SK"/>
        </w:rPr>
      </w:pPr>
      <w:r>
        <w:rPr>
          <w:rFonts w:ascii="Times New Roman" w:hAnsi="Times New Roman" w:cs="Times New Roman"/>
          <w:color w:val="000000"/>
          <w:lang w:eastAsia="sk-SK"/>
        </w:rPr>
        <w:t> </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V roku 2012 sa na dávku v hmotnej núdzi uvažuje so sumou nižšou o</w:t>
      </w:r>
      <w:r w:rsidR="00450760">
        <w:rPr>
          <w:rFonts w:ascii="Times New Roman" w:hAnsi="Times New Roman" w:cs="Times New Roman"/>
          <w:lang w:eastAsia="sk-SK"/>
        </w:rPr>
        <w:t> 0,50 % v porovnaní so schválený</w:t>
      </w:r>
      <w:r>
        <w:rPr>
          <w:rFonts w:ascii="Times New Roman" w:hAnsi="Times New Roman" w:cs="Times New Roman"/>
          <w:lang w:eastAsia="sk-SK"/>
        </w:rPr>
        <w:t>m rozpočtom na rok 2011, pretože sa predpokladá znížený počet poberateľov o 1 040 osôb v dôsledku zlepšenia sociálno-ekonomického prostredia a nepristupuje sa k septembrovej valorizácii dávky, nie je tu zákonná povinnosť ju valorizovať.</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xml:space="preserve">  </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Výdavky na dotácie pre deti reagujú na zmenu v štruktúre poberateľov, v systéme poberateľov dávok v hmotnej núdzi pribúdajú rodiny s deťmi na úkor jednotlivcov, resp. bezdetných dvojíc.</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Rast výdavkov v oblasti náhradného výživného je ovplyvnený skutočnosťou, že z dôvodu straty zamestnania pribúda počet osôb, ktoré nie sú schopné plniť si zákonom stanovenú povinnosť. Pri náhradnom výživnom je zohľadnený koeficient nárastu životného minima  a podobne ako pri dotácii na stravu pre dieťa v hmotnej núdzi je zohľadnený doterajší vývoj v čerpaní v roku 2011.</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w:t>
      </w:r>
    </w:p>
    <w:tbl>
      <w:tblPr>
        <w:tblStyle w:val="TableNormal"/>
        <w:tblW w:w="9498" w:type="dxa"/>
        <w:tblCellMar>
          <w:left w:w="0" w:type="dxa"/>
          <w:right w:w="0" w:type="dxa"/>
        </w:tblCellMar>
        <w:tblLook w:val="04A0"/>
      </w:tblPr>
      <w:tblGrid>
        <w:gridCol w:w="2694"/>
        <w:gridCol w:w="972"/>
        <w:gridCol w:w="972"/>
        <w:gridCol w:w="972"/>
        <w:gridCol w:w="972"/>
        <w:gridCol w:w="972"/>
        <w:gridCol w:w="972"/>
        <w:gridCol w:w="972"/>
      </w:tblGrid>
      <w:tr>
        <w:tblPrEx>
          <w:tblW w:w="9498" w:type="dxa"/>
          <w:tblCellMar>
            <w:left w:w="0" w:type="dxa"/>
            <w:right w:w="0" w:type="dxa"/>
          </w:tblCellMar>
          <w:tblLook w:val="04A0"/>
        </w:tblPrEx>
        <w:trPr>
          <w:trHeight w:val="255"/>
        </w:trPr>
        <w:tc>
          <w:tcPr>
            <w:tcW w:w="26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v eurách</w:t>
            </w:r>
          </w:p>
        </w:tc>
        <w:tc>
          <w:tcPr>
            <w:tcW w:w="972"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2009 S</w:t>
            </w:r>
          </w:p>
        </w:tc>
        <w:tc>
          <w:tcPr>
            <w:tcW w:w="972"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2010 S</w:t>
            </w:r>
          </w:p>
        </w:tc>
        <w:tc>
          <w:tcPr>
            <w:tcW w:w="972"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2011 R</w:t>
            </w:r>
          </w:p>
        </w:tc>
        <w:tc>
          <w:tcPr>
            <w:tcW w:w="972"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2011 OS</w:t>
            </w:r>
          </w:p>
        </w:tc>
        <w:tc>
          <w:tcPr>
            <w:tcW w:w="972"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2012 N</w:t>
            </w:r>
          </w:p>
        </w:tc>
        <w:tc>
          <w:tcPr>
            <w:tcW w:w="972"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2013 N</w:t>
            </w:r>
          </w:p>
        </w:tc>
        <w:tc>
          <w:tcPr>
            <w:tcW w:w="972"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2014 N</w:t>
            </w:r>
          </w:p>
        </w:tc>
      </w:tr>
      <w:tr>
        <w:tblPrEx>
          <w:tblW w:w="9498" w:type="dxa"/>
          <w:tblCellMar>
            <w:left w:w="0" w:type="dxa"/>
            <w:right w:w="0" w:type="dxa"/>
          </w:tblCellMar>
          <w:tblLook w:val="04A0"/>
        </w:tblPrEx>
        <w:trPr>
          <w:trHeight w:val="284"/>
        </w:trPr>
        <w:tc>
          <w:tcPr>
            <w:tcW w:w="2694"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b/>
                <w:bCs/>
                <w:color w:val="000000"/>
                <w:sz w:val="14"/>
                <w:szCs w:val="14"/>
                <w:lang w:eastAsia="sk-SK"/>
              </w:rPr>
              <w:t xml:space="preserve">Podpora rodiny v rámci verejných financií </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950 185 305</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1 037 208 081</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1 094 174 712</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1 083 698 472</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1 109 990 661</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1 136 216 452</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1 171 462 269</w:t>
            </w:r>
          </w:p>
        </w:tc>
      </w:tr>
      <w:tr>
        <w:tblPrEx>
          <w:tblW w:w="9498" w:type="dxa"/>
          <w:tblCellMar>
            <w:left w:w="0" w:type="dxa"/>
            <w:right w:w="0" w:type="dxa"/>
          </w:tblCellMar>
          <w:tblLook w:val="04A0"/>
        </w:tblPrEx>
        <w:trPr>
          <w:trHeight w:val="284"/>
        </w:trPr>
        <w:tc>
          <w:tcPr>
            <w:tcW w:w="2694"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b/>
                <w:bCs/>
                <w:color w:val="000000"/>
                <w:sz w:val="14"/>
                <w:szCs w:val="14"/>
                <w:lang w:eastAsia="sk-SK"/>
              </w:rPr>
              <w:t>Podpora rodiny zo štátneho rozpočtu</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623 805 823</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703 966 700</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732 811 396</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728 079 580</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735 949 417</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750 589 545</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770 562 440</w:t>
            </w:r>
          </w:p>
        </w:tc>
      </w:tr>
      <w:tr>
        <w:tblPrEx>
          <w:tblW w:w="9498" w:type="dxa"/>
          <w:tblCellMar>
            <w:left w:w="0" w:type="dxa"/>
            <w:right w:w="0" w:type="dxa"/>
          </w:tblCellMar>
          <w:tblLook w:val="04A0"/>
        </w:tblPrEx>
        <w:trPr>
          <w:trHeight w:val="284"/>
        </w:trPr>
        <w:tc>
          <w:tcPr>
            <w:tcW w:w="2694"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color w:val="000000"/>
                <w:sz w:val="14"/>
                <w:szCs w:val="14"/>
                <w:lang w:eastAsia="sk-SK"/>
              </w:rPr>
              <w:t xml:space="preserve">Prídavok na dieťa </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309 185 260</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319 095 259</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321 853 534</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314 521 681</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320 232 793</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326 979 450</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334 032 939</w:t>
            </w:r>
          </w:p>
        </w:tc>
      </w:tr>
      <w:tr>
        <w:tblPrEx>
          <w:tblW w:w="9498" w:type="dxa"/>
          <w:tblCellMar>
            <w:left w:w="0" w:type="dxa"/>
            <w:right w:w="0" w:type="dxa"/>
          </w:tblCellMar>
          <w:tblLook w:val="04A0"/>
        </w:tblPrEx>
        <w:trPr>
          <w:trHeight w:val="284"/>
        </w:trPr>
        <w:tc>
          <w:tcPr>
            <w:tcW w:w="2694"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color w:val="000000"/>
                <w:sz w:val="14"/>
                <w:szCs w:val="14"/>
                <w:lang w:eastAsia="sk-SK"/>
              </w:rPr>
              <w:t xml:space="preserve">Rodičovský príspevok </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269 590 890</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334 484 755</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357 189 506</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359 838 437</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361 300 879</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368 613 059</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380 797 321</w:t>
            </w:r>
          </w:p>
        </w:tc>
      </w:tr>
      <w:tr>
        <w:tblPrEx>
          <w:tblW w:w="9498" w:type="dxa"/>
          <w:tblCellMar>
            <w:left w:w="0" w:type="dxa"/>
            <w:right w:w="0" w:type="dxa"/>
          </w:tblCellMar>
          <w:tblLook w:val="04A0"/>
        </w:tblPrEx>
        <w:trPr>
          <w:trHeight w:val="284"/>
        </w:trPr>
        <w:tc>
          <w:tcPr>
            <w:tcW w:w="2694"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color w:val="000000"/>
                <w:sz w:val="14"/>
                <w:szCs w:val="14"/>
                <w:lang w:eastAsia="sk-SK"/>
              </w:rPr>
              <w:t>Ostatné príspevky na podporu rodiny</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45 029 673</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48 051 293</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50 876 956</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50 828 062</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51 285 755</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51 748 106</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52 215 158</w:t>
            </w:r>
          </w:p>
        </w:tc>
      </w:tr>
      <w:tr>
        <w:tblPrEx>
          <w:tblW w:w="9498" w:type="dxa"/>
          <w:tblCellMar>
            <w:left w:w="0" w:type="dxa"/>
            <w:right w:w="0" w:type="dxa"/>
          </w:tblCellMar>
          <w:tblLook w:val="04A0"/>
        </w:tblPrEx>
        <w:trPr>
          <w:trHeight w:val="284"/>
        </w:trPr>
        <w:tc>
          <w:tcPr>
            <w:tcW w:w="2694"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color w:val="000000"/>
                <w:sz w:val="14"/>
                <w:szCs w:val="14"/>
                <w:lang w:eastAsia="sk-SK"/>
              </w:rPr>
              <w:t>Príspevok na starostlivosť o dieťa</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0</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2 335 393</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2 891 400</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2 891 400</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3 129 990</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3 248 930</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3 517 022</w:t>
            </w:r>
          </w:p>
        </w:tc>
      </w:tr>
      <w:tr>
        <w:tblPrEx>
          <w:tblW w:w="9498" w:type="dxa"/>
          <w:tblCellMar>
            <w:left w:w="0" w:type="dxa"/>
            <w:right w:w="0" w:type="dxa"/>
          </w:tblCellMar>
          <w:tblLook w:val="04A0"/>
        </w:tblPrEx>
        <w:trPr>
          <w:trHeight w:val="284"/>
        </w:trPr>
        <w:tc>
          <w:tcPr>
            <w:tcW w:w="2694"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b/>
                <w:bCs/>
                <w:color w:val="000000"/>
                <w:sz w:val="14"/>
                <w:szCs w:val="14"/>
                <w:lang w:eastAsia="sk-SK"/>
              </w:rPr>
              <w:t>Iné nástroje podpory rodiny</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326 379 482</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333 241 381</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361 363 316</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355 618 892</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374 041 244</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385 626 907</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400 899 829</w:t>
            </w:r>
          </w:p>
        </w:tc>
      </w:tr>
      <w:tr>
        <w:tblPrEx>
          <w:tblW w:w="9498" w:type="dxa"/>
          <w:tblCellMar>
            <w:left w:w="0" w:type="dxa"/>
            <w:right w:w="0" w:type="dxa"/>
          </w:tblCellMar>
          <w:tblLook w:val="04A0"/>
        </w:tblPrEx>
        <w:trPr>
          <w:trHeight w:val="284"/>
        </w:trPr>
        <w:tc>
          <w:tcPr>
            <w:tcW w:w="2694"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color w:val="000000"/>
                <w:sz w:val="14"/>
                <w:szCs w:val="14"/>
                <w:lang w:eastAsia="sk-SK"/>
              </w:rPr>
              <w:t>Materské - platené zo Sociálnej poisťovne</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67 933 273</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76 649 938</w:t>
            </w:r>
          </w:p>
        </w:tc>
        <w:tc>
          <w:tcPr>
            <w:tcW w:w="972"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110 202 332</w:t>
            </w:r>
          </w:p>
        </w:tc>
        <w:tc>
          <w:tcPr>
            <w:tcW w:w="972"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101 154 499</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108 125 438</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111 288 307</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117 211 675</w:t>
            </w:r>
          </w:p>
        </w:tc>
      </w:tr>
      <w:tr>
        <w:tblPrEx>
          <w:tblW w:w="9498" w:type="dxa"/>
          <w:tblCellMar>
            <w:left w:w="0" w:type="dxa"/>
            <w:right w:w="0" w:type="dxa"/>
          </w:tblCellMar>
          <w:tblLook w:val="04A0"/>
        </w:tblPrEx>
        <w:trPr>
          <w:trHeight w:val="284"/>
        </w:trPr>
        <w:tc>
          <w:tcPr>
            <w:tcW w:w="2694"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color w:val="000000"/>
                <w:sz w:val="14"/>
                <w:szCs w:val="14"/>
                <w:lang w:eastAsia="sk-SK"/>
              </w:rPr>
              <w:t>Daňový bonus ( na hotovostnom princípe)</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258 446 209</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256 591 443</w:t>
            </w:r>
          </w:p>
        </w:tc>
        <w:tc>
          <w:tcPr>
            <w:tcW w:w="972"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251 160 984</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254 464 393</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265 915 806</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274 338 600</w:t>
            </w:r>
          </w:p>
        </w:tc>
        <w:tc>
          <w:tcPr>
            <w:tcW w:w="97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283 688 154</w:t>
            </w:r>
          </w:p>
        </w:tc>
      </w:tr>
    </w:tbl>
    <w:p w:rsidR="00CB350B" w:rsidP="00CB350B">
      <w:pPr>
        <w:bidi w:val="0"/>
        <w:jc w:val="both"/>
        <w:rPr>
          <w:rFonts w:ascii="Times New Roman" w:hAnsi="Times New Roman" w:cs="Times New Roman"/>
          <w:lang w:eastAsia="sk-SK"/>
        </w:rPr>
      </w:pPr>
      <w:r>
        <w:rPr>
          <w:rFonts w:ascii="Times New Roman" w:hAnsi="Times New Roman" w:cs="Times New Roman"/>
          <w:lang w:eastAsia="sk-SK"/>
        </w:rPr>
        <w:t> </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Celková podpora rodiny predstavuje výdavky v sume 1,11 mld. eur, čo oproti porovnateľnej základni schválenej na rok 2011 predstavuje nárast v sume 15,8 mil. eur, t. j. o 1,45 %. Prevažnú časť výdavkov na podporu rodiny predstavuje prídavok na dieťa a rodičovský príspevok.</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xml:space="preserve">              Podpora rodiny z verejných zdrojov je zabezpečovaná aj daňovým bonusom, prostredníctvom ktorého získajú rodiny 266 mil. eur a materským v sume 108 mil. eur. </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w:t>
      </w:r>
    </w:p>
    <w:tbl>
      <w:tblPr>
        <w:tblStyle w:val="TableNormal"/>
        <w:tblW w:w="9072" w:type="dxa"/>
        <w:tblCellMar>
          <w:left w:w="0" w:type="dxa"/>
          <w:right w:w="0" w:type="dxa"/>
        </w:tblCellMar>
        <w:tblLook w:val="04A0"/>
      </w:tblPr>
      <w:tblGrid>
        <w:gridCol w:w="2436"/>
        <w:gridCol w:w="948"/>
        <w:gridCol w:w="948"/>
        <w:gridCol w:w="948"/>
        <w:gridCol w:w="948"/>
        <w:gridCol w:w="948"/>
        <w:gridCol w:w="948"/>
        <w:gridCol w:w="948"/>
      </w:tblGrid>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v eurách</w:t>
            </w:r>
          </w:p>
        </w:tc>
        <w:tc>
          <w:tcPr>
            <w:tcW w:w="0" w:type="auto"/>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2009 S</w:t>
            </w:r>
          </w:p>
        </w:tc>
        <w:tc>
          <w:tcPr>
            <w:tcW w:w="0" w:type="auto"/>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2010 S</w:t>
            </w:r>
          </w:p>
        </w:tc>
        <w:tc>
          <w:tcPr>
            <w:tcW w:w="0" w:type="auto"/>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2011 R</w:t>
            </w:r>
          </w:p>
        </w:tc>
        <w:tc>
          <w:tcPr>
            <w:tcW w:w="0" w:type="auto"/>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2011 OS</w:t>
            </w:r>
          </w:p>
        </w:tc>
        <w:tc>
          <w:tcPr>
            <w:tcW w:w="0" w:type="auto"/>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2012 N</w:t>
            </w:r>
          </w:p>
        </w:tc>
        <w:tc>
          <w:tcPr>
            <w:tcW w:w="0" w:type="auto"/>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2013 N</w:t>
            </w:r>
          </w:p>
        </w:tc>
        <w:tc>
          <w:tcPr>
            <w:tcW w:w="0" w:type="auto"/>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2014 N</w:t>
            </w:r>
          </w:p>
        </w:tc>
      </w:tr>
      <w:tr>
        <w:tblPrEx>
          <w:tblW w:w="9072" w:type="dxa"/>
          <w:tblCellMar>
            <w:left w:w="0" w:type="dxa"/>
            <w:right w:w="0" w:type="dxa"/>
          </w:tblCellMar>
          <w:tblLook w:val="04A0"/>
        </w:tblPrEx>
        <w:trPr>
          <w:trHeight w:val="284"/>
        </w:trPr>
        <w:tc>
          <w:tcPr>
            <w:tcW w:w="0" w:type="auto"/>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color w:val="000000"/>
                <w:sz w:val="14"/>
                <w:szCs w:val="14"/>
                <w:lang w:eastAsia="sk-SK"/>
              </w:rPr>
              <w:t>prídavok na dieťa - počet detí</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1 210 588</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1 195 223</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1 177 900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1 189 379</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1 184 379</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1 179 879</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1 175 879</w:t>
            </w:r>
          </w:p>
        </w:tc>
      </w:tr>
      <w:tr>
        <w:tblPrEx>
          <w:tblW w:w="9072" w:type="dxa"/>
          <w:tblCellMar>
            <w:left w:w="0" w:type="dxa"/>
            <w:right w:w="0" w:type="dxa"/>
          </w:tblCellMar>
          <w:tblLook w:val="04A0"/>
        </w:tblPrEx>
        <w:trPr>
          <w:trHeight w:val="284"/>
        </w:trPr>
        <w:tc>
          <w:tcPr>
            <w:tcW w:w="0" w:type="auto"/>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color w:val="000000"/>
                <w:sz w:val="14"/>
                <w:szCs w:val="14"/>
                <w:lang w:eastAsia="sk-SK"/>
              </w:rPr>
              <w:t>ø výška dávky v eurách</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21,3</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22,2</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22,8</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22,0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22,5</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23,1</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23,7</w:t>
            </w:r>
          </w:p>
        </w:tc>
      </w:tr>
    </w:tbl>
    <w:p w:rsidR="00CB350B" w:rsidP="00CB350B">
      <w:pPr>
        <w:bidi w:val="0"/>
        <w:jc w:val="both"/>
        <w:rPr>
          <w:rFonts w:ascii="Times New Roman" w:hAnsi="Times New Roman" w:cs="Times New Roman"/>
          <w:lang w:eastAsia="sk-SK"/>
        </w:rPr>
      </w:pPr>
      <w:r>
        <w:rPr>
          <w:rFonts w:ascii="Times New Roman" w:hAnsi="Times New Roman" w:cs="Times New Roman"/>
          <w:lang w:eastAsia="sk-SK"/>
        </w:rPr>
        <w:t> </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Na prídavok na dieťa sa v roku 2012 rozpočtuje 320 mil. eur, t. j. o 0,50 % menej v porovnaní so schválením rozpočtom na rok 2011, pričom sa zohľadňuje predpokladaný pokles počtu detí a valorizácia dávky vo väzbe na životné minimum, teda o 2,4 %.</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w:t>
      </w:r>
    </w:p>
    <w:tbl>
      <w:tblPr>
        <w:tblStyle w:val="TableNormal"/>
        <w:tblW w:w="9072" w:type="dxa"/>
        <w:tblCellMar>
          <w:left w:w="0" w:type="dxa"/>
          <w:right w:w="0" w:type="dxa"/>
        </w:tblCellMar>
        <w:tblLook w:val="04A0"/>
      </w:tblPr>
      <w:tblGrid>
        <w:gridCol w:w="3119"/>
        <w:gridCol w:w="850"/>
        <w:gridCol w:w="850"/>
        <w:gridCol w:w="851"/>
        <w:gridCol w:w="850"/>
        <w:gridCol w:w="851"/>
        <w:gridCol w:w="850"/>
        <w:gridCol w:w="851"/>
      </w:tblGrid>
      <w:tr>
        <w:tblPrEx>
          <w:tblW w:w="9072" w:type="dxa"/>
          <w:tblCellMar>
            <w:left w:w="0" w:type="dxa"/>
            <w:right w:w="0" w:type="dxa"/>
          </w:tblCellMar>
          <w:tblLook w:val="04A0"/>
        </w:tblPrEx>
        <w:trPr>
          <w:trHeight w:val="284"/>
        </w:trPr>
        <w:tc>
          <w:tcPr>
            <w:tcW w:w="3119" w:type="dxa"/>
            <w:tcBorders>
              <w:top w:val="single" w:sz="4" w:space="0" w:color="000000"/>
              <w:left w:val="single" w:sz="4" w:space="0" w:color="000000"/>
              <w:bottom w:val="single" w:sz="4" w:space="0" w:color="000000"/>
              <w:right w:val="nil"/>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v eurách</w:t>
            </w:r>
          </w:p>
        </w:tc>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2009 S</w:t>
            </w:r>
          </w:p>
        </w:tc>
        <w:tc>
          <w:tcPr>
            <w:tcW w:w="85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2010 S</w:t>
            </w:r>
          </w:p>
        </w:tc>
        <w:tc>
          <w:tcPr>
            <w:tcW w:w="85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2011 R</w:t>
            </w:r>
          </w:p>
        </w:tc>
        <w:tc>
          <w:tcPr>
            <w:tcW w:w="85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2011 OS</w:t>
            </w:r>
          </w:p>
        </w:tc>
        <w:tc>
          <w:tcPr>
            <w:tcW w:w="85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2012 N</w:t>
            </w:r>
          </w:p>
        </w:tc>
        <w:tc>
          <w:tcPr>
            <w:tcW w:w="85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2013 N</w:t>
            </w:r>
          </w:p>
        </w:tc>
        <w:tc>
          <w:tcPr>
            <w:tcW w:w="85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2014 N</w:t>
            </w:r>
          </w:p>
        </w:tc>
      </w:tr>
      <w:tr>
        <w:tblPrEx>
          <w:tblW w:w="9072" w:type="dxa"/>
          <w:tblCellMar>
            <w:left w:w="0" w:type="dxa"/>
            <w:right w:w="0" w:type="dxa"/>
          </w:tblCellMar>
          <w:tblLook w:val="04A0"/>
        </w:tblPrEx>
        <w:trPr>
          <w:trHeight w:val="284"/>
        </w:trPr>
        <w:tc>
          <w:tcPr>
            <w:tcW w:w="3119" w:type="dxa"/>
            <w:tcBorders>
              <w:top w:val="nil"/>
              <w:left w:val="single" w:sz="4" w:space="0" w:color="000000"/>
              <w:bottom w:val="single" w:sz="4" w:space="0" w:color="000000"/>
              <w:right w:val="nil"/>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color w:val="000000"/>
                <w:sz w:val="14"/>
                <w:szCs w:val="14"/>
                <w:lang w:eastAsia="sk-SK"/>
              </w:rPr>
              <w:t>ø počet poberate</w:t>
            </w:r>
            <w:r>
              <w:rPr>
                <w:rFonts w:ascii="Times New Roman" w:hAnsi="Times New Roman" w:cs="Times New Roman"/>
                <w:color w:val="000000"/>
                <w:sz w:val="14"/>
                <w:szCs w:val="14"/>
                <w:lang w:eastAsia="sk-SK"/>
              </w:rPr>
              <w:t>ľov rodičovského príspevku</w:t>
            </w:r>
          </w:p>
        </w:tc>
        <w:tc>
          <w:tcPr>
            <w:tcW w:w="85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135 374</w:t>
            </w:r>
          </w:p>
        </w:tc>
        <w:tc>
          <w:tcPr>
            <w:tcW w:w="85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136 978</w:t>
            </w:r>
          </w:p>
        </w:tc>
        <w:tc>
          <w:tcPr>
            <w:tcW w:w="85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138 250</w:t>
            </w:r>
          </w:p>
        </w:tc>
        <w:tc>
          <w:tcPr>
            <w:tcW w:w="85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138 353</w:t>
            </w:r>
          </w:p>
        </w:tc>
        <w:tc>
          <w:tcPr>
            <w:tcW w:w="85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136 882</w:t>
            </w:r>
          </w:p>
        </w:tc>
        <w:tc>
          <w:tcPr>
            <w:tcW w:w="85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137 250</w:t>
            </w:r>
          </w:p>
        </w:tc>
        <w:tc>
          <w:tcPr>
            <w:tcW w:w="85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135 088</w:t>
            </w:r>
          </w:p>
        </w:tc>
      </w:tr>
      <w:tr>
        <w:tblPrEx>
          <w:tblW w:w="9072" w:type="dxa"/>
          <w:tblCellMar>
            <w:left w:w="0" w:type="dxa"/>
            <w:right w:w="0" w:type="dxa"/>
          </w:tblCellMar>
          <w:tblLook w:val="04A0"/>
        </w:tblPrEx>
        <w:trPr>
          <w:trHeight w:val="284"/>
        </w:trPr>
        <w:tc>
          <w:tcPr>
            <w:tcW w:w="3119"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color w:val="000000"/>
                <w:sz w:val="14"/>
                <w:szCs w:val="14"/>
                <w:lang w:eastAsia="sk-SK"/>
              </w:rPr>
              <w:t>ø výška dávky v eurách</w:t>
            </w:r>
          </w:p>
        </w:tc>
        <w:tc>
          <w:tcPr>
            <w:tcW w:w="85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166,0</w:t>
            </w:r>
          </w:p>
        </w:tc>
        <w:tc>
          <w:tcPr>
            <w:tcW w:w="85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203,5</w:t>
            </w:r>
          </w:p>
        </w:tc>
        <w:tc>
          <w:tcPr>
            <w:tcW w:w="85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215,3</w:t>
            </w:r>
          </w:p>
        </w:tc>
        <w:tc>
          <w:tcPr>
            <w:tcW w:w="85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216,7</w:t>
            </w:r>
          </w:p>
        </w:tc>
        <w:tc>
          <w:tcPr>
            <w:tcW w:w="85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220,0</w:t>
            </w:r>
          </w:p>
        </w:tc>
        <w:tc>
          <w:tcPr>
            <w:tcW w:w="85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223,8</w:t>
            </w:r>
          </w:p>
        </w:tc>
        <w:tc>
          <w:tcPr>
            <w:tcW w:w="85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234,9</w:t>
            </w:r>
          </w:p>
        </w:tc>
      </w:tr>
    </w:tbl>
    <w:p w:rsidR="00CB350B" w:rsidP="00CB350B">
      <w:pPr>
        <w:bidi w:val="0"/>
        <w:jc w:val="both"/>
        <w:rPr>
          <w:rFonts w:ascii="Times New Roman" w:hAnsi="Times New Roman" w:cs="Times New Roman"/>
          <w:lang w:eastAsia="sk-SK"/>
        </w:rPr>
      </w:pPr>
      <w:r>
        <w:rPr>
          <w:rFonts w:ascii="Times New Roman" w:hAnsi="Times New Roman" w:cs="Times New Roman"/>
          <w:lang w:eastAsia="sk-SK"/>
        </w:rPr>
        <w:t> </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Na rodičovský príspevok sa v roku 2012 rozpočtuje 361 mil. eur, t. j. o 1,15 % viac v porovnaní so schváleným rozpočtom na rok 2011, zohľadňujúc ukončenie poberania rodičovského príspevku v priebehu roka 2012 v zvýšenej sume 256 eur a prechod na jednotnú sumu, ktorá po zohľadnení povinnej valorizácie dávky vo väzbe na životné minimum bude vo výške 194,70 eur mesačne.</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V rozpočtovanej sume sa uvažuje aj s doplatkami, ktorých výška predstavuje sumár rozdielov medzi stanovenou sumou rodičovského príplatku a sumou  materského alebo obdobnej dávky ako materské, ktoré sa oprávnenej osobe vyplácajú v členskom štáte.</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Poistné platené štátom sa na rok 2012 navrhuje znížiť v porovnaní s rokom 2011 o 39,4 mil. eur, t. j. o 17,0 %.</w:t>
      </w:r>
    </w:p>
    <w:p w:rsidR="00CB350B" w:rsidP="00CB350B">
      <w:pPr>
        <w:bidi w:val="0"/>
        <w:jc w:val="both"/>
        <w:rPr>
          <w:rFonts w:ascii="Times New Roman" w:hAnsi="Times New Roman" w:cs="Times New Roman"/>
          <w:lang w:eastAsia="sk-SK"/>
        </w:rPr>
      </w:pPr>
      <w:r>
        <w:rPr>
          <w:rFonts w:ascii="Times New Roman" w:hAnsi="Times New Roman" w:cs="Times New Roman"/>
          <w:b/>
          <w:bCs/>
          <w:i/>
          <w:iCs/>
          <w:lang w:eastAsia="sk-SK"/>
        </w:rPr>
        <w:t> </w:t>
      </w:r>
    </w:p>
    <w:tbl>
      <w:tblPr>
        <w:tblStyle w:val="TableNormal"/>
        <w:tblW w:w="9072" w:type="dxa"/>
        <w:tblCellMar>
          <w:left w:w="0" w:type="dxa"/>
          <w:right w:w="0" w:type="dxa"/>
        </w:tblCellMar>
        <w:tblLook w:val="04A0"/>
      </w:tblPr>
      <w:tblGrid>
        <w:gridCol w:w="2129"/>
        <w:gridCol w:w="991"/>
        <w:gridCol w:w="992"/>
        <w:gridCol w:w="992"/>
        <w:gridCol w:w="992"/>
        <w:gridCol w:w="992"/>
        <w:gridCol w:w="992"/>
        <w:gridCol w:w="992"/>
      </w:tblGrid>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v eurách</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2009 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2010 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2011 R</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2011 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2012 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2013 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2014 N</w:t>
            </w:r>
          </w:p>
        </w:tc>
      </w:tr>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sz w:val="14"/>
                <w:szCs w:val="14"/>
                <w:lang w:eastAsia="sk-SK"/>
              </w:rPr>
              <w:t>poistné platené štátom (v eur)</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235 841 512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221 083 980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230 971 894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234 154 185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192 155 903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201 119 515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213 348 002</w:t>
            </w:r>
          </w:p>
        </w:tc>
      </w:tr>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sz w:val="14"/>
                <w:szCs w:val="14"/>
                <w:lang w:eastAsia="sk-SK"/>
              </w:rPr>
              <w:t>počet poistencov</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180 929</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167 106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171 800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174 085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173 395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175 663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176 812</w:t>
            </w:r>
          </w:p>
        </w:tc>
      </w:tr>
    </w:tbl>
    <w:p w:rsidR="00CB350B" w:rsidP="00CB350B">
      <w:pPr>
        <w:bidi w:val="0"/>
        <w:jc w:val="both"/>
        <w:rPr>
          <w:rFonts w:ascii="Times New Roman" w:hAnsi="Times New Roman" w:cs="Times New Roman"/>
          <w:lang w:eastAsia="sk-SK"/>
        </w:rPr>
      </w:pPr>
      <w:r>
        <w:rPr>
          <w:rFonts w:ascii="Times New Roman" w:hAnsi="Times New Roman" w:cs="Times New Roman"/>
          <w:b/>
          <w:bCs/>
          <w:lang w:eastAsia="sk-SK"/>
        </w:rPr>
        <w:t> </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Prihliada sa na vplyvy vyplývajúce z komplexného riešenia reformy daňovo-odvodového systému. Na sociálne poistenie platené štátom sa zavádza sadzba 19 % z upravených hrubých miezd namiesto sadzby 26 % z aktuálne stanovených vymeriavacích základov.</w:t>
      </w:r>
    </w:p>
    <w:p w:rsidR="00CB350B" w:rsidP="00CB350B">
      <w:pPr>
        <w:bidi w:val="0"/>
        <w:jc w:val="both"/>
        <w:rPr>
          <w:rFonts w:ascii="Times New Roman" w:hAnsi="Times New Roman" w:cs="Times New Roman"/>
          <w:lang w:eastAsia="sk-SK"/>
        </w:rPr>
      </w:pPr>
      <w:r>
        <w:rPr>
          <w:rFonts w:ascii="Times New Roman" w:hAnsi="Times New Roman" w:cs="Times New Roman"/>
          <w:b/>
          <w:bCs/>
          <w:lang w:eastAsia="sk-SK"/>
        </w:rPr>
        <w:t> </w:t>
      </w:r>
    </w:p>
    <w:tbl>
      <w:tblPr>
        <w:tblStyle w:val="TableNormal"/>
        <w:tblW w:w="9072" w:type="dxa"/>
        <w:tblCellMar>
          <w:left w:w="0" w:type="dxa"/>
          <w:right w:w="0" w:type="dxa"/>
        </w:tblCellMar>
        <w:tblLook w:val="04A0"/>
      </w:tblPr>
      <w:tblGrid>
        <w:gridCol w:w="2634"/>
        <w:gridCol w:w="919"/>
        <w:gridCol w:w="919"/>
        <w:gridCol w:w="920"/>
        <w:gridCol w:w="920"/>
        <w:gridCol w:w="920"/>
        <w:gridCol w:w="920"/>
        <w:gridCol w:w="920"/>
      </w:tblGrid>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v eurách</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2009 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2010 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2011 R</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2011 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2012 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2013 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2014 N</w:t>
            </w:r>
          </w:p>
        </w:tc>
      </w:tr>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sz w:val="14"/>
                <w:szCs w:val="14"/>
                <w:lang w:eastAsia="sk-SK"/>
              </w:rPr>
              <w:t>kompenzácia sociálnych dôsledkov ŤZP</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184 598 380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207 062 411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227 912 467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219 873 335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226 637 289</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234 257 393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249 753 807</w:t>
            </w:r>
          </w:p>
        </w:tc>
      </w:tr>
    </w:tbl>
    <w:p w:rsidR="00CB350B" w:rsidP="00CB350B">
      <w:pPr>
        <w:bidi w:val="0"/>
        <w:jc w:val="both"/>
        <w:rPr>
          <w:rFonts w:ascii="Times New Roman" w:hAnsi="Times New Roman" w:cs="Times New Roman"/>
          <w:lang w:eastAsia="sk-SK"/>
        </w:rPr>
      </w:pPr>
      <w:r>
        <w:rPr>
          <w:rFonts w:ascii="Times New Roman" w:hAnsi="Times New Roman" w:cs="Times New Roman"/>
          <w:lang w:eastAsia="sk-SK"/>
        </w:rPr>
        <w:t> </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xml:space="preserve">              Peňažné príspevky na kompenzáciu ťažkého zdravotného postihnutia sú na rok 2012 rozpočtované v sume 227 mil. eur, čo je o 0,56 % nižšie oproti schválenému rozpočtu na rok 2011. Zohľadňuje sa vývoj čerpania jednotlivých dávok (podľa platného právneho vzťahu je dávok 16) v priebehu roka 2011 a nová legislatíva, ktorou sa na rok 2012 oproti schválenému rozpočtu na rok 2011 medziiným navrhuje zvýšiť ochranu fyzickej osoby s ťažkým životným postihnutím pri peňažnom príspevku na opatrovanie z 1,3 násobku na 1,4 násobok sumy životného minima s dopadom v sume 6,76 mil. eur, či pri peňažnom príspevku na osobnú asistenciu z trojnásobku na štvornásobok sumy životného minima s dopadom v sume 365 tis. eur. </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xml:space="preserve">              Obdobne ako v roku 2011 sa na zmiernenie nepriaznivej sociálnej situácie poberateľov dôchodkových dávok rozpočtuje v roku 2012 vianočný príspevok dôchodcom v sume 65,0 mil. </w:t>
      </w:r>
      <w:r>
        <w:rPr>
          <w:rFonts w:ascii="Times New Roman" w:hAnsi="Times New Roman" w:cs="Times New Roman"/>
          <w:color w:val="000000"/>
          <w:lang w:eastAsia="sk-SK"/>
        </w:rPr>
        <w:t>eur</w:t>
      </w:r>
      <w:r>
        <w:rPr>
          <w:rFonts w:ascii="Times New Roman" w:hAnsi="Times New Roman" w:cs="Times New Roman"/>
          <w:lang w:eastAsia="sk-SK"/>
        </w:rPr>
        <w:t>.</w:t>
      </w:r>
    </w:p>
    <w:p w:rsidR="00CB350B" w:rsidP="00CB350B">
      <w:pPr>
        <w:bidi w:val="0"/>
        <w:jc w:val="both"/>
        <w:rPr>
          <w:rFonts w:ascii="Times New Roman" w:hAnsi="Times New Roman" w:cs="Times New Roman"/>
          <w:lang w:eastAsia="sk-SK"/>
        </w:rPr>
      </w:pPr>
      <w:r>
        <w:rPr>
          <w:rFonts w:ascii="Times New Roman" w:hAnsi="Times New Roman" w:cs="Times New Roman"/>
          <w:b/>
          <w:bCs/>
          <w:lang w:eastAsia="sk-SK"/>
        </w:rPr>
        <w:t> </w:t>
      </w:r>
    </w:p>
    <w:p w:rsidR="00CB350B" w:rsidP="00CB350B">
      <w:pPr>
        <w:bidi w:val="0"/>
        <w:jc w:val="both"/>
        <w:rPr>
          <w:rFonts w:ascii="Times New Roman" w:hAnsi="Times New Roman" w:cs="Times New Roman"/>
          <w:lang w:eastAsia="sk-SK"/>
        </w:rPr>
      </w:pPr>
      <w:r>
        <w:rPr>
          <w:rFonts w:ascii="Times New Roman" w:hAnsi="Times New Roman" w:cs="Times New Roman"/>
          <w:b/>
          <w:bCs/>
          <w:lang w:eastAsia="sk-SK"/>
        </w:rPr>
        <w:t>Politika zamestnanosti</w:t>
      </w:r>
    </w:p>
    <w:p w:rsidR="00CB350B" w:rsidP="00CB350B">
      <w:pPr>
        <w:bidi w:val="0"/>
        <w:jc w:val="both"/>
        <w:rPr>
          <w:rFonts w:ascii="Times New Roman" w:hAnsi="Times New Roman" w:cs="Times New Roman"/>
          <w:lang w:eastAsia="sk-SK"/>
        </w:rPr>
      </w:pPr>
      <w:r>
        <w:rPr>
          <w:rFonts w:ascii="Times New Roman" w:hAnsi="Times New Roman" w:cs="Times New Roman"/>
          <w:b/>
          <w:bCs/>
          <w:lang w:eastAsia="sk-SK"/>
        </w:rPr>
        <w:t> </w:t>
      </w:r>
    </w:p>
    <w:tbl>
      <w:tblPr>
        <w:tblStyle w:val="TableNormal"/>
        <w:tblW w:w="9072" w:type="dxa"/>
        <w:tblCellMar>
          <w:left w:w="0" w:type="dxa"/>
          <w:right w:w="0" w:type="dxa"/>
        </w:tblCellMar>
        <w:tblLook w:val="04A0"/>
      </w:tblPr>
      <w:tblGrid>
        <w:gridCol w:w="2410"/>
        <w:gridCol w:w="951"/>
        <w:gridCol w:w="952"/>
        <w:gridCol w:w="952"/>
        <w:gridCol w:w="951"/>
        <w:gridCol w:w="952"/>
        <w:gridCol w:w="952"/>
        <w:gridCol w:w="952"/>
      </w:tblGrid>
      <w:tr>
        <w:tblPrEx>
          <w:tblW w:w="9072" w:type="dxa"/>
          <w:tblCellMar>
            <w:left w:w="0" w:type="dxa"/>
            <w:right w:w="0" w:type="dxa"/>
          </w:tblCellMar>
          <w:tblLook w:val="04A0"/>
        </w:tblPrEx>
        <w:trPr>
          <w:trHeight w:val="284"/>
        </w:trPr>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v eurách</w:t>
            </w:r>
          </w:p>
        </w:tc>
        <w:tc>
          <w:tcPr>
            <w:tcW w:w="95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2009 S</w:t>
            </w:r>
          </w:p>
        </w:tc>
        <w:tc>
          <w:tcPr>
            <w:tcW w:w="952"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2010 S</w:t>
            </w:r>
          </w:p>
        </w:tc>
        <w:tc>
          <w:tcPr>
            <w:tcW w:w="952"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2011 R</w:t>
            </w:r>
          </w:p>
        </w:tc>
        <w:tc>
          <w:tcPr>
            <w:tcW w:w="951"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2011 OS</w:t>
            </w:r>
          </w:p>
        </w:tc>
        <w:tc>
          <w:tcPr>
            <w:tcW w:w="952"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2012 N</w:t>
            </w:r>
          </w:p>
        </w:tc>
        <w:tc>
          <w:tcPr>
            <w:tcW w:w="952" w:type="dxa"/>
            <w:tcBorders>
              <w:top w:val="nil"/>
              <w:left w:val="nil"/>
              <w:bottom w:val="nil"/>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2013 N</w:t>
            </w:r>
          </w:p>
        </w:tc>
        <w:tc>
          <w:tcPr>
            <w:tcW w:w="952" w:type="dxa"/>
            <w:tcBorders>
              <w:top w:val="nil"/>
              <w:left w:val="nil"/>
              <w:bottom w:val="nil"/>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2014 N</w:t>
            </w:r>
          </w:p>
        </w:tc>
      </w:tr>
      <w:tr>
        <w:tblPrEx>
          <w:tblW w:w="9072" w:type="dxa"/>
          <w:tblCellMar>
            <w:left w:w="0" w:type="dxa"/>
            <w:right w:w="0" w:type="dxa"/>
          </w:tblCellMar>
          <w:tblLook w:val="04A0"/>
        </w:tblPrEx>
        <w:trPr>
          <w:trHeight w:val="284"/>
        </w:trPr>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Ľudské zdroje</w:t>
            </w:r>
          </w:p>
        </w:tc>
        <w:tc>
          <w:tcPr>
            <w:tcW w:w="95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186 504 774</w:t>
            </w:r>
          </w:p>
        </w:tc>
        <w:tc>
          <w:tcPr>
            <w:tcW w:w="95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235 521 490</w:t>
            </w:r>
          </w:p>
        </w:tc>
        <w:tc>
          <w:tcPr>
            <w:tcW w:w="95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154 711 622</w:t>
            </w:r>
          </w:p>
        </w:tc>
        <w:tc>
          <w:tcPr>
            <w:tcW w:w="95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169 671 795</w:t>
            </w:r>
          </w:p>
        </w:tc>
        <w:tc>
          <w:tcPr>
            <w:tcW w:w="95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144 371 882</w:t>
            </w:r>
          </w:p>
        </w:tc>
        <w:tc>
          <w:tcPr>
            <w:tcW w:w="952"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131 448 871</w:t>
            </w:r>
          </w:p>
        </w:tc>
        <w:tc>
          <w:tcPr>
            <w:tcW w:w="952"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114 409 228</w:t>
            </w:r>
          </w:p>
        </w:tc>
      </w:tr>
      <w:tr>
        <w:tblPrEx>
          <w:tblW w:w="9072" w:type="dxa"/>
          <w:tblCellMar>
            <w:left w:w="0" w:type="dxa"/>
            <w:right w:w="0" w:type="dxa"/>
          </w:tblCellMar>
          <w:tblLook w:val="04A0"/>
        </w:tblPrEx>
        <w:trPr>
          <w:trHeight w:val="284"/>
        </w:trPr>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EÚ zdroje a spolufinancovanie</w:t>
            </w:r>
          </w:p>
        </w:tc>
        <w:tc>
          <w:tcPr>
            <w:tcW w:w="95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144 689 613</w:t>
            </w:r>
          </w:p>
        </w:tc>
        <w:tc>
          <w:tcPr>
            <w:tcW w:w="95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142 599 631</w:t>
            </w:r>
          </w:p>
        </w:tc>
        <w:tc>
          <w:tcPr>
            <w:tcW w:w="95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126 159 698</w:t>
            </w:r>
          </w:p>
        </w:tc>
        <w:tc>
          <w:tcPr>
            <w:tcW w:w="95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141 259 648</w:t>
            </w:r>
          </w:p>
        </w:tc>
        <w:tc>
          <w:tcPr>
            <w:tcW w:w="95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135 623 164</w:t>
            </w:r>
          </w:p>
        </w:tc>
        <w:tc>
          <w:tcPr>
            <w:tcW w:w="95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125 238 129</w:t>
            </w:r>
          </w:p>
        </w:tc>
        <w:tc>
          <w:tcPr>
            <w:tcW w:w="95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109 225 306</w:t>
            </w:r>
          </w:p>
        </w:tc>
      </w:tr>
      <w:tr>
        <w:tblPrEx>
          <w:tblW w:w="9072" w:type="dxa"/>
          <w:tblCellMar>
            <w:left w:w="0" w:type="dxa"/>
            <w:right w:w="0" w:type="dxa"/>
          </w:tblCellMar>
          <w:tblLook w:val="04A0"/>
        </w:tblPrEx>
        <w:trPr>
          <w:trHeight w:val="284"/>
        </w:trPr>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Iné zdroje</w:t>
            </w:r>
          </w:p>
        </w:tc>
        <w:tc>
          <w:tcPr>
            <w:tcW w:w="95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344 614</w:t>
            </w:r>
          </w:p>
        </w:tc>
        <w:tc>
          <w:tcPr>
            <w:tcW w:w="95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0</w:t>
            </w:r>
          </w:p>
        </w:tc>
        <w:tc>
          <w:tcPr>
            <w:tcW w:w="95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0</w:t>
            </w:r>
          </w:p>
        </w:tc>
        <w:tc>
          <w:tcPr>
            <w:tcW w:w="95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275 505</w:t>
            </w:r>
          </w:p>
        </w:tc>
        <w:tc>
          <w:tcPr>
            <w:tcW w:w="95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0</w:t>
            </w:r>
          </w:p>
        </w:tc>
        <w:tc>
          <w:tcPr>
            <w:tcW w:w="95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0</w:t>
            </w:r>
          </w:p>
        </w:tc>
        <w:tc>
          <w:tcPr>
            <w:tcW w:w="95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0</w:t>
            </w:r>
          </w:p>
        </w:tc>
      </w:tr>
      <w:tr>
        <w:tblPrEx>
          <w:tblW w:w="9072" w:type="dxa"/>
          <w:tblCellMar>
            <w:left w:w="0" w:type="dxa"/>
            <w:right w:w="0" w:type="dxa"/>
          </w:tblCellMar>
          <w:tblLook w:val="04A0"/>
        </w:tblPrEx>
        <w:trPr>
          <w:trHeight w:val="284"/>
        </w:trPr>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Ľudské zdroje zo štátneho rozpočtu</w:t>
            </w:r>
          </w:p>
        </w:tc>
        <w:tc>
          <w:tcPr>
            <w:tcW w:w="95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41 470 547</w:t>
            </w:r>
          </w:p>
        </w:tc>
        <w:tc>
          <w:tcPr>
            <w:tcW w:w="95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92 921 859</w:t>
            </w:r>
          </w:p>
        </w:tc>
        <w:tc>
          <w:tcPr>
            <w:tcW w:w="95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28 551 924</w:t>
            </w:r>
          </w:p>
        </w:tc>
        <w:tc>
          <w:tcPr>
            <w:tcW w:w="95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28 136 642</w:t>
            </w:r>
          </w:p>
        </w:tc>
        <w:tc>
          <w:tcPr>
            <w:tcW w:w="95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8 748 718</w:t>
            </w:r>
          </w:p>
        </w:tc>
        <w:tc>
          <w:tcPr>
            <w:tcW w:w="95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6 210 742</w:t>
            </w:r>
          </w:p>
        </w:tc>
        <w:tc>
          <w:tcPr>
            <w:tcW w:w="95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5 183 922</w:t>
            </w:r>
          </w:p>
        </w:tc>
      </w:tr>
      <w:tr>
        <w:tblPrEx>
          <w:tblW w:w="9072" w:type="dxa"/>
          <w:tblCellMar>
            <w:left w:w="0" w:type="dxa"/>
            <w:right w:w="0" w:type="dxa"/>
          </w:tblCellMar>
          <w:tblLook w:val="04A0"/>
        </w:tblPrEx>
        <w:trPr>
          <w:trHeight w:val="284"/>
        </w:trPr>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sz w:val="14"/>
                <w:szCs w:val="14"/>
                <w:lang w:eastAsia="sk-SK"/>
              </w:rPr>
              <w:t>    národné programy</w:t>
            </w:r>
          </w:p>
        </w:tc>
        <w:tc>
          <w:tcPr>
            <w:tcW w:w="95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22 121 117</w:t>
            </w:r>
          </w:p>
        </w:tc>
        <w:tc>
          <w:tcPr>
            <w:tcW w:w="95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21 762 802</w:t>
            </w:r>
          </w:p>
        </w:tc>
        <w:tc>
          <w:tcPr>
            <w:tcW w:w="95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12 273 639</w:t>
            </w:r>
          </w:p>
        </w:tc>
        <w:tc>
          <w:tcPr>
            <w:tcW w:w="95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13 182 826</w:t>
            </w:r>
          </w:p>
        </w:tc>
        <w:tc>
          <w:tcPr>
            <w:tcW w:w="95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2 282 335</w:t>
            </w:r>
          </w:p>
        </w:tc>
        <w:tc>
          <w:tcPr>
            <w:tcW w:w="95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2 297 496</w:t>
            </w:r>
          </w:p>
        </w:tc>
        <w:tc>
          <w:tcPr>
            <w:tcW w:w="95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2 313 111</w:t>
            </w:r>
          </w:p>
        </w:tc>
      </w:tr>
      <w:tr>
        <w:tblPrEx>
          <w:tblW w:w="9072" w:type="dxa"/>
          <w:tblCellMar>
            <w:left w:w="0" w:type="dxa"/>
            <w:right w:w="0" w:type="dxa"/>
          </w:tblCellMar>
          <w:tblLook w:val="04A0"/>
        </w:tblPrEx>
        <w:trPr>
          <w:trHeight w:val="284"/>
        </w:trPr>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sz w:val="14"/>
                <w:szCs w:val="14"/>
                <w:lang w:eastAsia="sk-SK"/>
              </w:rPr>
              <w:t>    individuálna štátna pomoc</w:t>
            </w:r>
          </w:p>
        </w:tc>
        <w:tc>
          <w:tcPr>
            <w:tcW w:w="95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16 389 637</w:t>
            </w:r>
          </w:p>
        </w:tc>
        <w:tc>
          <w:tcPr>
            <w:tcW w:w="95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13 268 009</w:t>
            </w:r>
          </w:p>
        </w:tc>
        <w:tc>
          <w:tcPr>
            <w:tcW w:w="95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11 730 852</w:t>
            </w:r>
          </w:p>
        </w:tc>
        <w:tc>
          <w:tcPr>
            <w:tcW w:w="951"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11 730 852</w:t>
            </w:r>
          </w:p>
        </w:tc>
        <w:tc>
          <w:tcPr>
            <w:tcW w:w="95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5 918 950</w:t>
            </w:r>
          </w:p>
        </w:tc>
        <w:tc>
          <w:tcPr>
            <w:tcW w:w="95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3 360 430</w:t>
            </w:r>
          </w:p>
        </w:tc>
        <w:tc>
          <w:tcPr>
            <w:tcW w:w="952"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2 312 451</w:t>
            </w:r>
          </w:p>
        </w:tc>
      </w:tr>
    </w:tbl>
    <w:p w:rsidR="00CB350B" w:rsidP="00CB350B">
      <w:pPr>
        <w:bidi w:val="0"/>
        <w:jc w:val="both"/>
        <w:rPr>
          <w:rFonts w:ascii="Times New Roman" w:hAnsi="Times New Roman" w:cs="Times New Roman"/>
          <w:lang w:eastAsia="sk-SK"/>
        </w:rPr>
      </w:pPr>
      <w:r>
        <w:rPr>
          <w:rFonts w:ascii="Times New Roman" w:hAnsi="Times New Roman" w:cs="Times New Roman"/>
          <w:lang w:eastAsia="sk-SK"/>
        </w:rPr>
        <w:t> </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Výdavky v tejto oblasti slúžia na podporu politiky zamestnanosti, financovanie nástrojov aktívnej politiky trhu práce ako i na investičné stimuly pre investorov v podobe príspevku na novovytvorené pracovné miesta a vzdelávanie.</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xml:space="preserve">              Na rok 2012 sa rozpočtuje celkovo suma 144 mil. </w:t>
      </w:r>
      <w:r>
        <w:rPr>
          <w:rFonts w:ascii="Times New Roman" w:hAnsi="Times New Roman" w:cs="Times New Roman"/>
          <w:color w:val="000000"/>
          <w:lang w:eastAsia="sk-SK"/>
        </w:rPr>
        <w:t>eur, z toho zo štátneho rozpočtu 8,75 mil. eur, čo predstavuje pokles o 69,4 % oproti schválenému rozpočtu na rok 2011.</w:t>
      </w:r>
    </w:p>
    <w:p w:rsidR="00CB350B" w:rsidP="00CB350B">
      <w:pPr>
        <w:bidi w:val="0"/>
        <w:jc w:val="both"/>
        <w:rPr>
          <w:rFonts w:ascii="Times New Roman" w:hAnsi="Times New Roman" w:cs="Times New Roman"/>
          <w:lang w:eastAsia="sk-SK"/>
        </w:rPr>
      </w:pPr>
      <w:r>
        <w:rPr>
          <w:rFonts w:ascii="Times New Roman" w:hAnsi="Times New Roman" w:cs="Times New Roman"/>
          <w:color w:val="000000"/>
          <w:lang w:eastAsia="sk-SK"/>
        </w:rPr>
        <w:t> </w:t>
      </w:r>
    </w:p>
    <w:p w:rsidR="00CB350B" w:rsidP="00CB350B">
      <w:pPr>
        <w:bidi w:val="0"/>
        <w:jc w:val="both"/>
        <w:rPr>
          <w:rFonts w:ascii="Times New Roman" w:hAnsi="Times New Roman" w:cs="Times New Roman"/>
          <w:lang w:eastAsia="sk-SK"/>
        </w:rPr>
      </w:pPr>
      <w:r>
        <w:rPr>
          <w:rFonts w:ascii="Times New Roman" w:hAnsi="Times New Roman" w:cs="Times New Roman"/>
          <w:color w:val="000000"/>
          <w:lang w:eastAsia="sk-SK"/>
        </w:rPr>
        <w:t xml:space="preserve">              Návrh nepredpokladá financovanie národných programov zo štátneho rozpočtu okrem financovania Inštitútu pre pracovnú rehabilitáciu občanov so zdravotným postihnutím v sume 1,85 mil. eur a Rehabilitačného strediska pre zrakovo postihnutých v sume </w:t>
      </w:r>
      <w:r w:rsidR="005C71EA">
        <w:rPr>
          <w:rFonts w:ascii="Times New Roman" w:hAnsi="Times New Roman" w:cs="Times New Roman"/>
          <w:color w:val="000000"/>
          <w:lang w:eastAsia="sk-SK"/>
        </w:rPr>
        <w:br/>
      </w:r>
      <w:r>
        <w:rPr>
          <w:rFonts w:ascii="Times New Roman" w:hAnsi="Times New Roman" w:cs="Times New Roman"/>
          <w:color w:val="000000"/>
          <w:lang w:eastAsia="sk-SK"/>
        </w:rPr>
        <w:t>429 tis. eur.</w:t>
      </w:r>
    </w:p>
    <w:p w:rsidR="00CB350B" w:rsidP="00CB350B">
      <w:pPr>
        <w:bidi w:val="0"/>
        <w:jc w:val="both"/>
        <w:rPr>
          <w:rFonts w:ascii="Times New Roman" w:hAnsi="Times New Roman" w:cs="Times New Roman"/>
          <w:lang w:eastAsia="sk-SK"/>
        </w:rPr>
      </w:pPr>
      <w:r>
        <w:rPr>
          <w:rFonts w:ascii="Times New Roman" w:hAnsi="Times New Roman" w:cs="Times New Roman"/>
          <w:color w:val="000000"/>
          <w:lang w:eastAsia="sk-SK"/>
        </w:rPr>
        <w:t> </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xml:space="preserve">              Zdroje na investičné stimuly poskytované formou príspevku na tvorbu nových pracovných miest sa rozpočtujú v sume 5,92 mil. </w:t>
      </w:r>
      <w:r>
        <w:rPr>
          <w:rFonts w:ascii="Times New Roman" w:hAnsi="Times New Roman" w:cs="Times New Roman"/>
          <w:color w:val="000000"/>
          <w:lang w:eastAsia="sk-SK"/>
        </w:rPr>
        <w:t>eur, čo predstavuje pokles o 49,5 % oproti schválenému rozpočtu na rok 2011.</w:t>
      </w:r>
      <w:r>
        <w:rPr>
          <w:rFonts w:ascii="Times New Roman" w:hAnsi="Times New Roman" w:cs="Times New Roman"/>
          <w:lang w:eastAsia="sk-SK"/>
        </w:rPr>
        <w:t xml:space="preserve"> V rozpočte sú zabezpečené zdroje na všetky projekty schválené vládou v období 2006 až jún 2011. </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w:t>
      </w:r>
    </w:p>
    <w:tbl>
      <w:tblPr>
        <w:tblStyle w:val="TableNormal"/>
        <w:tblW w:w="9072" w:type="dxa"/>
        <w:tblCellMar>
          <w:left w:w="0" w:type="dxa"/>
          <w:right w:w="0" w:type="dxa"/>
        </w:tblCellMar>
        <w:tblLook w:val="04A0"/>
      </w:tblPr>
      <w:tblGrid>
        <w:gridCol w:w="4362"/>
        <w:gridCol w:w="1570"/>
        <w:gridCol w:w="1570"/>
        <w:gridCol w:w="1570"/>
      </w:tblGrid>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v eurách</w:t>
            </w:r>
          </w:p>
        </w:tc>
        <w:tc>
          <w:tcPr>
            <w:tcW w:w="0" w:type="auto"/>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2012 N</w:t>
            </w:r>
          </w:p>
        </w:tc>
        <w:tc>
          <w:tcPr>
            <w:tcW w:w="0" w:type="auto"/>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2013 N</w:t>
            </w:r>
          </w:p>
        </w:tc>
        <w:tc>
          <w:tcPr>
            <w:tcW w:w="0" w:type="auto"/>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2014 N</w:t>
            </w:r>
          </w:p>
        </w:tc>
      </w:tr>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Camfil Levice</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100 000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0</w:t>
            </w:r>
          </w:p>
        </w:tc>
      </w:tr>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LEAF Levice</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692 011</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0</w:t>
            </w:r>
          </w:p>
        </w:tc>
      </w:tr>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ON Semicondutor BA</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39 624</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0</w:t>
            </w:r>
          </w:p>
        </w:tc>
      </w:tr>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Qatena (NMRH) s.r.o.</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66 388</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0</w:t>
            </w:r>
          </w:p>
        </w:tc>
      </w:tr>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Rubig SK</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331 939</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1 000 000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0</w:t>
            </w:r>
          </w:p>
        </w:tc>
      </w:tr>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SOITRON a.s.</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160 783</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0</w:t>
            </w:r>
          </w:p>
        </w:tc>
      </w:tr>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KAMAX,k.s.</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1 265 000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0</w:t>
            </w:r>
          </w:p>
        </w:tc>
      </w:tr>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CROWN Bevcan Slovakia,a.s.</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388 053</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0</w:t>
            </w:r>
          </w:p>
        </w:tc>
      </w:tr>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ICU Medical Slovakia, Vráble</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170 858</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157 715</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197 144</w:t>
            </w:r>
          </w:p>
        </w:tc>
      </w:tr>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Sapa Profily</w:t>
            </w:r>
          </w:p>
        </w:tc>
        <w:tc>
          <w:tcPr>
            <w:tcW w:w="0" w:type="auto"/>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323 800</w:t>
            </w:r>
          </w:p>
        </w:tc>
        <w:tc>
          <w:tcPr>
            <w:tcW w:w="0" w:type="auto"/>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339 500</w:t>
            </w:r>
          </w:p>
        </w:tc>
        <w:tc>
          <w:tcPr>
            <w:tcW w:w="0" w:type="auto"/>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221 800</w:t>
            </w:r>
          </w:p>
        </w:tc>
      </w:tr>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Monocrystalex SK</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600 000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 0</w:t>
            </w:r>
          </w:p>
        </w:tc>
      </w:tr>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ZKW</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181 709</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0</w:t>
            </w:r>
          </w:p>
        </w:tc>
      </w:tr>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 xml:space="preserve">LVD Company </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220 000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286 000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220 000</w:t>
            </w:r>
          </w:p>
        </w:tc>
      </w:tr>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 xml:space="preserve">Embraco Slovakia </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1 000 000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500 000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0</w:t>
            </w:r>
          </w:p>
        </w:tc>
      </w:tr>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Honeywell Turbo s.r.o.</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378 785</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1 077 215</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1 309 235</w:t>
            </w:r>
          </w:p>
        </w:tc>
      </w:tr>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rPr>
                <w:rFonts w:ascii="Times New Roman" w:hAnsi="Times New Roman" w:cs="Times New Roman"/>
                <w:lang w:eastAsia="sk-SK"/>
              </w:rPr>
            </w:pPr>
            <w:r>
              <w:rPr>
                <w:rFonts w:ascii="Times New Roman" w:hAnsi="Times New Roman" w:cs="Times New Roman"/>
                <w:b/>
                <w:bCs/>
                <w:color w:val="000000"/>
                <w:sz w:val="14"/>
                <w:szCs w:val="14"/>
                <w:lang w:eastAsia="sk-SK"/>
              </w:rPr>
              <w:t>Spolu</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5 918 950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3 360 430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1 948 179</w:t>
            </w:r>
          </w:p>
        </w:tc>
      </w:tr>
    </w:tbl>
    <w:p w:rsidR="00CB350B" w:rsidP="00CB350B">
      <w:pPr>
        <w:bidi w:val="0"/>
        <w:jc w:val="both"/>
        <w:rPr>
          <w:rFonts w:ascii="Times New Roman" w:hAnsi="Times New Roman" w:cs="Times New Roman"/>
          <w:lang w:eastAsia="sk-SK"/>
        </w:rPr>
      </w:pPr>
      <w:r>
        <w:rPr>
          <w:rFonts w:ascii="Times New Roman" w:hAnsi="Times New Roman" w:cs="Times New Roman"/>
          <w:lang w:eastAsia="sk-SK"/>
        </w:rPr>
        <w:t> </w:t>
      </w:r>
    </w:p>
    <w:p w:rsidR="00CB350B" w:rsidP="00CB350B">
      <w:pPr>
        <w:bidi w:val="0"/>
        <w:rPr>
          <w:rFonts w:ascii="Times New Roman" w:hAnsi="Times New Roman" w:cs="Times New Roman"/>
          <w:lang w:eastAsia="sk-SK"/>
        </w:rPr>
      </w:pPr>
      <w:r>
        <w:rPr>
          <w:rFonts w:ascii="Times New Roman" w:hAnsi="Times New Roman" w:cs="Times New Roman"/>
          <w:b/>
          <w:bCs/>
          <w:lang w:eastAsia="sk-SK"/>
        </w:rPr>
        <w:t>Inštitucionálna podpora</w:t>
      </w:r>
    </w:p>
    <w:p w:rsidR="00CB350B" w:rsidP="00CB350B">
      <w:pPr>
        <w:bidi w:val="0"/>
        <w:jc w:val="both"/>
        <w:rPr>
          <w:rFonts w:ascii="Times New Roman" w:hAnsi="Times New Roman" w:cs="Times New Roman"/>
          <w:lang w:eastAsia="sk-SK"/>
        </w:rPr>
      </w:pPr>
      <w:r>
        <w:rPr>
          <w:rFonts w:ascii="Times New Roman" w:hAnsi="Times New Roman" w:cs="Times New Roman"/>
          <w:b/>
          <w:bCs/>
          <w:lang w:eastAsia="sk-SK"/>
        </w:rPr>
        <w:t> </w:t>
      </w:r>
    </w:p>
    <w:tbl>
      <w:tblPr>
        <w:tblStyle w:val="TableNormal"/>
        <w:tblW w:w="9072" w:type="dxa"/>
        <w:tblCellMar>
          <w:left w:w="0" w:type="dxa"/>
          <w:right w:w="0" w:type="dxa"/>
        </w:tblCellMar>
        <w:tblLook w:val="04A0"/>
      </w:tblPr>
      <w:tblGrid>
        <w:gridCol w:w="2827"/>
        <w:gridCol w:w="893"/>
        <w:gridCol w:w="892"/>
        <w:gridCol w:w="892"/>
        <w:gridCol w:w="892"/>
        <w:gridCol w:w="892"/>
        <w:gridCol w:w="892"/>
        <w:gridCol w:w="892"/>
      </w:tblGrid>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v eurách</w:t>
            </w:r>
          </w:p>
        </w:tc>
        <w:tc>
          <w:tcPr>
            <w:tcW w:w="0" w:type="auto"/>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2009 S</w:t>
            </w:r>
          </w:p>
        </w:tc>
        <w:tc>
          <w:tcPr>
            <w:tcW w:w="0" w:type="auto"/>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2010 S</w:t>
            </w:r>
          </w:p>
        </w:tc>
        <w:tc>
          <w:tcPr>
            <w:tcW w:w="0" w:type="auto"/>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2011 R</w:t>
            </w:r>
          </w:p>
        </w:tc>
        <w:tc>
          <w:tcPr>
            <w:tcW w:w="0" w:type="auto"/>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2011 OS</w:t>
            </w:r>
          </w:p>
        </w:tc>
        <w:tc>
          <w:tcPr>
            <w:tcW w:w="0" w:type="auto"/>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2012 N</w:t>
            </w:r>
          </w:p>
        </w:tc>
        <w:tc>
          <w:tcPr>
            <w:tcW w:w="0" w:type="auto"/>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2013 N</w:t>
            </w:r>
          </w:p>
        </w:tc>
        <w:tc>
          <w:tcPr>
            <w:tcW w:w="0" w:type="auto"/>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center"/>
              <w:rPr>
                <w:rFonts w:ascii="Times New Roman" w:hAnsi="Times New Roman" w:cs="Times New Roman"/>
                <w:lang w:eastAsia="sk-SK"/>
              </w:rPr>
            </w:pPr>
            <w:r>
              <w:rPr>
                <w:rFonts w:ascii="Times New Roman" w:hAnsi="Times New Roman" w:cs="Times New Roman"/>
                <w:b/>
                <w:bCs/>
                <w:sz w:val="14"/>
                <w:szCs w:val="14"/>
                <w:lang w:eastAsia="sk-SK"/>
              </w:rPr>
              <w:t>2014 N</w:t>
            </w:r>
          </w:p>
        </w:tc>
      </w:tr>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rPr>
                <w:rFonts w:ascii="Times New Roman" w:hAnsi="Times New Roman" w:cs="Times New Roman"/>
                <w:lang w:eastAsia="sk-SK"/>
              </w:rPr>
            </w:pPr>
            <w:r>
              <w:rPr>
                <w:rFonts w:ascii="Times New Roman" w:hAnsi="Times New Roman" w:cs="Times New Roman"/>
                <w:b/>
                <w:bCs/>
                <w:color w:val="000000"/>
                <w:sz w:val="14"/>
                <w:szCs w:val="14"/>
                <w:lang w:eastAsia="sk-SK"/>
              </w:rPr>
              <w:t>Inštitucionálna podpora spolu</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148 578 477</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151 591 733</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132 457 871</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132 678 519</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135 624 766</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136 838 496</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138 081 209</w:t>
            </w:r>
          </w:p>
        </w:tc>
      </w:tr>
      <w:tr>
        <w:tblPrEx>
          <w:tblW w:w="9072" w:type="dxa"/>
          <w:tblCellMar>
            <w:left w:w="0" w:type="dxa"/>
            <w:right w:w="0" w:type="dxa"/>
          </w:tblCellMar>
          <w:tblLook w:val="04A0"/>
        </w:tblPrEx>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Tvorba a implementácia politík, z toho:</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148 340 340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151 372 668</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131 992 315</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132 193 032</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135 089 210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136 302 940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137 545 653</w:t>
            </w:r>
          </w:p>
        </w:tc>
      </w:tr>
      <w:tr>
        <w:tblPrEx>
          <w:tblW w:w="9072" w:type="dxa"/>
          <w:tblCellMar>
            <w:left w:w="0" w:type="dxa"/>
            <w:right w:w="0" w:type="dxa"/>
          </w:tblCellMar>
          <w:tblLook w:val="04A0"/>
        </w:tblPrEx>
        <w:trPr>
          <w:trHeight w:val="284"/>
        </w:trPr>
        <w:tc>
          <w:tcPr>
            <w:tcW w:w="0" w:type="auto"/>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ind w:left="113"/>
              <w:rPr>
                <w:rFonts w:ascii="Times New Roman" w:hAnsi="Times New Roman" w:cs="Times New Roman"/>
                <w:lang w:eastAsia="sk-SK"/>
              </w:rPr>
            </w:pPr>
            <w:r>
              <w:rPr>
                <w:rFonts w:ascii="Times New Roman" w:hAnsi="Times New Roman" w:cs="Times New Roman"/>
                <w:color w:val="000000"/>
                <w:sz w:val="14"/>
                <w:szCs w:val="14"/>
                <w:lang w:eastAsia="sk-SK"/>
              </w:rPr>
              <w:t>MPSVR</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14 120 869</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13 933 972</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13 836 888</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13 552 898</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13 830 335</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14 053 824</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14 261 506</w:t>
            </w:r>
          </w:p>
        </w:tc>
      </w:tr>
      <w:tr>
        <w:tblPrEx>
          <w:tblW w:w="9072" w:type="dxa"/>
          <w:tblCellMar>
            <w:left w:w="0" w:type="dxa"/>
            <w:right w:w="0" w:type="dxa"/>
          </w:tblCellMar>
          <w:tblLook w:val="04A0"/>
        </w:tblPrEx>
        <w:trPr>
          <w:trHeight w:val="284"/>
        </w:trPr>
        <w:tc>
          <w:tcPr>
            <w:tcW w:w="0" w:type="auto"/>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ind w:left="113"/>
              <w:rPr>
                <w:rFonts w:ascii="Times New Roman" w:hAnsi="Times New Roman" w:cs="Times New Roman"/>
                <w:lang w:eastAsia="sk-SK"/>
              </w:rPr>
            </w:pPr>
            <w:r>
              <w:rPr>
                <w:rFonts w:ascii="Times New Roman" w:hAnsi="Times New Roman" w:cs="Times New Roman"/>
                <w:color w:val="000000"/>
                <w:sz w:val="14"/>
                <w:szCs w:val="14"/>
                <w:lang w:eastAsia="sk-SK"/>
              </w:rPr>
              <w:t>ÚPSVAR</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123 677 858</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126 999 651</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109 238 260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108 502 526</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112 388 114</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113 338 795</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114 312 478</w:t>
            </w:r>
          </w:p>
        </w:tc>
      </w:tr>
      <w:tr>
        <w:tblPrEx>
          <w:tblW w:w="9072" w:type="dxa"/>
          <w:tblCellMar>
            <w:left w:w="0" w:type="dxa"/>
            <w:right w:w="0" w:type="dxa"/>
          </w:tblCellMar>
          <w:tblLook w:val="04A0"/>
        </w:tblPrEx>
        <w:trPr>
          <w:trHeight w:val="284"/>
        </w:trPr>
        <w:tc>
          <w:tcPr>
            <w:tcW w:w="0" w:type="auto"/>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ind w:left="113"/>
              <w:rPr>
                <w:rFonts w:ascii="Times New Roman" w:hAnsi="Times New Roman" w:cs="Times New Roman"/>
                <w:lang w:eastAsia="sk-SK"/>
              </w:rPr>
            </w:pPr>
            <w:r>
              <w:rPr>
                <w:rFonts w:ascii="Times New Roman" w:hAnsi="Times New Roman" w:cs="Times New Roman"/>
                <w:color w:val="000000"/>
                <w:sz w:val="14"/>
                <w:szCs w:val="14"/>
                <w:lang w:eastAsia="sk-SK"/>
              </w:rPr>
              <w:t>Národný inšpektorát práce</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10 211 969</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10 101 247</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8 578 354</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9 801 222</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8 533 277</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8 570 882</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8 630 216</w:t>
            </w:r>
          </w:p>
        </w:tc>
      </w:tr>
      <w:tr>
        <w:tblPrEx>
          <w:tblW w:w="9072" w:type="dxa"/>
          <w:tblCellMar>
            <w:left w:w="0" w:type="dxa"/>
            <w:right w:w="0" w:type="dxa"/>
          </w:tblCellMar>
          <w:tblLook w:val="04A0"/>
        </w:tblPrEx>
        <w:trPr>
          <w:trHeight w:val="284"/>
        </w:trPr>
        <w:tc>
          <w:tcPr>
            <w:tcW w:w="0" w:type="auto"/>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ind w:left="113"/>
              <w:rPr>
                <w:rFonts w:ascii="Times New Roman" w:hAnsi="Times New Roman" w:cs="Times New Roman"/>
                <w:lang w:eastAsia="sk-SK"/>
              </w:rPr>
            </w:pPr>
            <w:r>
              <w:rPr>
                <w:rFonts w:ascii="Times New Roman" w:hAnsi="Times New Roman" w:cs="Times New Roman"/>
                <w:color w:val="000000"/>
                <w:sz w:val="14"/>
                <w:szCs w:val="14"/>
                <w:lang w:eastAsia="sk-SK"/>
              </w:rPr>
              <w:t>Centrum pre medz. ochranu detí a mládeže</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329 644</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337 798</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338 813</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336 385</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337 484</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339 439</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CB350B"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341 453</w:t>
            </w:r>
          </w:p>
        </w:tc>
      </w:tr>
      <w:tr>
        <w:tblPrEx>
          <w:tblW w:w="9072" w:type="dxa"/>
          <w:tblCellMar>
            <w:left w:w="0" w:type="dxa"/>
            <w:right w:w="0" w:type="dxa"/>
          </w:tblCellMar>
          <w:tblLook w:val="04A0"/>
        </w:tblPrEx>
        <w:trPr>
          <w:trHeight w:val="284"/>
        </w:trPr>
        <w:tc>
          <w:tcPr>
            <w:tcW w:w="0" w:type="auto"/>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Príspevky do medz. organizácií </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182 910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182 637</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420 367</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440 298</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440 367</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440 367</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440 367</w:t>
            </w:r>
          </w:p>
        </w:tc>
      </w:tr>
      <w:tr>
        <w:tblPrEx>
          <w:tblW w:w="9072" w:type="dxa"/>
          <w:tblCellMar>
            <w:left w:w="0" w:type="dxa"/>
            <w:right w:w="0" w:type="dxa"/>
          </w:tblCellMar>
          <w:tblLook w:val="04A0"/>
        </w:tblPrEx>
        <w:trPr>
          <w:trHeight w:val="284"/>
        </w:trPr>
        <w:tc>
          <w:tcPr>
            <w:tcW w:w="0" w:type="auto"/>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Hospodárska mobilizácia </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55 227</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36 428</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45 189</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45 189</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45 189</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45 189</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45 189</w:t>
            </w:r>
          </w:p>
        </w:tc>
      </w:tr>
      <w:tr>
        <w:tblPrEx>
          <w:tblW w:w="9072" w:type="dxa"/>
          <w:tblCellMar>
            <w:left w:w="0" w:type="dxa"/>
            <w:right w:w="0" w:type="dxa"/>
          </w:tblCellMar>
          <w:tblLook w:val="04A0"/>
        </w:tblPrEx>
        <w:trPr>
          <w:trHeight w:val="284"/>
        </w:trPr>
        <w:tc>
          <w:tcPr>
            <w:tcW w:w="0" w:type="auto"/>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rPr>
                <w:rFonts w:ascii="Times New Roman" w:hAnsi="Times New Roman" w:cs="Times New Roman"/>
                <w:lang w:eastAsia="sk-SK"/>
              </w:rPr>
            </w:pPr>
            <w:r>
              <w:rPr>
                <w:rFonts w:ascii="Times New Roman" w:hAnsi="Times New Roman" w:cs="Times New Roman"/>
                <w:b/>
                <w:bCs/>
                <w:sz w:val="14"/>
                <w:szCs w:val="14"/>
                <w:lang w:eastAsia="sk-SK"/>
              </w:rPr>
              <w:t>Protidrogové opatrenia </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50 000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50 000</w:t>
            </w:r>
          </w:p>
        </w:tc>
        <w:tc>
          <w:tcPr>
            <w:tcW w:w="0" w:type="auto"/>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CB350B"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50 000</w:t>
            </w:r>
          </w:p>
        </w:tc>
      </w:tr>
    </w:tbl>
    <w:p w:rsidR="00CB350B" w:rsidP="00CB350B">
      <w:pPr>
        <w:bidi w:val="0"/>
        <w:jc w:val="both"/>
        <w:rPr>
          <w:rFonts w:ascii="Times New Roman" w:hAnsi="Times New Roman" w:cs="Times New Roman"/>
          <w:lang w:eastAsia="sk-SK"/>
        </w:rPr>
      </w:pPr>
      <w:r>
        <w:rPr>
          <w:rFonts w:ascii="Times New Roman" w:hAnsi="Times New Roman" w:cs="Times New Roman"/>
          <w:lang w:eastAsia="sk-SK"/>
        </w:rPr>
        <w:t> </w:t>
      </w:r>
    </w:p>
    <w:p w:rsidR="00CB350B" w:rsidP="00CB350B">
      <w:pPr>
        <w:bidi w:val="0"/>
        <w:ind w:firstLine="708"/>
        <w:jc w:val="both"/>
        <w:rPr>
          <w:rFonts w:ascii="Times New Roman" w:hAnsi="Times New Roman" w:cs="Times New Roman"/>
          <w:lang w:eastAsia="sk-SK"/>
        </w:rPr>
      </w:pPr>
      <w:r>
        <w:rPr>
          <w:rFonts w:ascii="Times New Roman" w:hAnsi="Times New Roman" w:cs="Times New Roman"/>
          <w:lang w:eastAsia="sk-SK"/>
        </w:rPr>
        <w:t xml:space="preserve">Na rok 2012 je pre inštitucionálnu podporu vyčlenených 136 mil. </w:t>
      </w:r>
      <w:r>
        <w:rPr>
          <w:rFonts w:ascii="Times New Roman" w:hAnsi="Times New Roman" w:cs="Times New Roman"/>
          <w:color w:val="000000"/>
          <w:lang w:eastAsia="sk-SK"/>
        </w:rPr>
        <w:t>eur</w:t>
      </w:r>
      <w:r>
        <w:rPr>
          <w:rFonts w:ascii="Times New Roman" w:hAnsi="Times New Roman" w:cs="Times New Roman"/>
          <w:lang w:eastAsia="sk-SK"/>
        </w:rPr>
        <w:t xml:space="preserve">, čo predstavuje nárast 2,39 % v porovnaní so schváleným rozpočtom na rok 2011. Nárast je spojený s oblasťou špecializovanej štátnej správy – Ústredie práce, sociálnych vecí a rodiny, 46 úradov práce sociálnych vecí a rodiny a 71 detských domovov. Zvýšené výdavky sa dotýkajú poštových služieb, výpočtovej techniky a údržby softvéru. </w:t>
      </w:r>
    </w:p>
    <w:p w:rsidR="00CB350B" w:rsidP="00CB350B">
      <w:pPr>
        <w:bidi w:val="0"/>
        <w:ind w:firstLine="708"/>
        <w:jc w:val="both"/>
        <w:rPr>
          <w:rFonts w:ascii="Times New Roman" w:hAnsi="Times New Roman" w:cs="Times New Roman"/>
          <w:lang w:eastAsia="sk-SK"/>
        </w:rPr>
      </w:pPr>
    </w:p>
    <w:p w:rsidR="00CB350B" w:rsidP="00CB350B">
      <w:pPr>
        <w:bidi w:val="0"/>
        <w:ind w:firstLine="708"/>
        <w:jc w:val="both"/>
        <w:rPr>
          <w:rFonts w:ascii="Times New Roman" w:hAnsi="Times New Roman" w:cs="Times New Roman"/>
          <w:lang w:eastAsia="sk-SK"/>
        </w:rPr>
      </w:pPr>
      <w:r>
        <w:rPr>
          <w:rFonts w:ascii="Times New Roman" w:hAnsi="Times New Roman" w:cs="Times New Roman"/>
          <w:lang w:eastAsia="sk-SK"/>
        </w:rPr>
        <w:t>Prostriedky na hospodársku mobilizáciu sa rozpočtujú na úrovni schváleného rozpočtu na rok 2011.</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w:t>
      </w:r>
    </w:p>
    <w:p w:rsidR="00CB350B" w:rsidP="00CB350B">
      <w:pPr>
        <w:bidi w:val="0"/>
        <w:ind w:firstLine="708"/>
        <w:jc w:val="both"/>
        <w:rPr>
          <w:rFonts w:ascii="Times New Roman" w:hAnsi="Times New Roman" w:cs="Times New Roman"/>
          <w:lang w:eastAsia="sk-SK"/>
        </w:rPr>
      </w:pPr>
      <w:r>
        <w:rPr>
          <w:rFonts w:ascii="Times New Roman" w:hAnsi="Times New Roman" w:cs="Times New Roman"/>
          <w:lang w:eastAsia="sk-SK"/>
        </w:rPr>
        <w:t>Na úrovni očakávanej skutočnosti roku 2011 sa rozpočtujú výdavky na členské príspevky do medzinárodných organizácií (Medzinárodná asociácia inšpekcie práce, Medzinárodná organizácia práce, Európske centrum pre sociálnu politiku a výskum, ISSA).</w:t>
      </w:r>
    </w:p>
    <w:p w:rsidR="00CB350B" w:rsidP="00CB350B">
      <w:pPr>
        <w:bidi w:val="0"/>
        <w:jc w:val="both"/>
        <w:rPr>
          <w:rFonts w:ascii="Times New Roman" w:hAnsi="Times New Roman" w:cs="Times New Roman"/>
          <w:lang w:eastAsia="sk-SK"/>
        </w:rPr>
      </w:pPr>
      <w:r>
        <w:rPr>
          <w:rFonts w:ascii="Times New Roman" w:hAnsi="Times New Roman" w:cs="Times New Roman"/>
          <w:lang w:eastAsia="sk-SK"/>
        </w:rPr>
        <w:t> </w:t>
      </w:r>
    </w:p>
    <w:p w:rsidR="00CB350B" w:rsidP="00CB350B">
      <w:pPr>
        <w:bidi w:val="0"/>
        <w:ind w:firstLine="708"/>
        <w:jc w:val="both"/>
        <w:rPr>
          <w:rFonts w:ascii="Times New Roman" w:hAnsi="Times New Roman" w:cs="Times New Roman"/>
          <w:lang w:eastAsia="sk-SK"/>
        </w:rPr>
      </w:pPr>
      <w:r>
        <w:rPr>
          <w:rFonts w:ascii="Times New Roman" w:hAnsi="Times New Roman" w:cs="Times New Roman"/>
          <w:lang w:eastAsia="sk-SK"/>
        </w:rPr>
        <w:t>Od roku 2012 sa MPSVR SR stane účastníkom medzirezortného programu Protidrogové opatrenia, v rozpočte MPSVR SR sa na uvedenú oblasť rozpočtujú výdavky v sume 50 tis. eur.</w:t>
      </w:r>
    </w:p>
    <w:p w:rsidR="00CB350B" w:rsidP="00CB350B">
      <w:pPr>
        <w:bidi w:val="0"/>
      </w:pPr>
    </w:p>
    <w:p w:rsidR="00CB350B" w:rsidRPr="005F204E" w:rsidP="00CB350B">
      <w:pPr>
        <w:pBdr>
          <w:bottom w:val="single" w:sz="4" w:space="1" w:color="auto"/>
        </w:pBdr>
        <w:bidi w:val="0"/>
        <w:jc w:val="both"/>
        <w:rPr>
          <w:rFonts w:ascii="Times New Roman" w:hAnsi="Times New Roman"/>
          <w:b/>
        </w:rPr>
      </w:pPr>
      <w:r w:rsidRPr="005F204E">
        <w:rPr>
          <w:rFonts w:ascii="Times New Roman" w:hAnsi="Times New Roman"/>
          <w:b/>
        </w:rPr>
        <w:t xml:space="preserve">Ministerstvo zdravotníctva SR   </w:t>
      </w:r>
    </w:p>
    <w:p w:rsidR="00CB350B" w:rsidP="00CB350B">
      <w:pPr>
        <w:bidi w:val="0"/>
        <w:ind w:firstLine="708"/>
        <w:jc w:val="both"/>
        <w:rPr>
          <w:rFonts w:ascii="Times New Roman" w:hAnsi="Times New Roman"/>
          <w:highlight w:val="yellow"/>
        </w:rPr>
      </w:pPr>
    </w:p>
    <w:p w:rsidR="00CB350B" w:rsidP="00CB350B">
      <w:pPr>
        <w:bidi w:val="0"/>
        <w:ind w:firstLine="708"/>
        <w:jc w:val="both"/>
        <w:rPr>
          <w:rFonts w:ascii="Times New Roman" w:hAnsi="Times New Roman"/>
          <w:highlight w:val="yellow"/>
        </w:rPr>
      </w:pPr>
    </w:p>
    <w:p w:rsidR="00CB350B" w:rsidP="00CB350B">
      <w:pPr>
        <w:bidi w:val="0"/>
        <w:ind w:firstLine="708"/>
        <w:jc w:val="both"/>
        <w:rPr>
          <w:rFonts w:ascii="Times New Roman" w:hAnsi="Times New Roman"/>
        </w:rPr>
      </w:pPr>
      <w:r>
        <w:rPr>
          <w:rFonts w:ascii="Times New Roman" w:hAnsi="Times New Roman"/>
        </w:rPr>
        <w:t xml:space="preserve">Oproti očakávanej skutočnosti roku 2011 sa  </w:t>
      </w:r>
      <w:r w:rsidR="005C71EA">
        <w:rPr>
          <w:rFonts w:ascii="Times New Roman" w:hAnsi="Times New Roman"/>
        </w:rPr>
        <w:t>na</w:t>
      </w:r>
      <w:r>
        <w:rPr>
          <w:rFonts w:ascii="Times New Roman" w:hAnsi="Times New Roman"/>
        </w:rPr>
        <w:t xml:space="preserve"> rok 2012 predpokladá 3,3% nárast o</w:t>
      </w:r>
      <w:r w:rsidRPr="00432A91">
        <w:rPr>
          <w:rFonts w:ascii="Times New Roman" w:hAnsi="Times New Roman"/>
        </w:rPr>
        <w:t>bjem</w:t>
      </w:r>
      <w:r>
        <w:rPr>
          <w:rFonts w:ascii="Times New Roman" w:hAnsi="Times New Roman"/>
        </w:rPr>
        <w:t>u</w:t>
      </w:r>
      <w:r w:rsidRPr="00432A91">
        <w:rPr>
          <w:rFonts w:ascii="Times New Roman" w:hAnsi="Times New Roman"/>
        </w:rPr>
        <w:t xml:space="preserve"> </w:t>
      </w:r>
      <w:r>
        <w:rPr>
          <w:rFonts w:ascii="Times New Roman" w:hAnsi="Times New Roman"/>
        </w:rPr>
        <w:t xml:space="preserve">verejných </w:t>
      </w:r>
      <w:r w:rsidRPr="00432A91">
        <w:rPr>
          <w:rFonts w:ascii="Times New Roman" w:hAnsi="Times New Roman"/>
        </w:rPr>
        <w:t>zdrojov zo štátneho rozpočtu a od ekonomicky aktívnych osôb do oblasti zdravotníctva</w:t>
      </w:r>
      <w:r>
        <w:rPr>
          <w:rFonts w:ascii="Times New Roman" w:hAnsi="Times New Roman"/>
        </w:rPr>
        <w:t>, a to na úroveň 3,86</w:t>
      </w:r>
      <w:r w:rsidRPr="00432A91">
        <w:rPr>
          <w:rFonts w:ascii="Times New Roman" w:hAnsi="Times New Roman"/>
        </w:rPr>
        <w:t xml:space="preserve"> mld. eur</w:t>
      </w:r>
      <w:r>
        <w:rPr>
          <w:rFonts w:ascii="Times New Roman" w:hAnsi="Times New Roman"/>
        </w:rPr>
        <w:t>.</w:t>
      </w:r>
      <w:r w:rsidRPr="00432A91">
        <w:rPr>
          <w:rFonts w:ascii="Times New Roman" w:hAnsi="Times New Roman"/>
        </w:rPr>
        <w:t xml:space="preserve"> </w:t>
      </w:r>
    </w:p>
    <w:p w:rsidR="00CB350B" w:rsidRPr="00432A91" w:rsidP="00CB350B">
      <w:pPr>
        <w:bidi w:val="0"/>
        <w:ind w:firstLine="708"/>
        <w:jc w:val="both"/>
        <w:rPr>
          <w:rFonts w:ascii="Times New Roman" w:hAnsi="Times New Roman"/>
        </w:rPr>
      </w:pPr>
    </w:p>
    <w:tbl>
      <w:tblPr>
        <w:tblStyle w:val="TableNormal"/>
        <w:tblW w:w="9096" w:type="dxa"/>
        <w:tblInd w:w="70" w:type="dxa"/>
        <w:tblLayout w:type="fixed"/>
        <w:tblCellMar>
          <w:left w:w="70" w:type="dxa"/>
          <w:right w:w="70" w:type="dxa"/>
        </w:tblCellMar>
        <w:tblLook w:val="04A0"/>
      </w:tblPr>
      <w:tblGrid>
        <w:gridCol w:w="2282"/>
        <w:gridCol w:w="970"/>
        <w:gridCol w:w="970"/>
        <w:gridCol w:w="970"/>
        <w:gridCol w:w="970"/>
        <w:gridCol w:w="970"/>
        <w:gridCol w:w="970"/>
        <w:gridCol w:w="970"/>
        <w:gridCol w:w="24"/>
      </w:tblGrid>
      <w:tr>
        <w:tblPrEx>
          <w:tblW w:w="9096" w:type="dxa"/>
          <w:tblInd w:w="70" w:type="dxa"/>
          <w:tblLayout w:type="fixed"/>
          <w:tblCellMar>
            <w:left w:w="70" w:type="dxa"/>
            <w:right w:w="70" w:type="dxa"/>
          </w:tblCellMar>
          <w:tblLook w:val="04A0"/>
        </w:tblPrEx>
        <w:trPr>
          <w:gridAfter w:val="1"/>
          <w:wAfter w:w="24" w:type="dxa"/>
          <w:trHeight w:val="225"/>
        </w:trPr>
        <w:tc>
          <w:tcPr>
            <w:tcW w:w="2268"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b/>
                <w:sz w:val="14"/>
                <w:szCs w:val="14"/>
              </w:rPr>
            </w:pPr>
            <w:r w:rsidRPr="001D4A5A">
              <w:rPr>
                <w:rFonts w:ascii="Times New Roman" w:hAnsi="Times New Roman"/>
                <w:b/>
                <w:sz w:val="14"/>
                <w:szCs w:val="14"/>
              </w:rPr>
              <w:t>v eurách</w:t>
            </w:r>
          </w:p>
        </w:tc>
        <w:tc>
          <w:tcPr>
            <w:tcW w:w="964" w:type="dxa"/>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b/>
                <w:bCs/>
                <w:sz w:val="14"/>
                <w:szCs w:val="14"/>
              </w:rPr>
            </w:pPr>
            <w:r w:rsidRPr="001D4A5A">
              <w:rPr>
                <w:rFonts w:ascii="Times New Roman" w:hAnsi="Times New Roman"/>
                <w:b/>
                <w:bCs/>
                <w:sz w:val="14"/>
                <w:szCs w:val="14"/>
              </w:rPr>
              <w:t>2009 S</w:t>
            </w:r>
          </w:p>
        </w:tc>
        <w:tc>
          <w:tcPr>
            <w:tcW w:w="964" w:type="dxa"/>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b/>
                <w:bCs/>
                <w:sz w:val="14"/>
                <w:szCs w:val="14"/>
              </w:rPr>
            </w:pPr>
            <w:r w:rsidRPr="001D4A5A">
              <w:rPr>
                <w:rFonts w:ascii="Times New Roman" w:hAnsi="Times New Roman"/>
                <w:b/>
                <w:bCs/>
                <w:sz w:val="14"/>
                <w:szCs w:val="14"/>
              </w:rPr>
              <w:t>2010 S</w:t>
            </w:r>
          </w:p>
        </w:tc>
        <w:tc>
          <w:tcPr>
            <w:tcW w:w="964" w:type="dxa"/>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b/>
                <w:bCs/>
                <w:sz w:val="14"/>
                <w:szCs w:val="14"/>
              </w:rPr>
            </w:pPr>
            <w:r w:rsidRPr="001D4A5A">
              <w:rPr>
                <w:rFonts w:ascii="Times New Roman" w:hAnsi="Times New Roman"/>
                <w:b/>
                <w:bCs/>
                <w:sz w:val="14"/>
                <w:szCs w:val="14"/>
              </w:rPr>
              <w:t>2011 R</w:t>
            </w:r>
          </w:p>
        </w:tc>
        <w:tc>
          <w:tcPr>
            <w:tcW w:w="964" w:type="dxa"/>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b/>
                <w:bCs/>
                <w:sz w:val="14"/>
                <w:szCs w:val="14"/>
              </w:rPr>
            </w:pPr>
            <w:r w:rsidRPr="001D4A5A">
              <w:rPr>
                <w:rFonts w:ascii="Times New Roman" w:hAnsi="Times New Roman"/>
                <w:b/>
                <w:bCs/>
                <w:sz w:val="14"/>
                <w:szCs w:val="14"/>
              </w:rPr>
              <w:t>2011 OS</w:t>
            </w:r>
          </w:p>
        </w:tc>
        <w:tc>
          <w:tcPr>
            <w:tcW w:w="964" w:type="dxa"/>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b/>
                <w:bCs/>
                <w:sz w:val="14"/>
                <w:szCs w:val="14"/>
              </w:rPr>
            </w:pPr>
            <w:r w:rsidRPr="001D4A5A">
              <w:rPr>
                <w:rFonts w:ascii="Times New Roman" w:hAnsi="Times New Roman"/>
                <w:b/>
                <w:bCs/>
                <w:sz w:val="14"/>
                <w:szCs w:val="14"/>
              </w:rPr>
              <w:t>2012 N</w:t>
            </w:r>
          </w:p>
        </w:tc>
        <w:tc>
          <w:tcPr>
            <w:tcW w:w="964" w:type="dxa"/>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b/>
                <w:bCs/>
                <w:sz w:val="14"/>
                <w:szCs w:val="14"/>
              </w:rPr>
            </w:pPr>
            <w:r w:rsidRPr="001D4A5A">
              <w:rPr>
                <w:rFonts w:ascii="Times New Roman" w:hAnsi="Times New Roman"/>
                <w:b/>
                <w:bCs/>
                <w:sz w:val="14"/>
                <w:szCs w:val="14"/>
              </w:rPr>
              <w:t>2013 N</w:t>
            </w:r>
          </w:p>
        </w:tc>
        <w:tc>
          <w:tcPr>
            <w:tcW w:w="964" w:type="dxa"/>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b/>
                <w:bCs/>
                <w:sz w:val="14"/>
                <w:szCs w:val="14"/>
              </w:rPr>
            </w:pPr>
            <w:r w:rsidRPr="001D4A5A">
              <w:rPr>
                <w:rFonts w:ascii="Times New Roman" w:hAnsi="Times New Roman"/>
                <w:b/>
                <w:bCs/>
                <w:sz w:val="14"/>
                <w:szCs w:val="14"/>
              </w:rPr>
              <w:t>2014 N</w:t>
            </w:r>
          </w:p>
        </w:tc>
      </w:tr>
      <w:tr>
        <w:tblPrEx>
          <w:tblW w:w="9096" w:type="dxa"/>
          <w:tblInd w:w="70" w:type="dxa"/>
          <w:tblLayout w:type="fixed"/>
          <w:tblCellMar>
            <w:left w:w="70" w:type="dxa"/>
            <w:right w:w="70" w:type="dxa"/>
          </w:tblCellMar>
          <w:tblLook w:val="04A0"/>
        </w:tblPrEx>
        <w:trPr>
          <w:gridAfter w:val="1"/>
          <w:wAfter w:w="24" w:type="dxa"/>
          <w:trHeight w:val="225"/>
        </w:trPr>
        <w:tc>
          <w:tcPr>
            <w:tcW w:w="2268" w:type="dxa"/>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b/>
                <w:bCs/>
                <w:color w:val="000000"/>
                <w:sz w:val="14"/>
                <w:szCs w:val="14"/>
              </w:rPr>
            </w:pPr>
            <w:r w:rsidRPr="001D4A5A">
              <w:rPr>
                <w:rFonts w:ascii="Times New Roman" w:hAnsi="Times New Roman"/>
                <w:b/>
                <w:bCs/>
                <w:color w:val="000000"/>
                <w:sz w:val="14"/>
                <w:szCs w:val="14"/>
              </w:rPr>
              <w:t>Zdroje spolu</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b/>
                <w:bCs/>
                <w:color w:val="000000"/>
                <w:sz w:val="14"/>
                <w:szCs w:val="14"/>
              </w:rPr>
            </w:pPr>
            <w:r w:rsidRPr="000F5885">
              <w:rPr>
                <w:rFonts w:ascii="Times New Roman" w:hAnsi="Times New Roman"/>
                <w:b/>
                <w:bCs/>
                <w:color w:val="000000"/>
                <w:sz w:val="14"/>
                <w:szCs w:val="14"/>
              </w:rPr>
              <w:t>3 624 352 504</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b/>
                <w:bCs/>
                <w:color w:val="000000"/>
                <w:sz w:val="14"/>
                <w:szCs w:val="14"/>
              </w:rPr>
            </w:pPr>
            <w:r w:rsidRPr="000F5885">
              <w:rPr>
                <w:rFonts w:ascii="Times New Roman" w:hAnsi="Times New Roman"/>
                <w:b/>
                <w:bCs/>
                <w:color w:val="000000"/>
                <w:sz w:val="14"/>
                <w:szCs w:val="14"/>
              </w:rPr>
              <w:t>3 739 868 168</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b/>
                <w:bCs/>
                <w:color w:val="000000"/>
                <w:sz w:val="14"/>
                <w:szCs w:val="14"/>
              </w:rPr>
            </w:pPr>
            <w:r w:rsidRPr="000F5885">
              <w:rPr>
                <w:rFonts w:ascii="Times New Roman" w:hAnsi="Times New Roman"/>
                <w:b/>
                <w:bCs/>
                <w:color w:val="000000"/>
                <w:sz w:val="14"/>
                <w:szCs w:val="14"/>
              </w:rPr>
              <w:t>3 799 803 034</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b/>
                <w:bCs/>
                <w:color w:val="000000"/>
                <w:sz w:val="14"/>
                <w:szCs w:val="14"/>
              </w:rPr>
            </w:pPr>
            <w:r w:rsidRPr="000F5885">
              <w:rPr>
                <w:rFonts w:ascii="Times New Roman" w:hAnsi="Times New Roman"/>
                <w:b/>
                <w:bCs/>
                <w:color w:val="000000"/>
                <w:sz w:val="14"/>
                <w:szCs w:val="14"/>
              </w:rPr>
              <w:t>3 739 114 785</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b/>
                <w:bCs/>
                <w:color w:val="000000"/>
                <w:sz w:val="14"/>
                <w:szCs w:val="14"/>
              </w:rPr>
            </w:pPr>
            <w:r w:rsidRPr="000F5885">
              <w:rPr>
                <w:rFonts w:ascii="Times New Roman" w:hAnsi="Times New Roman"/>
                <w:b/>
                <w:bCs/>
                <w:color w:val="000000"/>
                <w:sz w:val="14"/>
                <w:szCs w:val="14"/>
              </w:rPr>
              <w:t>3 861 755 941</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b/>
                <w:bCs/>
                <w:color w:val="000000"/>
                <w:sz w:val="14"/>
                <w:szCs w:val="14"/>
              </w:rPr>
            </w:pPr>
            <w:r w:rsidRPr="000F5885">
              <w:rPr>
                <w:rFonts w:ascii="Times New Roman" w:hAnsi="Times New Roman"/>
                <w:b/>
                <w:bCs/>
                <w:color w:val="000000"/>
                <w:sz w:val="14"/>
                <w:szCs w:val="14"/>
              </w:rPr>
              <w:t>3 876 003 132</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b/>
                <w:bCs/>
                <w:color w:val="000000"/>
                <w:sz w:val="14"/>
                <w:szCs w:val="14"/>
              </w:rPr>
            </w:pPr>
            <w:r w:rsidRPr="000F5885">
              <w:rPr>
                <w:rFonts w:ascii="Times New Roman" w:hAnsi="Times New Roman"/>
                <w:b/>
                <w:bCs/>
                <w:color w:val="000000"/>
                <w:sz w:val="14"/>
                <w:szCs w:val="14"/>
              </w:rPr>
              <w:t>3 914 422 329</w:t>
            </w:r>
          </w:p>
        </w:tc>
      </w:tr>
      <w:tr>
        <w:tblPrEx>
          <w:tblW w:w="9096" w:type="dxa"/>
          <w:tblInd w:w="70" w:type="dxa"/>
          <w:tblLayout w:type="fixed"/>
          <w:tblCellMar>
            <w:left w:w="70" w:type="dxa"/>
            <w:right w:w="70" w:type="dxa"/>
          </w:tblCellMar>
          <w:tblLook w:val="04A0"/>
        </w:tblPrEx>
        <w:trPr>
          <w:gridAfter w:val="1"/>
          <w:wAfter w:w="24" w:type="dxa"/>
          <w:trHeight w:val="227"/>
        </w:trPr>
        <w:tc>
          <w:tcPr>
            <w:tcW w:w="2268" w:type="dxa"/>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i/>
                <w:iCs/>
                <w:color w:val="000000"/>
                <w:sz w:val="14"/>
                <w:szCs w:val="14"/>
              </w:rPr>
            </w:pPr>
            <w:r w:rsidRPr="001D4A5A">
              <w:rPr>
                <w:rFonts w:ascii="Times New Roman" w:hAnsi="Times New Roman"/>
                <w:i/>
                <w:iCs/>
                <w:color w:val="000000"/>
                <w:sz w:val="14"/>
                <w:szCs w:val="14"/>
              </w:rPr>
              <w:t>medziročná zmena zdrojov v %*</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i/>
                <w:iCs/>
                <w:color w:val="000000"/>
                <w:sz w:val="14"/>
                <w:szCs w:val="14"/>
              </w:rPr>
            </w:pPr>
            <w:r w:rsidRPr="000F5885">
              <w:rPr>
                <w:rFonts w:ascii="Times New Roman" w:hAnsi="Times New Roman"/>
                <w:i/>
                <w:iCs/>
                <w:color w:val="000000"/>
                <w:sz w:val="14"/>
                <w:szCs w:val="14"/>
              </w:rPr>
              <w:t>7,9</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i/>
                <w:iCs/>
                <w:color w:val="000000"/>
                <w:sz w:val="14"/>
                <w:szCs w:val="14"/>
              </w:rPr>
            </w:pPr>
            <w:r w:rsidRPr="000F5885">
              <w:rPr>
                <w:rFonts w:ascii="Times New Roman" w:hAnsi="Times New Roman"/>
                <w:i/>
                <w:iCs/>
                <w:color w:val="000000"/>
                <w:sz w:val="14"/>
                <w:szCs w:val="14"/>
              </w:rPr>
              <w:t>3,2</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i/>
                <w:iCs/>
                <w:color w:val="000000"/>
                <w:sz w:val="14"/>
                <w:szCs w:val="14"/>
              </w:rPr>
            </w:pPr>
            <w:r w:rsidRPr="000F5885">
              <w:rPr>
                <w:rFonts w:ascii="Times New Roman" w:hAnsi="Times New Roman"/>
                <w:i/>
                <w:iCs/>
                <w:color w:val="000000"/>
                <w:sz w:val="14"/>
                <w:szCs w:val="14"/>
              </w:rPr>
              <w:t>1,6</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i/>
                <w:iCs/>
                <w:color w:val="000000"/>
                <w:sz w:val="14"/>
                <w:szCs w:val="14"/>
              </w:rPr>
            </w:pPr>
            <w:r w:rsidRPr="000F5885">
              <w:rPr>
                <w:rFonts w:ascii="Times New Roman" w:hAnsi="Times New Roman"/>
                <w:i/>
                <w:iCs/>
                <w:color w:val="000000"/>
                <w:sz w:val="14"/>
                <w:szCs w:val="14"/>
              </w:rPr>
              <w:t>0,0</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i/>
                <w:iCs/>
                <w:color w:val="000000"/>
                <w:sz w:val="14"/>
                <w:szCs w:val="14"/>
              </w:rPr>
            </w:pPr>
            <w:r w:rsidRPr="000F5885">
              <w:rPr>
                <w:rFonts w:ascii="Times New Roman" w:hAnsi="Times New Roman"/>
                <w:i/>
                <w:iCs/>
                <w:color w:val="000000"/>
                <w:sz w:val="14"/>
                <w:szCs w:val="14"/>
              </w:rPr>
              <w:t>3,3</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i/>
                <w:iCs/>
                <w:color w:val="000000"/>
                <w:sz w:val="14"/>
                <w:szCs w:val="14"/>
              </w:rPr>
            </w:pPr>
            <w:r w:rsidRPr="000F5885">
              <w:rPr>
                <w:rFonts w:ascii="Times New Roman" w:hAnsi="Times New Roman"/>
                <w:i/>
                <w:iCs/>
                <w:color w:val="000000"/>
                <w:sz w:val="14"/>
                <w:szCs w:val="14"/>
              </w:rPr>
              <w:t>0,4</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i/>
                <w:iCs/>
                <w:color w:val="000000"/>
                <w:sz w:val="14"/>
                <w:szCs w:val="14"/>
              </w:rPr>
            </w:pPr>
            <w:r w:rsidRPr="000F5885">
              <w:rPr>
                <w:rFonts w:ascii="Times New Roman" w:hAnsi="Times New Roman"/>
                <w:i/>
                <w:iCs/>
                <w:color w:val="000000"/>
                <w:sz w:val="14"/>
                <w:szCs w:val="14"/>
              </w:rPr>
              <w:t>1,0</w:t>
            </w:r>
          </w:p>
        </w:tc>
      </w:tr>
      <w:tr>
        <w:tblPrEx>
          <w:tblW w:w="9096" w:type="dxa"/>
          <w:tblInd w:w="70" w:type="dxa"/>
          <w:tblLayout w:type="fixed"/>
          <w:tblCellMar>
            <w:left w:w="70" w:type="dxa"/>
            <w:right w:w="70" w:type="dxa"/>
          </w:tblCellMar>
          <w:tblLook w:val="04A0"/>
        </w:tblPrEx>
        <w:trPr>
          <w:gridAfter w:val="1"/>
          <w:wAfter w:w="24" w:type="dxa"/>
          <w:trHeight w:hRule="exact" w:val="340"/>
        </w:trPr>
        <w:tc>
          <w:tcPr>
            <w:tcW w:w="2268" w:type="dxa"/>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olor w:val="000000"/>
                <w:sz w:val="14"/>
                <w:szCs w:val="14"/>
              </w:rPr>
            </w:pPr>
            <w:r w:rsidRPr="001D4A5A">
              <w:rPr>
                <w:rFonts w:ascii="Times New Roman" w:hAnsi="Times New Roman"/>
                <w:color w:val="000000"/>
                <w:sz w:val="14"/>
                <w:szCs w:val="14"/>
              </w:rPr>
              <w:t>ZP - príjmy od EAO (vrátane RZZP**)</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2 180 875 564</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2 230 622 509</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2 387 860 000</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2 379 637 000</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2 281 300 000</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2 401 656 000</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2 562 297 000</w:t>
            </w:r>
          </w:p>
        </w:tc>
      </w:tr>
      <w:tr>
        <w:tblPrEx>
          <w:tblW w:w="9096" w:type="dxa"/>
          <w:tblInd w:w="70" w:type="dxa"/>
          <w:tblLayout w:type="fixed"/>
          <w:tblCellMar>
            <w:left w:w="70" w:type="dxa"/>
            <w:right w:w="70" w:type="dxa"/>
          </w:tblCellMar>
          <w:tblLook w:val="04A0"/>
        </w:tblPrEx>
        <w:trPr>
          <w:gridAfter w:val="1"/>
          <w:wAfter w:w="24" w:type="dxa"/>
          <w:trHeight w:hRule="exact" w:val="340"/>
        </w:trPr>
        <w:tc>
          <w:tcPr>
            <w:tcW w:w="2268" w:type="dxa"/>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olor w:val="000000"/>
                <w:sz w:val="14"/>
                <w:szCs w:val="14"/>
              </w:rPr>
            </w:pPr>
            <w:r w:rsidRPr="001D4A5A">
              <w:rPr>
                <w:rFonts w:ascii="Times New Roman" w:hAnsi="Times New Roman"/>
                <w:color w:val="000000"/>
                <w:sz w:val="14"/>
                <w:szCs w:val="14"/>
              </w:rPr>
              <w:t>ZP - príjmy za poistencov štátu (</w:t>
            </w:r>
            <w:r>
              <w:rPr>
                <w:rFonts w:ascii="Times New Roman" w:hAnsi="Times New Roman"/>
                <w:color w:val="000000"/>
                <w:sz w:val="14"/>
                <w:szCs w:val="14"/>
              </w:rPr>
              <w:t>preddavky</w:t>
            </w:r>
            <w:r w:rsidRPr="001D4A5A">
              <w:rPr>
                <w:rFonts w:ascii="Times New Roman" w:hAnsi="Times New Roman"/>
                <w:color w:val="000000"/>
                <w:sz w:val="14"/>
                <w:szCs w:val="14"/>
              </w:rPr>
              <w:t>)</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1 162 381 769</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1 282 803 160</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1 197 816 000</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1 197 816 000</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1 330 391 875</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1 383 098 907</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1 272 554 941</w:t>
            </w:r>
          </w:p>
        </w:tc>
      </w:tr>
      <w:tr>
        <w:tblPrEx>
          <w:tblW w:w="9096" w:type="dxa"/>
          <w:tblInd w:w="70" w:type="dxa"/>
          <w:tblLayout w:type="fixed"/>
          <w:tblCellMar>
            <w:left w:w="70" w:type="dxa"/>
            <w:right w:w="70" w:type="dxa"/>
          </w:tblCellMar>
          <w:tblLook w:val="04A0"/>
        </w:tblPrEx>
        <w:trPr>
          <w:gridAfter w:val="1"/>
          <w:wAfter w:w="24" w:type="dxa"/>
          <w:trHeight w:hRule="exact" w:val="340"/>
        </w:trPr>
        <w:tc>
          <w:tcPr>
            <w:tcW w:w="2268" w:type="dxa"/>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olor w:val="000000"/>
                <w:sz w:val="14"/>
                <w:szCs w:val="14"/>
              </w:rPr>
            </w:pPr>
            <w:r w:rsidRPr="000F5885">
              <w:rPr>
                <w:rFonts w:ascii="Times New Roman" w:hAnsi="Times New Roman"/>
                <w:color w:val="000000"/>
                <w:sz w:val="14"/>
                <w:szCs w:val="14"/>
              </w:rPr>
              <w:t>ZP - príjmy za poistencov štátu (RZZP**)</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-4 129 769</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58 421 575</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10 000 000</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9 733 167</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75 000 000</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0</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0</w:t>
            </w:r>
          </w:p>
        </w:tc>
      </w:tr>
      <w:tr>
        <w:tblPrEx>
          <w:tblW w:w="9096" w:type="dxa"/>
          <w:tblInd w:w="70" w:type="dxa"/>
          <w:tblLayout w:type="fixed"/>
          <w:tblCellMar>
            <w:left w:w="70" w:type="dxa"/>
            <w:right w:w="70" w:type="dxa"/>
          </w:tblCellMar>
          <w:tblLook w:val="04A0"/>
        </w:tblPrEx>
        <w:trPr>
          <w:gridAfter w:val="1"/>
          <w:wAfter w:w="24" w:type="dxa"/>
          <w:trHeight w:hRule="exact" w:val="340"/>
        </w:trPr>
        <w:tc>
          <w:tcPr>
            <w:tcW w:w="2268" w:type="dxa"/>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olor w:val="000000"/>
                <w:sz w:val="14"/>
                <w:szCs w:val="14"/>
              </w:rPr>
            </w:pPr>
            <w:r>
              <w:rPr>
                <w:rFonts w:ascii="Times New Roman" w:hAnsi="Times New Roman"/>
                <w:color w:val="000000"/>
                <w:sz w:val="14"/>
                <w:szCs w:val="14"/>
              </w:rPr>
              <w:t xml:space="preserve">MZ SR </w:t>
            </w:r>
            <w:r w:rsidRPr="001D4A5A">
              <w:rPr>
                <w:rFonts w:ascii="Times New Roman" w:hAnsi="Times New Roman"/>
                <w:color w:val="000000"/>
                <w:sz w:val="14"/>
                <w:szCs w:val="14"/>
              </w:rPr>
              <w:t>(</w:t>
            </w:r>
            <w:r>
              <w:rPr>
                <w:rFonts w:ascii="Times New Roman" w:hAnsi="Times New Roman"/>
                <w:color w:val="000000"/>
                <w:sz w:val="14"/>
                <w:szCs w:val="14"/>
              </w:rPr>
              <w:t>bez platby štátu, EÚ prostriedkov vr. spolufinancovania)</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106 878 501</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79 223 251</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69 127 034</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73 329 518</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69 667 334</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70 206 528</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70 139 302</w:t>
            </w:r>
          </w:p>
        </w:tc>
      </w:tr>
      <w:tr>
        <w:tblPrEx>
          <w:tblW w:w="9096" w:type="dxa"/>
          <w:tblInd w:w="70" w:type="dxa"/>
          <w:tblLayout w:type="fixed"/>
          <w:tblCellMar>
            <w:left w:w="70" w:type="dxa"/>
            <w:right w:w="70" w:type="dxa"/>
          </w:tblCellMar>
          <w:tblLook w:val="04A0"/>
        </w:tblPrEx>
        <w:trPr>
          <w:gridAfter w:val="1"/>
          <w:wAfter w:w="24" w:type="dxa"/>
          <w:trHeight w:hRule="exact" w:val="340"/>
        </w:trPr>
        <w:tc>
          <w:tcPr>
            <w:tcW w:w="2268" w:type="dxa"/>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olor w:val="000000"/>
                <w:sz w:val="14"/>
                <w:szCs w:val="14"/>
              </w:rPr>
            </w:pPr>
            <w:r>
              <w:rPr>
                <w:rFonts w:ascii="Times New Roman" w:hAnsi="Times New Roman"/>
                <w:color w:val="000000"/>
                <w:sz w:val="14"/>
                <w:szCs w:val="14"/>
              </w:rPr>
              <w:t>MZ SR (EÚ prostriedky a  spolufinancovania</w:t>
            </w:r>
            <w:r w:rsidRPr="001D4A5A">
              <w:rPr>
                <w:rFonts w:ascii="Times New Roman" w:hAnsi="Times New Roman"/>
                <w:color w:val="000000"/>
                <w:sz w:val="14"/>
                <w:szCs w:val="14"/>
              </w:rPr>
              <w:t>)</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18 583 398</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sz w:val="14"/>
                <w:szCs w:val="14"/>
              </w:rPr>
            </w:pPr>
            <w:r w:rsidRPr="000F5885">
              <w:rPr>
                <w:rFonts w:ascii="Times New Roman" w:hAnsi="Times New Roman"/>
                <w:sz w:val="14"/>
                <w:szCs w:val="14"/>
              </w:rPr>
              <w:t>53 697 673</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135 000 000</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78 599 100</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105 396 732</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21 041 697</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9 431 086</w:t>
            </w:r>
          </w:p>
        </w:tc>
      </w:tr>
      <w:tr>
        <w:tblPrEx>
          <w:tblW w:w="9096" w:type="dxa"/>
          <w:tblInd w:w="70" w:type="dxa"/>
          <w:tblLayout w:type="fixed"/>
          <w:tblCellMar>
            <w:left w:w="70" w:type="dxa"/>
            <w:right w:w="70" w:type="dxa"/>
          </w:tblCellMar>
          <w:tblLook w:val="04A0"/>
        </w:tblPrEx>
        <w:trPr>
          <w:gridAfter w:val="1"/>
          <w:wAfter w:w="24" w:type="dxa"/>
          <w:trHeight w:hRule="exact" w:val="340"/>
        </w:trPr>
        <w:tc>
          <w:tcPr>
            <w:tcW w:w="2268" w:type="dxa"/>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olor w:val="000000"/>
                <w:sz w:val="14"/>
                <w:szCs w:val="14"/>
              </w:rPr>
            </w:pPr>
            <w:r w:rsidRPr="001D4A5A">
              <w:rPr>
                <w:rFonts w:ascii="Times New Roman" w:hAnsi="Times New Roman"/>
                <w:color w:val="000000"/>
                <w:sz w:val="14"/>
                <w:szCs w:val="14"/>
              </w:rPr>
              <w:t>Návratná finančná výpomoc</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129 763 041</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0</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0</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0</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0</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0</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0</w:t>
            </w:r>
          </w:p>
        </w:tc>
      </w:tr>
      <w:tr>
        <w:tblPrEx>
          <w:tblW w:w="9096" w:type="dxa"/>
          <w:tblInd w:w="70" w:type="dxa"/>
          <w:tblLayout w:type="fixed"/>
          <w:tblCellMar>
            <w:left w:w="70" w:type="dxa"/>
            <w:right w:w="70" w:type="dxa"/>
          </w:tblCellMar>
          <w:tblLook w:val="04A0"/>
        </w:tblPrEx>
        <w:trPr>
          <w:gridAfter w:val="1"/>
          <w:wAfter w:w="24" w:type="dxa"/>
          <w:trHeight w:hRule="exact" w:val="340"/>
        </w:trPr>
        <w:tc>
          <w:tcPr>
            <w:tcW w:w="2268" w:type="dxa"/>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olor w:val="000000"/>
                <w:sz w:val="14"/>
                <w:szCs w:val="14"/>
              </w:rPr>
            </w:pPr>
            <w:r w:rsidRPr="001D4A5A">
              <w:rPr>
                <w:rFonts w:ascii="Times New Roman" w:hAnsi="Times New Roman"/>
                <w:color w:val="000000"/>
                <w:sz w:val="14"/>
                <w:szCs w:val="14"/>
              </w:rPr>
              <w:t>Zvýšenie ZI pre VšZP</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30 000 000</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color w:val="000000"/>
                <w:sz w:val="14"/>
                <w:szCs w:val="14"/>
              </w:rPr>
            </w:pPr>
            <w:r w:rsidRPr="000F5885">
              <w:rPr>
                <w:rFonts w:ascii="Times New Roman" w:hAnsi="Times New Roman"/>
                <w:color w:val="000000"/>
                <w:sz w:val="14"/>
                <w:szCs w:val="14"/>
              </w:rPr>
              <w:t>35 100 000</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sz w:val="14"/>
                <w:szCs w:val="14"/>
              </w:rPr>
            </w:pPr>
            <w:r w:rsidRPr="000F5885">
              <w:rPr>
                <w:rFonts w:ascii="Times New Roman" w:hAnsi="Times New Roman"/>
                <w:sz w:val="14"/>
                <w:szCs w:val="14"/>
              </w:rPr>
              <w:t>-</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sz w:val="14"/>
                <w:szCs w:val="14"/>
              </w:rPr>
            </w:pPr>
            <w:r w:rsidRPr="000F5885">
              <w:rPr>
                <w:rFonts w:ascii="Times New Roman" w:hAnsi="Times New Roman"/>
                <w:sz w:val="14"/>
                <w:szCs w:val="14"/>
              </w:rPr>
              <w:t>-</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sz w:val="14"/>
                <w:szCs w:val="14"/>
              </w:rPr>
            </w:pPr>
            <w:r w:rsidRPr="000F5885">
              <w:rPr>
                <w:rFonts w:ascii="Times New Roman" w:hAnsi="Times New Roman"/>
                <w:sz w:val="14"/>
                <w:szCs w:val="14"/>
              </w:rPr>
              <w:t>-</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sz w:val="14"/>
                <w:szCs w:val="14"/>
              </w:rPr>
            </w:pPr>
            <w:r w:rsidRPr="000F5885">
              <w:rPr>
                <w:rFonts w:ascii="Times New Roman" w:hAnsi="Times New Roman"/>
                <w:sz w:val="14"/>
                <w:szCs w:val="14"/>
              </w:rPr>
              <w:t>-</w:t>
            </w:r>
          </w:p>
        </w:tc>
        <w:tc>
          <w:tcPr>
            <w:tcW w:w="964" w:type="dxa"/>
            <w:tcBorders>
              <w:top w:val="nil"/>
              <w:left w:val="nil"/>
              <w:bottom w:val="single" w:sz="4" w:space="0" w:color="auto"/>
              <w:right w:val="single" w:sz="4" w:space="0" w:color="auto"/>
            </w:tcBorders>
            <w:noWrap/>
            <w:textDirection w:val="lrTb"/>
            <w:vAlign w:val="bottom"/>
            <w:hideMark/>
          </w:tcPr>
          <w:p w:rsidR="00CB350B" w:rsidRPr="000F5885" w:rsidP="00257E12">
            <w:pPr>
              <w:bidi w:val="0"/>
              <w:jc w:val="right"/>
              <w:rPr>
                <w:rFonts w:ascii="Times New Roman" w:hAnsi="Times New Roman"/>
                <w:sz w:val="14"/>
                <w:szCs w:val="14"/>
              </w:rPr>
            </w:pPr>
            <w:r w:rsidRPr="000F5885">
              <w:rPr>
                <w:rFonts w:ascii="Times New Roman" w:hAnsi="Times New Roman"/>
                <w:sz w:val="14"/>
                <w:szCs w:val="14"/>
              </w:rPr>
              <w:t>-</w:t>
            </w:r>
          </w:p>
        </w:tc>
      </w:tr>
      <w:tr>
        <w:tblPrEx>
          <w:tblW w:w="9096" w:type="dxa"/>
          <w:tblInd w:w="70" w:type="dxa"/>
          <w:tblLayout w:type="fixed"/>
          <w:tblCellMar>
            <w:left w:w="70" w:type="dxa"/>
            <w:right w:w="70" w:type="dxa"/>
          </w:tblCellMar>
          <w:tblLook w:val="04A0"/>
        </w:tblPrEx>
        <w:trPr>
          <w:trHeight w:val="113"/>
        </w:trPr>
        <w:tc>
          <w:tcPr>
            <w:tcW w:w="2268" w:type="dxa"/>
            <w:gridSpan w:val="5"/>
            <w:tcBorders>
              <w:top w:val="nil"/>
              <w:left w:val="nil"/>
              <w:bottom w:val="nil"/>
              <w:right w:val="nil"/>
            </w:tcBorders>
            <w:noWrap/>
            <w:textDirection w:val="lrTb"/>
            <w:vAlign w:val="bottom"/>
            <w:hideMark/>
          </w:tcPr>
          <w:p w:rsidR="00CB350B" w:rsidRPr="00E167C4" w:rsidP="00257E12">
            <w:pPr>
              <w:bidi w:val="0"/>
              <w:rPr>
                <w:rFonts w:ascii="Times New Roman" w:hAnsi="Times New Roman"/>
                <w:sz w:val="16"/>
                <w:szCs w:val="16"/>
              </w:rPr>
            </w:pPr>
            <w:r w:rsidRPr="00E167C4">
              <w:rPr>
                <w:rFonts w:ascii="Times New Roman" w:hAnsi="Times New Roman"/>
                <w:color w:val="000000"/>
                <w:sz w:val="14"/>
                <w:szCs w:val="14"/>
              </w:rPr>
              <w:t xml:space="preserve">* pre N 2012 je uvedený nárast </w:t>
            </w:r>
            <w:r w:rsidRPr="000F5885">
              <w:rPr>
                <w:rFonts w:ascii="Times New Roman" w:hAnsi="Times New Roman"/>
                <w:color w:val="000000"/>
                <w:sz w:val="14"/>
                <w:szCs w:val="14"/>
              </w:rPr>
              <w:t>oproti očakávanej skutočnosti 2011</w:t>
            </w:r>
          </w:p>
        </w:tc>
        <w:tc>
          <w:tcPr>
            <w:tcW w:w="964" w:type="dxa"/>
            <w:tcBorders>
              <w:top w:val="nil"/>
              <w:left w:val="nil"/>
              <w:bottom w:val="nil"/>
              <w:right w:val="nil"/>
            </w:tcBorders>
            <w:noWrap/>
            <w:textDirection w:val="lrTb"/>
            <w:vAlign w:val="bottom"/>
            <w:hideMark/>
          </w:tcPr>
          <w:p w:rsidR="00CB350B" w:rsidRPr="00E167C4" w:rsidP="00257E12">
            <w:pPr>
              <w:bidi w:val="0"/>
              <w:rPr>
                <w:rFonts w:ascii="Times New Roman" w:hAnsi="Times New Roman"/>
                <w:sz w:val="16"/>
                <w:szCs w:val="16"/>
              </w:rPr>
            </w:pPr>
          </w:p>
        </w:tc>
        <w:tc>
          <w:tcPr>
            <w:tcW w:w="964" w:type="dxa"/>
            <w:tcBorders>
              <w:top w:val="nil"/>
              <w:left w:val="nil"/>
              <w:bottom w:val="nil"/>
              <w:right w:val="nil"/>
            </w:tcBorders>
            <w:noWrap/>
            <w:textDirection w:val="lrTb"/>
            <w:vAlign w:val="bottom"/>
            <w:hideMark/>
          </w:tcPr>
          <w:p w:rsidR="00CB350B" w:rsidRPr="00E167C4" w:rsidP="00257E12">
            <w:pPr>
              <w:bidi w:val="0"/>
              <w:rPr>
                <w:rFonts w:ascii="Times New Roman" w:hAnsi="Times New Roman"/>
                <w:sz w:val="16"/>
                <w:szCs w:val="16"/>
              </w:rPr>
            </w:pPr>
          </w:p>
        </w:tc>
        <w:tc>
          <w:tcPr>
            <w:tcW w:w="964" w:type="dxa"/>
            <w:gridSpan w:val="2"/>
            <w:tcBorders>
              <w:top w:val="nil"/>
              <w:left w:val="nil"/>
              <w:bottom w:val="nil"/>
              <w:right w:val="nil"/>
            </w:tcBorders>
            <w:noWrap/>
            <w:textDirection w:val="lrTb"/>
            <w:vAlign w:val="bottom"/>
            <w:hideMark/>
          </w:tcPr>
          <w:p w:rsidR="00CB350B" w:rsidRPr="00E167C4" w:rsidP="00257E12">
            <w:pPr>
              <w:bidi w:val="0"/>
              <w:rPr>
                <w:rFonts w:ascii="Times New Roman" w:hAnsi="Times New Roman"/>
                <w:sz w:val="16"/>
                <w:szCs w:val="16"/>
              </w:rPr>
            </w:pPr>
          </w:p>
        </w:tc>
      </w:tr>
      <w:tr>
        <w:tblPrEx>
          <w:tblW w:w="9096" w:type="dxa"/>
          <w:tblInd w:w="70" w:type="dxa"/>
          <w:tblLayout w:type="fixed"/>
          <w:tblCellMar>
            <w:left w:w="70" w:type="dxa"/>
            <w:right w:w="70" w:type="dxa"/>
          </w:tblCellMar>
          <w:tblLook w:val="04A0"/>
        </w:tblPrEx>
        <w:trPr>
          <w:trHeight w:val="113"/>
        </w:trPr>
        <w:tc>
          <w:tcPr>
            <w:tcW w:w="2268" w:type="dxa"/>
            <w:gridSpan w:val="5"/>
            <w:tcBorders>
              <w:top w:val="nil"/>
              <w:left w:val="nil"/>
              <w:bottom w:val="nil"/>
              <w:right w:val="nil"/>
            </w:tcBorders>
            <w:noWrap/>
            <w:textDirection w:val="lrTb"/>
            <w:vAlign w:val="bottom"/>
            <w:hideMark/>
          </w:tcPr>
          <w:p w:rsidR="00CB350B" w:rsidRPr="00E167C4" w:rsidP="00257E12">
            <w:pPr>
              <w:bidi w:val="0"/>
              <w:rPr>
                <w:rFonts w:ascii="Times New Roman" w:hAnsi="Times New Roman"/>
                <w:sz w:val="16"/>
                <w:szCs w:val="16"/>
              </w:rPr>
            </w:pPr>
            <w:r w:rsidRPr="00E167C4">
              <w:rPr>
                <w:rFonts w:ascii="Times New Roman" w:hAnsi="Times New Roman"/>
                <w:color w:val="000000"/>
                <w:sz w:val="14"/>
                <w:szCs w:val="14"/>
              </w:rPr>
              <w:t>** RZZP - ročné zúčtovanie verejného zdravotného poistenia</w:t>
            </w:r>
          </w:p>
        </w:tc>
        <w:tc>
          <w:tcPr>
            <w:tcW w:w="964" w:type="dxa"/>
            <w:tcBorders>
              <w:top w:val="nil"/>
              <w:left w:val="nil"/>
              <w:bottom w:val="nil"/>
              <w:right w:val="nil"/>
            </w:tcBorders>
            <w:noWrap/>
            <w:textDirection w:val="lrTb"/>
            <w:vAlign w:val="bottom"/>
            <w:hideMark/>
          </w:tcPr>
          <w:p w:rsidR="00CB350B" w:rsidRPr="00E167C4" w:rsidP="00257E12">
            <w:pPr>
              <w:bidi w:val="0"/>
              <w:rPr>
                <w:rFonts w:ascii="Times New Roman" w:hAnsi="Times New Roman"/>
                <w:sz w:val="16"/>
                <w:szCs w:val="16"/>
              </w:rPr>
            </w:pPr>
          </w:p>
        </w:tc>
        <w:tc>
          <w:tcPr>
            <w:tcW w:w="964" w:type="dxa"/>
            <w:tcBorders>
              <w:top w:val="nil"/>
              <w:left w:val="nil"/>
              <w:bottom w:val="nil"/>
              <w:right w:val="nil"/>
            </w:tcBorders>
            <w:noWrap/>
            <w:textDirection w:val="lrTb"/>
            <w:vAlign w:val="bottom"/>
            <w:hideMark/>
          </w:tcPr>
          <w:p w:rsidR="00CB350B" w:rsidRPr="00E167C4" w:rsidP="00257E12">
            <w:pPr>
              <w:bidi w:val="0"/>
              <w:rPr>
                <w:rFonts w:ascii="Times New Roman" w:hAnsi="Times New Roman"/>
                <w:sz w:val="16"/>
                <w:szCs w:val="16"/>
              </w:rPr>
            </w:pPr>
          </w:p>
        </w:tc>
        <w:tc>
          <w:tcPr>
            <w:tcW w:w="964" w:type="dxa"/>
            <w:gridSpan w:val="2"/>
            <w:tcBorders>
              <w:top w:val="nil"/>
              <w:left w:val="nil"/>
              <w:bottom w:val="nil"/>
              <w:right w:val="nil"/>
            </w:tcBorders>
            <w:noWrap/>
            <w:textDirection w:val="lrTb"/>
            <w:vAlign w:val="bottom"/>
            <w:hideMark/>
          </w:tcPr>
          <w:p w:rsidR="00CB350B" w:rsidRPr="00E167C4" w:rsidP="00257E12">
            <w:pPr>
              <w:bidi w:val="0"/>
              <w:rPr>
                <w:rFonts w:ascii="Times New Roman" w:hAnsi="Times New Roman"/>
                <w:sz w:val="16"/>
                <w:szCs w:val="16"/>
              </w:rPr>
            </w:pPr>
          </w:p>
        </w:tc>
      </w:tr>
    </w:tbl>
    <w:p w:rsidR="00CB350B" w:rsidP="00CB350B">
      <w:pPr>
        <w:bidi w:val="0"/>
        <w:ind w:firstLine="708"/>
        <w:jc w:val="both"/>
        <w:rPr>
          <w:rFonts w:ascii="Times New Roman" w:hAnsi="Times New Roman"/>
        </w:rPr>
      </w:pPr>
      <w:r w:rsidRPr="00432A91">
        <w:rPr>
          <w:rFonts w:ascii="Times New Roman" w:hAnsi="Times New Roman"/>
        </w:rPr>
        <w:t xml:space="preserve">Medziročný nárast </w:t>
      </w:r>
      <w:r>
        <w:rPr>
          <w:rFonts w:ascii="Times New Roman" w:hAnsi="Times New Roman"/>
        </w:rPr>
        <w:t xml:space="preserve">verejných </w:t>
      </w:r>
      <w:r w:rsidRPr="00432A91">
        <w:rPr>
          <w:rFonts w:ascii="Times New Roman" w:hAnsi="Times New Roman"/>
        </w:rPr>
        <w:t>zdrojo</w:t>
      </w:r>
      <w:r>
        <w:rPr>
          <w:rFonts w:ascii="Times New Roman" w:hAnsi="Times New Roman"/>
        </w:rPr>
        <w:t>v plynúcich do zdravotníctva o 123</w:t>
      </w:r>
      <w:r w:rsidRPr="00432A91">
        <w:rPr>
          <w:rFonts w:ascii="Times New Roman" w:hAnsi="Times New Roman"/>
        </w:rPr>
        <w:t xml:space="preserve"> mil. eur </w:t>
      </w:r>
      <w:r>
        <w:rPr>
          <w:rFonts w:ascii="Times New Roman" w:hAnsi="Times New Roman"/>
        </w:rPr>
        <w:t xml:space="preserve">oproti očakávanej skutočnosti roku 2011 </w:t>
      </w:r>
      <w:r w:rsidRPr="00432A91">
        <w:rPr>
          <w:rFonts w:ascii="Times New Roman" w:hAnsi="Times New Roman"/>
        </w:rPr>
        <w:t>spolu s úsporami zo zefektívňovania systému a minimalizovaním korupcie by mali zabezpečiť, že od roku 2012 nebude dochádzať k ďalšiemu z</w:t>
      </w:r>
      <w:r>
        <w:rPr>
          <w:rFonts w:ascii="Times New Roman" w:hAnsi="Times New Roman"/>
        </w:rPr>
        <w:t>a</w:t>
      </w:r>
      <w:r w:rsidRPr="00432A91">
        <w:rPr>
          <w:rFonts w:ascii="Times New Roman" w:hAnsi="Times New Roman"/>
        </w:rPr>
        <w:t>dlžovaniu v oblasti zdravotníctva</w:t>
      </w:r>
      <w:r>
        <w:rPr>
          <w:rFonts w:ascii="Times New Roman" w:hAnsi="Times New Roman"/>
        </w:rPr>
        <w:t xml:space="preserve"> nad rámec 50 mil. eur zohľadnených v návrhu rozpočtu verejnej správy na roky 2012 až 2014.</w:t>
      </w:r>
    </w:p>
    <w:p w:rsidR="00CB350B" w:rsidRPr="00432A91" w:rsidP="00CB350B">
      <w:pPr>
        <w:bidi w:val="0"/>
        <w:ind w:firstLine="708"/>
        <w:jc w:val="both"/>
        <w:rPr>
          <w:rFonts w:ascii="Times New Roman" w:hAnsi="Times New Roman"/>
        </w:rPr>
      </w:pPr>
    </w:p>
    <w:p w:rsidR="00CB350B" w:rsidP="00CB350B">
      <w:pPr>
        <w:bidi w:val="0"/>
        <w:ind w:firstLine="708"/>
        <w:jc w:val="both"/>
        <w:rPr>
          <w:rFonts w:ascii="Times New Roman" w:hAnsi="Times New Roman"/>
          <w:bCs/>
        </w:rPr>
      </w:pPr>
      <w:r w:rsidRPr="00432A91">
        <w:rPr>
          <w:rFonts w:ascii="Times New Roman" w:hAnsi="Times New Roman"/>
          <w:bCs/>
        </w:rPr>
        <w:t xml:space="preserve">Celkové výdavky </w:t>
      </w:r>
      <w:r>
        <w:rPr>
          <w:rFonts w:ascii="Times New Roman" w:hAnsi="Times New Roman"/>
          <w:bCs/>
        </w:rPr>
        <w:t xml:space="preserve">kapitoly štátneho rozpočtu </w:t>
      </w:r>
      <w:r w:rsidRPr="00432A91">
        <w:rPr>
          <w:rFonts w:ascii="Times New Roman" w:hAnsi="Times New Roman"/>
          <w:bCs/>
        </w:rPr>
        <w:t xml:space="preserve">Ministerstva zdravotníctva SR sa </w:t>
      </w:r>
      <w:r>
        <w:rPr>
          <w:rFonts w:ascii="Times New Roman" w:hAnsi="Times New Roman"/>
          <w:bCs/>
        </w:rPr>
        <w:t>na</w:t>
      </w:r>
      <w:r w:rsidRPr="00432A91">
        <w:rPr>
          <w:rFonts w:ascii="Times New Roman" w:hAnsi="Times New Roman"/>
          <w:bCs/>
        </w:rPr>
        <w:t xml:space="preserve"> rok 2</w:t>
      </w:r>
      <w:r>
        <w:rPr>
          <w:rFonts w:ascii="Times New Roman" w:hAnsi="Times New Roman"/>
          <w:bCs/>
        </w:rPr>
        <w:t>012 predpokladajú na úrovni 1,51 mld. eur so 7,38</w:t>
      </w:r>
      <w:r w:rsidRPr="00432A91">
        <w:rPr>
          <w:rFonts w:ascii="Times New Roman" w:hAnsi="Times New Roman"/>
          <w:bCs/>
        </w:rPr>
        <w:t xml:space="preserve">% nárastom oproti schválenému rozpočtu </w:t>
      </w:r>
      <w:r>
        <w:rPr>
          <w:rFonts w:ascii="Times New Roman" w:hAnsi="Times New Roman"/>
          <w:bCs/>
        </w:rPr>
        <w:t>na</w:t>
      </w:r>
      <w:r w:rsidRPr="00432A91">
        <w:rPr>
          <w:rFonts w:ascii="Times New Roman" w:hAnsi="Times New Roman"/>
          <w:bCs/>
        </w:rPr>
        <w:t xml:space="preserve"> rok 2011. Výdavky kapitoly sú ovplyvnené najmä vyššie uvedeným zvýšením výdavkov na poistné platené štátom na ve</w:t>
      </w:r>
      <w:r>
        <w:rPr>
          <w:rFonts w:ascii="Times New Roman" w:hAnsi="Times New Roman"/>
          <w:bCs/>
        </w:rPr>
        <w:t>rejné zdravotné poistenie o 11,1</w:t>
      </w:r>
      <w:r w:rsidRPr="00432A91">
        <w:rPr>
          <w:rFonts w:ascii="Times New Roman" w:hAnsi="Times New Roman"/>
          <w:bCs/>
        </w:rPr>
        <w:t xml:space="preserve"> %. Medziročná zmena výdavkov kapitoly nadväzuje aj na znížený objem prostriedkov EÚ a príslušného spolufinancovania o 21,9 %. </w:t>
      </w:r>
    </w:p>
    <w:p w:rsidR="00CB350B" w:rsidP="00CB350B">
      <w:pPr>
        <w:bidi w:val="0"/>
        <w:ind w:firstLine="708"/>
        <w:jc w:val="both"/>
        <w:rPr>
          <w:rFonts w:ascii="Times New Roman" w:hAnsi="Times New Roman"/>
          <w:bCs/>
        </w:rPr>
      </w:pPr>
    </w:p>
    <w:tbl>
      <w:tblPr>
        <w:tblStyle w:val="TableNormal"/>
        <w:tblW w:w="9079" w:type="dxa"/>
        <w:tblInd w:w="70" w:type="dxa"/>
        <w:tblLayout w:type="fixed"/>
        <w:tblCellMar>
          <w:left w:w="70" w:type="dxa"/>
          <w:right w:w="70" w:type="dxa"/>
        </w:tblCellMar>
        <w:tblLook w:val="04A0"/>
      </w:tblPr>
      <w:tblGrid>
        <w:gridCol w:w="2127"/>
        <w:gridCol w:w="993"/>
        <w:gridCol w:w="993"/>
        <w:gridCol w:w="993"/>
        <w:gridCol w:w="993"/>
        <w:gridCol w:w="424"/>
        <w:gridCol w:w="569"/>
        <w:gridCol w:w="658"/>
        <w:gridCol w:w="335"/>
        <w:gridCol w:w="994"/>
      </w:tblGrid>
      <w:tr>
        <w:tblPrEx>
          <w:tblW w:w="9079" w:type="dxa"/>
          <w:tblInd w:w="70" w:type="dxa"/>
          <w:tblLayout w:type="fixed"/>
          <w:tblCellMar>
            <w:left w:w="70" w:type="dxa"/>
            <w:right w:w="70" w:type="dxa"/>
          </w:tblCellMar>
          <w:tblLook w:val="04A0"/>
        </w:tblPrEx>
        <w:trPr>
          <w:trHeight w:val="225"/>
        </w:trPr>
        <w:tc>
          <w:tcPr>
            <w:tcW w:w="2127"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b/>
                <w:bCs/>
                <w:sz w:val="14"/>
                <w:szCs w:val="14"/>
              </w:rPr>
            </w:pPr>
            <w:r w:rsidRPr="001D4A5A">
              <w:rPr>
                <w:rFonts w:ascii="Times New Roman" w:hAnsi="Times New Roman"/>
                <w:b/>
                <w:bCs/>
                <w:sz w:val="14"/>
                <w:szCs w:val="14"/>
              </w:rPr>
              <w:t> v eurách</w:t>
            </w:r>
          </w:p>
        </w:tc>
        <w:tc>
          <w:tcPr>
            <w:tcW w:w="993" w:type="dxa"/>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b/>
                <w:bCs/>
                <w:sz w:val="14"/>
                <w:szCs w:val="14"/>
              </w:rPr>
            </w:pPr>
            <w:r w:rsidRPr="001D4A5A">
              <w:rPr>
                <w:rFonts w:ascii="Times New Roman" w:hAnsi="Times New Roman"/>
                <w:b/>
                <w:bCs/>
                <w:sz w:val="14"/>
                <w:szCs w:val="14"/>
              </w:rPr>
              <w:t>2009 S</w:t>
            </w:r>
          </w:p>
        </w:tc>
        <w:tc>
          <w:tcPr>
            <w:tcW w:w="993" w:type="dxa"/>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b/>
                <w:bCs/>
                <w:sz w:val="14"/>
                <w:szCs w:val="14"/>
              </w:rPr>
            </w:pPr>
            <w:r w:rsidRPr="001D4A5A">
              <w:rPr>
                <w:rFonts w:ascii="Times New Roman" w:hAnsi="Times New Roman"/>
                <w:b/>
                <w:bCs/>
                <w:sz w:val="14"/>
                <w:szCs w:val="14"/>
              </w:rPr>
              <w:t>2010 S</w:t>
            </w:r>
          </w:p>
        </w:tc>
        <w:tc>
          <w:tcPr>
            <w:tcW w:w="993" w:type="dxa"/>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b/>
                <w:bCs/>
                <w:sz w:val="14"/>
                <w:szCs w:val="14"/>
              </w:rPr>
            </w:pPr>
            <w:r w:rsidRPr="001D4A5A">
              <w:rPr>
                <w:rFonts w:ascii="Times New Roman" w:hAnsi="Times New Roman"/>
                <w:b/>
                <w:bCs/>
                <w:sz w:val="14"/>
                <w:szCs w:val="14"/>
              </w:rPr>
              <w:t>2011 R</w:t>
            </w:r>
          </w:p>
        </w:tc>
        <w:tc>
          <w:tcPr>
            <w:tcW w:w="993" w:type="dxa"/>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b/>
                <w:bCs/>
                <w:sz w:val="14"/>
                <w:szCs w:val="14"/>
              </w:rPr>
            </w:pPr>
            <w:r w:rsidRPr="001D4A5A">
              <w:rPr>
                <w:rFonts w:ascii="Times New Roman" w:hAnsi="Times New Roman"/>
                <w:b/>
                <w:bCs/>
                <w:sz w:val="14"/>
                <w:szCs w:val="14"/>
              </w:rPr>
              <w:t>2011 OS</w:t>
            </w:r>
          </w:p>
        </w:tc>
        <w:tc>
          <w:tcPr>
            <w:tcW w:w="993" w:type="dxa"/>
            <w:gridSpan w:val="2"/>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b/>
                <w:bCs/>
                <w:sz w:val="14"/>
                <w:szCs w:val="14"/>
              </w:rPr>
            </w:pPr>
            <w:r w:rsidRPr="001D4A5A">
              <w:rPr>
                <w:rFonts w:ascii="Times New Roman" w:hAnsi="Times New Roman"/>
                <w:b/>
                <w:bCs/>
                <w:sz w:val="14"/>
                <w:szCs w:val="14"/>
              </w:rPr>
              <w:t>2012 N</w:t>
            </w:r>
          </w:p>
        </w:tc>
        <w:tc>
          <w:tcPr>
            <w:tcW w:w="993" w:type="dxa"/>
            <w:gridSpan w:val="2"/>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b/>
                <w:bCs/>
                <w:sz w:val="14"/>
                <w:szCs w:val="14"/>
              </w:rPr>
            </w:pPr>
            <w:r w:rsidRPr="001D4A5A">
              <w:rPr>
                <w:rFonts w:ascii="Times New Roman" w:hAnsi="Times New Roman"/>
                <w:b/>
                <w:bCs/>
                <w:sz w:val="14"/>
                <w:szCs w:val="14"/>
              </w:rPr>
              <w:t>2013 N</w:t>
            </w:r>
          </w:p>
        </w:tc>
        <w:tc>
          <w:tcPr>
            <w:tcW w:w="994" w:type="dxa"/>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b/>
                <w:bCs/>
                <w:sz w:val="14"/>
                <w:szCs w:val="14"/>
              </w:rPr>
            </w:pPr>
            <w:r w:rsidRPr="001D4A5A">
              <w:rPr>
                <w:rFonts w:ascii="Times New Roman" w:hAnsi="Times New Roman"/>
                <w:b/>
                <w:bCs/>
                <w:sz w:val="14"/>
                <w:szCs w:val="14"/>
              </w:rPr>
              <w:t>2014 N</w:t>
            </w:r>
          </w:p>
        </w:tc>
      </w:tr>
      <w:tr>
        <w:tblPrEx>
          <w:tblW w:w="9079" w:type="dxa"/>
          <w:tblInd w:w="70" w:type="dxa"/>
          <w:tblLayout w:type="fixed"/>
          <w:tblCellMar>
            <w:left w:w="70" w:type="dxa"/>
            <w:right w:w="70" w:type="dxa"/>
          </w:tblCellMar>
          <w:tblLook w:val="04A0"/>
        </w:tblPrEx>
        <w:trPr>
          <w:trHeight w:val="227"/>
        </w:trPr>
        <w:tc>
          <w:tcPr>
            <w:tcW w:w="2127" w:type="dxa"/>
            <w:tcBorders>
              <w:top w:val="nil"/>
              <w:left w:val="single" w:sz="4" w:space="0" w:color="auto"/>
              <w:bottom w:val="single" w:sz="4" w:space="0" w:color="auto"/>
              <w:right w:val="single" w:sz="4" w:space="0" w:color="auto"/>
            </w:tcBorders>
            <w:textDirection w:val="lrTb"/>
            <w:vAlign w:val="bottom"/>
            <w:hideMark/>
          </w:tcPr>
          <w:p w:rsidR="00CB350B" w:rsidRPr="001D4A5A" w:rsidP="00257E12">
            <w:pPr>
              <w:bidi w:val="0"/>
              <w:rPr>
                <w:rFonts w:ascii="Times New Roman" w:hAnsi="Times New Roman"/>
                <w:b/>
                <w:bCs/>
                <w:sz w:val="14"/>
                <w:szCs w:val="14"/>
              </w:rPr>
            </w:pPr>
            <w:r w:rsidRPr="001D4A5A">
              <w:rPr>
                <w:rFonts w:ascii="Times New Roman" w:hAnsi="Times New Roman"/>
                <w:b/>
                <w:bCs/>
                <w:sz w:val="14"/>
                <w:szCs w:val="14"/>
              </w:rPr>
              <w:t>Ministerstvo zdravotníctva SR</w:t>
            </w:r>
          </w:p>
        </w:tc>
        <w:tc>
          <w:tcPr>
            <w:tcW w:w="993" w:type="dxa"/>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b/>
                <w:bCs/>
                <w:sz w:val="14"/>
                <w:szCs w:val="14"/>
              </w:rPr>
            </w:pPr>
            <w:r w:rsidRPr="001D4A5A">
              <w:rPr>
                <w:rFonts w:ascii="Times New Roman" w:hAnsi="Times New Roman"/>
                <w:b/>
                <w:bCs/>
                <w:sz w:val="14"/>
                <w:szCs w:val="14"/>
              </w:rPr>
              <w:t>1 287 843 669</w:t>
            </w:r>
          </w:p>
        </w:tc>
        <w:tc>
          <w:tcPr>
            <w:tcW w:w="993" w:type="dxa"/>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b/>
                <w:bCs/>
                <w:sz w:val="14"/>
                <w:szCs w:val="14"/>
              </w:rPr>
            </w:pPr>
            <w:r w:rsidRPr="001D4A5A">
              <w:rPr>
                <w:rFonts w:ascii="Times New Roman" w:hAnsi="Times New Roman"/>
                <w:b/>
                <w:bCs/>
                <w:sz w:val="14"/>
                <w:szCs w:val="14"/>
              </w:rPr>
              <w:t>1 470 526 319</w:t>
            </w:r>
          </w:p>
        </w:tc>
        <w:tc>
          <w:tcPr>
            <w:tcW w:w="993" w:type="dxa"/>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b/>
                <w:bCs/>
                <w:sz w:val="14"/>
                <w:szCs w:val="14"/>
              </w:rPr>
            </w:pPr>
            <w:r w:rsidRPr="001D4A5A">
              <w:rPr>
                <w:rFonts w:ascii="Times New Roman" w:hAnsi="Times New Roman"/>
                <w:b/>
                <w:bCs/>
                <w:sz w:val="14"/>
                <w:szCs w:val="14"/>
              </w:rPr>
              <w:t>1 401 943 034</w:t>
            </w:r>
          </w:p>
        </w:tc>
        <w:tc>
          <w:tcPr>
            <w:tcW w:w="993" w:type="dxa"/>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b/>
                <w:bCs/>
                <w:sz w:val="14"/>
                <w:szCs w:val="14"/>
              </w:rPr>
            </w:pPr>
            <w:r w:rsidRPr="00C74183">
              <w:rPr>
                <w:rFonts w:ascii="Times New Roman" w:hAnsi="Times New Roman"/>
                <w:b/>
                <w:bCs/>
                <w:sz w:val="14"/>
                <w:szCs w:val="14"/>
              </w:rPr>
              <w:t>1 359 477 785</w:t>
            </w:r>
          </w:p>
        </w:tc>
        <w:tc>
          <w:tcPr>
            <w:tcW w:w="993" w:type="dxa"/>
            <w:gridSpan w:val="2"/>
            <w:tcBorders>
              <w:top w:val="nil"/>
              <w:left w:val="nil"/>
              <w:bottom w:val="single" w:sz="4" w:space="0" w:color="auto"/>
              <w:right w:val="single" w:sz="4" w:space="0" w:color="auto"/>
            </w:tcBorders>
            <w:noWrap/>
            <w:textDirection w:val="lrTb"/>
            <w:vAlign w:val="bottom"/>
            <w:hideMark/>
          </w:tcPr>
          <w:p w:rsidR="00CB350B" w:rsidRPr="00CC26A3" w:rsidP="00257E12">
            <w:pPr>
              <w:bidi w:val="0"/>
              <w:jc w:val="right"/>
              <w:rPr>
                <w:rFonts w:ascii="Times New Roman" w:hAnsi="Times New Roman"/>
                <w:b/>
                <w:bCs/>
                <w:sz w:val="14"/>
                <w:szCs w:val="14"/>
              </w:rPr>
            </w:pPr>
            <w:r w:rsidRPr="00CC26A3">
              <w:rPr>
                <w:rFonts w:ascii="Times New Roman" w:hAnsi="Times New Roman"/>
                <w:b/>
                <w:bCs/>
                <w:sz w:val="14"/>
                <w:szCs w:val="14"/>
              </w:rPr>
              <w:t>1 505 455 941</w:t>
            </w:r>
          </w:p>
        </w:tc>
        <w:tc>
          <w:tcPr>
            <w:tcW w:w="993" w:type="dxa"/>
            <w:gridSpan w:val="2"/>
            <w:tcBorders>
              <w:top w:val="nil"/>
              <w:left w:val="nil"/>
              <w:bottom w:val="single" w:sz="4" w:space="0" w:color="auto"/>
              <w:right w:val="single" w:sz="4" w:space="0" w:color="auto"/>
            </w:tcBorders>
            <w:noWrap/>
            <w:textDirection w:val="lrTb"/>
            <w:vAlign w:val="bottom"/>
            <w:hideMark/>
          </w:tcPr>
          <w:p w:rsidR="00CB350B" w:rsidRPr="00CC26A3" w:rsidP="00257E12">
            <w:pPr>
              <w:bidi w:val="0"/>
              <w:jc w:val="right"/>
              <w:rPr>
                <w:rFonts w:ascii="Times New Roman" w:hAnsi="Times New Roman"/>
                <w:b/>
                <w:bCs/>
                <w:sz w:val="14"/>
                <w:szCs w:val="14"/>
              </w:rPr>
            </w:pPr>
            <w:r w:rsidRPr="00CC26A3">
              <w:rPr>
                <w:rFonts w:ascii="Times New Roman" w:hAnsi="Times New Roman"/>
                <w:b/>
                <w:bCs/>
                <w:sz w:val="14"/>
                <w:szCs w:val="14"/>
              </w:rPr>
              <w:t>1 474 347 132</w:t>
            </w:r>
          </w:p>
        </w:tc>
        <w:tc>
          <w:tcPr>
            <w:tcW w:w="994" w:type="dxa"/>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b/>
                <w:bCs/>
                <w:sz w:val="14"/>
                <w:szCs w:val="14"/>
              </w:rPr>
            </w:pPr>
            <w:r w:rsidRPr="00C74183">
              <w:rPr>
                <w:rFonts w:ascii="Times New Roman" w:hAnsi="Times New Roman"/>
                <w:b/>
                <w:bCs/>
                <w:sz w:val="14"/>
                <w:szCs w:val="14"/>
              </w:rPr>
              <w:t>1 352 125 329</w:t>
            </w:r>
          </w:p>
        </w:tc>
      </w:tr>
      <w:tr>
        <w:tblPrEx>
          <w:tblW w:w="9079" w:type="dxa"/>
          <w:tblInd w:w="70" w:type="dxa"/>
          <w:tblLayout w:type="fixed"/>
          <w:tblCellMar>
            <w:left w:w="70" w:type="dxa"/>
            <w:right w:w="70" w:type="dxa"/>
          </w:tblCellMar>
          <w:tblLook w:val="04A0"/>
        </w:tblPrEx>
        <w:trPr>
          <w:trHeight w:val="228"/>
        </w:trPr>
        <w:tc>
          <w:tcPr>
            <w:tcW w:w="2127" w:type="dxa"/>
            <w:tcBorders>
              <w:top w:val="nil"/>
              <w:left w:val="single" w:sz="4" w:space="0" w:color="auto"/>
              <w:bottom w:val="single" w:sz="4" w:space="0" w:color="auto"/>
              <w:right w:val="single" w:sz="4" w:space="0" w:color="auto"/>
            </w:tcBorders>
            <w:textDirection w:val="lrTb"/>
            <w:vAlign w:val="bottom"/>
            <w:hideMark/>
          </w:tcPr>
          <w:p w:rsidR="00CB350B" w:rsidRPr="001D4A5A" w:rsidP="00257E12">
            <w:pPr>
              <w:bidi w:val="0"/>
              <w:rPr>
                <w:rFonts w:ascii="Times New Roman" w:hAnsi="Times New Roman"/>
                <w:sz w:val="14"/>
                <w:szCs w:val="14"/>
              </w:rPr>
            </w:pPr>
            <w:r w:rsidRPr="001D4A5A">
              <w:rPr>
                <w:rFonts w:ascii="Times New Roman" w:hAnsi="Times New Roman"/>
                <w:sz w:val="14"/>
                <w:szCs w:val="14"/>
              </w:rPr>
              <w:t>z toho:</w:t>
            </w:r>
          </w:p>
        </w:tc>
        <w:tc>
          <w:tcPr>
            <w:tcW w:w="993" w:type="dxa"/>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 </w:t>
            </w:r>
          </w:p>
        </w:tc>
        <w:tc>
          <w:tcPr>
            <w:tcW w:w="993" w:type="dxa"/>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 </w:t>
            </w:r>
          </w:p>
        </w:tc>
        <w:tc>
          <w:tcPr>
            <w:tcW w:w="993" w:type="dxa"/>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 </w:t>
            </w:r>
          </w:p>
        </w:tc>
        <w:tc>
          <w:tcPr>
            <w:tcW w:w="993" w:type="dxa"/>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sz w:val="14"/>
                <w:szCs w:val="14"/>
              </w:rPr>
            </w:pPr>
            <w:r w:rsidRPr="00C74183">
              <w:rPr>
                <w:rFonts w:ascii="Times New Roman" w:hAnsi="Times New Roman"/>
                <w:sz w:val="14"/>
                <w:szCs w:val="14"/>
              </w:rPr>
              <w:t> </w:t>
            </w:r>
          </w:p>
        </w:tc>
        <w:tc>
          <w:tcPr>
            <w:tcW w:w="993" w:type="dxa"/>
            <w:gridSpan w:val="2"/>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sz w:val="14"/>
                <w:szCs w:val="14"/>
              </w:rPr>
            </w:pPr>
            <w:r w:rsidRPr="00C74183">
              <w:rPr>
                <w:rFonts w:ascii="Times New Roman" w:hAnsi="Times New Roman"/>
                <w:sz w:val="14"/>
                <w:szCs w:val="14"/>
              </w:rPr>
              <w:t> </w:t>
            </w:r>
          </w:p>
        </w:tc>
        <w:tc>
          <w:tcPr>
            <w:tcW w:w="993" w:type="dxa"/>
            <w:gridSpan w:val="2"/>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sz w:val="14"/>
                <w:szCs w:val="14"/>
              </w:rPr>
            </w:pPr>
            <w:r w:rsidRPr="00C74183">
              <w:rPr>
                <w:rFonts w:ascii="Times New Roman" w:hAnsi="Times New Roman"/>
                <w:sz w:val="14"/>
                <w:szCs w:val="14"/>
              </w:rPr>
              <w:t> </w:t>
            </w:r>
          </w:p>
        </w:tc>
        <w:tc>
          <w:tcPr>
            <w:tcW w:w="994" w:type="dxa"/>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sz w:val="14"/>
                <w:szCs w:val="14"/>
              </w:rPr>
            </w:pPr>
            <w:r w:rsidRPr="00C74183">
              <w:rPr>
                <w:rFonts w:ascii="Times New Roman" w:hAnsi="Times New Roman"/>
                <w:sz w:val="14"/>
                <w:szCs w:val="14"/>
              </w:rPr>
              <w:t> </w:t>
            </w:r>
          </w:p>
        </w:tc>
      </w:tr>
      <w:tr>
        <w:tblPrEx>
          <w:tblW w:w="9079" w:type="dxa"/>
          <w:tblInd w:w="70" w:type="dxa"/>
          <w:tblLayout w:type="fixed"/>
          <w:tblCellMar>
            <w:left w:w="70" w:type="dxa"/>
            <w:right w:w="70" w:type="dxa"/>
          </w:tblCellMar>
          <w:tblLook w:val="04A0"/>
        </w:tblPrEx>
        <w:trPr>
          <w:trHeight w:val="228"/>
        </w:trPr>
        <w:tc>
          <w:tcPr>
            <w:tcW w:w="2127" w:type="dxa"/>
            <w:tcBorders>
              <w:top w:val="nil"/>
              <w:left w:val="single" w:sz="4" w:space="0" w:color="auto"/>
              <w:bottom w:val="single" w:sz="4" w:space="0" w:color="auto"/>
              <w:right w:val="single" w:sz="4" w:space="0" w:color="auto"/>
            </w:tcBorders>
            <w:textDirection w:val="lrTb"/>
            <w:vAlign w:val="bottom"/>
            <w:hideMark/>
          </w:tcPr>
          <w:p w:rsidR="00CB350B" w:rsidRPr="001D4A5A" w:rsidP="00257E12">
            <w:pPr>
              <w:bidi w:val="0"/>
              <w:rPr>
                <w:rFonts w:ascii="Times New Roman" w:hAnsi="Times New Roman"/>
                <w:sz w:val="14"/>
                <w:szCs w:val="14"/>
              </w:rPr>
            </w:pPr>
            <w:r w:rsidRPr="001D4A5A">
              <w:rPr>
                <w:rFonts w:ascii="Times New Roman" w:hAnsi="Times New Roman"/>
                <w:sz w:val="14"/>
                <w:szCs w:val="14"/>
              </w:rPr>
              <w:t xml:space="preserve">poistné platené štátom </w:t>
            </w:r>
          </w:p>
        </w:tc>
        <w:tc>
          <w:tcPr>
            <w:tcW w:w="993" w:type="dxa"/>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1 162 381 770</w:t>
            </w:r>
          </w:p>
        </w:tc>
        <w:tc>
          <w:tcPr>
            <w:tcW w:w="993" w:type="dxa"/>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1 337 605 395</w:t>
            </w:r>
          </w:p>
        </w:tc>
        <w:tc>
          <w:tcPr>
            <w:tcW w:w="993" w:type="dxa"/>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1 197 816 000</w:t>
            </w:r>
          </w:p>
        </w:tc>
        <w:tc>
          <w:tcPr>
            <w:tcW w:w="993" w:type="dxa"/>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sz w:val="14"/>
                <w:szCs w:val="14"/>
              </w:rPr>
            </w:pPr>
            <w:r w:rsidRPr="00C74183">
              <w:rPr>
                <w:rFonts w:ascii="Times New Roman" w:hAnsi="Times New Roman"/>
                <w:sz w:val="14"/>
                <w:szCs w:val="14"/>
              </w:rPr>
              <w:t>1 207 549 167</w:t>
            </w:r>
          </w:p>
        </w:tc>
        <w:tc>
          <w:tcPr>
            <w:tcW w:w="993" w:type="dxa"/>
            <w:gridSpan w:val="2"/>
            <w:tcBorders>
              <w:top w:val="nil"/>
              <w:left w:val="nil"/>
              <w:bottom w:val="single" w:sz="4" w:space="0" w:color="auto"/>
              <w:right w:val="single" w:sz="4" w:space="0" w:color="auto"/>
            </w:tcBorders>
            <w:noWrap/>
            <w:textDirection w:val="lrTb"/>
            <w:vAlign w:val="bottom"/>
            <w:hideMark/>
          </w:tcPr>
          <w:p w:rsidR="00CB350B" w:rsidRPr="00CC26A3" w:rsidP="00257E12">
            <w:pPr>
              <w:bidi w:val="0"/>
              <w:jc w:val="right"/>
              <w:rPr>
                <w:rFonts w:ascii="Times New Roman" w:hAnsi="Times New Roman"/>
                <w:sz w:val="14"/>
                <w:szCs w:val="14"/>
              </w:rPr>
            </w:pPr>
            <w:r w:rsidRPr="00CC26A3">
              <w:rPr>
                <w:rFonts w:ascii="Times New Roman" w:hAnsi="Times New Roman"/>
                <w:sz w:val="14"/>
                <w:szCs w:val="14"/>
              </w:rPr>
              <w:t>1 330 391 875</w:t>
            </w:r>
          </w:p>
        </w:tc>
        <w:tc>
          <w:tcPr>
            <w:tcW w:w="993" w:type="dxa"/>
            <w:gridSpan w:val="2"/>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sz w:val="14"/>
                <w:szCs w:val="14"/>
              </w:rPr>
            </w:pPr>
            <w:r w:rsidRPr="00C74183">
              <w:rPr>
                <w:rFonts w:ascii="Times New Roman" w:hAnsi="Times New Roman"/>
                <w:sz w:val="14"/>
                <w:szCs w:val="14"/>
              </w:rPr>
              <w:t>1 383 098 907</w:t>
            </w:r>
          </w:p>
        </w:tc>
        <w:tc>
          <w:tcPr>
            <w:tcW w:w="994" w:type="dxa"/>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sz w:val="14"/>
                <w:szCs w:val="14"/>
              </w:rPr>
            </w:pPr>
            <w:r w:rsidRPr="00C74183">
              <w:rPr>
                <w:rFonts w:ascii="Times New Roman" w:hAnsi="Times New Roman"/>
                <w:sz w:val="14"/>
                <w:szCs w:val="14"/>
              </w:rPr>
              <w:t>1 272 554 941</w:t>
            </w:r>
          </w:p>
        </w:tc>
      </w:tr>
      <w:tr>
        <w:tblPrEx>
          <w:tblW w:w="9079" w:type="dxa"/>
          <w:tblInd w:w="70" w:type="dxa"/>
          <w:tblLayout w:type="fixed"/>
          <w:tblCellMar>
            <w:left w:w="70" w:type="dxa"/>
            <w:right w:w="70" w:type="dxa"/>
          </w:tblCellMar>
          <w:tblLook w:val="04A0"/>
        </w:tblPrEx>
        <w:trPr>
          <w:trHeight w:val="228"/>
        </w:trPr>
        <w:tc>
          <w:tcPr>
            <w:tcW w:w="2127" w:type="dxa"/>
            <w:tcBorders>
              <w:top w:val="nil"/>
              <w:left w:val="single" w:sz="4" w:space="0" w:color="auto"/>
              <w:bottom w:val="single" w:sz="4" w:space="0" w:color="auto"/>
              <w:right w:val="single" w:sz="4" w:space="0" w:color="auto"/>
            </w:tcBorders>
            <w:textDirection w:val="lrTb"/>
            <w:vAlign w:val="bottom"/>
            <w:hideMark/>
          </w:tcPr>
          <w:p w:rsidR="00CB350B" w:rsidRPr="001D4A5A" w:rsidP="00257E12">
            <w:pPr>
              <w:bidi w:val="0"/>
              <w:rPr>
                <w:rFonts w:ascii="Times New Roman" w:hAnsi="Times New Roman"/>
                <w:sz w:val="14"/>
                <w:szCs w:val="14"/>
              </w:rPr>
            </w:pPr>
            <w:r w:rsidRPr="001D4A5A">
              <w:rPr>
                <w:rFonts w:ascii="Times New Roman" w:hAnsi="Times New Roman"/>
                <w:sz w:val="14"/>
                <w:szCs w:val="14"/>
              </w:rPr>
              <w:t xml:space="preserve">príspevok na činnosť OS ZZS </w:t>
            </w:r>
          </w:p>
        </w:tc>
        <w:tc>
          <w:tcPr>
            <w:tcW w:w="993" w:type="dxa"/>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9 831 840</w:t>
            </w:r>
          </w:p>
        </w:tc>
        <w:tc>
          <w:tcPr>
            <w:tcW w:w="993" w:type="dxa"/>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11 252 366</w:t>
            </w:r>
          </w:p>
        </w:tc>
        <w:tc>
          <w:tcPr>
            <w:tcW w:w="993" w:type="dxa"/>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12 442 843</w:t>
            </w:r>
          </w:p>
        </w:tc>
        <w:tc>
          <w:tcPr>
            <w:tcW w:w="993" w:type="dxa"/>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sz w:val="14"/>
                <w:szCs w:val="14"/>
              </w:rPr>
            </w:pPr>
            <w:r w:rsidRPr="00C74183">
              <w:rPr>
                <w:rFonts w:ascii="Times New Roman" w:hAnsi="Times New Roman"/>
                <w:sz w:val="14"/>
                <w:szCs w:val="14"/>
              </w:rPr>
              <w:t>11 747 014</w:t>
            </w:r>
          </w:p>
        </w:tc>
        <w:tc>
          <w:tcPr>
            <w:tcW w:w="993" w:type="dxa"/>
            <w:gridSpan w:val="2"/>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sz w:val="14"/>
                <w:szCs w:val="14"/>
              </w:rPr>
            </w:pPr>
            <w:r w:rsidRPr="00C74183">
              <w:rPr>
                <w:rFonts w:ascii="Times New Roman" w:hAnsi="Times New Roman"/>
                <w:sz w:val="14"/>
                <w:szCs w:val="14"/>
              </w:rPr>
              <w:t>11 927 394</w:t>
            </w:r>
          </w:p>
        </w:tc>
        <w:tc>
          <w:tcPr>
            <w:tcW w:w="993" w:type="dxa"/>
            <w:gridSpan w:val="2"/>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sz w:val="14"/>
                <w:szCs w:val="14"/>
              </w:rPr>
            </w:pPr>
            <w:r w:rsidRPr="00C74183">
              <w:rPr>
                <w:rFonts w:ascii="Times New Roman" w:hAnsi="Times New Roman"/>
                <w:sz w:val="14"/>
                <w:szCs w:val="14"/>
              </w:rPr>
              <w:t>12</w:t>
            </w:r>
            <w:r>
              <w:rPr>
                <w:rFonts w:ascii="Times New Roman" w:hAnsi="Times New Roman"/>
                <w:sz w:val="14"/>
                <w:szCs w:val="14"/>
              </w:rPr>
              <w:t> 258 250</w:t>
            </w:r>
          </w:p>
        </w:tc>
        <w:tc>
          <w:tcPr>
            <w:tcW w:w="994" w:type="dxa"/>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sz w:val="14"/>
                <w:szCs w:val="14"/>
              </w:rPr>
            </w:pPr>
            <w:r w:rsidRPr="00C74183">
              <w:rPr>
                <w:rFonts w:ascii="Times New Roman" w:hAnsi="Times New Roman"/>
                <w:sz w:val="14"/>
                <w:szCs w:val="14"/>
              </w:rPr>
              <w:t>12 584 310</w:t>
            </w:r>
          </w:p>
        </w:tc>
      </w:tr>
      <w:tr>
        <w:tblPrEx>
          <w:tblW w:w="9079" w:type="dxa"/>
          <w:tblInd w:w="70" w:type="dxa"/>
          <w:tblLayout w:type="fixed"/>
          <w:tblCellMar>
            <w:left w:w="70" w:type="dxa"/>
            <w:right w:w="70" w:type="dxa"/>
          </w:tblCellMar>
          <w:tblLook w:val="04A0"/>
        </w:tblPrEx>
        <w:trPr>
          <w:trHeight w:val="228"/>
        </w:trPr>
        <w:tc>
          <w:tcPr>
            <w:tcW w:w="2127" w:type="dxa"/>
            <w:tcBorders>
              <w:top w:val="nil"/>
              <w:left w:val="single" w:sz="4" w:space="0" w:color="auto"/>
              <w:bottom w:val="single" w:sz="4" w:space="0" w:color="auto"/>
              <w:right w:val="single" w:sz="4" w:space="0" w:color="auto"/>
            </w:tcBorders>
            <w:textDirection w:val="lrTb"/>
            <w:vAlign w:val="bottom"/>
            <w:hideMark/>
          </w:tcPr>
          <w:p w:rsidR="00CB350B" w:rsidRPr="001D4A5A" w:rsidP="00257E12">
            <w:pPr>
              <w:bidi w:val="0"/>
              <w:rPr>
                <w:rFonts w:ascii="Times New Roman" w:hAnsi="Times New Roman"/>
                <w:sz w:val="14"/>
                <w:szCs w:val="14"/>
              </w:rPr>
            </w:pPr>
            <w:r w:rsidRPr="001D4A5A">
              <w:rPr>
                <w:rFonts w:ascii="Times New Roman" w:hAnsi="Times New Roman"/>
                <w:sz w:val="14"/>
                <w:szCs w:val="14"/>
              </w:rPr>
              <w:t xml:space="preserve">výdavky kapitoly na činnosť </w:t>
            </w:r>
          </w:p>
        </w:tc>
        <w:tc>
          <w:tcPr>
            <w:tcW w:w="993" w:type="dxa"/>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91 924 342</w:t>
            </w:r>
          </w:p>
        </w:tc>
        <w:tc>
          <w:tcPr>
            <w:tcW w:w="993" w:type="dxa"/>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66 538 352</w:t>
            </w:r>
          </w:p>
        </w:tc>
        <w:tc>
          <w:tcPr>
            <w:tcW w:w="993" w:type="dxa"/>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56 640 541</w:t>
            </w:r>
          </w:p>
        </w:tc>
        <w:tc>
          <w:tcPr>
            <w:tcW w:w="993" w:type="dxa"/>
            <w:tcBorders>
              <w:top w:val="nil"/>
              <w:left w:val="nil"/>
              <w:bottom w:val="single" w:sz="4" w:space="0" w:color="auto"/>
              <w:right w:val="single" w:sz="4" w:space="0" w:color="auto"/>
            </w:tcBorders>
            <w:noWrap/>
            <w:textDirection w:val="lrTb"/>
            <w:vAlign w:val="bottom"/>
            <w:hideMark/>
          </w:tcPr>
          <w:p w:rsidR="00CB350B" w:rsidRPr="00CC26A3" w:rsidP="00257E12">
            <w:pPr>
              <w:bidi w:val="0"/>
              <w:jc w:val="right"/>
              <w:rPr>
                <w:rFonts w:ascii="Times New Roman" w:hAnsi="Times New Roman"/>
                <w:sz w:val="14"/>
                <w:szCs w:val="14"/>
              </w:rPr>
            </w:pPr>
            <w:r w:rsidRPr="00CC26A3">
              <w:rPr>
                <w:rFonts w:ascii="Times New Roman" w:hAnsi="Times New Roman"/>
                <w:sz w:val="14"/>
                <w:szCs w:val="14"/>
              </w:rPr>
              <w:t>60 423 672</w:t>
            </w:r>
          </w:p>
        </w:tc>
        <w:tc>
          <w:tcPr>
            <w:tcW w:w="993" w:type="dxa"/>
            <w:gridSpan w:val="2"/>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sz w:val="14"/>
                <w:szCs w:val="14"/>
              </w:rPr>
            </w:pPr>
            <w:r w:rsidRPr="00C74183">
              <w:rPr>
                <w:rFonts w:ascii="Times New Roman" w:hAnsi="Times New Roman"/>
                <w:sz w:val="14"/>
                <w:szCs w:val="14"/>
              </w:rPr>
              <w:t>57 739 940</w:t>
            </w:r>
          </w:p>
        </w:tc>
        <w:tc>
          <w:tcPr>
            <w:tcW w:w="993" w:type="dxa"/>
            <w:gridSpan w:val="2"/>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sz w:val="14"/>
                <w:szCs w:val="14"/>
              </w:rPr>
            </w:pPr>
            <w:r w:rsidRPr="00C74183">
              <w:rPr>
                <w:rFonts w:ascii="Times New Roman" w:hAnsi="Times New Roman"/>
                <w:sz w:val="14"/>
                <w:szCs w:val="14"/>
              </w:rPr>
              <w:t>57 948 278</w:t>
            </w:r>
          </w:p>
        </w:tc>
        <w:tc>
          <w:tcPr>
            <w:tcW w:w="994" w:type="dxa"/>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sz w:val="14"/>
                <w:szCs w:val="14"/>
              </w:rPr>
            </w:pPr>
            <w:r w:rsidRPr="00C74183">
              <w:rPr>
                <w:rFonts w:ascii="Times New Roman" w:hAnsi="Times New Roman"/>
                <w:sz w:val="14"/>
                <w:szCs w:val="14"/>
              </w:rPr>
              <w:t>57 554 992</w:t>
            </w:r>
          </w:p>
        </w:tc>
      </w:tr>
      <w:tr>
        <w:tblPrEx>
          <w:tblW w:w="9079" w:type="dxa"/>
          <w:tblInd w:w="70" w:type="dxa"/>
          <w:tblLayout w:type="fixed"/>
          <w:tblCellMar>
            <w:left w:w="70" w:type="dxa"/>
            <w:right w:w="70" w:type="dxa"/>
          </w:tblCellMar>
          <w:tblLook w:val="04A0"/>
        </w:tblPrEx>
        <w:trPr>
          <w:trHeight w:val="228"/>
        </w:trPr>
        <w:tc>
          <w:tcPr>
            <w:tcW w:w="2127" w:type="dxa"/>
            <w:tcBorders>
              <w:top w:val="nil"/>
              <w:left w:val="single" w:sz="4" w:space="0" w:color="auto"/>
              <w:bottom w:val="single" w:sz="4" w:space="0" w:color="auto"/>
              <w:right w:val="single" w:sz="4" w:space="0" w:color="auto"/>
            </w:tcBorders>
            <w:textDirection w:val="lrTb"/>
            <w:vAlign w:val="bottom"/>
            <w:hideMark/>
          </w:tcPr>
          <w:p w:rsidR="00CB350B" w:rsidRPr="001D4A5A" w:rsidP="00257E12">
            <w:pPr>
              <w:bidi w:val="0"/>
              <w:rPr>
                <w:rFonts w:ascii="Times New Roman" w:hAnsi="Times New Roman"/>
                <w:sz w:val="14"/>
                <w:szCs w:val="14"/>
              </w:rPr>
            </w:pPr>
            <w:r w:rsidRPr="001D4A5A">
              <w:rPr>
                <w:rFonts w:ascii="Times New Roman" w:hAnsi="Times New Roman"/>
                <w:sz w:val="14"/>
                <w:szCs w:val="14"/>
              </w:rPr>
              <w:t>úver od Svetovej banky</w:t>
            </w:r>
          </w:p>
        </w:tc>
        <w:tc>
          <w:tcPr>
            <w:tcW w:w="993" w:type="dxa"/>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477 960</w:t>
            </w:r>
          </w:p>
        </w:tc>
        <w:tc>
          <w:tcPr>
            <w:tcW w:w="993" w:type="dxa"/>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c>
          <w:tcPr>
            <w:tcW w:w="993" w:type="dxa"/>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c>
          <w:tcPr>
            <w:tcW w:w="993" w:type="dxa"/>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sz w:val="14"/>
                <w:szCs w:val="14"/>
              </w:rPr>
            </w:pPr>
            <w:r w:rsidRPr="00C74183">
              <w:rPr>
                <w:rFonts w:ascii="Times New Roman" w:hAnsi="Times New Roman"/>
                <w:sz w:val="14"/>
                <w:szCs w:val="14"/>
              </w:rPr>
              <w:t>0</w:t>
            </w:r>
          </w:p>
        </w:tc>
        <w:tc>
          <w:tcPr>
            <w:tcW w:w="993" w:type="dxa"/>
            <w:gridSpan w:val="2"/>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sz w:val="14"/>
                <w:szCs w:val="14"/>
              </w:rPr>
            </w:pPr>
            <w:r w:rsidRPr="00C74183">
              <w:rPr>
                <w:rFonts w:ascii="Times New Roman" w:hAnsi="Times New Roman"/>
                <w:sz w:val="14"/>
                <w:szCs w:val="14"/>
              </w:rPr>
              <w:t>0</w:t>
            </w:r>
          </w:p>
        </w:tc>
        <w:tc>
          <w:tcPr>
            <w:tcW w:w="993" w:type="dxa"/>
            <w:gridSpan w:val="2"/>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sz w:val="14"/>
                <w:szCs w:val="14"/>
              </w:rPr>
            </w:pPr>
            <w:r w:rsidRPr="00C74183">
              <w:rPr>
                <w:rFonts w:ascii="Times New Roman" w:hAnsi="Times New Roman"/>
                <w:sz w:val="14"/>
                <w:szCs w:val="14"/>
              </w:rPr>
              <w:t>0</w:t>
            </w:r>
          </w:p>
        </w:tc>
        <w:tc>
          <w:tcPr>
            <w:tcW w:w="994" w:type="dxa"/>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sz w:val="14"/>
                <w:szCs w:val="14"/>
              </w:rPr>
            </w:pPr>
            <w:r w:rsidRPr="00C74183">
              <w:rPr>
                <w:rFonts w:ascii="Times New Roman" w:hAnsi="Times New Roman"/>
                <w:sz w:val="14"/>
                <w:szCs w:val="14"/>
              </w:rPr>
              <w:t>0</w:t>
            </w:r>
          </w:p>
        </w:tc>
      </w:tr>
      <w:tr>
        <w:tblPrEx>
          <w:tblW w:w="9079" w:type="dxa"/>
          <w:tblInd w:w="70" w:type="dxa"/>
          <w:tblLayout w:type="fixed"/>
          <w:tblCellMar>
            <w:left w:w="70" w:type="dxa"/>
            <w:right w:w="70" w:type="dxa"/>
          </w:tblCellMar>
          <w:tblLook w:val="04A0"/>
        </w:tblPrEx>
        <w:trPr>
          <w:trHeight w:val="228"/>
        </w:trPr>
        <w:tc>
          <w:tcPr>
            <w:tcW w:w="2127" w:type="dxa"/>
            <w:tcBorders>
              <w:top w:val="nil"/>
              <w:left w:val="single" w:sz="4" w:space="0" w:color="auto"/>
              <w:bottom w:val="single" w:sz="4" w:space="0" w:color="auto"/>
              <w:right w:val="single" w:sz="4" w:space="0" w:color="auto"/>
            </w:tcBorders>
            <w:textDirection w:val="lrTb"/>
            <w:vAlign w:val="bottom"/>
            <w:hideMark/>
          </w:tcPr>
          <w:p w:rsidR="00CB350B" w:rsidRPr="001D4A5A" w:rsidP="00257E12">
            <w:pPr>
              <w:bidi w:val="0"/>
              <w:rPr>
                <w:rFonts w:ascii="Times New Roman" w:hAnsi="Times New Roman"/>
                <w:sz w:val="14"/>
                <w:szCs w:val="14"/>
              </w:rPr>
            </w:pPr>
            <w:r w:rsidRPr="001D4A5A">
              <w:rPr>
                <w:rFonts w:ascii="Times New Roman" w:hAnsi="Times New Roman"/>
                <w:sz w:val="14"/>
                <w:szCs w:val="14"/>
              </w:rPr>
              <w:t>prostriedky EÚ</w:t>
            </w:r>
          </w:p>
        </w:tc>
        <w:tc>
          <w:tcPr>
            <w:tcW w:w="993" w:type="dxa"/>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10 834 559</w:t>
            </w:r>
          </w:p>
        </w:tc>
        <w:tc>
          <w:tcPr>
            <w:tcW w:w="993" w:type="dxa"/>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18 683 365</w:t>
            </w:r>
          </w:p>
        </w:tc>
        <w:tc>
          <w:tcPr>
            <w:tcW w:w="993" w:type="dxa"/>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114 750 000</w:t>
            </w:r>
          </w:p>
        </w:tc>
        <w:tc>
          <w:tcPr>
            <w:tcW w:w="993" w:type="dxa"/>
            <w:tcBorders>
              <w:top w:val="nil"/>
              <w:left w:val="nil"/>
              <w:bottom w:val="single" w:sz="4" w:space="0" w:color="auto"/>
              <w:right w:val="single" w:sz="4" w:space="0" w:color="auto"/>
            </w:tcBorders>
            <w:noWrap/>
            <w:textDirection w:val="lrTb"/>
            <w:vAlign w:val="bottom"/>
            <w:hideMark/>
          </w:tcPr>
          <w:p w:rsidR="00CB350B" w:rsidRPr="00CC26A3" w:rsidP="00257E12">
            <w:pPr>
              <w:bidi w:val="0"/>
              <w:jc w:val="right"/>
              <w:rPr>
                <w:rFonts w:ascii="Times New Roman" w:hAnsi="Times New Roman"/>
                <w:sz w:val="14"/>
                <w:szCs w:val="14"/>
              </w:rPr>
            </w:pPr>
            <w:r w:rsidRPr="00CC26A3">
              <w:rPr>
                <w:rFonts w:ascii="Times New Roman" w:hAnsi="Times New Roman"/>
                <w:sz w:val="14"/>
                <w:szCs w:val="14"/>
              </w:rPr>
              <w:t>65 700 576</w:t>
            </w:r>
          </w:p>
        </w:tc>
        <w:tc>
          <w:tcPr>
            <w:tcW w:w="993" w:type="dxa"/>
            <w:gridSpan w:val="2"/>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sz w:val="14"/>
                <w:szCs w:val="14"/>
              </w:rPr>
            </w:pPr>
            <w:r w:rsidRPr="00C74183">
              <w:rPr>
                <w:rFonts w:ascii="Times New Roman" w:hAnsi="Times New Roman"/>
                <w:sz w:val="14"/>
                <w:szCs w:val="14"/>
              </w:rPr>
              <w:t>89 558 502</w:t>
            </w:r>
          </w:p>
        </w:tc>
        <w:tc>
          <w:tcPr>
            <w:tcW w:w="993" w:type="dxa"/>
            <w:gridSpan w:val="2"/>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sz w:val="14"/>
                <w:szCs w:val="14"/>
              </w:rPr>
            </w:pPr>
            <w:r w:rsidRPr="00C74183">
              <w:rPr>
                <w:rFonts w:ascii="Times New Roman" w:hAnsi="Times New Roman"/>
                <w:sz w:val="14"/>
                <w:szCs w:val="14"/>
              </w:rPr>
              <w:t>17 875 650</w:t>
            </w:r>
          </w:p>
        </w:tc>
        <w:tc>
          <w:tcPr>
            <w:tcW w:w="994" w:type="dxa"/>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sz w:val="14"/>
                <w:szCs w:val="14"/>
              </w:rPr>
            </w:pPr>
            <w:r w:rsidRPr="00C74183">
              <w:rPr>
                <w:rFonts w:ascii="Times New Roman" w:hAnsi="Times New Roman"/>
                <w:sz w:val="14"/>
                <w:szCs w:val="14"/>
              </w:rPr>
              <w:t>8 008 081</w:t>
            </w:r>
          </w:p>
        </w:tc>
      </w:tr>
      <w:tr>
        <w:tblPrEx>
          <w:tblW w:w="9079" w:type="dxa"/>
          <w:tblInd w:w="70" w:type="dxa"/>
          <w:tblLayout w:type="fixed"/>
          <w:tblCellMar>
            <w:left w:w="70" w:type="dxa"/>
            <w:right w:w="70" w:type="dxa"/>
          </w:tblCellMar>
          <w:tblLook w:val="04A0"/>
        </w:tblPrEx>
        <w:trPr>
          <w:trHeight w:val="228"/>
        </w:trPr>
        <w:tc>
          <w:tcPr>
            <w:tcW w:w="2127" w:type="dxa"/>
            <w:tcBorders>
              <w:top w:val="nil"/>
              <w:left w:val="single" w:sz="4" w:space="0" w:color="auto"/>
              <w:bottom w:val="single" w:sz="4" w:space="0" w:color="auto"/>
              <w:right w:val="single" w:sz="4" w:space="0" w:color="auto"/>
            </w:tcBorders>
            <w:textDirection w:val="lrTb"/>
            <w:vAlign w:val="bottom"/>
            <w:hideMark/>
          </w:tcPr>
          <w:p w:rsidR="00CB350B" w:rsidRPr="001D4A5A" w:rsidP="00257E12">
            <w:pPr>
              <w:bidi w:val="0"/>
              <w:rPr>
                <w:rFonts w:ascii="Times New Roman" w:hAnsi="Times New Roman"/>
                <w:sz w:val="14"/>
                <w:szCs w:val="14"/>
              </w:rPr>
            </w:pPr>
            <w:r w:rsidRPr="001D4A5A">
              <w:rPr>
                <w:rFonts w:ascii="Times New Roman" w:hAnsi="Times New Roman"/>
                <w:sz w:val="14"/>
                <w:szCs w:val="14"/>
              </w:rPr>
              <w:t>spolufinancovanie k zdrojom EÚ</w:t>
            </w:r>
          </w:p>
        </w:tc>
        <w:tc>
          <w:tcPr>
            <w:tcW w:w="993" w:type="dxa"/>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1 874 650</w:t>
            </w:r>
          </w:p>
        </w:tc>
        <w:tc>
          <w:tcPr>
            <w:tcW w:w="993" w:type="dxa"/>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3 297 081</w:t>
            </w:r>
          </w:p>
        </w:tc>
        <w:tc>
          <w:tcPr>
            <w:tcW w:w="993" w:type="dxa"/>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20 250 000</w:t>
            </w:r>
          </w:p>
        </w:tc>
        <w:tc>
          <w:tcPr>
            <w:tcW w:w="993" w:type="dxa"/>
            <w:tcBorders>
              <w:top w:val="nil"/>
              <w:left w:val="nil"/>
              <w:bottom w:val="single" w:sz="4" w:space="0" w:color="auto"/>
              <w:right w:val="single" w:sz="4" w:space="0" w:color="auto"/>
            </w:tcBorders>
            <w:noWrap/>
            <w:textDirection w:val="lrTb"/>
            <w:vAlign w:val="bottom"/>
            <w:hideMark/>
          </w:tcPr>
          <w:p w:rsidR="00CB350B" w:rsidRPr="00CC26A3" w:rsidP="00257E12">
            <w:pPr>
              <w:bidi w:val="0"/>
              <w:jc w:val="right"/>
              <w:rPr>
                <w:rFonts w:ascii="Times New Roman" w:hAnsi="Times New Roman"/>
                <w:sz w:val="14"/>
                <w:szCs w:val="14"/>
              </w:rPr>
            </w:pPr>
            <w:r w:rsidRPr="00CC26A3">
              <w:rPr>
                <w:rFonts w:ascii="Times New Roman" w:hAnsi="Times New Roman"/>
                <w:sz w:val="14"/>
                <w:szCs w:val="14"/>
              </w:rPr>
              <w:t>12 504 814</w:t>
            </w:r>
          </w:p>
        </w:tc>
        <w:tc>
          <w:tcPr>
            <w:tcW w:w="993" w:type="dxa"/>
            <w:gridSpan w:val="2"/>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sz w:val="14"/>
                <w:szCs w:val="14"/>
              </w:rPr>
            </w:pPr>
            <w:r w:rsidRPr="00C74183">
              <w:rPr>
                <w:rFonts w:ascii="Times New Roman" w:hAnsi="Times New Roman"/>
                <w:sz w:val="14"/>
                <w:szCs w:val="14"/>
              </w:rPr>
              <w:t>15 838 230</w:t>
            </w:r>
          </w:p>
        </w:tc>
        <w:tc>
          <w:tcPr>
            <w:tcW w:w="993" w:type="dxa"/>
            <w:gridSpan w:val="2"/>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sz w:val="14"/>
                <w:szCs w:val="14"/>
              </w:rPr>
            </w:pPr>
            <w:r w:rsidRPr="00C74183">
              <w:rPr>
                <w:rFonts w:ascii="Times New Roman" w:hAnsi="Times New Roman"/>
                <w:sz w:val="14"/>
                <w:szCs w:val="14"/>
              </w:rPr>
              <w:t>3 166 047</w:t>
            </w:r>
          </w:p>
        </w:tc>
        <w:tc>
          <w:tcPr>
            <w:tcW w:w="994" w:type="dxa"/>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sz w:val="14"/>
                <w:szCs w:val="14"/>
              </w:rPr>
            </w:pPr>
            <w:r w:rsidRPr="00C74183">
              <w:rPr>
                <w:rFonts w:ascii="Times New Roman" w:hAnsi="Times New Roman"/>
                <w:sz w:val="14"/>
                <w:szCs w:val="14"/>
              </w:rPr>
              <w:t>1 423 005</w:t>
            </w:r>
          </w:p>
        </w:tc>
      </w:tr>
      <w:tr>
        <w:tblPrEx>
          <w:tblW w:w="9079" w:type="dxa"/>
          <w:tblInd w:w="70" w:type="dxa"/>
          <w:tblLayout w:type="fixed"/>
          <w:tblCellMar>
            <w:left w:w="70" w:type="dxa"/>
            <w:right w:w="70" w:type="dxa"/>
          </w:tblCellMar>
          <w:tblLook w:val="04A0"/>
        </w:tblPrEx>
        <w:trPr>
          <w:trHeight w:val="228"/>
        </w:trPr>
        <w:tc>
          <w:tcPr>
            <w:tcW w:w="2127" w:type="dxa"/>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sz w:val="14"/>
                <w:szCs w:val="14"/>
              </w:rPr>
            </w:pPr>
            <w:r w:rsidRPr="001D4A5A">
              <w:rPr>
                <w:rFonts w:ascii="Times New Roman" w:hAnsi="Times New Roman"/>
                <w:sz w:val="14"/>
                <w:szCs w:val="14"/>
              </w:rPr>
              <w:t>presun z minulých rokov</w:t>
            </w:r>
          </w:p>
        </w:tc>
        <w:tc>
          <w:tcPr>
            <w:tcW w:w="993" w:type="dxa"/>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10 239 949</w:t>
            </w:r>
          </w:p>
        </w:tc>
        <w:tc>
          <w:tcPr>
            <w:tcW w:w="993" w:type="dxa"/>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32 982 197</w:t>
            </w:r>
          </w:p>
        </w:tc>
        <w:tc>
          <w:tcPr>
            <w:tcW w:w="993" w:type="dxa"/>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c>
          <w:tcPr>
            <w:tcW w:w="993" w:type="dxa"/>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sz w:val="14"/>
                <w:szCs w:val="14"/>
              </w:rPr>
            </w:pPr>
            <w:r w:rsidRPr="00C74183">
              <w:rPr>
                <w:rFonts w:ascii="Times New Roman" w:hAnsi="Times New Roman"/>
                <w:sz w:val="14"/>
                <w:szCs w:val="14"/>
              </w:rPr>
              <w:t>1 477 710</w:t>
            </w:r>
          </w:p>
        </w:tc>
        <w:tc>
          <w:tcPr>
            <w:tcW w:w="993" w:type="dxa"/>
            <w:gridSpan w:val="2"/>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sz w:val="14"/>
                <w:szCs w:val="14"/>
              </w:rPr>
            </w:pPr>
            <w:r w:rsidRPr="00C74183">
              <w:rPr>
                <w:rFonts w:ascii="Times New Roman" w:hAnsi="Times New Roman"/>
                <w:sz w:val="14"/>
                <w:szCs w:val="14"/>
              </w:rPr>
              <w:t>0</w:t>
            </w:r>
          </w:p>
        </w:tc>
        <w:tc>
          <w:tcPr>
            <w:tcW w:w="993" w:type="dxa"/>
            <w:gridSpan w:val="2"/>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sz w:val="14"/>
                <w:szCs w:val="14"/>
              </w:rPr>
            </w:pPr>
            <w:r w:rsidRPr="00C74183">
              <w:rPr>
                <w:rFonts w:ascii="Times New Roman" w:hAnsi="Times New Roman"/>
                <w:sz w:val="14"/>
                <w:szCs w:val="14"/>
              </w:rPr>
              <w:t>0</w:t>
            </w:r>
          </w:p>
        </w:tc>
        <w:tc>
          <w:tcPr>
            <w:tcW w:w="994" w:type="dxa"/>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sz w:val="14"/>
                <w:szCs w:val="14"/>
              </w:rPr>
            </w:pPr>
            <w:r w:rsidRPr="00C74183">
              <w:rPr>
                <w:rFonts w:ascii="Times New Roman" w:hAnsi="Times New Roman"/>
                <w:sz w:val="14"/>
                <w:szCs w:val="14"/>
              </w:rPr>
              <w:t>0</w:t>
            </w:r>
          </w:p>
        </w:tc>
      </w:tr>
      <w:tr>
        <w:tblPrEx>
          <w:tblW w:w="9079" w:type="dxa"/>
          <w:tblInd w:w="70" w:type="dxa"/>
          <w:tblLayout w:type="fixed"/>
          <w:tblCellMar>
            <w:left w:w="70" w:type="dxa"/>
            <w:right w:w="70" w:type="dxa"/>
          </w:tblCellMar>
          <w:tblLook w:val="04A0"/>
        </w:tblPrEx>
        <w:trPr>
          <w:trHeight w:val="228"/>
        </w:trPr>
        <w:tc>
          <w:tcPr>
            <w:tcW w:w="2127" w:type="dxa"/>
            <w:tcBorders>
              <w:top w:val="nil"/>
              <w:left w:val="single" w:sz="4" w:space="0" w:color="auto"/>
              <w:bottom w:val="single" w:sz="4" w:space="0" w:color="auto"/>
              <w:right w:val="single" w:sz="4" w:space="0" w:color="auto"/>
            </w:tcBorders>
            <w:textDirection w:val="lrTb"/>
            <w:vAlign w:val="bottom"/>
            <w:hideMark/>
          </w:tcPr>
          <w:p w:rsidR="00CB350B" w:rsidRPr="001D4A5A" w:rsidP="00257E12">
            <w:pPr>
              <w:bidi w:val="0"/>
              <w:rPr>
                <w:rFonts w:ascii="Times New Roman" w:hAnsi="Times New Roman"/>
                <w:sz w:val="14"/>
                <w:szCs w:val="14"/>
              </w:rPr>
            </w:pPr>
            <w:r w:rsidRPr="001D4A5A">
              <w:rPr>
                <w:rFonts w:ascii="Times New Roman" w:hAnsi="Times New Roman"/>
                <w:sz w:val="14"/>
                <w:szCs w:val="14"/>
              </w:rPr>
              <w:t>iné zdroje*</w:t>
            </w:r>
          </w:p>
        </w:tc>
        <w:tc>
          <w:tcPr>
            <w:tcW w:w="993" w:type="dxa"/>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278 599</w:t>
            </w:r>
          </w:p>
        </w:tc>
        <w:tc>
          <w:tcPr>
            <w:tcW w:w="993" w:type="dxa"/>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167 563</w:t>
            </w:r>
          </w:p>
        </w:tc>
        <w:tc>
          <w:tcPr>
            <w:tcW w:w="993" w:type="dxa"/>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43 650</w:t>
            </w:r>
          </w:p>
        </w:tc>
        <w:tc>
          <w:tcPr>
            <w:tcW w:w="993" w:type="dxa"/>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sz w:val="14"/>
                <w:szCs w:val="14"/>
              </w:rPr>
            </w:pPr>
            <w:r w:rsidRPr="00C74183">
              <w:rPr>
                <w:rFonts w:ascii="Times New Roman" w:hAnsi="Times New Roman"/>
                <w:sz w:val="14"/>
                <w:szCs w:val="14"/>
              </w:rPr>
              <w:t>74 832</w:t>
            </w:r>
          </w:p>
        </w:tc>
        <w:tc>
          <w:tcPr>
            <w:tcW w:w="993" w:type="dxa"/>
            <w:gridSpan w:val="2"/>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sz w:val="14"/>
                <w:szCs w:val="14"/>
              </w:rPr>
            </w:pPr>
            <w:r w:rsidRPr="00C74183">
              <w:rPr>
                <w:rFonts w:ascii="Times New Roman" w:hAnsi="Times New Roman"/>
                <w:sz w:val="14"/>
                <w:szCs w:val="14"/>
              </w:rPr>
              <w:t>0</w:t>
            </w:r>
          </w:p>
        </w:tc>
        <w:tc>
          <w:tcPr>
            <w:tcW w:w="993" w:type="dxa"/>
            <w:gridSpan w:val="2"/>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sz w:val="14"/>
                <w:szCs w:val="14"/>
              </w:rPr>
            </w:pPr>
            <w:r w:rsidRPr="00C74183">
              <w:rPr>
                <w:rFonts w:ascii="Times New Roman" w:hAnsi="Times New Roman"/>
                <w:sz w:val="14"/>
                <w:szCs w:val="14"/>
              </w:rPr>
              <w:t>0</w:t>
            </w:r>
          </w:p>
        </w:tc>
        <w:tc>
          <w:tcPr>
            <w:tcW w:w="994" w:type="dxa"/>
            <w:tcBorders>
              <w:top w:val="nil"/>
              <w:left w:val="nil"/>
              <w:bottom w:val="single" w:sz="4" w:space="0" w:color="auto"/>
              <w:right w:val="single" w:sz="4" w:space="0" w:color="auto"/>
            </w:tcBorders>
            <w:noWrap/>
            <w:textDirection w:val="lrTb"/>
            <w:vAlign w:val="bottom"/>
            <w:hideMark/>
          </w:tcPr>
          <w:p w:rsidR="00CB350B" w:rsidRPr="00C74183" w:rsidP="00257E12">
            <w:pPr>
              <w:bidi w:val="0"/>
              <w:jc w:val="right"/>
              <w:rPr>
                <w:rFonts w:ascii="Times New Roman" w:hAnsi="Times New Roman"/>
                <w:sz w:val="14"/>
                <w:szCs w:val="14"/>
              </w:rPr>
            </w:pPr>
            <w:r w:rsidRPr="00C74183">
              <w:rPr>
                <w:rFonts w:ascii="Times New Roman" w:hAnsi="Times New Roman"/>
                <w:sz w:val="14"/>
                <w:szCs w:val="14"/>
              </w:rPr>
              <w:t>0</w:t>
            </w:r>
          </w:p>
        </w:tc>
      </w:tr>
      <w:tr>
        <w:tblPrEx>
          <w:tblW w:w="9079" w:type="dxa"/>
          <w:tblInd w:w="70" w:type="dxa"/>
          <w:tblLayout w:type="fixed"/>
          <w:tblCellMar>
            <w:left w:w="70" w:type="dxa"/>
            <w:right w:w="70" w:type="dxa"/>
          </w:tblCellMar>
          <w:tblLook w:val="04A0"/>
        </w:tblPrEx>
        <w:trPr>
          <w:gridAfter w:val="2"/>
          <w:wAfter w:w="1329" w:type="dxa"/>
          <w:trHeight w:val="225"/>
        </w:trPr>
        <w:tc>
          <w:tcPr>
            <w:tcW w:w="6523" w:type="dxa"/>
            <w:gridSpan w:val="6"/>
            <w:tcBorders>
              <w:top w:val="nil"/>
              <w:left w:val="nil"/>
              <w:bottom w:val="nil"/>
              <w:right w:val="nil"/>
            </w:tcBorders>
            <w:noWrap/>
            <w:textDirection w:val="lrTb"/>
            <w:vAlign w:val="bottom"/>
            <w:hideMark/>
          </w:tcPr>
          <w:p w:rsidR="00CB350B" w:rsidRPr="00E167C4" w:rsidP="00257E12">
            <w:pPr>
              <w:bidi w:val="0"/>
              <w:rPr>
                <w:rFonts w:ascii="Times New Roman" w:hAnsi="Times New Roman"/>
                <w:sz w:val="14"/>
                <w:szCs w:val="14"/>
              </w:rPr>
            </w:pPr>
            <w:r w:rsidRPr="00E167C4">
              <w:rPr>
                <w:rFonts w:ascii="Times New Roman" w:hAnsi="Times New Roman"/>
                <w:sz w:val="14"/>
                <w:szCs w:val="14"/>
              </w:rPr>
              <w:t>*iné zdroje: Nórsky finančný mechanizmus, Finančný mechanizmus EHP, mimorozpočtové zdroje</w:t>
            </w:r>
          </w:p>
        </w:tc>
        <w:tc>
          <w:tcPr>
            <w:tcW w:w="1227" w:type="dxa"/>
            <w:gridSpan w:val="2"/>
            <w:tcBorders>
              <w:top w:val="nil"/>
              <w:left w:val="nil"/>
              <w:bottom w:val="nil"/>
              <w:right w:val="nil"/>
            </w:tcBorders>
            <w:noWrap/>
            <w:textDirection w:val="lrTb"/>
            <w:vAlign w:val="bottom"/>
            <w:hideMark/>
          </w:tcPr>
          <w:p w:rsidR="00CB350B" w:rsidRPr="00E167C4" w:rsidP="00257E12">
            <w:pPr>
              <w:bidi w:val="0"/>
              <w:rPr>
                <w:rFonts w:ascii="Times New Roman" w:hAnsi="Times New Roman"/>
                <w:sz w:val="14"/>
                <w:szCs w:val="14"/>
              </w:rPr>
            </w:pPr>
          </w:p>
        </w:tc>
      </w:tr>
    </w:tbl>
    <w:p w:rsidR="00CB350B" w:rsidRPr="00432A91" w:rsidP="00CB350B">
      <w:pPr>
        <w:bidi w:val="0"/>
        <w:jc w:val="both"/>
        <w:rPr>
          <w:rFonts w:ascii="Times New Roman" w:hAnsi="Times New Roman"/>
          <w:b/>
          <w:bCs/>
        </w:rPr>
      </w:pPr>
    </w:p>
    <w:p w:rsidR="00CB350B" w:rsidP="00CB350B">
      <w:pPr>
        <w:bidi w:val="0"/>
        <w:ind w:firstLine="708"/>
        <w:jc w:val="both"/>
        <w:rPr>
          <w:rFonts w:ascii="Times New Roman" w:hAnsi="Times New Roman"/>
        </w:rPr>
      </w:pPr>
      <w:r w:rsidRPr="00B065C7">
        <w:rPr>
          <w:rFonts w:ascii="Times New Roman" w:hAnsi="Times New Roman"/>
        </w:rPr>
        <w:t xml:space="preserve">Poistné platené štátom na verejné zdravotné poistenie  je určené pre zákonom vymedzené kategórie osôb. Platba na jedného poistenca na mesiac </w:t>
      </w:r>
      <w:r>
        <w:rPr>
          <w:rFonts w:ascii="Times New Roman" w:hAnsi="Times New Roman"/>
        </w:rPr>
        <w:t>rastie</w:t>
      </w:r>
      <w:r w:rsidRPr="00B065C7">
        <w:rPr>
          <w:rFonts w:ascii="Times New Roman" w:hAnsi="Times New Roman"/>
        </w:rPr>
        <w:t xml:space="preserve"> na rok 2012 </w:t>
      </w:r>
      <w:r>
        <w:rPr>
          <w:rFonts w:ascii="Times New Roman" w:hAnsi="Times New Roman"/>
        </w:rPr>
        <w:t>o </w:t>
        <w:br/>
        <w:t xml:space="preserve">8,99 % oproti  </w:t>
      </w:r>
      <w:r w:rsidRPr="00B065C7">
        <w:rPr>
          <w:rFonts w:ascii="Times New Roman" w:hAnsi="Times New Roman"/>
        </w:rPr>
        <w:t>schválenému rozpočtu roku 2011</w:t>
      </w:r>
      <w:r>
        <w:rPr>
          <w:rFonts w:ascii="Times New Roman" w:hAnsi="Times New Roman"/>
        </w:rPr>
        <w:t>, a to na úroveň</w:t>
      </w:r>
      <w:r w:rsidRPr="00B065C7">
        <w:rPr>
          <w:rFonts w:ascii="Times New Roman" w:hAnsi="Times New Roman"/>
        </w:rPr>
        <w:t xml:space="preserve"> </w:t>
      </w:r>
      <w:r>
        <w:rPr>
          <w:rFonts w:ascii="Times New Roman" w:hAnsi="Times New Roman"/>
        </w:rPr>
        <w:t>35,05</w:t>
      </w:r>
      <w:r w:rsidRPr="008D207F">
        <w:rPr>
          <w:rFonts w:ascii="Times New Roman" w:hAnsi="Times New Roman"/>
        </w:rPr>
        <w:t xml:space="preserve"> e</w:t>
      </w:r>
      <w:r>
        <w:rPr>
          <w:rFonts w:ascii="Times New Roman" w:hAnsi="Times New Roman"/>
        </w:rPr>
        <w:t>ur.</w:t>
      </w:r>
      <w:r w:rsidRPr="008D207F">
        <w:rPr>
          <w:rFonts w:ascii="Times New Roman" w:hAnsi="Times New Roman"/>
        </w:rPr>
        <w:t xml:space="preserve"> </w:t>
      </w:r>
      <w:r w:rsidRPr="00B065C7">
        <w:rPr>
          <w:rFonts w:ascii="Times New Roman" w:hAnsi="Times New Roman"/>
        </w:rPr>
        <w:t>Medziročný nárast preddavkov na poistné platené št</w:t>
      </w:r>
      <w:r>
        <w:rPr>
          <w:rFonts w:ascii="Times New Roman" w:hAnsi="Times New Roman"/>
        </w:rPr>
        <w:t>átom predstavuje v roku 2012 11,1</w:t>
      </w:r>
      <w:r w:rsidRPr="00B065C7">
        <w:rPr>
          <w:rFonts w:ascii="Times New Roman" w:hAnsi="Times New Roman"/>
        </w:rPr>
        <w:t xml:space="preserve"> %. </w:t>
      </w:r>
      <w:r>
        <w:rPr>
          <w:rFonts w:ascii="Times New Roman" w:hAnsi="Times New Roman"/>
        </w:rPr>
        <w:t xml:space="preserve">Počet poistencov štátu na rozpočtové obdobie 2012 až 2014 sa po zrušení duplicitnej evidencie poistencov platnej od januára 2011 očakáva na úrovni 3 162 306.  </w:t>
      </w:r>
    </w:p>
    <w:p w:rsidR="00CB350B" w:rsidP="00CB350B">
      <w:pPr>
        <w:bidi w:val="0"/>
        <w:ind w:firstLine="708"/>
        <w:jc w:val="both"/>
        <w:rPr>
          <w:rFonts w:ascii="Times New Roman" w:hAnsi="Times New Roman"/>
        </w:rPr>
      </w:pPr>
    </w:p>
    <w:tbl>
      <w:tblPr>
        <w:tblStyle w:val="TableNormal"/>
        <w:tblW w:w="9077" w:type="dxa"/>
        <w:tblInd w:w="65" w:type="dxa"/>
        <w:tblCellMar>
          <w:left w:w="70" w:type="dxa"/>
          <w:right w:w="70" w:type="dxa"/>
        </w:tblCellMar>
        <w:tblLook w:val="04A0"/>
      </w:tblPr>
      <w:tblGrid>
        <w:gridCol w:w="1990"/>
        <w:gridCol w:w="1015"/>
        <w:gridCol w:w="1015"/>
        <w:gridCol w:w="1015"/>
        <w:gridCol w:w="1015"/>
        <w:gridCol w:w="1015"/>
        <w:gridCol w:w="1015"/>
        <w:gridCol w:w="997"/>
      </w:tblGrid>
      <w:tr>
        <w:tblPrEx>
          <w:tblW w:w="9077" w:type="dxa"/>
          <w:tblInd w:w="65" w:type="dxa"/>
          <w:tblCellMar>
            <w:left w:w="70" w:type="dxa"/>
            <w:right w:w="70" w:type="dxa"/>
          </w:tblCellMar>
          <w:tblLook w:val="04A0"/>
        </w:tblPrEx>
        <w:trPr>
          <w:trHeight w:val="225"/>
        </w:trPr>
        <w:tc>
          <w:tcPr>
            <w:tcW w:w="1990"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6C181F" w:rsidP="00257E12">
            <w:pPr>
              <w:bidi w:val="0"/>
              <w:rPr>
                <w:rFonts w:ascii="Times New Roman" w:hAnsi="Times New Roman"/>
                <w:b/>
                <w:bCs/>
                <w:sz w:val="14"/>
                <w:szCs w:val="14"/>
                <w:lang w:eastAsia="sk-SK"/>
              </w:rPr>
            </w:pPr>
            <w:r w:rsidRPr="006C181F">
              <w:rPr>
                <w:rFonts w:ascii="Times New Roman" w:hAnsi="Times New Roman"/>
                <w:b/>
                <w:bCs/>
                <w:sz w:val="14"/>
                <w:szCs w:val="14"/>
                <w:lang w:eastAsia="sk-SK"/>
              </w:rPr>
              <w:t> v eurách</w:t>
            </w:r>
          </w:p>
        </w:tc>
        <w:tc>
          <w:tcPr>
            <w:tcW w:w="1015" w:type="dxa"/>
            <w:tcBorders>
              <w:top w:val="single" w:sz="4" w:space="0" w:color="auto"/>
              <w:left w:val="nil"/>
              <w:bottom w:val="single" w:sz="4" w:space="0" w:color="auto"/>
              <w:right w:val="single" w:sz="4" w:space="0" w:color="auto"/>
            </w:tcBorders>
            <w:noWrap/>
            <w:textDirection w:val="lrTb"/>
            <w:vAlign w:val="bottom"/>
            <w:hideMark/>
          </w:tcPr>
          <w:p w:rsidR="00CB350B" w:rsidRPr="006C181F" w:rsidP="00257E12">
            <w:pPr>
              <w:bidi w:val="0"/>
              <w:jc w:val="center"/>
              <w:rPr>
                <w:rFonts w:ascii="Times New Roman" w:hAnsi="Times New Roman"/>
                <w:b/>
                <w:bCs/>
                <w:sz w:val="14"/>
                <w:szCs w:val="14"/>
                <w:lang w:eastAsia="sk-SK"/>
              </w:rPr>
            </w:pPr>
            <w:r w:rsidRPr="006C181F">
              <w:rPr>
                <w:rFonts w:ascii="Times New Roman" w:hAnsi="Times New Roman"/>
                <w:b/>
                <w:bCs/>
                <w:sz w:val="14"/>
                <w:szCs w:val="14"/>
                <w:lang w:eastAsia="sk-SK"/>
              </w:rPr>
              <w:t>2009 S</w:t>
            </w:r>
          </w:p>
        </w:tc>
        <w:tc>
          <w:tcPr>
            <w:tcW w:w="1015" w:type="dxa"/>
            <w:tcBorders>
              <w:top w:val="single" w:sz="4" w:space="0" w:color="auto"/>
              <w:left w:val="nil"/>
              <w:bottom w:val="single" w:sz="4" w:space="0" w:color="auto"/>
              <w:right w:val="single" w:sz="4" w:space="0" w:color="auto"/>
            </w:tcBorders>
            <w:noWrap/>
            <w:textDirection w:val="lrTb"/>
            <w:vAlign w:val="bottom"/>
            <w:hideMark/>
          </w:tcPr>
          <w:p w:rsidR="00CB350B" w:rsidRPr="006C181F" w:rsidP="00257E12">
            <w:pPr>
              <w:bidi w:val="0"/>
              <w:jc w:val="center"/>
              <w:rPr>
                <w:rFonts w:ascii="Times New Roman" w:hAnsi="Times New Roman"/>
                <w:b/>
                <w:bCs/>
                <w:sz w:val="14"/>
                <w:szCs w:val="14"/>
                <w:lang w:eastAsia="sk-SK"/>
              </w:rPr>
            </w:pPr>
            <w:r w:rsidRPr="006C181F">
              <w:rPr>
                <w:rFonts w:ascii="Times New Roman" w:hAnsi="Times New Roman"/>
                <w:b/>
                <w:bCs/>
                <w:sz w:val="14"/>
                <w:szCs w:val="14"/>
                <w:lang w:eastAsia="sk-SK"/>
              </w:rPr>
              <w:t>2010 R</w:t>
            </w:r>
          </w:p>
        </w:tc>
        <w:tc>
          <w:tcPr>
            <w:tcW w:w="1015" w:type="dxa"/>
            <w:tcBorders>
              <w:top w:val="single" w:sz="4" w:space="0" w:color="auto"/>
              <w:left w:val="nil"/>
              <w:bottom w:val="single" w:sz="4" w:space="0" w:color="auto"/>
              <w:right w:val="single" w:sz="4" w:space="0" w:color="auto"/>
            </w:tcBorders>
            <w:noWrap/>
            <w:textDirection w:val="lrTb"/>
            <w:vAlign w:val="bottom"/>
            <w:hideMark/>
          </w:tcPr>
          <w:p w:rsidR="00CB350B" w:rsidRPr="006C181F" w:rsidP="00257E12">
            <w:pPr>
              <w:bidi w:val="0"/>
              <w:jc w:val="center"/>
              <w:rPr>
                <w:rFonts w:ascii="Times New Roman" w:hAnsi="Times New Roman"/>
                <w:b/>
                <w:bCs/>
                <w:sz w:val="14"/>
                <w:szCs w:val="14"/>
                <w:lang w:eastAsia="sk-SK"/>
              </w:rPr>
            </w:pPr>
            <w:r w:rsidRPr="006C181F">
              <w:rPr>
                <w:rFonts w:ascii="Times New Roman" w:hAnsi="Times New Roman"/>
                <w:b/>
                <w:bCs/>
                <w:sz w:val="14"/>
                <w:szCs w:val="14"/>
                <w:lang w:eastAsia="sk-SK"/>
              </w:rPr>
              <w:t>2011 R</w:t>
            </w:r>
          </w:p>
        </w:tc>
        <w:tc>
          <w:tcPr>
            <w:tcW w:w="1015" w:type="dxa"/>
            <w:tcBorders>
              <w:top w:val="single" w:sz="4" w:space="0" w:color="auto"/>
              <w:left w:val="nil"/>
              <w:bottom w:val="single" w:sz="4" w:space="0" w:color="auto"/>
              <w:right w:val="single" w:sz="4" w:space="0" w:color="auto"/>
            </w:tcBorders>
            <w:noWrap/>
            <w:textDirection w:val="lrTb"/>
            <w:vAlign w:val="bottom"/>
            <w:hideMark/>
          </w:tcPr>
          <w:p w:rsidR="00CB350B" w:rsidRPr="006C181F" w:rsidP="00257E12">
            <w:pPr>
              <w:bidi w:val="0"/>
              <w:jc w:val="center"/>
              <w:rPr>
                <w:rFonts w:ascii="Times New Roman" w:hAnsi="Times New Roman"/>
                <w:b/>
                <w:bCs/>
                <w:sz w:val="14"/>
                <w:szCs w:val="14"/>
                <w:lang w:eastAsia="sk-SK"/>
              </w:rPr>
            </w:pPr>
            <w:r w:rsidRPr="006C181F">
              <w:rPr>
                <w:rFonts w:ascii="Times New Roman" w:hAnsi="Times New Roman"/>
                <w:b/>
                <w:bCs/>
                <w:sz w:val="14"/>
                <w:szCs w:val="14"/>
                <w:lang w:eastAsia="sk-SK"/>
              </w:rPr>
              <w:t>2011 OS</w:t>
            </w:r>
          </w:p>
        </w:tc>
        <w:tc>
          <w:tcPr>
            <w:tcW w:w="1015" w:type="dxa"/>
            <w:tcBorders>
              <w:top w:val="single" w:sz="4" w:space="0" w:color="auto"/>
              <w:left w:val="nil"/>
              <w:bottom w:val="single" w:sz="4" w:space="0" w:color="auto"/>
              <w:right w:val="single" w:sz="4" w:space="0" w:color="auto"/>
            </w:tcBorders>
            <w:noWrap/>
            <w:textDirection w:val="lrTb"/>
            <w:vAlign w:val="bottom"/>
            <w:hideMark/>
          </w:tcPr>
          <w:p w:rsidR="00CB350B" w:rsidRPr="006C181F" w:rsidP="00257E12">
            <w:pPr>
              <w:bidi w:val="0"/>
              <w:jc w:val="center"/>
              <w:rPr>
                <w:rFonts w:ascii="Times New Roman" w:hAnsi="Times New Roman"/>
                <w:b/>
                <w:bCs/>
                <w:sz w:val="14"/>
                <w:szCs w:val="14"/>
                <w:lang w:eastAsia="sk-SK"/>
              </w:rPr>
            </w:pPr>
            <w:r w:rsidRPr="006C181F">
              <w:rPr>
                <w:rFonts w:ascii="Times New Roman" w:hAnsi="Times New Roman"/>
                <w:b/>
                <w:bCs/>
                <w:sz w:val="14"/>
                <w:szCs w:val="14"/>
                <w:lang w:eastAsia="sk-SK"/>
              </w:rPr>
              <w:t>2012 N</w:t>
            </w:r>
          </w:p>
        </w:tc>
        <w:tc>
          <w:tcPr>
            <w:tcW w:w="1015" w:type="dxa"/>
            <w:tcBorders>
              <w:top w:val="single" w:sz="4" w:space="0" w:color="auto"/>
              <w:left w:val="nil"/>
              <w:bottom w:val="single" w:sz="4" w:space="0" w:color="auto"/>
              <w:right w:val="single" w:sz="4" w:space="0" w:color="auto"/>
            </w:tcBorders>
            <w:noWrap/>
            <w:textDirection w:val="lrTb"/>
            <w:vAlign w:val="bottom"/>
            <w:hideMark/>
          </w:tcPr>
          <w:p w:rsidR="00CB350B" w:rsidRPr="006C181F" w:rsidP="00257E12">
            <w:pPr>
              <w:bidi w:val="0"/>
              <w:jc w:val="center"/>
              <w:rPr>
                <w:rFonts w:ascii="Times New Roman" w:hAnsi="Times New Roman"/>
                <w:b/>
                <w:bCs/>
                <w:sz w:val="14"/>
                <w:szCs w:val="14"/>
                <w:lang w:eastAsia="sk-SK"/>
              </w:rPr>
            </w:pPr>
            <w:r w:rsidRPr="006C181F">
              <w:rPr>
                <w:rFonts w:ascii="Times New Roman" w:hAnsi="Times New Roman"/>
                <w:b/>
                <w:bCs/>
                <w:sz w:val="14"/>
                <w:szCs w:val="14"/>
                <w:lang w:eastAsia="sk-SK"/>
              </w:rPr>
              <w:t>2013 N</w:t>
            </w:r>
          </w:p>
        </w:tc>
        <w:tc>
          <w:tcPr>
            <w:tcW w:w="997" w:type="dxa"/>
            <w:tcBorders>
              <w:top w:val="single" w:sz="4" w:space="0" w:color="auto"/>
              <w:left w:val="nil"/>
              <w:bottom w:val="single" w:sz="4" w:space="0" w:color="auto"/>
              <w:right w:val="single" w:sz="4" w:space="0" w:color="auto"/>
            </w:tcBorders>
            <w:noWrap/>
            <w:textDirection w:val="lrTb"/>
            <w:vAlign w:val="bottom"/>
            <w:hideMark/>
          </w:tcPr>
          <w:p w:rsidR="00CB350B" w:rsidRPr="006C181F" w:rsidP="00257E12">
            <w:pPr>
              <w:bidi w:val="0"/>
              <w:jc w:val="center"/>
              <w:rPr>
                <w:rFonts w:ascii="Times New Roman" w:hAnsi="Times New Roman"/>
                <w:b/>
                <w:bCs/>
                <w:sz w:val="14"/>
                <w:szCs w:val="14"/>
                <w:lang w:eastAsia="sk-SK"/>
              </w:rPr>
            </w:pPr>
            <w:r w:rsidRPr="006C181F">
              <w:rPr>
                <w:rFonts w:ascii="Times New Roman" w:hAnsi="Times New Roman"/>
                <w:b/>
                <w:bCs/>
                <w:sz w:val="14"/>
                <w:szCs w:val="14"/>
                <w:lang w:eastAsia="sk-SK"/>
              </w:rPr>
              <w:t>2014 N</w:t>
            </w:r>
          </w:p>
        </w:tc>
      </w:tr>
      <w:tr>
        <w:tblPrEx>
          <w:tblW w:w="9077" w:type="dxa"/>
          <w:tblInd w:w="65" w:type="dxa"/>
          <w:tblCellMar>
            <w:left w:w="70" w:type="dxa"/>
            <w:right w:w="70" w:type="dxa"/>
          </w:tblCellMar>
          <w:tblLook w:val="04A0"/>
        </w:tblPrEx>
        <w:trPr>
          <w:trHeight w:hRule="exact" w:val="340"/>
        </w:trPr>
        <w:tc>
          <w:tcPr>
            <w:tcW w:w="1990" w:type="dxa"/>
            <w:tcBorders>
              <w:top w:val="nil"/>
              <w:left w:val="single" w:sz="4" w:space="0" w:color="auto"/>
              <w:bottom w:val="single" w:sz="4" w:space="0" w:color="auto"/>
              <w:right w:val="single" w:sz="4" w:space="0" w:color="auto"/>
            </w:tcBorders>
            <w:noWrap/>
            <w:textDirection w:val="lrTb"/>
            <w:vAlign w:val="bottom"/>
            <w:hideMark/>
          </w:tcPr>
          <w:p w:rsidR="00CB350B" w:rsidRPr="006C181F" w:rsidP="00257E12">
            <w:pPr>
              <w:bidi w:val="0"/>
              <w:rPr>
                <w:rFonts w:ascii="Times New Roman" w:hAnsi="Times New Roman"/>
                <w:b/>
                <w:bCs/>
                <w:sz w:val="14"/>
                <w:szCs w:val="14"/>
                <w:lang w:eastAsia="sk-SK"/>
              </w:rPr>
            </w:pPr>
            <w:r w:rsidRPr="006C181F">
              <w:rPr>
                <w:rFonts w:ascii="Times New Roman" w:hAnsi="Times New Roman"/>
                <w:b/>
                <w:bCs/>
                <w:sz w:val="14"/>
                <w:szCs w:val="14"/>
                <w:lang w:eastAsia="sk-SK"/>
              </w:rPr>
              <w:t>Poistné platené štátom na verejné zdravotné poistenie</w:t>
            </w:r>
          </w:p>
        </w:tc>
        <w:tc>
          <w:tcPr>
            <w:tcW w:w="1015"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b/>
                <w:bCs/>
                <w:sz w:val="14"/>
                <w:szCs w:val="14"/>
                <w:lang w:eastAsia="sk-SK"/>
              </w:rPr>
            </w:pPr>
            <w:r w:rsidRPr="006C181F">
              <w:rPr>
                <w:rFonts w:ascii="Times New Roman" w:hAnsi="Times New Roman"/>
                <w:b/>
                <w:bCs/>
                <w:sz w:val="14"/>
                <w:szCs w:val="14"/>
                <w:lang w:eastAsia="sk-SK"/>
              </w:rPr>
              <w:t>1 158 252 000</w:t>
            </w:r>
          </w:p>
        </w:tc>
        <w:tc>
          <w:tcPr>
            <w:tcW w:w="1015"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b/>
                <w:bCs/>
                <w:sz w:val="14"/>
                <w:szCs w:val="14"/>
                <w:lang w:eastAsia="sk-SK"/>
              </w:rPr>
            </w:pPr>
            <w:r w:rsidRPr="006C181F">
              <w:rPr>
                <w:rFonts w:ascii="Times New Roman" w:hAnsi="Times New Roman"/>
                <w:b/>
                <w:bCs/>
                <w:sz w:val="14"/>
                <w:szCs w:val="14"/>
                <w:lang w:eastAsia="sk-SK"/>
              </w:rPr>
              <w:t>1 341 224 735</w:t>
            </w:r>
          </w:p>
        </w:tc>
        <w:tc>
          <w:tcPr>
            <w:tcW w:w="1015"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b/>
                <w:bCs/>
                <w:sz w:val="14"/>
                <w:szCs w:val="14"/>
                <w:lang w:eastAsia="sk-SK"/>
              </w:rPr>
            </w:pPr>
            <w:r w:rsidRPr="006C181F">
              <w:rPr>
                <w:rFonts w:ascii="Times New Roman" w:hAnsi="Times New Roman"/>
                <w:b/>
                <w:bCs/>
                <w:sz w:val="14"/>
                <w:szCs w:val="14"/>
                <w:lang w:eastAsia="sk-SK"/>
              </w:rPr>
              <w:t>1 207 816 000</w:t>
            </w:r>
          </w:p>
        </w:tc>
        <w:tc>
          <w:tcPr>
            <w:tcW w:w="1015"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b/>
                <w:bCs/>
                <w:sz w:val="14"/>
                <w:szCs w:val="14"/>
                <w:lang w:eastAsia="sk-SK"/>
              </w:rPr>
            </w:pPr>
            <w:r w:rsidRPr="006C181F">
              <w:rPr>
                <w:rFonts w:ascii="Times New Roman" w:hAnsi="Times New Roman"/>
                <w:b/>
                <w:bCs/>
                <w:sz w:val="14"/>
                <w:szCs w:val="14"/>
                <w:lang w:eastAsia="sk-SK"/>
              </w:rPr>
              <w:t>1 207 549 167</w:t>
            </w:r>
          </w:p>
        </w:tc>
        <w:tc>
          <w:tcPr>
            <w:tcW w:w="1015"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b/>
                <w:bCs/>
                <w:sz w:val="14"/>
                <w:szCs w:val="14"/>
                <w:lang w:eastAsia="sk-SK"/>
              </w:rPr>
            </w:pPr>
            <w:r w:rsidRPr="006C181F">
              <w:rPr>
                <w:rFonts w:ascii="Times New Roman" w:hAnsi="Times New Roman"/>
                <w:b/>
                <w:bCs/>
                <w:sz w:val="14"/>
                <w:szCs w:val="14"/>
                <w:lang w:eastAsia="sk-SK"/>
              </w:rPr>
              <w:t>1 405 391 875</w:t>
            </w:r>
          </w:p>
        </w:tc>
        <w:tc>
          <w:tcPr>
            <w:tcW w:w="1015"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b/>
                <w:bCs/>
                <w:sz w:val="14"/>
                <w:szCs w:val="14"/>
                <w:lang w:eastAsia="sk-SK"/>
              </w:rPr>
            </w:pPr>
            <w:r w:rsidRPr="006C181F">
              <w:rPr>
                <w:rFonts w:ascii="Times New Roman" w:hAnsi="Times New Roman"/>
                <w:b/>
                <w:bCs/>
                <w:sz w:val="14"/>
                <w:szCs w:val="14"/>
                <w:lang w:eastAsia="sk-SK"/>
              </w:rPr>
              <w:t>1 383 098 907</w:t>
            </w:r>
          </w:p>
        </w:tc>
        <w:tc>
          <w:tcPr>
            <w:tcW w:w="997"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b/>
                <w:bCs/>
                <w:sz w:val="14"/>
                <w:szCs w:val="14"/>
                <w:lang w:eastAsia="sk-SK"/>
              </w:rPr>
            </w:pPr>
            <w:r w:rsidRPr="006C181F">
              <w:rPr>
                <w:rFonts w:ascii="Times New Roman" w:hAnsi="Times New Roman"/>
                <w:b/>
                <w:bCs/>
                <w:sz w:val="14"/>
                <w:szCs w:val="14"/>
                <w:lang w:eastAsia="sk-SK"/>
              </w:rPr>
              <w:t>1 272 554 941</w:t>
            </w:r>
          </w:p>
        </w:tc>
      </w:tr>
      <w:tr>
        <w:tblPrEx>
          <w:tblW w:w="9077" w:type="dxa"/>
          <w:tblInd w:w="65" w:type="dxa"/>
          <w:tblCellMar>
            <w:left w:w="70" w:type="dxa"/>
            <w:right w:w="70" w:type="dxa"/>
          </w:tblCellMar>
          <w:tblLook w:val="04A0"/>
        </w:tblPrEx>
        <w:trPr>
          <w:trHeight w:hRule="exact" w:val="340"/>
        </w:trPr>
        <w:tc>
          <w:tcPr>
            <w:tcW w:w="1990" w:type="dxa"/>
            <w:tcBorders>
              <w:top w:val="nil"/>
              <w:left w:val="single" w:sz="4" w:space="0" w:color="auto"/>
              <w:bottom w:val="single" w:sz="4" w:space="0" w:color="auto"/>
              <w:right w:val="single" w:sz="4" w:space="0" w:color="auto"/>
            </w:tcBorders>
            <w:noWrap/>
            <w:textDirection w:val="lrTb"/>
            <w:vAlign w:val="bottom"/>
            <w:hideMark/>
          </w:tcPr>
          <w:p w:rsidR="00CB350B" w:rsidRPr="006C181F" w:rsidP="00257E12">
            <w:pPr>
              <w:bidi w:val="0"/>
              <w:rPr>
                <w:rFonts w:ascii="Times New Roman" w:hAnsi="Times New Roman"/>
                <w:sz w:val="14"/>
                <w:szCs w:val="14"/>
                <w:lang w:eastAsia="sk-SK"/>
              </w:rPr>
            </w:pPr>
            <w:r w:rsidRPr="006C181F">
              <w:rPr>
                <w:rFonts w:ascii="Times New Roman" w:hAnsi="Times New Roman"/>
                <w:sz w:val="14"/>
                <w:szCs w:val="14"/>
                <w:lang w:eastAsia="sk-SK"/>
              </w:rPr>
              <w:t xml:space="preserve">Preddavky na poistné platené </w:t>
            </w:r>
            <w:r>
              <w:rPr>
                <w:rFonts w:ascii="Times New Roman" w:hAnsi="Times New Roman"/>
                <w:sz w:val="14"/>
                <w:szCs w:val="14"/>
                <w:lang w:eastAsia="sk-SK"/>
              </w:rPr>
              <w:t>štátom</w:t>
            </w:r>
          </w:p>
        </w:tc>
        <w:tc>
          <w:tcPr>
            <w:tcW w:w="1015"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sz w:val="14"/>
                <w:szCs w:val="14"/>
                <w:lang w:eastAsia="sk-SK"/>
              </w:rPr>
            </w:pPr>
            <w:r w:rsidRPr="006C181F">
              <w:rPr>
                <w:rFonts w:ascii="Times New Roman" w:hAnsi="Times New Roman"/>
                <w:sz w:val="14"/>
                <w:szCs w:val="14"/>
                <w:lang w:eastAsia="sk-SK"/>
              </w:rPr>
              <w:t>1 162 381 769</w:t>
            </w:r>
          </w:p>
        </w:tc>
        <w:tc>
          <w:tcPr>
            <w:tcW w:w="1015"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sz w:val="14"/>
                <w:szCs w:val="14"/>
                <w:lang w:eastAsia="sk-SK"/>
              </w:rPr>
            </w:pPr>
            <w:r w:rsidRPr="006C181F">
              <w:rPr>
                <w:rFonts w:ascii="Times New Roman" w:hAnsi="Times New Roman"/>
                <w:sz w:val="14"/>
                <w:szCs w:val="14"/>
                <w:lang w:eastAsia="sk-SK"/>
              </w:rPr>
              <w:t>1 282 803 160</w:t>
            </w:r>
          </w:p>
        </w:tc>
        <w:tc>
          <w:tcPr>
            <w:tcW w:w="1015"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sz w:val="14"/>
                <w:szCs w:val="14"/>
                <w:lang w:eastAsia="sk-SK"/>
              </w:rPr>
            </w:pPr>
            <w:r w:rsidRPr="006C181F">
              <w:rPr>
                <w:rFonts w:ascii="Times New Roman" w:hAnsi="Times New Roman"/>
                <w:sz w:val="14"/>
                <w:szCs w:val="14"/>
                <w:lang w:eastAsia="sk-SK"/>
              </w:rPr>
              <w:t>1 197 816 000</w:t>
            </w:r>
          </w:p>
        </w:tc>
        <w:tc>
          <w:tcPr>
            <w:tcW w:w="1015"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sz w:val="14"/>
                <w:szCs w:val="14"/>
                <w:lang w:eastAsia="sk-SK"/>
              </w:rPr>
            </w:pPr>
            <w:r w:rsidRPr="006C181F">
              <w:rPr>
                <w:rFonts w:ascii="Times New Roman" w:hAnsi="Times New Roman"/>
                <w:sz w:val="14"/>
                <w:szCs w:val="14"/>
                <w:lang w:eastAsia="sk-SK"/>
              </w:rPr>
              <w:t>1 197 816 000</w:t>
            </w:r>
          </w:p>
        </w:tc>
        <w:tc>
          <w:tcPr>
            <w:tcW w:w="1015"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sz w:val="14"/>
                <w:szCs w:val="14"/>
                <w:lang w:eastAsia="sk-SK"/>
              </w:rPr>
            </w:pPr>
            <w:r w:rsidRPr="006C181F">
              <w:rPr>
                <w:rFonts w:ascii="Times New Roman" w:hAnsi="Times New Roman"/>
                <w:sz w:val="14"/>
                <w:szCs w:val="14"/>
                <w:lang w:eastAsia="sk-SK"/>
              </w:rPr>
              <w:t>1 330 391 875</w:t>
            </w:r>
          </w:p>
        </w:tc>
        <w:tc>
          <w:tcPr>
            <w:tcW w:w="1015"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sz w:val="14"/>
                <w:szCs w:val="14"/>
                <w:lang w:eastAsia="sk-SK"/>
              </w:rPr>
            </w:pPr>
            <w:r w:rsidRPr="006C181F">
              <w:rPr>
                <w:rFonts w:ascii="Times New Roman" w:hAnsi="Times New Roman"/>
                <w:sz w:val="14"/>
                <w:szCs w:val="14"/>
                <w:lang w:eastAsia="sk-SK"/>
              </w:rPr>
              <w:t>1 383 098 907</w:t>
            </w:r>
          </w:p>
        </w:tc>
        <w:tc>
          <w:tcPr>
            <w:tcW w:w="997"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sz w:val="14"/>
                <w:szCs w:val="14"/>
                <w:lang w:eastAsia="sk-SK"/>
              </w:rPr>
            </w:pPr>
            <w:r w:rsidRPr="006C181F">
              <w:rPr>
                <w:rFonts w:ascii="Times New Roman" w:hAnsi="Times New Roman"/>
                <w:sz w:val="14"/>
                <w:szCs w:val="14"/>
                <w:lang w:eastAsia="sk-SK"/>
              </w:rPr>
              <w:t>1 272 554 941</w:t>
            </w:r>
          </w:p>
        </w:tc>
      </w:tr>
      <w:tr>
        <w:tblPrEx>
          <w:tblW w:w="9077" w:type="dxa"/>
          <w:tblInd w:w="65" w:type="dxa"/>
          <w:tblCellMar>
            <w:left w:w="70" w:type="dxa"/>
            <w:right w:w="70" w:type="dxa"/>
          </w:tblCellMar>
          <w:tblLook w:val="04A0"/>
        </w:tblPrEx>
        <w:trPr>
          <w:trHeight w:hRule="exact" w:val="340"/>
        </w:trPr>
        <w:tc>
          <w:tcPr>
            <w:tcW w:w="1990" w:type="dxa"/>
            <w:tcBorders>
              <w:top w:val="nil"/>
              <w:left w:val="single" w:sz="4" w:space="0" w:color="auto"/>
              <w:bottom w:val="single" w:sz="4" w:space="0" w:color="auto"/>
              <w:right w:val="single" w:sz="4" w:space="0" w:color="auto"/>
            </w:tcBorders>
            <w:noWrap/>
            <w:textDirection w:val="lrTb"/>
            <w:vAlign w:val="bottom"/>
            <w:hideMark/>
          </w:tcPr>
          <w:p w:rsidR="00CB350B" w:rsidRPr="006C181F" w:rsidP="00257E12">
            <w:pPr>
              <w:bidi w:val="0"/>
              <w:rPr>
                <w:rFonts w:ascii="Times New Roman" w:hAnsi="Times New Roman"/>
                <w:sz w:val="14"/>
                <w:szCs w:val="14"/>
                <w:lang w:eastAsia="sk-SK"/>
              </w:rPr>
            </w:pPr>
            <w:r w:rsidRPr="006C181F">
              <w:rPr>
                <w:rFonts w:ascii="Times New Roman" w:hAnsi="Times New Roman"/>
                <w:sz w:val="14"/>
                <w:szCs w:val="14"/>
                <w:lang w:eastAsia="sk-SK"/>
              </w:rPr>
              <w:t>Ročné zúčtovanie poistného v danom roku</w:t>
            </w:r>
          </w:p>
        </w:tc>
        <w:tc>
          <w:tcPr>
            <w:tcW w:w="1015"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sz w:val="14"/>
                <w:szCs w:val="14"/>
                <w:lang w:eastAsia="sk-SK"/>
              </w:rPr>
            </w:pPr>
            <w:r w:rsidRPr="006C181F">
              <w:rPr>
                <w:rFonts w:ascii="Times New Roman" w:hAnsi="Times New Roman"/>
                <w:sz w:val="14"/>
                <w:szCs w:val="14"/>
                <w:lang w:eastAsia="sk-SK"/>
              </w:rPr>
              <w:t>-4 129 769</w:t>
            </w:r>
          </w:p>
        </w:tc>
        <w:tc>
          <w:tcPr>
            <w:tcW w:w="1015"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sz w:val="14"/>
                <w:szCs w:val="14"/>
                <w:lang w:eastAsia="sk-SK"/>
              </w:rPr>
            </w:pPr>
            <w:r w:rsidRPr="006C181F">
              <w:rPr>
                <w:rFonts w:ascii="Times New Roman" w:hAnsi="Times New Roman"/>
                <w:sz w:val="14"/>
                <w:szCs w:val="14"/>
                <w:lang w:eastAsia="sk-SK"/>
              </w:rPr>
              <w:t>58 421 575</w:t>
            </w:r>
          </w:p>
        </w:tc>
        <w:tc>
          <w:tcPr>
            <w:tcW w:w="1015"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sz w:val="14"/>
                <w:szCs w:val="14"/>
                <w:lang w:eastAsia="sk-SK"/>
              </w:rPr>
            </w:pPr>
            <w:r w:rsidRPr="006C181F">
              <w:rPr>
                <w:rFonts w:ascii="Times New Roman" w:hAnsi="Times New Roman"/>
                <w:sz w:val="14"/>
                <w:szCs w:val="14"/>
                <w:lang w:eastAsia="sk-SK"/>
              </w:rPr>
              <w:t>10 000 000</w:t>
            </w:r>
          </w:p>
        </w:tc>
        <w:tc>
          <w:tcPr>
            <w:tcW w:w="1015"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sz w:val="14"/>
                <w:szCs w:val="14"/>
                <w:lang w:eastAsia="sk-SK"/>
              </w:rPr>
            </w:pPr>
            <w:r w:rsidRPr="006C181F">
              <w:rPr>
                <w:rFonts w:ascii="Times New Roman" w:hAnsi="Times New Roman"/>
                <w:sz w:val="14"/>
                <w:szCs w:val="14"/>
                <w:lang w:eastAsia="sk-SK"/>
              </w:rPr>
              <w:t>9 733 167</w:t>
            </w:r>
          </w:p>
        </w:tc>
        <w:tc>
          <w:tcPr>
            <w:tcW w:w="1015"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sz w:val="14"/>
                <w:szCs w:val="14"/>
                <w:lang w:eastAsia="sk-SK"/>
              </w:rPr>
            </w:pPr>
            <w:r w:rsidRPr="006C181F">
              <w:rPr>
                <w:rFonts w:ascii="Times New Roman" w:hAnsi="Times New Roman"/>
                <w:sz w:val="14"/>
                <w:szCs w:val="14"/>
                <w:lang w:eastAsia="sk-SK"/>
              </w:rPr>
              <w:t>75 000 000</w:t>
            </w:r>
          </w:p>
        </w:tc>
        <w:tc>
          <w:tcPr>
            <w:tcW w:w="1015"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sz w:val="14"/>
                <w:szCs w:val="14"/>
                <w:lang w:eastAsia="sk-SK"/>
              </w:rPr>
            </w:pPr>
            <w:r w:rsidRPr="006C181F">
              <w:rPr>
                <w:rFonts w:ascii="Times New Roman" w:hAnsi="Times New Roman"/>
                <w:sz w:val="14"/>
                <w:szCs w:val="14"/>
                <w:lang w:eastAsia="sk-SK"/>
              </w:rPr>
              <w:t>0</w:t>
            </w:r>
          </w:p>
        </w:tc>
        <w:tc>
          <w:tcPr>
            <w:tcW w:w="997"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sz w:val="14"/>
                <w:szCs w:val="14"/>
                <w:lang w:eastAsia="sk-SK"/>
              </w:rPr>
            </w:pPr>
            <w:r w:rsidRPr="006C181F">
              <w:rPr>
                <w:rFonts w:ascii="Times New Roman" w:hAnsi="Times New Roman"/>
                <w:sz w:val="14"/>
                <w:szCs w:val="14"/>
                <w:lang w:eastAsia="sk-SK"/>
              </w:rPr>
              <w:t>0</w:t>
            </w:r>
          </w:p>
        </w:tc>
      </w:tr>
      <w:tr>
        <w:tblPrEx>
          <w:tblW w:w="9077" w:type="dxa"/>
          <w:tblInd w:w="65" w:type="dxa"/>
          <w:tblCellMar>
            <w:left w:w="70" w:type="dxa"/>
            <w:right w:w="70" w:type="dxa"/>
          </w:tblCellMar>
          <w:tblLook w:val="04A0"/>
        </w:tblPrEx>
        <w:trPr>
          <w:trHeight w:val="225"/>
        </w:trPr>
        <w:tc>
          <w:tcPr>
            <w:tcW w:w="1990" w:type="dxa"/>
            <w:tcBorders>
              <w:top w:val="nil"/>
              <w:left w:val="single" w:sz="4" w:space="0" w:color="auto"/>
              <w:bottom w:val="single" w:sz="4" w:space="0" w:color="auto"/>
              <w:right w:val="single" w:sz="4" w:space="0" w:color="auto"/>
            </w:tcBorders>
            <w:noWrap/>
            <w:textDirection w:val="lrTb"/>
            <w:vAlign w:val="bottom"/>
            <w:hideMark/>
          </w:tcPr>
          <w:p w:rsidR="00CB350B" w:rsidRPr="006C181F" w:rsidP="00257E12">
            <w:pPr>
              <w:bidi w:val="0"/>
              <w:rPr>
                <w:rFonts w:ascii="Times New Roman" w:hAnsi="Times New Roman"/>
                <w:sz w:val="14"/>
                <w:szCs w:val="14"/>
                <w:lang w:eastAsia="sk-SK"/>
              </w:rPr>
            </w:pPr>
            <w:r w:rsidRPr="006C181F">
              <w:rPr>
                <w:rFonts w:ascii="Times New Roman" w:hAnsi="Times New Roman"/>
                <w:sz w:val="14"/>
                <w:szCs w:val="14"/>
                <w:lang w:eastAsia="sk-SK"/>
              </w:rPr>
              <w:t>Počet poistencov</w:t>
            </w:r>
          </w:p>
        </w:tc>
        <w:tc>
          <w:tcPr>
            <w:tcW w:w="1015"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sz w:val="14"/>
                <w:szCs w:val="14"/>
                <w:lang w:eastAsia="sk-SK"/>
              </w:rPr>
            </w:pPr>
            <w:r w:rsidRPr="006C181F">
              <w:rPr>
                <w:rFonts w:ascii="Times New Roman" w:hAnsi="Times New Roman"/>
                <w:sz w:val="14"/>
                <w:szCs w:val="14"/>
                <w:lang w:eastAsia="sk-SK"/>
              </w:rPr>
              <w:t>3 081 471</w:t>
            </w:r>
          </w:p>
        </w:tc>
        <w:tc>
          <w:tcPr>
            <w:tcW w:w="1015"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sz w:val="14"/>
                <w:szCs w:val="14"/>
                <w:lang w:eastAsia="sk-SK"/>
              </w:rPr>
            </w:pPr>
            <w:r w:rsidRPr="006C181F">
              <w:rPr>
                <w:rFonts w:ascii="Times New Roman" w:hAnsi="Times New Roman"/>
                <w:sz w:val="14"/>
                <w:szCs w:val="14"/>
                <w:lang w:eastAsia="sk-SK"/>
              </w:rPr>
              <w:t>3 117 292</w:t>
            </w:r>
          </w:p>
        </w:tc>
        <w:tc>
          <w:tcPr>
            <w:tcW w:w="1015"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sz w:val="14"/>
                <w:szCs w:val="14"/>
                <w:lang w:eastAsia="sk-SK"/>
              </w:rPr>
            </w:pPr>
            <w:r w:rsidRPr="006C181F">
              <w:rPr>
                <w:rFonts w:ascii="Times New Roman" w:hAnsi="Times New Roman"/>
                <w:sz w:val="14"/>
                <w:szCs w:val="14"/>
                <w:lang w:eastAsia="sk-SK"/>
              </w:rPr>
              <w:t>3 103 562</w:t>
            </w:r>
          </w:p>
        </w:tc>
        <w:tc>
          <w:tcPr>
            <w:tcW w:w="1015"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sz w:val="14"/>
                <w:szCs w:val="14"/>
                <w:lang w:eastAsia="sk-SK"/>
              </w:rPr>
            </w:pPr>
            <w:r w:rsidRPr="006C181F">
              <w:rPr>
                <w:rFonts w:ascii="Times New Roman" w:hAnsi="Times New Roman"/>
                <w:sz w:val="14"/>
                <w:szCs w:val="14"/>
                <w:lang w:eastAsia="sk-SK"/>
              </w:rPr>
              <w:t>3 298 134</w:t>
            </w:r>
          </w:p>
        </w:tc>
        <w:tc>
          <w:tcPr>
            <w:tcW w:w="1015"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sz w:val="14"/>
                <w:szCs w:val="14"/>
                <w:lang w:eastAsia="sk-SK"/>
              </w:rPr>
            </w:pPr>
            <w:r w:rsidRPr="006C181F">
              <w:rPr>
                <w:rFonts w:ascii="Times New Roman" w:hAnsi="Times New Roman"/>
                <w:sz w:val="14"/>
                <w:szCs w:val="14"/>
                <w:lang w:eastAsia="sk-SK"/>
              </w:rPr>
              <w:t>3 162 306</w:t>
            </w:r>
          </w:p>
        </w:tc>
        <w:tc>
          <w:tcPr>
            <w:tcW w:w="1015"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sz w:val="14"/>
                <w:szCs w:val="14"/>
                <w:lang w:eastAsia="sk-SK"/>
              </w:rPr>
            </w:pPr>
            <w:r w:rsidRPr="006C181F">
              <w:rPr>
                <w:rFonts w:ascii="Times New Roman" w:hAnsi="Times New Roman"/>
                <w:sz w:val="14"/>
                <w:szCs w:val="14"/>
                <w:lang w:eastAsia="sk-SK"/>
              </w:rPr>
              <w:t>3 162 306</w:t>
            </w:r>
          </w:p>
        </w:tc>
        <w:tc>
          <w:tcPr>
            <w:tcW w:w="997"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sz w:val="14"/>
                <w:szCs w:val="14"/>
                <w:lang w:eastAsia="sk-SK"/>
              </w:rPr>
            </w:pPr>
            <w:r w:rsidRPr="006C181F">
              <w:rPr>
                <w:rFonts w:ascii="Times New Roman" w:hAnsi="Times New Roman"/>
                <w:sz w:val="14"/>
                <w:szCs w:val="14"/>
                <w:lang w:eastAsia="sk-SK"/>
              </w:rPr>
              <w:t>3 162 306</w:t>
            </w:r>
          </w:p>
        </w:tc>
      </w:tr>
      <w:tr>
        <w:tblPrEx>
          <w:tblW w:w="9077" w:type="dxa"/>
          <w:tblInd w:w="65" w:type="dxa"/>
          <w:tblCellMar>
            <w:left w:w="70" w:type="dxa"/>
            <w:right w:w="70" w:type="dxa"/>
          </w:tblCellMar>
          <w:tblLook w:val="04A0"/>
        </w:tblPrEx>
        <w:trPr>
          <w:trHeight w:val="227"/>
        </w:trPr>
        <w:tc>
          <w:tcPr>
            <w:tcW w:w="1990" w:type="dxa"/>
            <w:tcBorders>
              <w:top w:val="nil"/>
              <w:left w:val="single" w:sz="4" w:space="0" w:color="auto"/>
              <w:bottom w:val="single" w:sz="4" w:space="0" w:color="auto"/>
              <w:right w:val="single" w:sz="4" w:space="0" w:color="auto"/>
            </w:tcBorders>
            <w:noWrap/>
            <w:textDirection w:val="lrTb"/>
            <w:vAlign w:val="bottom"/>
            <w:hideMark/>
          </w:tcPr>
          <w:p w:rsidR="00CB350B" w:rsidRPr="006C181F" w:rsidP="00257E12">
            <w:pPr>
              <w:bidi w:val="0"/>
              <w:rPr>
                <w:rFonts w:ascii="Times New Roman" w:hAnsi="Times New Roman"/>
                <w:sz w:val="14"/>
                <w:szCs w:val="14"/>
                <w:lang w:eastAsia="sk-SK"/>
              </w:rPr>
            </w:pPr>
            <w:r w:rsidRPr="006C181F">
              <w:rPr>
                <w:rFonts w:ascii="Times New Roman" w:hAnsi="Times New Roman"/>
                <w:sz w:val="14"/>
                <w:szCs w:val="14"/>
                <w:lang w:eastAsia="sk-SK"/>
              </w:rPr>
              <w:t>Platba na  poistenca na 1 mesiac</w:t>
            </w:r>
          </w:p>
        </w:tc>
        <w:tc>
          <w:tcPr>
            <w:tcW w:w="1015"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sz w:val="14"/>
                <w:szCs w:val="14"/>
                <w:lang w:eastAsia="sk-SK"/>
              </w:rPr>
            </w:pPr>
            <w:r w:rsidRPr="006C181F">
              <w:rPr>
                <w:rFonts w:ascii="Times New Roman" w:hAnsi="Times New Roman"/>
                <w:sz w:val="14"/>
                <w:szCs w:val="14"/>
                <w:lang w:eastAsia="sk-SK"/>
              </w:rPr>
              <w:t>32,76</w:t>
            </w:r>
          </w:p>
        </w:tc>
        <w:tc>
          <w:tcPr>
            <w:tcW w:w="1015"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sz w:val="14"/>
                <w:szCs w:val="14"/>
                <w:lang w:eastAsia="sk-SK"/>
              </w:rPr>
            </w:pPr>
            <w:r w:rsidRPr="006C181F">
              <w:rPr>
                <w:rFonts w:ascii="Times New Roman" w:hAnsi="Times New Roman"/>
                <w:sz w:val="14"/>
                <w:szCs w:val="14"/>
                <w:lang w:eastAsia="sk-SK"/>
              </w:rPr>
              <w:t>34,56</w:t>
            </w:r>
          </w:p>
        </w:tc>
        <w:tc>
          <w:tcPr>
            <w:tcW w:w="1015"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sz w:val="14"/>
                <w:szCs w:val="14"/>
                <w:lang w:eastAsia="sk-SK"/>
              </w:rPr>
            </w:pPr>
            <w:r w:rsidRPr="006C181F">
              <w:rPr>
                <w:rFonts w:ascii="Times New Roman" w:hAnsi="Times New Roman"/>
                <w:sz w:val="14"/>
                <w:szCs w:val="14"/>
                <w:lang w:eastAsia="sk-SK"/>
              </w:rPr>
              <w:t>32,16</w:t>
            </w:r>
          </w:p>
        </w:tc>
        <w:tc>
          <w:tcPr>
            <w:tcW w:w="1015"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sz w:val="14"/>
                <w:szCs w:val="14"/>
                <w:lang w:eastAsia="sk-SK"/>
              </w:rPr>
            </w:pPr>
            <w:r w:rsidRPr="006C181F">
              <w:rPr>
                <w:rFonts w:ascii="Times New Roman" w:hAnsi="Times New Roman"/>
                <w:sz w:val="14"/>
                <w:szCs w:val="14"/>
                <w:lang w:eastAsia="sk-SK"/>
              </w:rPr>
              <w:t>32,16</w:t>
            </w:r>
          </w:p>
        </w:tc>
        <w:tc>
          <w:tcPr>
            <w:tcW w:w="1015"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sz w:val="14"/>
                <w:szCs w:val="14"/>
                <w:lang w:eastAsia="sk-SK"/>
              </w:rPr>
            </w:pPr>
            <w:r w:rsidRPr="006C181F">
              <w:rPr>
                <w:rFonts w:ascii="Times New Roman" w:hAnsi="Times New Roman"/>
                <w:sz w:val="14"/>
                <w:szCs w:val="14"/>
                <w:lang w:eastAsia="sk-SK"/>
              </w:rPr>
              <w:t>35,05</w:t>
            </w:r>
          </w:p>
        </w:tc>
        <w:tc>
          <w:tcPr>
            <w:tcW w:w="1015"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sz w:val="14"/>
                <w:szCs w:val="14"/>
                <w:lang w:eastAsia="sk-SK"/>
              </w:rPr>
            </w:pPr>
            <w:r w:rsidRPr="006C181F">
              <w:rPr>
                <w:rFonts w:ascii="Times New Roman" w:hAnsi="Times New Roman"/>
                <w:sz w:val="14"/>
                <w:szCs w:val="14"/>
                <w:lang w:eastAsia="sk-SK"/>
              </w:rPr>
              <w:t>36,44</w:t>
            </w:r>
          </w:p>
        </w:tc>
        <w:tc>
          <w:tcPr>
            <w:tcW w:w="997" w:type="dxa"/>
            <w:tcBorders>
              <w:top w:val="nil"/>
              <w:left w:val="nil"/>
              <w:bottom w:val="single" w:sz="4" w:space="0" w:color="auto"/>
              <w:right w:val="single" w:sz="4" w:space="0" w:color="auto"/>
            </w:tcBorders>
            <w:noWrap/>
            <w:textDirection w:val="lrTb"/>
            <w:vAlign w:val="bottom"/>
            <w:hideMark/>
          </w:tcPr>
          <w:p w:rsidR="00CB350B" w:rsidRPr="006C181F" w:rsidP="00257E12">
            <w:pPr>
              <w:bidi w:val="0"/>
              <w:jc w:val="right"/>
              <w:rPr>
                <w:rFonts w:ascii="Times New Roman" w:hAnsi="Times New Roman"/>
                <w:sz w:val="14"/>
                <w:szCs w:val="14"/>
                <w:lang w:eastAsia="sk-SK"/>
              </w:rPr>
            </w:pPr>
            <w:r w:rsidRPr="006C181F">
              <w:rPr>
                <w:rFonts w:ascii="Times New Roman" w:hAnsi="Times New Roman"/>
                <w:sz w:val="14"/>
                <w:szCs w:val="14"/>
                <w:lang w:eastAsia="sk-SK"/>
              </w:rPr>
              <w:t>33,53</w:t>
            </w:r>
          </w:p>
        </w:tc>
      </w:tr>
    </w:tbl>
    <w:p w:rsidR="00CB350B" w:rsidP="00CB350B">
      <w:pPr>
        <w:bidi w:val="0"/>
        <w:ind w:firstLine="708"/>
        <w:jc w:val="both"/>
        <w:rPr>
          <w:rFonts w:ascii="Times New Roman" w:hAnsi="Times New Roman"/>
        </w:rPr>
      </w:pPr>
    </w:p>
    <w:p w:rsidR="00CB350B" w:rsidP="00CB350B">
      <w:pPr>
        <w:bidi w:val="0"/>
        <w:ind w:firstLine="708"/>
        <w:jc w:val="both"/>
        <w:rPr>
          <w:rFonts w:ascii="Times New Roman" w:hAnsi="Times New Roman"/>
        </w:rPr>
      </w:pPr>
      <w:r w:rsidRPr="00432A91">
        <w:rPr>
          <w:rFonts w:ascii="Times New Roman" w:hAnsi="Times New Roman"/>
        </w:rPr>
        <w:t>V roku 2012 sa vplyvom zvýšeného počtu poistencov v roku 2011 predpokladá úhrada ročného zúčtovania poistného plateného štátom za rok 2011 vo výške 75,0 mil. eur</w:t>
      </w:r>
      <w:r>
        <w:rPr>
          <w:rFonts w:ascii="Times New Roman" w:hAnsi="Times New Roman"/>
        </w:rPr>
        <w:t>, rozpočtovaná v kapitole Všeobecná pokladničná správa</w:t>
      </w:r>
      <w:r w:rsidRPr="00432A91">
        <w:rPr>
          <w:rFonts w:ascii="Times New Roman" w:hAnsi="Times New Roman"/>
        </w:rPr>
        <w:t xml:space="preserve">, ktorá zabezpečí </w:t>
      </w:r>
      <w:r>
        <w:rPr>
          <w:rFonts w:ascii="Times New Roman" w:hAnsi="Times New Roman"/>
        </w:rPr>
        <w:t>na</w:t>
      </w:r>
      <w:r w:rsidRPr="00432A91">
        <w:rPr>
          <w:rFonts w:ascii="Times New Roman" w:hAnsi="Times New Roman"/>
        </w:rPr>
        <w:t xml:space="preserve"> rok </w:t>
      </w:r>
      <w:r>
        <w:rPr>
          <w:rFonts w:ascii="Times New Roman" w:hAnsi="Times New Roman"/>
        </w:rPr>
        <w:t>2012 ďalší nárast zdrojov o 5,29</w:t>
      </w:r>
      <w:r w:rsidRPr="00432A91">
        <w:rPr>
          <w:rFonts w:ascii="Times New Roman" w:hAnsi="Times New Roman"/>
        </w:rPr>
        <w:t xml:space="preserve"> %. Zdroje v oblasti poistného od štátu tak celkovo </w:t>
      </w:r>
      <w:r>
        <w:rPr>
          <w:rFonts w:ascii="Times New Roman" w:hAnsi="Times New Roman"/>
        </w:rPr>
        <w:t>vzrastú na rok 2012 o 16,4 %, t. j. o 198</w:t>
      </w:r>
      <w:r w:rsidRPr="00432A91">
        <w:rPr>
          <w:rFonts w:ascii="Times New Roman" w:hAnsi="Times New Roman"/>
        </w:rPr>
        <w:t xml:space="preserve"> mil. eur. Výška ročného zúčtovania poistného za rok 2011 nadväzuje na údaje o počte poistencov štátu evidované v roku 2011 v centrálnom registri poistencov.</w:t>
      </w:r>
    </w:p>
    <w:p w:rsidR="00CB350B" w:rsidRPr="00432A91" w:rsidP="00CB350B">
      <w:pPr>
        <w:bidi w:val="0"/>
        <w:ind w:firstLine="708"/>
        <w:jc w:val="both"/>
        <w:rPr>
          <w:rFonts w:ascii="Times New Roman" w:hAnsi="Times New Roman"/>
        </w:rPr>
      </w:pPr>
    </w:p>
    <w:p w:rsidR="00CB350B" w:rsidP="00CB350B">
      <w:pPr>
        <w:bidi w:val="0"/>
        <w:ind w:firstLine="708"/>
        <w:jc w:val="both"/>
        <w:rPr>
          <w:rFonts w:ascii="Times New Roman" w:hAnsi="Times New Roman"/>
        </w:rPr>
      </w:pPr>
      <w:r w:rsidRPr="00432A91">
        <w:rPr>
          <w:rFonts w:ascii="Times New Roman" w:hAnsi="Times New Roman"/>
        </w:rPr>
        <w:t>Príspevok na činnosť operačných stredísk záchrannej zdravotnej služby poukazujú zdravotné poisťovne v súlade so zákonom č. 581/2004 Z. z. o zdravotných poisťovniach a dohľade nad zdravotnou starostlivosťou na účet Ministerstva zdravotníctva SR do 20. októbra</w:t>
      </w:r>
      <w:r>
        <w:rPr>
          <w:rFonts w:ascii="Times New Roman" w:hAnsi="Times New Roman"/>
        </w:rPr>
        <w:t xml:space="preserve"> </w:t>
      </w:r>
      <w:r w:rsidRPr="00432A91">
        <w:rPr>
          <w:rFonts w:ascii="Times New Roman" w:hAnsi="Times New Roman"/>
        </w:rPr>
        <w:t>kalendárneho roka. Výška sadzby na výpočet príspevku je rovnaká ako v roku 2011, a to 0,35</w:t>
      </w:r>
      <w:r>
        <w:rPr>
          <w:rFonts w:ascii="Times New Roman" w:hAnsi="Times New Roman"/>
        </w:rPr>
        <w:t> </w:t>
      </w:r>
      <w:r w:rsidRPr="00432A91">
        <w:rPr>
          <w:rFonts w:ascii="Times New Roman" w:hAnsi="Times New Roman"/>
        </w:rPr>
        <w:t>% z vymeriavacieho základu. Na základe legislatívnej úpravy s účinnosťou od</w:t>
      </w:r>
      <w:r>
        <w:rPr>
          <w:rFonts w:ascii="Times New Roman" w:hAnsi="Times New Roman"/>
        </w:rPr>
        <w:t xml:space="preserve"> </w:t>
      </w:r>
      <w:r w:rsidRPr="00432A91">
        <w:rPr>
          <w:rFonts w:ascii="Times New Roman" w:hAnsi="Times New Roman"/>
        </w:rPr>
        <w:t xml:space="preserve">1. januára 2011, sa za vymeriavací základ považuje suma nachádzajúca sa v rozhodnutí úradu o ročnom prerozdelení poistného za príslušný kalendárny rok ako celková suma z ročného prerozdelenia, pričom základom ročného prerozdelenia je iba 95 % povinného poistného. Nakoľko v predchádzajúcom období sa používal vymeriavací základ vo výške 100 % poistného </w:t>
      </w:r>
      <w:r>
        <w:rPr>
          <w:rFonts w:ascii="Times New Roman" w:hAnsi="Times New Roman"/>
        </w:rPr>
        <w:t xml:space="preserve"> </w:t>
      </w:r>
      <w:r w:rsidRPr="00432A91">
        <w:rPr>
          <w:rFonts w:ascii="Times New Roman" w:hAnsi="Times New Roman"/>
        </w:rPr>
        <w:t xml:space="preserve">po </w:t>
      </w:r>
      <w:r>
        <w:rPr>
          <w:rFonts w:ascii="Times New Roman" w:hAnsi="Times New Roman"/>
        </w:rPr>
        <w:t xml:space="preserve"> </w:t>
      </w:r>
      <w:r w:rsidRPr="00432A91">
        <w:rPr>
          <w:rFonts w:ascii="Times New Roman" w:hAnsi="Times New Roman"/>
        </w:rPr>
        <w:t xml:space="preserve">prerozdelení, dochádza </w:t>
      </w:r>
      <w:r>
        <w:rPr>
          <w:rFonts w:ascii="Times New Roman" w:hAnsi="Times New Roman"/>
        </w:rPr>
        <w:t xml:space="preserve"> </w:t>
      </w:r>
      <w:r w:rsidRPr="00432A91">
        <w:rPr>
          <w:rFonts w:ascii="Times New Roman" w:hAnsi="Times New Roman"/>
        </w:rPr>
        <w:t xml:space="preserve">k poklesu očakávaného príspevku na rok 2011, ako aj k poklesu príspevku </w:t>
      </w:r>
      <w:r>
        <w:rPr>
          <w:rFonts w:ascii="Times New Roman" w:hAnsi="Times New Roman"/>
        </w:rPr>
        <w:t>na</w:t>
      </w:r>
      <w:r w:rsidRPr="00432A91">
        <w:rPr>
          <w:rFonts w:ascii="Times New Roman" w:hAnsi="Times New Roman"/>
        </w:rPr>
        <w:t xml:space="preserve"> rok 2012 o</w:t>
      </w:r>
      <w:r>
        <w:rPr>
          <w:rFonts w:ascii="Times New Roman" w:hAnsi="Times New Roman"/>
        </w:rPr>
        <w:t> 4,14</w:t>
      </w:r>
      <w:r w:rsidRPr="00432A91">
        <w:rPr>
          <w:rFonts w:ascii="Times New Roman" w:hAnsi="Times New Roman"/>
        </w:rPr>
        <w:t xml:space="preserve"> % oproti schválenému rozpočtu na rok 2011.</w:t>
      </w:r>
    </w:p>
    <w:p w:rsidR="00CB350B" w:rsidRPr="00432A91" w:rsidP="00CB350B">
      <w:pPr>
        <w:bidi w:val="0"/>
        <w:ind w:firstLine="708"/>
        <w:jc w:val="both"/>
        <w:rPr>
          <w:rFonts w:ascii="Times New Roman" w:hAnsi="Times New Roman"/>
        </w:rPr>
      </w:pPr>
    </w:p>
    <w:p w:rsidR="00CB350B" w:rsidP="00CB350B">
      <w:pPr>
        <w:bidi w:val="0"/>
        <w:ind w:firstLine="708"/>
        <w:jc w:val="both"/>
        <w:rPr>
          <w:rFonts w:ascii="Times New Roman" w:hAnsi="Times New Roman"/>
        </w:rPr>
      </w:pPr>
      <w:r w:rsidRPr="00432A91">
        <w:rPr>
          <w:rFonts w:ascii="Times New Roman" w:hAnsi="Times New Roman"/>
        </w:rPr>
        <w:t>Výdavky Ministerstva zdravotníctva SR z rozpočtových prostriedkov kapitoly</w:t>
      </w:r>
      <w:r>
        <w:rPr>
          <w:rFonts w:ascii="Times New Roman" w:hAnsi="Times New Roman"/>
        </w:rPr>
        <w:t>,</w:t>
      </w:r>
      <w:r w:rsidRPr="00432A91">
        <w:rPr>
          <w:rFonts w:ascii="Times New Roman" w:hAnsi="Times New Roman"/>
        </w:rPr>
        <w:t xml:space="preserve"> bez poistného plateného štátom</w:t>
      </w:r>
      <w:r>
        <w:rPr>
          <w:rFonts w:ascii="Times New Roman" w:hAnsi="Times New Roman"/>
        </w:rPr>
        <w:t>,</w:t>
      </w:r>
      <w:r w:rsidRPr="00432A91">
        <w:rPr>
          <w:rFonts w:ascii="Times New Roman" w:hAnsi="Times New Roman"/>
        </w:rPr>
        <w:t xml:space="preserve"> sa </w:t>
      </w:r>
      <w:r>
        <w:rPr>
          <w:rFonts w:ascii="Times New Roman" w:hAnsi="Times New Roman"/>
        </w:rPr>
        <w:t>na</w:t>
      </w:r>
      <w:r w:rsidRPr="00432A91">
        <w:rPr>
          <w:rFonts w:ascii="Times New Roman" w:hAnsi="Times New Roman"/>
        </w:rPr>
        <w:t xml:space="preserve"> rok 2012 predpoklad</w:t>
      </w:r>
      <w:r>
        <w:rPr>
          <w:rFonts w:ascii="Times New Roman" w:hAnsi="Times New Roman"/>
        </w:rPr>
        <w:t>ajú</w:t>
      </w:r>
      <w:r w:rsidRPr="00432A91">
        <w:rPr>
          <w:rFonts w:ascii="Times New Roman" w:hAnsi="Times New Roman"/>
        </w:rPr>
        <w:t xml:space="preserve"> na úrovni </w:t>
      </w:r>
      <w:r>
        <w:rPr>
          <w:rFonts w:ascii="Times New Roman" w:hAnsi="Times New Roman"/>
        </w:rPr>
        <w:t>57,7 mil. eur s 1,94</w:t>
      </w:r>
      <w:r w:rsidRPr="00432A91">
        <w:rPr>
          <w:rFonts w:ascii="Times New Roman" w:hAnsi="Times New Roman"/>
        </w:rPr>
        <w:t>% nárastom o</w:t>
      </w:r>
      <w:r>
        <w:rPr>
          <w:rFonts w:ascii="Times New Roman" w:hAnsi="Times New Roman"/>
        </w:rPr>
        <w:t>proti schválenému rozpočtu roku 2011.</w:t>
      </w:r>
    </w:p>
    <w:p w:rsidR="00CB350B" w:rsidRPr="00432A91" w:rsidP="00CB350B">
      <w:pPr>
        <w:bidi w:val="0"/>
        <w:ind w:firstLine="708"/>
        <w:jc w:val="both"/>
        <w:rPr>
          <w:rFonts w:ascii="Times New Roman" w:hAnsi="Times New Roman"/>
        </w:rPr>
      </w:pPr>
    </w:p>
    <w:p w:rsidR="00CB350B" w:rsidP="00CB350B">
      <w:pPr>
        <w:bidi w:val="0"/>
        <w:ind w:firstLine="709"/>
        <w:jc w:val="both"/>
        <w:rPr>
          <w:rFonts w:ascii="Times New Roman" w:hAnsi="Times New Roman"/>
        </w:rPr>
      </w:pPr>
      <w:r w:rsidRPr="005140F7">
        <w:rPr>
          <w:rFonts w:ascii="Times New Roman" w:hAnsi="Times New Roman"/>
        </w:rPr>
        <w:t>Bežné výdavky kapitoly</w:t>
      </w:r>
      <w:r w:rsidRPr="00432A91">
        <w:rPr>
          <w:rFonts w:ascii="Times New Roman" w:hAnsi="Times New Roman"/>
        </w:rPr>
        <w:t xml:space="preserve">, prostredníctvom ktorých sa zabezpečuje financovanie činností v pôsobnosti úradu a financovanie rozpočtových a príspevkových organizácií, </w:t>
      </w:r>
      <w:r w:rsidRPr="00432A91">
        <w:rPr>
          <w:rFonts w:ascii="Times New Roman" w:hAnsi="Times New Roman"/>
          <w:bCs/>
        </w:rPr>
        <w:t>bez poistného plateného štátom, vzrástli</w:t>
      </w:r>
      <w:r w:rsidRPr="00432A91">
        <w:rPr>
          <w:rFonts w:ascii="Times New Roman" w:hAnsi="Times New Roman"/>
        </w:rPr>
        <w:t xml:space="preserve"> </w:t>
      </w:r>
      <w:r>
        <w:rPr>
          <w:rFonts w:ascii="Times New Roman" w:hAnsi="Times New Roman"/>
        </w:rPr>
        <w:t>na</w:t>
      </w:r>
      <w:r w:rsidRPr="00432A91">
        <w:rPr>
          <w:rFonts w:ascii="Times New Roman" w:hAnsi="Times New Roman"/>
        </w:rPr>
        <w:t xml:space="preserve"> rok 2012 o</w:t>
      </w:r>
      <w:r>
        <w:rPr>
          <w:rFonts w:ascii="Times New Roman" w:hAnsi="Times New Roman"/>
        </w:rPr>
        <w:t> 1,96</w:t>
      </w:r>
      <w:r w:rsidRPr="00432A91">
        <w:rPr>
          <w:rFonts w:ascii="Times New Roman" w:hAnsi="Times New Roman"/>
        </w:rPr>
        <w:t xml:space="preserve"> % oproti schválenému rozpočtu na rok 2011. Najvýraznejší podiel na bežných výdavkoch kapitoly tvoria výdavky Úradu verejného zdravotníctva SR a regionálnych úradov verejného zdravotníctva (ďalej </w:t>
      </w:r>
      <w:r>
        <w:rPr>
          <w:rFonts w:ascii="Times New Roman" w:hAnsi="Times New Roman"/>
        </w:rPr>
        <w:t>len „</w:t>
      </w:r>
      <w:r w:rsidRPr="00432A91">
        <w:rPr>
          <w:rFonts w:ascii="Times New Roman" w:hAnsi="Times New Roman"/>
        </w:rPr>
        <w:t>ÚVZ</w:t>
      </w:r>
      <w:r>
        <w:rPr>
          <w:rFonts w:ascii="Times New Roman" w:hAnsi="Times New Roman"/>
        </w:rPr>
        <w:t>“</w:t>
      </w:r>
      <w:r w:rsidRPr="00432A91">
        <w:rPr>
          <w:rFonts w:ascii="Times New Roman" w:hAnsi="Times New Roman"/>
        </w:rPr>
        <w:t xml:space="preserve"> a </w:t>
      </w:r>
      <w:r>
        <w:rPr>
          <w:rFonts w:ascii="Times New Roman" w:hAnsi="Times New Roman"/>
        </w:rPr>
        <w:t>„</w:t>
      </w:r>
      <w:r w:rsidRPr="00432A91">
        <w:rPr>
          <w:rFonts w:ascii="Times New Roman" w:hAnsi="Times New Roman"/>
        </w:rPr>
        <w:t>RÚVZ</w:t>
      </w:r>
      <w:r>
        <w:rPr>
          <w:rFonts w:ascii="Times New Roman" w:hAnsi="Times New Roman"/>
        </w:rPr>
        <w:t>“</w:t>
      </w:r>
      <w:r w:rsidRPr="00432A91">
        <w:rPr>
          <w:rFonts w:ascii="Times New Roman" w:hAnsi="Times New Roman"/>
        </w:rPr>
        <w:t xml:space="preserve">). Na ich </w:t>
      </w:r>
      <w:r>
        <w:rPr>
          <w:rFonts w:ascii="Times New Roman" w:hAnsi="Times New Roman"/>
        </w:rPr>
        <w:t>činnosť</w:t>
      </w:r>
      <w:r w:rsidRPr="00432A91">
        <w:rPr>
          <w:rFonts w:ascii="Times New Roman" w:hAnsi="Times New Roman"/>
        </w:rPr>
        <w:t xml:space="preserve"> sa v roku 2012 </w:t>
      </w:r>
      <w:r>
        <w:rPr>
          <w:rFonts w:ascii="Times New Roman" w:hAnsi="Times New Roman"/>
        </w:rPr>
        <w:t>rozpočtujú</w:t>
      </w:r>
      <w:r w:rsidRPr="00432A91">
        <w:rPr>
          <w:rFonts w:ascii="Times New Roman" w:hAnsi="Times New Roman"/>
        </w:rPr>
        <w:t xml:space="preserve"> prostriedky vo výške 31,5 mil. </w:t>
      </w:r>
      <w:r>
        <w:rPr>
          <w:rFonts w:ascii="Times New Roman" w:hAnsi="Times New Roman"/>
        </w:rPr>
        <w:t>eur</w:t>
      </w:r>
      <w:r w:rsidRPr="00432A91">
        <w:rPr>
          <w:rFonts w:ascii="Times New Roman" w:hAnsi="Times New Roman"/>
        </w:rPr>
        <w:t>, čo oproti rozpočtovaným prostriedkom roku 2011 predstavuje nárast o 3,23 %. Uvedený nárast má mierne tlmiť výrazný pokles vo financovaní úradov v roku 2011, kedy očakávame pokles opro</w:t>
      </w:r>
      <w:r>
        <w:rPr>
          <w:rFonts w:ascii="Times New Roman" w:hAnsi="Times New Roman"/>
        </w:rPr>
        <w:t>ti skutočnosti roku 2010 o 10,3 </w:t>
      </w:r>
      <w:r w:rsidRPr="00432A91">
        <w:rPr>
          <w:rFonts w:ascii="Times New Roman" w:hAnsi="Times New Roman"/>
        </w:rPr>
        <w:t xml:space="preserve">%. </w:t>
      </w:r>
    </w:p>
    <w:p w:rsidR="00CB350B" w:rsidRPr="00432A91" w:rsidP="00CB350B">
      <w:pPr>
        <w:bidi w:val="0"/>
        <w:ind w:firstLine="709"/>
        <w:jc w:val="both"/>
        <w:rPr>
          <w:rFonts w:ascii="Times New Roman" w:hAnsi="Times New Roman"/>
        </w:rPr>
      </w:pPr>
    </w:p>
    <w:p w:rsidR="00CB350B" w:rsidP="00CB350B">
      <w:pPr>
        <w:bidi w:val="0"/>
        <w:ind w:firstLine="709"/>
        <w:jc w:val="both"/>
        <w:rPr>
          <w:rFonts w:ascii="Times New Roman" w:hAnsi="Times New Roman"/>
        </w:rPr>
      </w:pPr>
      <w:r>
        <w:rPr>
          <w:rFonts w:ascii="Times New Roman" w:hAnsi="Times New Roman"/>
        </w:rPr>
        <w:t>Na</w:t>
      </w:r>
      <w:r w:rsidRPr="00432A91">
        <w:rPr>
          <w:rFonts w:ascii="Times New Roman" w:hAnsi="Times New Roman"/>
        </w:rPr>
        <w:t xml:space="preserve"> rok 2012 dochádza k zvýšeniu prostriedkov aj pre činnosť ostatných organizácií podporovaných Ministerstvom zdravotníctva SR, napr. príspevok Slovenskej zdravotníckej univerzit</w:t>
      </w:r>
      <w:r>
        <w:rPr>
          <w:rFonts w:ascii="Times New Roman" w:hAnsi="Times New Roman"/>
        </w:rPr>
        <w:t>e</w:t>
      </w:r>
      <w:r w:rsidRPr="00432A91">
        <w:rPr>
          <w:rFonts w:ascii="Times New Roman" w:hAnsi="Times New Roman"/>
        </w:rPr>
        <w:t xml:space="preserve"> o 46,3 %, Slovenské</w:t>
      </w:r>
      <w:r>
        <w:rPr>
          <w:rFonts w:ascii="Times New Roman" w:hAnsi="Times New Roman"/>
        </w:rPr>
        <w:t>mu</w:t>
      </w:r>
      <w:r w:rsidRPr="00432A91">
        <w:rPr>
          <w:rFonts w:ascii="Times New Roman" w:hAnsi="Times New Roman"/>
        </w:rPr>
        <w:t xml:space="preserve"> červené</w:t>
      </w:r>
      <w:r>
        <w:rPr>
          <w:rFonts w:ascii="Times New Roman" w:hAnsi="Times New Roman"/>
        </w:rPr>
        <w:t>mu</w:t>
      </w:r>
      <w:r w:rsidRPr="00432A91">
        <w:rPr>
          <w:rFonts w:ascii="Times New Roman" w:hAnsi="Times New Roman"/>
        </w:rPr>
        <w:t xml:space="preserve"> kríž</w:t>
      </w:r>
      <w:r>
        <w:rPr>
          <w:rFonts w:ascii="Times New Roman" w:hAnsi="Times New Roman"/>
        </w:rPr>
        <w:t>u</w:t>
      </w:r>
      <w:r w:rsidRPr="00432A91">
        <w:rPr>
          <w:rFonts w:ascii="Times New Roman" w:hAnsi="Times New Roman"/>
        </w:rPr>
        <w:t xml:space="preserve"> o 9,00 %</w:t>
      </w:r>
      <w:r>
        <w:rPr>
          <w:rFonts w:ascii="Times New Roman" w:hAnsi="Times New Roman"/>
        </w:rPr>
        <w:t xml:space="preserve"> a</w:t>
      </w:r>
      <w:r w:rsidRPr="00432A91">
        <w:rPr>
          <w:rFonts w:ascii="Times New Roman" w:hAnsi="Times New Roman"/>
        </w:rPr>
        <w:t xml:space="preserve"> Národnému centru zdravotníckych informácií o 8,70 %. </w:t>
      </w:r>
      <w:r>
        <w:rPr>
          <w:rFonts w:ascii="Times New Roman" w:hAnsi="Times New Roman"/>
        </w:rPr>
        <w:t>Na</w:t>
      </w:r>
      <w:r w:rsidRPr="00432A91">
        <w:rPr>
          <w:rFonts w:ascii="Times New Roman" w:hAnsi="Times New Roman"/>
        </w:rPr>
        <w:t xml:space="preserve"> rok 2012 sa zároveň predpokladá pokles výdavkov na vedu a výskum v rezorte zdravotníctva o 47,4 %. </w:t>
      </w:r>
      <w:r w:rsidRPr="00432A91">
        <w:rPr>
          <w:rFonts w:ascii="Times New Roman" w:hAnsi="Times New Roman"/>
          <w:bCs/>
        </w:rPr>
        <w:t>Zároveň do</w:t>
      </w:r>
      <w:r>
        <w:rPr>
          <w:rFonts w:ascii="Times New Roman" w:hAnsi="Times New Roman"/>
          <w:bCs/>
        </w:rPr>
        <w:t>chádza</w:t>
      </w:r>
      <w:r w:rsidRPr="00432A91">
        <w:rPr>
          <w:rFonts w:ascii="Times New Roman" w:hAnsi="Times New Roman"/>
          <w:bCs/>
        </w:rPr>
        <w:t xml:space="preserve"> k účelovému zvýšeniu </w:t>
      </w:r>
      <w:r>
        <w:rPr>
          <w:rFonts w:ascii="Times New Roman" w:hAnsi="Times New Roman"/>
          <w:bCs/>
        </w:rPr>
        <w:t xml:space="preserve">prostriedkov kapitoly na </w:t>
      </w:r>
      <w:r w:rsidRPr="00432A91">
        <w:rPr>
          <w:rFonts w:ascii="Times New Roman" w:hAnsi="Times New Roman"/>
          <w:bCs/>
        </w:rPr>
        <w:t xml:space="preserve">transfer pre Úrad pre dohľad nad zdravotnou starostlivosťou </w:t>
      </w:r>
      <w:r>
        <w:rPr>
          <w:rFonts w:ascii="Times New Roman" w:hAnsi="Times New Roman"/>
          <w:bCs/>
        </w:rPr>
        <w:t>na</w:t>
      </w:r>
      <w:r w:rsidRPr="00432A91">
        <w:rPr>
          <w:rFonts w:ascii="Times New Roman" w:hAnsi="Times New Roman"/>
        </w:rPr>
        <w:t xml:space="preserve"> roky 2012 a 2013, ktorý úrad využije na vlastné spolufinancovanie k prostriedkom EÚ pri realizácií DRG systému.</w:t>
      </w:r>
    </w:p>
    <w:p w:rsidR="00CB350B" w:rsidRPr="00432A91" w:rsidP="00CB350B">
      <w:pPr>
        <w:bidi w:val="0"/>
        <w:ind w:firstLine="709"/>
        <w:jc w:val="both"/>
        <w:rPr>
          <w:rFonts w:ascii="Times New Roman" w:hAnsi="Times New Roman"/>
        </w:rPr>
      </w:pPr>
    </w:p>
    <w:p w:rsidR="00CB350B" w:rsidP="00CB350B">
      <w:pPr>
        <w:bidi w:val="0"/>
        <w:ind w:firstLine="709"/>
        <w:jc w:val="both"/>
        <w:rPr>
          <w:rFonts w:ascii="Times New Roman" w:hAnsi="Times New Roman"/>
        </w:rPr>
      </w:pPr>
      <w:r w:rsidRPr="00432A91">
        <w:rPr>
          <w:rFonts w:ascii="Times New Roman" w:hAnsi="Times New Roman"/>
        </w:rPr>
        <w:t xml:space="preserve">Kapitálové výdavky Ministerstva zdravotníctva SR z prostriedkov </w:t>
      </w:r>
      <w:r>
        <w:rPr>
          <w:rFonts w:ascii="Times New Roman" w:hAnsi="Times New Roman"/>
        </w:rPr>
        <w:t xml:space="preserve">štátneho rozpočtu </w:t>
      </w:r>
      <w:r w:rsidRPr="00432A91">
        <w:rPr>
          <w:rFonts w:ascii="Times New Roman" w:hAnsi="Times New Roman"/>
        </w:rPr>
        <w:t xml:space="preserve">sú </w:t>
      </w:r>
      <w:r>
        <w:rPr>
          <w:rFonts w:ascii="Times New Roman" w:hAnsi="Times New Roman"/>
        </w:rPr>
        <w:t>na</w:t>
      </w:r>
      <w:r w:rsidRPr="00432A91">
        <w:rPr>
          <w:rFonts w:ascii="Times New Roman" w:hAnsi="Times New Roman"/>
        </w:rPr>
        <w:t xml:space="preserve"> roky  2012 až 2014 rozpočtované na rovnakej úrovni ako v schválenom rozpočte na rok 2011, a to vo výške 500 tis. eur. Prostriedky sú určené na financovanie investičných akcií rozpočtových a príspevkových organizácií v pôsobnosti Ministerstva zdravotníctva SR. </w:t>
      </w:r>
    </w:p>
    <w:p w:rsidR="00CB350B" w:rsidRPr="00432A91" w:rsidP="00CB350B">
      <w:pPr>
        <w:bidi w:val="0"/>
        <w:ind w:firstLine="709"/>
        <w:jc w:val="both"/>
        <w:rPr>
          <w:rFonts w:ascii="Times New Roman" w:hAnsi="Times New Roman"/>
        </w:rPr>
      </w:pPr>
    </w:p>
    <w:p w:rsidR="00CB350B" w:rsidP="00CB350B">
      <w:pPr>
        <w:bidi w:val="0"/>
        <w:ind w:firstLine="709"/>
        <w:jc w:val="both"/>
        <w:rPr>
          <w:rFonts w:ascii="Times New Roman" w:hAnsi="Times New Roman"/>
        </w:rPr>
      </w:pPr>
      <w:r w:rsidRPr="001D6D7B">
        <w:rPr>
          <w:rFonts w:ascii="Times New Roman" w:hAnsi="Times New Roman"/>
        </w:rPr>
        <w:t>Nasledujúca tabuľka zobrazuje výdavky Ministerstva zdravotníctva SR z rozpočtových prostriedkov kapitoly na jednotlivé oblasti.</w:t>
      </w:r>
      <w:r w:rsidRPr="00432A91">
        <w:rPr>
          <w:rFonts w:ascii="Times New Roman" w:hAnsi="Times New Roman"/>
        </w:rPr>
        <w:t xml:space="preserve"> </w:t>
      </w:r>
    </w:p>
    <w:p w:rsidR="00CB350B" w:rsidP="00CB350B">
      <w:pPr>
        <w:bidi w:val="0"/>
        <w:ind w:firstLine="709"/>
        <w:jc w:val="both"/>
        <w:rPr>
          <w:rFonts w:ascii="Times New Roman" w:hAnsi="Times New Roman"/>
        </w:rPr>
      </w:pPr>
    </w:p>
    <w:p w:rsidR="00CB350B" w:rsidP="00CB350B">
      <w:pPr>
        <w:bidi w:val="0"/>
        <w:ind w:firstLine="709"/>
        <w:jc w:val="both"/>
        <w:rPr>
          <w:rFonts w:ascii="Times New Roman" w:hAnsi="Times New Roman"/>
        </w:rPr>
      </w:pPr>
    </w:p>
    <w:p w:rsidR="00CB350B" w:rsidP="00CB350B">
      <w:pPr>
        <w:bidi w:val="0"/>
        <w:ind w:firstLine="709"/>
        <w:jc w:val="both"/>
        <w:rPr>
          <w:rFonts w:ascii="Times New Roman" w:hAnsi="Times New Roman"/>
        </w:rPr>
      </w:pPr>
      <w:r>
        <w:rPr>
          <w:rFonts w:ascii="Times New Roman" w:hAnsi="Times New Roman"/>
        </w:rPr>
        <w:br/>
      </w:r>
    </w:p>
    <w:p w:rsidR="00CB350B" w:rsidRPr="00432A91" w:rsidP="00CB350B">
      <w:pPr>
        <w:bidi w:val="0"/>
        <w:ind w:firstLine="709"/>
        <w:jc w:val="both"/>
        <w:rPr>
          <w:rFonts w:ascii="Times New Roman" w:hAnsi="Times New Roman"/>
        </w:rPr>
      </w:pPr>
      <w:r>
        <w:rPr>
          <w:rFonts w:ascii="Times New Roman" w:hAnsi="Times New Roman"/>
        </w:rPr>
        <w:br w:type="page"/>
      </w:r>
    </w:p>
    <w:tbl>
      <w:tblPr>
        <w:tblStyle w:val="TableNormal"/>
        <w:tblW w:w="5000" w:type="pct"/>
        <w:tblCellMar>
          <w:left w:w="70" w:type="dxa"/>
          <w:right w:w="70" w:type="dxa"/>
        </w:tblCellMar>
        <w:tblLook w:val="04A0"/>
      </w:tblPr>
      <w:tblGrid>
        <w:gridCol w:w="3290"/>
        <w:gridCol w:w="845"/>
        <w:gridCol w:w="845"/>
        <w:gridCol w:w="846"/>
        <w:gridCol w:w="846"/>
        <w:gridCol w:w="846"/>
        <w:gridCol w:w="846"/>
        <w:gridCol w:w="848"/>
      </w:tblGrid>
      <w:tr>
        <w:tblPrEx>
          <w:tblW w:w="5000" w:type="pct"/>
          <w:tblCellMar>
            <w:left w:w="70" w:type="dxa"/>
            <w:right w:w="70" w:type="dxa"/>
          </w:tblCellMar>
          <w:tblLook w:val="04A0"/>
        </w:tblPrEx>
        <w:trPr>
          <w:trHeight w:val="227"/>
        </w:trPr>
        <w:tc>
          <w:tcPr>
            <w:tcW w:w="1786"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b/>
                <w:sz w:val="14"/>
                <w:szCs w:val="14"/>
              </w:rPr>
            </w:pPr>
            <w:r w:rsidRPr="001D4A5A">
              <w:rPr>
                <w:rFonts w:ascii="Times New Roman" w:hAnsi="Times New Roman"/>
                <w:b/>
                <w:sz w:val="14"/>
                <w:szCs w:val="14"/>
              </w:rPr>
              <w:t>v eurách</w:t>
            </w:r>
          </w:p>
        </w:tc>
        <w:tc>
          <w:tcPr>
            <w:tcW w:w="459"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b/>
                <w:bCs/>
                <w:sz w:val="14"/>
                <w:szCs w:val="14"/>
              </w:rPr>
            </w:pPr>
            <w:r w:rsidRPr="001D4A5A">
              <w:rPr>
                <w:rFonts w:ascii="Times New Roman" w:hAnsi="Times New Roman"/>
                <w:b/>
                <w:bCs/>
                <w:sz w:val="14"/>
                <w:szCs w:val="14"/>
              </w:rPr>
              <w:t>2009 S*</w:t>
            </w:r>
          </w:p>
        </w:tc>
        <w:tc>
          <w:tcPr>
            <w:tcW w:w="459"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b/>
                <w:bCs/>
                <w:sz w:val="14"/>
                <w:szCs w:val="14"/>
              </w:rPr>
            </w:pPr>
            <w:r w:rsidRPr="001D4A5A">
              <w:rPr>
                <w:rFonts w:ascii="Times New Roman" w:hAnsi="Times New Roman"/>
                <w:b/>
                <w:bCs/>
                <w:sz w:val="14"/>
                <w:szCs w:val="14"/>
              </w:rPr>
              <w:t>2010 S</w:t>
            </w:r>
          </w:p>
        </w:tc>
        <w:tc>
          <w:tcPr>
            <w:tcW w:w="459"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b/>
                <w:bCs/>
                <w:sz w:val="14"/>
                <w:szCs w:val="14"/>
              </w:rPr>
            </w:pPr>
            <w:r w:rsidRPr="001D4A5A">
              <w:rPr>
                <w:rFonts w:ascii="Times New Roman" w:hAnsi="Times New Roman"/>
                <w:b/>
                <w:bCs/>
                <w:sz w:val="14"/>
                <w:szCs w:val="14"/>
              </w:rPr>
              <w:t>2011 R</w:t>
            </w:r>
          </w:p>
        </w:tc>
        <w:tc>
          <w:tcPr>
            <w:tcW w:w="459"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b/>
                <w:bCs/>
                <w:sz w:val="14"/>
                <w:szCs w:val="14"/>
              </w:rPr>
            </w:pPr>
            <w:r w:rsidRPr="001D4A5A">
              <w:rPr>
                <w:rFonts w:ascii="Times New Roman" w:hAnsi="Times New Roman"/>
                <w:b/>
                <w:bCs/>
                <w:sz w:val="14"/>
                <w:szCs w:val="14"/>
              </w:rPr>
              <w:t>2011 OS</w:t>
            </w:r>
          </w:p>
        </w:tc>
        <w:tc>
          <w:tcPr>
            <w:tcW w:w="459"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b/>
                <w:bCs/>
                <w:sz w:val="14"/>
                <w:szCs w:val="14"/>
              </w:rPr>
            </w:pPr>
            <w:r w:rsidRPr="001D4A5A">
              <w:rPr>
                <w:rFonts w:ascii="Times New Roman" w:hAnsi="Times New Roman"/>
                <w:b/>
                <w:bCs/>
                <w:sz w:val="14"/>
                <w:szCs w:val="14"/>
              </w:rPr>
              <w:t>2012 N</w:t>
            </w:r>
          </w:p>
        </w:tc>
        <w:tc>
          <w:tcPr>
            <w:tcW w:w="459"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b/>
                <w:bCs/>
                <w:sz w:val="14"/>
                <w:szCs w:val="14"/>
              </w:rPr>
            </w:pPr>
            <w:r w:rsidRPr="001D4A5A">
              <w:rPr>
                <w:rFonts w:ascii="Times New Roman" w:hAnsi="Times New Roman"/>
                <w:b/>
                <w:bCs/>
                <w:sz w:val="14"/>
                <w:szCs w:val="14"/>
              </w:rPr>
              <w:t>2013 N</w:t>
            </w:r>
          </w:p>
        </w:tc>
        <w:tc>
          <w:tcPr>
            <w:tcW w:w="460"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b/>
                <w:bCs/>
                <w:sz w:val="14"/>
                <w:szCs w:val="14"/>
              </w:rPr>
            </w:pPr>
            <w:r w:rsidRPr="001D4A5A">
              <w:rPr>
                <w:rFonts w:ascii="Times New Roman" w:hAnsi="Times New Roman"/>
                <w:b/>
                <w:bCs/>
                <w:sz w:val="14"/>
                <w:szCs w:val="14"/>
              </w:rPr>
              <w:t>2014 N</w:t>
            </w:r>
          </w:p>
        </w:tc>
      </w:tr>
      <w:tr>
        <w:tblPrEx>
          <w:tblW w:w="5000" w:type="pct"/>
          <w:tblCellMar>
            <w:left w:w="70" w:type="dxa"/>
            <w:right w:w="70" w:type="dxa"/>
          </w:tblCellMar>
          <w:tblLook w:val="04A0"/>
        </w:tblPrEx>
        <w:trPr>
          <w:trHeight w:val="225"/>
        </w:trPr>
        <w:tc>
          <w:tcPr>
            <w:tcW w:w="1786"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b/>
                <w:bCs/>
                <w:sz w:val="14"/>
                <w:szCs w:val="14"/>
              </w:rPr>
            </w:pPr>
            <w:r w:rsidRPr="001D4A5A">
              <w:rPr>
                <w:rFonts w:ascii="Times New Roman" w:hAnsi="Times New Roman"/>
                <w:b/>
                <w:bCs/>
                <w:sz w:val="14"/>
                <w:szCs w:val="14"/>
              </w:rPr>
              <w:t>Výdavky kapi</w:t>
            </w:r>
            <w:r>
              <w:rPr>
                <w:rFonts w:ascii="Times New Roman" w:hAnsi="Times New Roman"/>
                <w:b/>
                <w:bCs/>
                <w:sz w:val="14"/>
                <w:szCs w:val="14"/>
              </w:rPr>
              <w:t>toly na činnosť spolu</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b/>
                <w:bCs/>
                <w:sz w:val="14"/>
                <w:szCs w:val="14"/>
              </w:rPr>
            </w:pPr>
            <w:r w:rsidRPr="001D4A5A">
              <w:rPr>
                <w:rFonts w:ascii="Times New Roman" w:hAnsi="Times New Roman"/>
                <w:b/>
                <w:bCs/>
                <w:sz w:val="14"/>
                <w:szCs w:val="14"/>
              </w:rPr>
              <w:t>91 924 342</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b/>
                <w:bCs/>
                <w:sz w:val="14"/>
                <w:szCs w:val="14"/>
              </w:rPr>
            </w:pPr>
            <w:r w:rsidRPr="001D4A5A">
              <w:rPr>
                <w:rFonts w:ascii="Times New Roman" w:hAnsi="Times New Roman"/>
                <w:b/>
                <w:bCs/>
                <w:sz w:val="14"/>
                <w:szCs w:val="14"/>
              </w:rPr>
              <w:t>66 538 352</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b/>
                <w:bCs/>
                <w:sz w:val="14"/>
                <w:szCs w:val="14"/>
              </w:rPr>
            </w:pPr>
            <w:r w:rsidRPr="001D4A5A">
              <w:rPr>
                <w:rFonts w:ascii="Times New Roman" w:hAnsi="Times New Roman"/>
                <w:b/>
                <w:bCs/>
                <w:sz w:val="14"/>
                <w:szCs w:val="14"/>
              </w:rPr>
              <w:t>56 640 541</w:t>
            </w:r>
          </w:p>
        </w:tc>
        <w:tc>
          <w:tcPr>
            <w:tcW w:w="459" w:type="pct"/>
            <w:tcBorders>
              <w:top w:val="nil"/>
              <w:left w:val="nil"/>
              <w:bottom w:val="single" w:sz="4" w:space="0" w:color="auto"/>
              <w:right w:val="single" w:sz="4" w:space="0" w:color="auto"/>
            </w:tcBorders>
            <w:noWrap/>
            <w:textDirection w:val="lrTb"/>
            <w:vAlign w:val="bottom"/>
            <w:hideMark/>
          </w:tcPr>
          <w:p w:rsidR="00CB350B" w:rsidRPr="003811CE" w:rsidP="00257E12">
            <w:pPr>
              <w:bidi w:val="0"/>
              <w:jc w:val="right"/>
              <w:rPr>
                <w:rFonts w:ascii="Times New Roman" w:hAnsi="Times New Roman"/>
                <w:b/>
                <w:bCs/>
                <w:sz w:val="14"/>
                <w:szCs w:val="14"/>
              </w:rPr>
            </w:pPr>
            <w:r w:rsidRPr="003811CE">
              <w:rPr>
                <w:rFonts w:ascii="Times New Roman" w:hAnsi="Times New Roman"/>
                <w:b/>
                <w:bCs/>
                <w:sz w:val="14"/>
                <w:szCs w:val="14"/>
              </w:rPr>
              <w:t>60 423 672</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b/>
                <w:bCs/>
                <w:sz w:val="14"/>
                <w:szCs w:val="14"/>
              </w:rPr>
            </w:pPr>
            <w:r w:rsidRPr="00CE5BD8">
              <w:rPr>
                <w:rFonts w:ascii="Times New Roman" w:hAnsi="Times New Roman"/>
                <w:b/>
                <w:bCs/>
                <w:sz w:val="14"/>
                <w:szCs w:val="14"/>
              </w:rPr>
              <w:t>57 739 940</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b/>
                <w:bCs/>
                <w:sz w:val="14"/>
                <w:szCs w:val="14"/>
              </w:rPr>
            </w:pPr>
            <w:r w:rsidRPr="00CE5BD8">
              <w:rPr>
                <w:rFonts w:ascii="Times New Roman" w:hAnsi="Times New Roman"/>
                <w:b/>
                <w:bCs/>
                <w:sz w:val="14"/>
                <w:szCs w:val="14"/>
              </w:rPr>
              <w:t>57 948 278</w:t>
            </w:r>
          </w:p>
        </w:tc>
        <w:tc>
          <w:tcPr>
            <w:tcW w:w="460"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b/>
                <w:bCs/>
                <w:sz w:val="14"/>
                <w:szCs w:val="14"/>
              </w:rPr>
            </w:pPr>
            <w:r w:rsidRPr="00CE5BD8">
              <w:rPr>
                <w:rFonts w:ascii="Times New Roman" w:hAnsi="Times New Roman"/>
                <w:b/>
                <w:bCs/>
                <w:sz w:val="14"/>
                <w:szCs w:val="14"/>
              </w:rPr>
              <w:t>57 554 992</w:t>
            </w:r>
          </w:p>
        </w:tc>
      </w:tr>
      <w:tr>
        <w:tblPrEx>
          <w:tblW w:w="5000" w:type="pct"/>
          <w:tblCellMar>
            <w:left w:w="70" w:type="dxa"/>
            <w:right w:w="70" w:type="dxa"/>
          </w:tblCellMar>
          <w:tblLook w:val="04A0"/>
        </w:tblPrEx>
        <w:trPr>
          <w:trHeight w:val="225"/>
        </w:trPr>
        <w:tc>
          <w:tcPr>
            <w:tcW w:w="1786"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b/>
                <w:bCs/>
                <w:sz w:val="14"/>
                <w:szCs w:val="14"/>
              </w:rPr>
            </w:pPr>
            <w:r w:rsidRPr="001D4A5A">
              <w:rPr>
                <w:rFonts w:ascii="Times New Roman" w:hAnsi="Times New Roman"/>
                <w:b/>
                <w:bCs/>
                <w:sz w:val="14"/>
                <w:szCs w:val="14"/>
              </w:rPr>
              <w:t>B</w:t>
            </w:r>
            <w:r>
              <w:rPr>
                <w:rFonts w:ascii="Times New Roman" w:hAnsi="Times New Roman"/>
                <w:b/>
                <w:bCs/>
                <w:sz w:val="14"/>
                <w:szCs w:val="14"/>
              </w:rPr>
              <w:t>ežné výdavky kapitoly</w:t>
            </w:r>
            <w:r w:rsidRPr="001D4A5A">
              <w:rPr>
                <w:rFonts w:ascii="Times New Roman" w:hAnsi="Times New Roman"/>
                <w:b/>
                <w:bCs/>
                <w:sz w:val="14"/>
                <w:szCs w:val="14"/>
              </w:rPr>
              <w:t>, z toho:</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b/>
                <w:bCs/>
                <w:sz w:val="14"/>
                <w:szCs w:val="14"/>
              </w:rPr>
            </w:pPr>
            <w:r w:rsidRPr="001D4A5A">
              <w:rPr>
                <w:rFonts w:ascii="Times New Roman" w:hAnsi="Times New Roman"/>
                <w:b/>
                <w:bCs/>
                <w:sz w:val="14"/>
                <w:szCs w:val="14"/>
              </w:rPr>
              <w:t>67 066 280</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b/>
                <w:bCs/>
                <w:sz w:val="14"/>
                <w:szCs w:val="14"/>
              </w:rPr>
            </w:pPr>
            <w:r w:rsidRPr="001D4A5A">
              <w:rPr>
                <w:rFonts w:ascii="Times New Roman" w:hAnsi="Times New Roman"/>
                <w:b/>
                <w:bCs/>
                <w:sz w:val="14"/>
                <w:szCs w:val="14"/>
              </w:rPr>
              <w:t>60 807 586</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b/>
                <w:bCs/>
                <w:sz w:val="14"/>
                <w:szCs w:val="14"/>
              </w:rPr>
            </w:pPr>
            <w:r w:rsidRPr="001D4A5A">
              <w:rPr>
                <w:rFonts w:ascii="Times New Roman" w:hAnsi="Times New Roman"/>
                <w:b/>
                <w:bCs/>
                <w:sz w:val="14"/>
                <w:szCs w:val="14"/>
              </w:rPr>
              <w:t>56 140 541</w:t>
            </w:r>
          </w:p>
        </w:tc>
        <w:tc>
          <w:tcPr>
            <w:tcW w:w="459" w:type="pct"/>
            <w:tcBorders>
              <w:top w:val="nil"/>
              <w:left w:val="nil"/>
              <w:bottom w:val="single" w:sz="4" w:space="0" w:color="auto"/>
              <w:right w:val="single" w:sz="4" w:space="0" w:color="auto"/>
            </w:tcBorders>
            <w:noWrap/>
            <w:textDirection w:val="lrTb"/>
            <w:vAlign w:val="bottom"/>
            <w:hideMark/>
          </w:tcPr>
          <w:p w:rsidR="00CB350B" w:rsidRPr="003811CE" w:rsidP="00257E12">
            <w:pPr>
              <w:bidi w:val="0"/>
              <w:jc w:val="right"/>
              <w:rPr>
                <w:rFonts w:ascii="Times New Roman" w:hAnsi="Times New Roman"/>
                <w:b/>
                <w:bCs/>
                <w:sz w:val="14"/>
                <w:szCs w:val="14"/>
              </w:rPr>
            </w:pPr>
            <w:r w:rsidRPr="003811CE">
              <w:rPr>
                <w:rFonts w:ascii="Times New Roman" w:hAnsi="Times New Roman"/>
                <w:b/>
                <w:bCs/>
                <w:sz w:val="14"/>
                <w:szCs w:val="14"/>
              </w:rPr>
              <w:t>58 423 672</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b/>
                <w:bCs/>
                <w:sz w:val="14"/>
                <w:szCs w:val="14"/>
              </w:rPr>
            </w:pPr>
            <w:r w:rsidRPr="00CE5BD8">
              <w:rPr>
                <w:rFonts w:ascii="Times New Roman" w:hAnsi="Times New Roman"/>
                <w:b/>
                <w:bCs/>
                <w:sz w:val="14"/>
                <w:szCs w:val="14"/>
              </w:rPr>
              <w:t>57 239 940</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b/>
                <w:bCs/>
                <w:sz w:val="14"/>
                <w:szCs w:val="14"/>
              </w:rPr>
            </w:pPr>
            <w:r w:rsidRPr="00CE5BD8">
              <w:rPr>
                <w:rFonts w:ascii="Times New Roman" w:hAnsi="Times New Roman"/>
                <w:b/>
                <w:bCs/>
                <w:sz w:val="14"/>
                <w:szCs w:val="14"/>
              </w:rPr>
              <w:t>57 448 278</w:t>
            </w:r>
          </w:p>
        </w:tc>
        <w:tc>
          <w:tcPr>
            <w:tcW w:w="460"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b/>
                <w:bCs/>
                <w:sz w:val="14"/>
                <w:szCs w:val="14"/>
              </w:rPr>
            </w:pPr>
            <w:r w:rsidRPr="00CE5BD8">
              <w:rPr>
                <w:rFonts w:ascii="Times New Roman" w:hAnsi="Times New Roman"/>
                <w:b/>
                <w:bCs/>
                <w:sz w:val="14"/>
                <w:szCs w:val="14"/>
              </w:rPr>
              <w:t>57 054 992</w:t>
            </w:r>
          </w:p>
        </w:tc>
      </w:tr>
      <w:tr>
        <w:tblPrEx>
          <w:tblW w:w="5000" w:type="pct"/>
          <w:tblCellMar>
            <w:left w:w="70" w:type="dxa"/>
            <w:right w:w="70" w:type="dxa"/>
          </w:tblCellMar>
          <w:tblLook w:val="04A0"/>
        </w:tblPrEx>
        <w:trPr>
          <w:trHeight w:val="225"/>
        </w:trPr>
        <w:tc>
          <w:tcPr>
            <w:tcW w:w="1786"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sz w:val="14"/>
                <w:szCs w:val="14"/>
              </w:rPr>
            </w:pPr>
            <w:r w:rsidRPr="001D4A5A">
              <w:rPr>
                <w:rFonts w:ascii="Times New Roman" w:hAnsi="Times New Roman"/>
                <w:sz w:val="14"/>
                <w:szCs w:val="14"/>
              </w:rPr>
              <w:t>ÚVZ a RÚVZ (RO)</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35 340 821</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34 492 226</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30 487 663</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30 942 504</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31 472 041</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31 472 041</w:t>
            </w:r>
          </w:p>
        </w:tc>
        <w:tc>
          <w:tcPr>
            <w:tcW w:w="460"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31 472 041</w:t>
            </w:r>
          </w:p>
        </w:tc>
      </w:tr>
      <w:tr>
        <w:tblPrEx>
          <w:tblW w:w="5000" w:type="pct"/>
          <w:tblCellMar>
            <w:left w:w="70" w:type="dxa"/>
            <w:right w:w="70" w:type="dxa"/>
          </w:tblCellMar>
          <w:tblLook w:val="04A0"/>
        </w:tblPrEx>
        <w:trPr>
          <w:trHeight w:val="225"/>
        </w:trPr>
        <w:tc>
          <w:tcPr>
            <w:tcW w:w="1786"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sz w:val="14"/>
                <w:szCs w:val="14"/>
              </w:rPr>
            </w:pPr>
            <w:r w:rsidRPr="001D4A5A">
              <w:rPr>
                <w:rFonts w:ascii="Times New Roman" w:hAnsi="Times New Roman"/>
                <w:sz w:val="14"/>
                <w:szCs w:val="14"/>
              </w:rPr>
              <w:t>Štátny ústav pre kontrolu liečiv (RO)</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4 304 147</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4 240 332</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3 785 497</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3 824 227</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3 818 370</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3 812 420</w:t>
            </w:r>
          </w:p>
        </w:tc>
        <w:tc>
          <w:tcPr>
            <w:tcW w:w="460"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3 812 420</w:t>
            </w:r>
          </w:p>
        </w:tc>
      </w:tr>
      <w:tr>
        <w:tblPrEx>
          <w:tblW w:w="5000" w:type="pct"/>
          <w:tblCellMar>
            <w:left w:w="70" w:type="dxa"/>
            <w:right w:w="70" w:type="dxa"/>
          </w:tblCellMar>
          <w:tblLook w:val="04A0"/>
        </w:tblPrEx>
        <w:trPr>
          <w:trHeight w:val="225"/>
        </w:trPr>
        <w:tc>
          <w:tcPr>
            <w:tcW w:w="1786"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sz w:val="14"/>
                <w:szCs w:val="14"/>
              </w:rPr>
            </w:pPr>
            <w:r w:rsidRPr="001D4A5A">
              <w:rPr>
                <w:rFonts w:ascii="Times New Roman" w:hAnsi="Times New Roman"/>
                <w:sz w:val="14"/>
                <w:szCs w:val="14"/>
              </w:rPr>
              <w:t>Národné centrum zdravotníckych informácií (PO)</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3 314 293</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3 382 406</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2 300 000</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2 374 400</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2 500 000</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2 500 000</w:t>
            </w:r>
          </w:p>
        </w:tc>
        <w:tc>
          <w:tcPr>
            <w:tcW w:w="460"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2 500 000</w:t>
            </w:r>
          </w:p>
        </w:tc>
      </w:tr>
      <w:tr>
        <w:tblPrEx>
          <w:tblW w:w="5000" w:type="pct"/>
          <w:tblCellMar>
            <w:left w:w="70" w:type="dxa"/>
            <w:right w:w="70" w:type="dxa"/>
          </w:tblCellMar>
          <w:tblLook w:val="04A0"/>
        </w:tblPrEx>
        <w:trPr>
          <w:trHeight w:val="225"/>
        </w:trPr>
        <w:tc>
          <w:tcPr>
            <w:tcW w:w="1786"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sz w:val="14"/>
                <w:szCs w:val="14"/>
              </w:rPr>
            </w:pPr>
            <w:r w:rsidRPr="001D4A5A">
              <w:rPr>
                <w:rFonts w:ascii="Times New Roman" w:hAnsi="Times New Roman"/>
                <w:sz w:val="14"/>
                <w:szCs w:val="14"/>
              </w:rPr>
              <w:t>Slovenská zdravotnícka univerzita (PO)</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6 512 815</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7 243 604</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4 000 000</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4 000 000</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5 851 710</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8 454 374</w:t>
            </w:r>
          </w:p>
        </w:tc>
        <w:tc>
          <w:tcPr>
            <w:tcW w:w="460"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8 356 355</w:t>
            </w:r>
          </w:p>
        </w:tc>
      </w:tr>
      <w:tr>
        <w:tblPrEx>
          <w:tblW w:w="5000" w:type="pct"/>
          <w:tblCellMar>
            <w:left w:w="70" w:type="dxa"/>
            <w:right w:w="70" w:type="dxa"/>
          </w:tblCellMar>
          <w:tblLook w:val="04A0"/>
        </w:tblPrEx>
        <w:trPr>
          <w:trHeight w:val="225"/>
        </w:trPr>
        <w:tc>
          <w:tcPr>
            <w:tcW w:w="1786"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sz w:val="14"/>
                <w:szCs w:val="14"/>
              </w:rPr>
            </w:pPr>
            <w:r w:rsidRPr="001D4A5A">
              <w:rPr>
                <w:rFonts w:ascii="Times New Roman" w:hAnsi="Times New Roman"/>
                <w:sz w:val="14"/>
                <w:szCs w:val="14"/>
              </w:rPr>
              <w:t>Toxikologické centrum</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162 185</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150 000</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40 000</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105 000</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40 000</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40 000</w:t>
            </w:r>
          </w:p>
        </w:tc>
        <w:tc>
          <w:tcPr>
            <w:tcW w:w="460"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40 000</w:t>
            </w:r>
          </w:p>
        </w:tc>
      </w:tr>
      <w:tr>
        <w:tblPrEx>
          <w:tblW w:w="5000" w:type="pct"/>
          <w:tblCellMar>
            <w:left w:w="70" w:type="dxa"/>
            <w:right w:w="70" w:type="dxa"/>
          </w:tblCellMar>
          <w:tblLook w:val="04A0"/>
        </w:tblPrEx>
        <w:trPr>
          <w:trHeight w:val="225"/>
        </w:trPr>
        <w:tc>
          <w:tcPr>
            <w:tcW w:w="1786"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sz w:val="14"/>
                <w:szCs w:val="14"/>
              </w:rPr>
            </w:pPr>
            <w:r w:rsidRPr="001D4A5A">
              <w:rPr>
                <w:rFonts w:ascii="Times New Roman" w:hAnsi="Times New Roman"/>
                <w:sz w:val="14"/>
                <w:szCs w:val="14"/>
              </w:rPr>
              <w:t>Centrum pre liečbu drogových závislostí</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34 356</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47 207</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30 000</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80 000</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30 000</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30 000</w:t>
            </w:r>
          </w:p>
        </w:tc>
        <w:tc>
          <w:tcPr>
            <w:tcW w:w="460"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30 000</w:t>
            </w:r>
          </w:p>
        </w:tc>
      </w:tr>
      <w:tr>
        <w:tblPrEx>
          <w:tblW w:w="5000" w:type="pct"/>
          <w:tblCellMar>
            <w:left w:w="70" w:type="dxa"/>
            <w:right w:w="70" w:type="dxa"/>
          </w:tblCellMar>
          <w:tblLook w:val="04A0"/>
        </w:tblPrEx>
        <w:trPr>
          <w:trHeight w:val="225"/>
        </w:trPr>
        <w:tc>
          <w:tcPr>
            <w:tcW w:w="1786"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sz w:val="14"/>
                <w:szCs w:val="14"/>
              </w:rPr>
            </w:pPr>
            <w:r w:rsidRPr="001D4A5A">
              <w:rPr>
                <w:rFonts w:ascii="Times New Roman" w:hAnsi="Times New Roman"/>
                <w:sz w:val="14"/>
                <w:szCs w:val="14"/>
              </w:rPr>
              <w:t>Slovenský Červený kríž</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1 161 190</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1 000 000</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800 000</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700 000</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871 992</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871 992</w:t>
            </w:r>
          </w:p>
        </w:tc>
        <w:tc>
          <w:tcPr>
            <w:tcW w:w="460"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871 992</w:t>
            </w:r>
          </w:p>
        </w:tc>
      </w:tr>
      <w:tr>
        <w:tblPrEx>
          <w:tblW w:w="5000" w:type="pct"/>
          <w:tblCellMar>
            <w:left w:w="70" w:type="dxa"/>
            <w:right w:w="70" w:type="dxa"/>
          </w:tblCellMar>
          <w:tblLook w:val="04A0"/>
        </w:tblPrEx>
        <w:trPr>
          <w:trHeight w:hRule="exact" w:val="340"/>
        </w:trPr>
        <w:tc>
          <w:tcPr>
            <w:tcW w:w="1786" w:type="pct"/>
            <w:tcBorders>
              <w:top w:val="nil"/>
              <w:left w:val="single" w:sz="4" w:space="0" w:color="auto"/>
              <w:bottom w:val="single" w:sz="4" w:space="0" w:color="auto"/>
              <w:right w:val="single" w:sz="4" w:space="0" w:color="auto"/>
            </w:tcBorders>
            <w:textDirection w:val="lrTb"/>
            <w:vAlign w:val="bottom"/>
            <w:hideMark/>
          </w:tcPr>
          <w:p w:rsidR="00CB350B" w:rsidRPr="001D4A5A" w:rsidP="00257E12">
            <w:pPr>
              <w:bidi w:val="0"/>
              <w:rPr>
                <w:rFonts w:ascii="Times New Roman" w:hAnsi="Times New Roman"/>
                <w:color w:val="000000"/>
                <w:sz w:val="14"/>
                <w:szCs w:val="14"/>
              </w:rPr>
            </w:pPr>
            <w:r w:rsidRPr="001D4A5A">
              <w:rPr>
                <w:rFonts w:ascii="Times New Roman" w:hAnsi="Times New Roman"/>
                <w:color w:val="000000"/>
                <w:sz w:val="14"/>
                <w:szCs w:val="14"/>
              </w:rPr>
              <w:t>náhrada nákladov VšZP za ZS poskytnutú nepoisteným osobám (bezdomovci, iní nepoistení)</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79 289</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109 527</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199 165</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199 165</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199 165</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199 165</w:t>
            </w:r>
          </w:p>
        </w:tc>
        <w:tc>
          <w:tcPr>
            <w:tcW w:w="460"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199 165</w:t>
            </w:r>
          </w:p>
        </w:tc>
      </w:tr>
      <w:tr>
        <w:tblPrEx>
          <w:tblW w:w="5000" w:type="pct"/>
          <w:tblCellMar>
            <w:left w:w="70" w:type="dxa"/>
            <w:right w:w="70" w:type="dxa"/>
          </w:tblCellMar>
          <w:tblLook w:val="04A0"/>
        </w:tblPrEx>
        <w:trPr>
          <w:trHeight w:val="225"/>
        </w:trPr>
        <w:tc>
          <w:tcPr>
            <w:tcW w:w="1786"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sz w:val="14"/>
                <w:szCs w:val="14"/>
              </w:rPr>
            </w:pPr>
            <w:r w:rsidRPr="001D4A5A">
              <w:rPr>
                <w:rFonts w:ascii="Times New Roman" w:hAnsi="Times New Roman"/>
                <w:sz w:val="14"/>
                <w:szCs w:val="14"/>
              </w:rPr>
              <w:t>podpora vedy a výskumu</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776 658</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831 794</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1 901 300</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1 500 000</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1 000 000</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2 000 000</w:t>
            </w:r>
          </w:p>
        </w:tc>
        <w:tc>
          <w:tcPr>
            <w:tcW w:w="460"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2 000 000</w:t>
            </w:r>
          </w:p>
        </w:tc>
      </w:tr>
      <w:tr>
        <w:tblPrEx>
          <w:tblW w:w="5000" w:type="pct"/>
          <w:tblCellMar>
            <w:left w:w="70" w:type="dxa"/>
            <w:right w:w="70" w:type="dxa"/>
          </w:tblCellMar>
          <w:tblLook w:val="04A0"/>
        </w:tblPrEx>
        <w:trPr>
          <w:trHeight w:val="225"/>
        </w:trPr>
        <w:tc>
          <w:tcPr>
            <w:tcW w:w="1786"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sz w:val="14"/>
                <w:szCs w:val="14"/>
              </w:rPr>
            </w:pPr>
            <w:r w:rsidRPr="001D4A5A">
              <w:rPr>
                <w:rFonts w:ascii="Times New Roman" w:hAnsi="Times New Roman"/>
                <w:sz w:val="14"/>
                <w:szCs w:val="14"/>
              </w:rPr>
              <w:t>plnenie programu eHealth</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3 871 824</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975 963</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700 000</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0</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0</w:t>
            </w:r>
          </w:p>
        </w:tc>
        <w:tc>
          <w:tcPr>
            <w:tcW w:w="460"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0</w:t>
            </w:r>
          </w:p>
        </w:tc>
      </w:tr>
      <w:tr>
        <w:tblPrEx>
          <w:tblW w:w="5000" w:type="pct"/>
          <w:tblCellMar>
            <w:left w:w="70" w:type="dxa"/>
            <w:right w:w="70" w:type="dxa"/>
          </w:tblCellMar>
          <w:tblLook w:val="04A0"/>
        </w:tblPrEx>
        <w:trPr>
          <w:trHeight w:val="225"/>
        </w:trPr>
        <w:tc>
          <w:tcPr>
            <w:tcW w:w="1786" w:type="pct"/>
            <w:tcBorders>
              <w:top w:val="nil"/>
              <w:left w:val="single" w:sz="4" w:space="0" w:color="auto"/>
              <w:bottom w:val="single" w:sz="4" w:space="0" w:color="auto"/>
              <w:right w:val="single" w:sz="4" w:space="0" w:color="auto"/>
            </w:tcBorders>
            <w:noWrap/>
            <w:textDirection w:val="lrTb"/>
            <w:vAlign w:val="bottom"/>
            <w:hideMark/>
          </w:tcPr>
          <w:p w:rsidR="00CB350B" w:rsidRPr="009E1582" w:rsidP="00257E12">
            <w:pPr>
              <w:bidi w:val="0"/>
              <w:rPr>
                <w:rFonts w:ascii="Times New Roman" w:hAnsi="Times New Roman"/>
                <w:sz w:val="14"/>
                <w:szCs w:val="14"/>
              </w:rPr>
            </w:pPr>
            <w:r w:rsidRPr="009E1582">
              <w:rPr>
                <w:rFonts w:ascii="Times New Roman" w:hAnsi="Times New Roman"/>
                <w:sz w:val="14"/>
                <w:szCs w:val="14"/>
              </w:rPr>
              <w:t>ostatné výdavky aparátu, z toho:</w:t>
            </w:r>
          </w:p>
        </w:tc>
        <w:tc>
          <w:tcPr>
            <w:tcW w:w="459" w:type="pct"/>
            <w:tcBorders>
              <w:top w:val="nil"/>
              <w:left w:val="nil"/>
              <w:bottom w:val="single" w:sz="4" w:space="0" w:color="auto"/>
              <w:right w:val="single" w:sz="4" w:space="0" w:color="auto"/>
            </w:tcBorders>
            <w:noWrap/>
            <w:textDirection w:val="lrTb"/>
            <w:vAlign w:val="bottom"/>
            <w:hideMark/>
          </w:tcPr>
          <w:p w:rsidR="00CB350B" w:rsidRPr="009E1582" w:rsidP="00257E12">
            <w:pPr>
              <w:bidi w:val="0"/>
              <w:jc w:val="right"/>
              <w:rPr>
                <w:rFonts w:ascii="Times New Roman" w:hAnsi="Times New Roman"/>
                <w:sz w:val="14"/>
                <w:szCs w:val="14"/>
              </w:rPr>
            </w:pPr>
            <w:r w:rsidRPr="009E1582">
              <w:rPr>
                <w:rFonts w:ascii="Times New Roman" w:hAnsi="Times New Roman"/>
                <w:sz w:val="14"/>
                <w:szCs w:val="14"/>
              </w:rPr>
              <w:t>11 508 702</w:t>
            </w:r>
          </w:p>
        </w:tc>
        <w:tc>
          <w:tcPr>
            <w:tcW w:w="459" w:type="pct"/>
            <w:tcBorders>
              <w:top w:val="nil"/>
              <w:left w:val="nil"/>
              <w:bottom w:val="single" w:sz="4" w:space="0" w:color="auto"/>
              <w:right w:val="single" w:sz="4" w:space="0" w:color="auto"/>
            </w:tcBorders>
            <w:noWrap/>
            <w:textDirection w:val="lrTb"/>
            <w:vAlign w:val="bottom"/>
            <w:hideMark/>
          </w:tcPr>
          <w:p w:rsidR="00CB350B" w:rsidRPr="009E1582" w:rsidP="00257E12">
            <w:pPr>
              <w:bidi w:val="0"/>
              <w:jc w:val="right"/>
              <w:rPr>
                <w:rFonts w:ascii="Times New Roman" w:hAnsi="Times New Roman"/>
                <w:sz w:val="14"/>
                <w:szCs w:val="14"/>
              </w:rPr>
            </w:pPr>
            <w:r w:rsidRPr="009E1582">
              <w:rPr>
                <w:rFonts w:ascii="Times New Roman" w:hAnsi="Times New Roman"/>
                <w:sz w:val="14"/>
                <w:szCs w:val="14"/>
              </w:rPr>
              <w:t>8 334 527</w:t>
            </w:r>
          </w:p>
        </w:tc>
        <w:tc>
          <w:tcPr>
            <w:tcW w:w="459" w:type="pct"/>
            <w:tcBorders>
              <w:top w:val="nil"/>
              <w:left w:val="nil"/>
              <w:bottom w:val="single" w:sz="4" w:space="0" w:color="auto"/>
              <w:right w:val="single" w:sz="4" w:space="0" w:color="auto"/>
            </w:tcBorders>
            <w:noWrap/>
            <w:textDirection w:val="lrTb"/>
            <w:vAlign w:val="bottom"/>
            <w:hideMark/>
          </w:tcPr>
          <w:p w:rsidR="00CB350B" w:rsidRPr="009E1582" w:rsidP="00257E12">
            <w:pPr>
              <w:bidi w:val="0"/>
              <w:jc w:val="right"/>
              <w:rPr>
                <w:rFonts w:ascii="Times New Roman" w:hAnsi="Times New Roman"/>
                <w:sz w:val="14"/>
                <w:szCs w:val="14"/>
              </w:rPr>
            </w:pPr>
            <w:r w:rsidRPr="009E1582">
              <w:rPr>
                <w:rFonts w:ascii="Times New Roman" w:hAnsi="Times New Roman"/>
                <w:sz w:val="14"/>
                <w:szCs w:val="14"/>
              </w:rPr>
              <w:t>12 596 916</w:t>
            </w:r>
          </w:p>
        </w:tc>
        <w:tc>
          <w:tcPr>
            <w:tcW w:w="459" w:type="pct"/>
            <w:tcBorders>
              <w:top w:val="nil"/>
              <w:left w:val="nil"/>
              <w:bottom w:val="single" w:sz="4" w:space="0" w:color="auto"/>
              <w:right w:val="single" w:sz="4" w:space="0" w:color="auto"/>
            </w:tcBorders>
            <w:noWrap/>
            <w:textDirection w:val="lrTb"/>
            <w:vAlign w:val="bottom"/>
            <w:hideMark/>
          </w:tcPr>
          <w:p w:rsidR="00CB350B" w:rsidRPr="003811CE" w:rsidP="00257E12">
            <w:pPr>
              <w:bidi w:val="0"/>
              <w:jc w:val="right"/>
              <w:rPr>
                <w:rFonts w:ascii="Times New Roman" w:hAnsi="Times New Roman"/>
                <w:sz w:val="14"/>
                <w:szCs w:val="14"/>
              </w:rPr>
            </w:pPr>
            <w:r w:rsidRPr="003811CE">
              <w:rPr>
                <w:rFonts w:ascii="Times New Roman" w:hAnsi="Times New Roman"/>
                <w:sz w:val="14"/>
                <w:szCs w:val="14"/>
              </w:rPr>
              <w:t>13 998 376</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10 828 087</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7 667 361</w:t>
            </w:r>
          </w:p>
        </w:tc>
        <w:tc>
          <w:tcPr>
            <w:tcW w:w="460"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7 773 019</w:t>
            </w:r>
          </w:p>
        </w:tc>
      </w:tr>
      <w:tr>
        <w:tblPrEx>
          <w:tblW w:w="5000" w:type="pct"/>
          <w:tblCellMar>
            <w:left w:w="70" w:type="dxa"/>
            <w:right w:w="70" w:type="dxa"/>
          </w:tblCellMar>
          <w:tblLook w:val="04A0"/>
        </w:tblPrEx>
        <w:trPr>
          <w:trHeight w:val="225"/>
        </w:trPr>
        <w:tc>
          <w:tcPr>
            <w:tcW w:w="1786" w:type="pct"/>
            <w:tcBorders>
              <w:top w:val="nil"/>
              <w:left w:val="single" w:sz="4" w:space="0" w:color="auto"/>
              <w:bottom w:val="single" w:sz="4" w:space="0" w:color="auto"/>
              <w:right w:val="single" w:sz="4" w:space="0" w:color="auto"/>
            </w:tcBorders>
            <w:noWrap/>
            <w:textDirection w:val="lrTb"/>
            <w:vAlign w:val="bottom"/>
            <w:hideMark/>
          </w:tcPr>
          <w:p w:rsidR="00CB350B" w:rsidRPr="009E1582" w:rsidP="00257E12">
            <w:pPr>
              <w:bidi w:val="0"/>
              <w:rPr>
                <w:rFonts w:ascii="Times New Roman" w:hAnsi="Times New Roman"/>
                <w:i/>
                <w:sz w:val="14"/>
                <w:szCs w:val="14"/>
              </w:rPr>
            </w:pPr>
            <w:r w:rsidRPr="009E1582">
              <w:rPr>
                <w:rFonts w:ascii="Times New Roman" w:hAnsi="Times New Roman"/>
                <w:i/>
                <w:sz w:val="14"/>
                <w:szCs w:val="14"/>
              </w:rPr>
              <w:t xml:space="preserve">      Ostatná činnosť v zdravotníctve bez SČK</w:t>
            </w:r>
          </w:p>
        </w:tc>
        <w:tc>
          <w:tcPr>
            <w:tcW w:w="459" w:type="pct"/>
            <w:tcBorders>
              <w:top w:val="nil"/>
              <w:left w:val="nil"/>
              <w:bottom w:val="single" w:sz="4" w:space="0" w:color="auto"/>
              <w:right w:val="single" w:sz="4" w:space="0" w:color="auto"/>
            </w:tcBorders>
            <w:noWrap/>
            <w:textDirection w:val="lrTb"/>
            <w:vAlign w:val="bottom"/>
            <w:hideMark/>
          </w:tcPr>
          <w:p w:rsidR="00CB350B" w:rsidRPr="009E1582" w:rsidP="00257E12">
            <w:pPr>
              <w:bidi w:val="0"/>
              <w:jc w:val="right"/>
              <w:rPr>
                <w:rFonts w:ascii="Times New Roman" w:hAnsi="Times New Roman"/>
                <w:i/>
                <w:sz w:val="14"/>
                <w:szCs w:val="14"/>
              </w:rPr>
            </w:pPr>
            <w:r w:rsidRPr="009E1582">
              <w:rPr>
                <w:rFonts w:ascii="Times New Roman" w:hAnsi="Times New Roman"/>
                <w:i/>
                <w:sz w:val="14"/>
                <w:szCs w:val="14"/>
              </w:rPr>
              <w:t>3 379 011</w:t>
            </w:r>
          </w:p>
        </w:tc>
        <w:tc>
          <w:tcPr>
            <w:tcW w:w="459" w:type="pct"/>
            <w:tcBorders>
              <w:top w:val="nil"/>
              <w:left w:val="nil"/>
              <w:bottom w:val="single" w:sz="4" w:space="0" w:color="auto"/>
              <w:right w:val="single" w:sz="4" w:space="0" w:color="auto"/>
            </w:tcBorders>
            <w:noWrap/>
            <w:textDirection w:val="lrTb"/>
            <w:vAlign w:val="bottom"/>
            <w:hideMark/>
          </w:tcPr>
          <w:p w:rsidR="00CB350B" w:rsidRPr="009E1582" w:rsidP="00257E12">
            <w:pPr>
              <w:bidi w:val="0"/>
              <w:jc w:val="right"/>
              <w:rPr>
                <w:rFonts w:ascii="Times New Roman" w:hAnsi="Times New Roman"/>
                <w:i/>
                <w:sz w:val="14"/>
                <w:szCs w:val="14"/>
              </w:rPr>
            </w:pPr>
            <w:r w:rsidRPr="009E1582">
              <w:rPr>
                <w:rFonts w:ascii="Times New Roman" w:hAnsi="Times New Roman"/>
                <w:i/>
                <w:sz w:val="14"/>
                <w:szCs w:val="14"/>
              </w:rPr>
              <w:t>410 860</w:t>
            </w:r>
          </w:p>
        </w:tc>
        <w:tc>
          <w:tcPr>
            <w:tcW w:w="459" w:type="pct"/>
            <w:tcBorders>
              <w:top w:val="nil"/>
              <w:left w:val="nil"/>
              <w:bottom w:val="single" w:sz="4" w:space="0" w:color="auto"/>
              <w:right w:val="single" w:sz="4" w:space="0" w:color="auto"/>
            </w:tcBorders>
            <w:noWrap/>
            <w:textDirection w:val="lrTb"/>
            <w:vAlign w:val="bottom"/>
            <w:hideMark/>
          </w:tcPr>
          <w:p w:rsidR="00CB350B" w:rsidRPr="009E1582" w:rsidP="00257E12">
            <w:pPr>
              <w:bidi w:val="0"/>
              <w:jc w:val="right"/>
              <w:rPr>
                <w:rFonts w:ascii="Times New Roman" w:hAnsi="Times New Roman"/>
                <w:i/>
                <w:sz w:val="14"/>
                <w:szCs w:val="14"/>
              </w:rPr>
            </w:pPr>
            <w:r w:rsidRPr="009E1582">
              <w:rPr>
                <w:rFonts w:ascii="Times New Roman" w:hAnsi="Times New Roman"/>
                <w:i/>
                <w:sz w:val="14"/>
                <w:szCs w:val="14"/>
              </w:rPr>
              <w:t>5 850 022</w:t>
            </w:r>
          </w:p>
        </w:tc>
        <w:tc>
          <w:tcPr>
            <w:tcW w:w="459" w:type="pct"/>
            <w:tcBorders>
              <w:top w:val="nil"/>
              <w:left w:val="nil"/>
              <w:bottom w:val="single" w:sz="4" w:space="0" w:color="auto"/>
              <w:right w:val="single" w:sz="4" w:space="0" w:color="auto"/>
            </w:tcBorders>
            <w:noWrap/>
            <w:textDirection w:val="lrTb"/>
            <w:vAlign w:val="bottom"/>
            <w:hideMark/>
          </w:tcPr>
          <w:p w:rsidR="00CB350B" w:rsidRPr="003811CE" w:rsidP="00257E12">
            <w:pPr>
              <w:bidi w:val="0"/>
              <w:jc w:val="right"/>
              <w:rPr>
                <w:rFonts w:ascii="Times New Roman" w:hAnsi="Times New Roman"/>
                <w:sz w:val="14"/>
                <w:szCs w:val="14"/>
              </w:rPr>
            </w:pPr>
            <w:r w:rsidRPr="003811CE">
              <w:rPr>
                <w:rFonts w:ascii="Times New Roman" w:hAnsi="Times New Roman"/>
                <w:sz w:val="14"/>
                <w:szCs w:val="14"/>
              </w:rPr>
              <w:t>7 050 305</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2 500 000</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0</w:t>
            </w:r>
          </w:p>
        </w:tc>
        <w:tc>
          <w:tcPr>
            <w:tcW w:w="460"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0</w:t>
            </w:r>
          </w:p>
        </w:tc>
      </w:tr>
      <w:tr>
        <w:tblPrEx>
          <w:tblW w:w="5000" w:type="pct"/>
          <w:tblCellMar>
            <w:left w:w="70" w:type="dxa"/>
            <w:right w:w="70" w:type="dxa"/>
          </w:tblCellMar>
          <w:tblLook w:val="04A0"/>
        </w:tblPrEx>
        <w:trPr>
          <w:trHeight w:val="225"/>
        </w:trPr>
        <w:tc>
          <w:tcPr>
            <w:tcW w:w="1786" w:type="pct"/>
            <w:tcBorders>
              <w:top w:val="nil"/>
              <w:left w:val="single" w:sz="4" w:space="0" w:color="auto"/>
              <w:bottom w:val="single" w:sz="4" w:space="0" w:color="auto"/>
              <w:right w:val="single" w:sz="4" w:space="0" w:color="auto"/>
            </w:tcBorders>
            <w:noWrap/>
            <w:textDirection w:val="lrTb"/>
            <w:vAlign w:val="bottom"/>
            <w:hideMark/>
          </w:tcPr>
          <w:p w:rsidR="00CB350B" w:rsidRPr="009E1582" w:rsidP="00257E12">
            <w:pPr>
              <w:bidi w:val="0"/>
              <w:rPr>
                <w:rFonts w:ascii="Times New Roman" w:hAnsi="Times New Roman"/>
                <w:i/>
                <w:sz w:val="14"/>
                <w:szCs w:val="14"/>
              </w:rPr>
            </w:pPr>
            <w:r w:rsidRPr="009E1582">
              <w:rPr>
                <w:rFonts w:ascii="Times New Roman" w:hAnsi="Times New Roman"/>
                <w:i/>
                <w:sz w:val="14"/>
                <w:szCs w:val="14"/>
              </w:rPr>
              <w:t xml:space="preserve">      transfer UDZS na spolufinancovanie DRG systému</w:t>
            </w:r>
          </w:p>
        </w:tc>
        <w:tc>
          <w:tcPr>
            <w:tcW w:w="459" w:type="pct"/>
            <w:tcBorders>
              <w:top w:val="nil"/>
              <w:left w:val="nil"/>
              <w:bottom w:val="single" w:sz="4" w:space="0" w:color="auto"/>
              <w:right w:val="single" w:sz="4" w:space="0" w:color="auto"/>
            </w:tcBorders>
            <w:noWrap/>
            <w:textDirection w:val="lrTb"/>
            <w:vAlign w:val="bottom"/>
            <w:hideMark/>
          </w:tcPr>
          <w:p w:rsidR="00CB350B" w:rsidRPr="009E1582" w:rsidP="00257E12">
            <w:pPr>
              <w:bidi w:val="0"/>
              <w:jc w:val="right"/>
              <w:rPr>
                <w:rFonts w:ascii="Times New Roman" w:hAnsi="Times New Roman"/>
                <w:i/>
                <w:sz w:val="14"/>
                <w:szCs w:val="14"/>
              </w:rPr>
            </w:pPr>
            <w:r w:rsidRPr="009E1582">
              <w:rPr>
                <w:rFonts w:ascii="Times New Roman" w:hAnsi="Times New Roman"/>
                <w:i/>
                <w:sz w:val="14"/>
                <w:szCs w:val="14"/>
              </w:rPr>
              <w:t>-</w:t>
            </w:r>
          </w:p>
        </w:tc>
        <w:tc>
          <w:tcPr>
            <w:tcW w:w="459" w:type="pct"/>
            <w:tcBorders>
              <w:top w:val="nil"/>
              <w:left w:val="nil"/>
              <w:bottom w:val="single" w:sz="4" w:space="0" w:color="auto"/>
              <w:right w:val="single" w:sz="4" w:space="0" w:color="auto"/>
            </w:tcBorders>
            <w:noWrap/>
            <w:textDirection w:val="lrTb"/>
            <w:vAlign w:val="bottom"/>
            <w:hideMark/>
          </w:tcPr>
          <w:p w:rsidR="00CB350B" w:rsidRPr="009E1582" w:rsidP="00257E12">
            <w:pPr>
              <w:bidi w:val="0"/>
              <w:jc w:val="right"/>
              <w:rPr>
                <w:rFonts w:ascii="Times New Roman" w:hAnsi="Times New Roman"/>
                <w:i/>
                <w:sz w:val="14"/>
                <w:szCs w:val="14"/>
              </w:rPr>
            </w:pPr>
            <w:r w:rsidRPr="009E1582">
              <w:rPr>
                <w:rFonts w:ascii="Times New Roman" w:hAnsi="Times New Roman"/>
                <w:i/>
                <w:sz w:val="14"/>
                <w:szCs w:val="14"/>
              </w:rPr>
              <w:t>-</w:t>
            </w:r>
          </w:p>
        </w:tc>
        <w:tc>
          <w:tcPr>
            <w:tcW w:w="459" w:type="pct"/>
            <w:tcBorders>
              <w:top w:val="nil"/>
              <w:left w:val="nil"/>
              <w:bottom w:val="single" w:sz="4" w:space="0" w:color="auto"/>
              <w:right w:val="single" w:sz="4" w:space="0" w:color="auto"/>
            </w:tcBorders>
            <w:noWrap/>
            <w:textDirection w:val="lrTb"/>
            <w:vAlign w:val="bottom"/>
            <w:hideMark/>
          </w:tcPr>
          <w:p w:rsidR="00CB350B" w:rsidRPr="009E1582" w:rsidP="00257E12">
            <w:pPr>
              <w:bidi w:val="0"/>
              <w:jc w:val="right"/>
              <w:rPr>
                <w:rFonts w:ascii="Times New Roman" w:hAnsi="Times New Roman"/>
                <w:i/>
                <w:sz w:val="14"/>
                <w:szCs w:val="14"/>
              </w:rPr>
            </w:pPr>
            <w:r w:rsidRPr="009E1582">
              <w:rPr>
                <w:rFonts w:ascii="Times New Roman" w:hAnsi="Times New Roman"/>
                <w:i/>
                <w:sz w:val="14"/>
                <w:szCs w:val="14"/>
              </w:rPr>
              <w:t>-</w:t>
            </w:r>
          </w:p>
        </w:tc>
        <w:tc>
          <w:tcPr>
            <w:tcW w:w="459" w:type="pct"/>
            <w:tcBorders>
              <w:top w:val="nil"/>
              <w:left w:val="nil"/>
              <w:bottom w:val="single" w:sz="4" w:space="0" w:color="auto"/>
              <w:right w:val="single" w:sz="4" w:space="0" w:color="auto"/>
            </w:tcBorders>
            <w:noWrap/>
            <w:textDirection w:val="lrTb"/>
            <w:vAlign w:val="bottom"/>
            <w:hideMark/>
          </w:tcPr>
          <w:p w:rsidR="00CB350B" w:rsidRPr="003811CE" w:rsidP="00257E12">
            <w:pPr>
              <w:bidi w:val="0"/>
              <w:jc w:val="right"/>
              <w:rPr>
                <w:rFonts w:ascii="Times New Roman" w:hAnsi="Times New Roman"/>
                <w:sz w:val="14"/>
                <w:szCs w:val="14"/>
              </w:rPr>
            </w:pPr>
            <w:r w:rsidRPr="003811CE">
              <w:rPr>
                <w:rFonts w:ascii="Times New Roman" w:hAnsi="Times New Roman"/>
                <w:sz w:val="14"/>
                <w:szCs w:val="14"/>
              </w:rPr>
              <w:t>-</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628 575</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400 925</w:t>
            </w:r>
          </w:p>
        </w:tc>
        <w:tc>
          <w:tcPr>
            <w:tcW w:w="460"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w:t>
            </w:r>
          </w:p>
        </w:tc>
      </w:tr>
      <w:tr>
        <w:tblPrEx>
          <w:tblW w:w="5000" w:type="pct"/>
          <w:tblCellMar>
            <w:left w:w="70" w:type="dxa"/>
            <w:right w:w="70" w:type="dxa"/>
          </w:tblCellMar>
          <w:tblLook w:val="04A0"/>
        </w:tblPrEx>
        <w:trPr>
          <w:trHeight w:val="225"/>
        </w:trPr>
        <w:tc>
          <w:tcPr>
            <w:tcW w:w="1786" w:type="pct"/>
            <w:tcBorders>
              <w:top w:val="nil"/>
              <w:left w:val="single" w:sz="4" w:space="0" w:color="auto"/>
              <w:bottom w:val="single" w:sz="4" w:space="0" w:color="auto"/>
              <w:right w:val="single" w:sz="4" w:space="0" w:color="auto"/>
            </w:tcBorders>
            <w:noWrap/>
            <w:textDirection w:val="lrTb"/>
            <w:vAlign w:val="bottom"/>
            <w:hideMark/>
          </w:tcPr>
          <w:p w:rsidR="00CB350B" w:rsidRPr="009E1582" w:rsidP="00257E12">
            <w:pPr>
              <w:bidi w:val="0"/>
              <w:rPr>
                <w:rFonts w:ascii="Times New Roman" w:hAnsi="Times New Roman"/>
                <w:bCs/>
                <w:i/>
                <w:sz w:val="14"/>
                <w:szCs w:val="14"/>
              </w:rPr>
            </w:pPr>
            <w:r w:rsidRPr="009E1582">
              <w:rPr>
                <w:rFonts w:ascii="Times New Roman" w:hAnsi="Times New Roman"/>
                <w:bCs/>
                <w:i/>
                <w:sz w:val="14"/>
                <w:szCs w:val="14"/>
              </w:rPr>
              <w:t xml:space="preserve">      iné výdavky aparátu</w:t>
            </w:r>
          </w:p>
        </w:tc>
        <w:tc>
          <w:tcPr>
            <w:tcW w:w="459" w:type="pct"/>
            <w:tcBorders>
              <w:top w:val="nil"/>
              <w:left w:val="nil"/>
              <w:bottom w:val="single" w:sz="4" w:space="0" w:color="auto"/>
              <w:right w:val="single" w:sz="4" w:space="0" w:color="auto"/>
            </w:tcBorders>
            <w:noWrap/>
            <w:textDirection w:val="lrTb"/>
            <w:vAlign w:val="bottom"/>
            <w:hideMark/>
          </w:tcPr>
          <w:p w:rsidR="00CB350B" w:rsidRPr="009E1582" w:rsidP="00257E12">
            <w:pPr>
              <w:bidi w:val="0"/>
              <w:jc w:val="right"/>
              <w:rPr>
                <w:rFonts w:ascii="Times New Roman" w:hAnsi="Times New Roman"/>
                <w:i/>
                <w:color w:val="000000"/>
                <w:sz w:val="14"/>
                <w:szCs w:val="14"/>
              </w:rPr>
            </w:pPr>
            <w:r w:rsidRPr="009E1582">
              <w:rPr>
                <w:rFonts w:ascii="Times New Roman" w:hAnsi="Times New Roman"/>
                <w:i/>
                <w:color w:val="000000"/>
                <w:sz w:val="14"/>
                <w:szCs w:val="14"/>
              </w:rPr>
              <w:t>8 129 691</w:t>
            </w:r>
          </w:p>
        </w:tc>
        <w:tc>
          <w:tcPr>
            <w:tcW w:w="459" w:type="pct"/>
            <w:tcBorders>
              <w:top w:val="nil"/>
              <w:left w:val="nil"/>
              <w:bottom w:val="single" w:sz="4" w:space="0" w:color="auto"/>
              <w:right w:val="single" w:sz="4" w:space="0" w:color="auto"/>
            </w:tcBorders>
            <w:noWrap/>
            <w:textDirection w:val="lrTb"/>
            <w:vAlign w:val="bottom"/>
            <w:hideMark/>
          </w:tcPr>
          <w:p w:rsidR="00CB350B" w:rsidRPr="009E1582" w:rsidP="00257E12">
            <w:pPr>
              <w:bidi w:val="0"/>
              <w:jc w:val="right"/>
              <w:rPr>
                <w:rFonts w:ascii="Times New Roman" w:hAnsi="Times New Roman"/>
                <w:i/>
                <w:color w:val="000000"/>
                <w:sz w:val="14"/>
                <w:szCs w:val="14"/>
              </w:rPr>
            </w:pPr>
            <w:r w:rsidRPr="009E1582">
              <w:rPr>
                <w:rFonts w:ascii="Times New Roman" w:hAnsi="Times New Roman"/>
                <w:i/>
                <w:color w:val="000000"/>
                <w:sz w:val="14"/>
                <w:szCs w:val="14"/>
              </w:rPr>
              <w:t>7 923 667</w:t>
            </w:r>
          </w:p>
        </w:tc>
        <w:tc>
          <w:tcPr>
            <w:tcW w:w="459" w:type="pct"/>
            <w:tcBorders>
              <w:top w:val="nil"/>
              <w:left w:val="nil"/>
              <w:bottom w:val="single" w:sz="4" w:space="0" w:color="auto"/>
              <w:right w:val="single" w:sz="4" w:space="0" w:color="auto"/>
            </w:tcBorders>
            <w:noWrap/>
            <w:textDirection w:val="lrTb"/>
            <w:vAlign w:val="bottom"/>
            <w:hideMark/>
          </w:tcPr>
          <w:p w:rsidR="00CB350B" w:rsidRPr="009E1582" w:rsidP="00257E12">
            <w:pPr>
              <w:bidi w:val="0"/>
              <w:jc w:val="right"/>
              <w:rPr>
                <w:rFonts w:ascii="Times New Roman" w:hAnsi="Times New Roman"/>
                <w:i/>
                <w:color w:val="000000"/>
                <w:sz w:val="14"/>
                <w:szCs w:val="14"/>
              </w:rPr>
            </w:pPr>
            <w:r w:rsidRPr="009E1582">
              <w:rPr>
                <w:rFonts w:ascii="Times New Roman" w:hAnsi="Times New Roman"/>
                <w:i/>
                <w:color w:val="000000"/>
                <w:sz w:val="14"/>
                <w:szCs w:val="14"/>
              </w:rPr>
              <w:t>6 746 894</w:t>
            </w:r>
          </w:p>
        </w:tc>
        <w:tc>
          <w:tcPr>
            <w:tcW w:w="459" w:type="pct"/>
            <w:tcBorders>
              <w:top w:val="nil"/>
              <w:left w:val="nil"/>
              <w:bottom w:val="single" w:sz="4" w:space="0" w:color="auto"/>
              <w:right w:val="single" w:sz="4" w:space="0" w:color="auto"/>
            </w:tcBorders>
            <w:noWrap/>
            <w:textDirection w:val="lrTb"/>
            <w:vAlign w:val="bottom"/>
            <w:hideMark/>
          </w:tcPr>
          <w:p w:rsidR="00CB350B" w:rsidRPr="003811CE" w:rsidP="00257E12">
            <w:pPr>
              <w:bidi w:val="0"/>
              <w:jc w:val="right"/>
              <w:rPr>
                <w:rFonts w:ascii="Times New Roman" w:hAnsi="Times New Roman"/>
                <w:sz w:val="14"/>
                <w:szCs w:val="14"/>
              </w:rPr>
            </w:pPr>
            <w:r w:rsidRPr="003811CE">
              <w:rPr>
                <w:rFonts w:ascii="Times New Roman" w:hAnsi="Times New Roman"/>
                <w:sz w:val="14"/>
                <w:szCs w:val="14"/>
              </w:rPr>
              <w:t>6 948 071</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7 699 512</w:t>
            </w:r>
          </w:p>
        </w:tc>
        <w:tc>
          <w:tcPr>
            <w:tcW w:w="459"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7 266 436</w:t>
            </w:r>
          </w:p>
        </w:tc>
        <w:tc>
          <w:tcPr>
            <w:tcW w:w="460" w:type="pct"/>
            <w:tcBorders>
              <w:top w:val="nil"/>
              <w:left w:val="nil"/>
              <w:bottom w:val="single" w:sz="4" w:space="0" w:color="auto"/>
              <w:right w:val="single" w:sz="4" w:space="0" w:color="auto"/>
            </w:tcBorders>
            <w:noWrap/>
            <w:textDirection w:val="lrTb"/>
            <w:vAlign w:val="bottom"/>
            <w:hideMark/>
          </w:tcPr>
          <w:p w:rsidR="00CB350B" w:rsidRPr="00CE5BD8" w:rsidP="00257E12">
            <w:pPr>
              <w:bidi w:val="0"/>
              <w:jc w:val="right"/>
              <w:rPr>
                <w:rFonts w:ascii="Times New Roman" w:hAnsi="Times New Roman"/>
                <w:sz w:val="14"/>
                <w:szCs w:val="14"/>
              </w:rPr>
            </w:pPr>
            <w:r w:rsidRPr="00CE5BD8">
              <w:rPr>
                <w:rFonts w:ascii="Times New Roman" w:hAnsi="Times New Roman"/>
                <w:sz w:val="14"/>
                <w:szCs w:val="14"/>
              </w:rPr>
              <w:t>7 773 019</w:t>
            </w:r>
          </w:p>
        </w:tc>
      </w:tr>
      <w:tr>
        <w:tblPrEx>
          <w:tblW w:w="5000" w:type="pct"/>
          <w:tblCellMar>
            <w:left w:w="70" w:type="dxa"/>
            <w:right w:w="70" w:type="dxa"/>
          </w:tblCellMar>
          <w:tblLook w:val="04A0"/>
        </w:tblPrEx>
        <w:trPr>
          <w:trHeight w:val="225"/>
        </w:trPr>
        <w:tc>
          <w:tcPr>
            <w:tcW w:w="1786"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b/>
                <w:bCs/>
                <w:sz w:val="14"/>
                <w:szCs w:val="14"/>
              </w:rPr>
            </w:pPr>
            <w:r w:rsidRPr="001D4A5A">
              <w:rPr>
                <w:rFonts w:ascii="Times New Roman" w:hAnsi="Times New Roman"/>
                <w:b/>
                <w:bCs/>
                <w:sz w:val="14"/>
                <w:szCs w:val="14"/>
              </w:rPr>
              <w:t>Kapitá</w:t>
            </w:r>
            <w:r>
              <w:rPr>
                <w:rFonts w:ascii="Times New Roman" w:hAnsi="Times New Roman"/>
                <w:b/>
                <w:bCs/>
                <w:sz w:val="14"/>
                <w:szCs w:val="14"/>
              </w:rPr>
              <w:t>lové výdavky kapitoly</w:t>
            </w:r>
            <w:r w:rsidRPr="001D4A5A">
              <w:rPr>
                <w:rFonts w:ascii="Times New Roman" w:hAnsi="Times New Roman"/>
                <w:b/>
                <w:bCs/>
                <w:sz w:val="14"/>
                <w:szCs w:val="14"/>
              </w:rPr>
              <w:t>, z toho:</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b/>
                <w:bCs/>
                <w:sz w:val="14"/>
                <w:szCs w:val="14"/>
              </w:rPr>
            </w:pPr>
            <w:r w:rsidRPr="001D4A5A">
              <w:rPr>
                <w:rFonts w:ascii="Times New Roman" w:hAnsi="Times New Roman"/>
                <w:b/>
                <w:bCs/>
                <w:sz w:val="14"/>
                <w:szCs w:val="14"/>
              </w:rPr>
              <w:t>24 858 062</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b/>
                <w:bCs/>
                <w:sz w:val="14"/>
                <w:szCs w:val="14"/>
              </w:rPr>
            </w:pPr>
            <w:r w:rsidRPr="001D4A5A">
              <w:rPr>
                <w:rFonts w:ascii="Times New Roman" w:hAnsi="Times New Roman"/>
                <w:b/>
                <w:bCs/>
                <w:sz w:val="14"/>
                <w:szCs w:val="14"/>
              </w:rPr>
              <w:t>5 730 766</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b/>
                <w:bCs/>
                <w:sz w:val="14"/>
                <w:szCs w:val="14"/>
              </w:rPr>
            </w:pPr>
            <w:r w:rsidRPr="001D4A5A">
              <w:rPr>
                <w:rFonts w:ascii="Times New Roman" w:hAnsi="Times New Roman"/>
                <w:b/>
                <w:bCs/>
                <w:sz w:val="14"/>
                <w:szCs w:val="14"/>
              </w:rPr>
              <w:t>500 000</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b/>
                <w:bCs/>
                <w:sz w:val="14"/>
                <w:szCs w:val="14"/>
              </w:rPr>
            </w:pPr>
            <w:r w:rsidRPr="001D4A5A">
              <w:rPr>
                <w:rFonts w:ascii="Times New Roman" w:hAnsi="Times New Roman"/>
                <w:b/>
                <w:bCs/>
                <w:sz w:val="14"/>
                <w:szCs w:val="14"/>
              </w:rPr>
              <w:t>2 000 000</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b/>
                <w:bCs/>
                <w:sz w:val="14"/>
                <w:szCs w:val="14"/>
              </w:rPr>
            </w:pPr>
            <w:r w:rsidRPr="001D4A5A">
              <w:rPr>
                <w:rFonts w:ascii="Times New Roman" w:hAnsi="Times New Roman"/>
                <w:b/>
                <w:bCs/>
                <w:sz w:val="14"/>
                <w:szCs w:val="14"/>
              </w:rPr>
              <w:t>500 000</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b/>
                <w:bCs/>
                <w:sz w:val="14"/>
                <w:szCs w:val="14"/>
              </w:rPr>
            </w:pPr>
            <w:r w:rsidRPr="001D4A5A">
              <w:rPr>
                <w:rFonts w:ascii="Times New Roman" w:hAnsi="Times New Roman"/>
                <w:b/>
                <w:bCs/>
                <w:sz w:val="14"/>
                <w:szCs w:val="14"/>
              </w:rPr>
              <w:t>500 000</w:t>
            </w:r>
          </w:p>
        </w:tc>
        <w:tc>
          <w:tcPr>
            <w:tcW w:w="460"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b/>
                <w:bCs/>
                <w:sz w:val="14"/>
                <w:szCs w:val="14"/>
              </w:rPr>
            </w:pPr>
            <w:r w:rsidRPr="001D4A5A">
              <w:rPr>
                <w:rFonts w:ascii="Times New Roman" w:hAnsi="Times New Roman"/>
                <w:b/>
                <w:bCs/>
                <w:sz w:val="14"/>
                <w:szCs w:val="14"/>
              </w:rPr>
              <w:t>500 000</w:t>
            </w:r>
          </w:p>
        </w:tc>
      </w:tr>
      <w:tr>
        <w:tblPrEx>
          <w:tblW w:w="5000" w:type="pct"/>
          <w:tblCellMar>
            <w:left w:w="70" w:type="dxa"/>
            <w:right w:w="70" w:type="dxa"/>
          </w:tblCellMar>
          <w:tblLook w:val="04A0"/>
        </w:tblPrEx>
        <w:trPr>
          <w:trHeight w:val="225"/>
        </w:trPr>
        <w:tc>
          <w:tcPr>
            <w:tcW w:w="1786"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sz w:val="14"/>
                <w:szCs w:val="14"/>
              </w:rPr>
            </w:pPr>
            <w:r w:rsidRPr="001D4A5A">
              <w:rPr>
                <w:rFonts w:ascii="Times New Roman" w:hAnsi="Times New Roman"/>
                <w:sz w:val="14"/>
                <w:szCs w:val="14"/>
              </w:rPr>
              <w:t>ÚVZ a RÚVZ (RO)</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173 493</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36 609</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c>
          <w:tcPr>
            <w:tcW w:w="460"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r>
      <w:tr>
        <w:tblPrEx>
          <w:tblW w:w="5000" w:type="pct"/>
          <w:tblCellMar>
            <w:left w:w="70" w:type="dxa"/>
            <w:right w:w="70" w:type="dxa"/>
          </w:tblCellMar>
          <w:tblLook w:val="04A0"/>
        </w:tblPrEx>
        <w:trPr>
          <w:trHeight w:val="225"/>
        </w:trPr>
        <w:tc>
          <w:tcPr>
            <w:tcW w:w="1786"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sz w:val="14"/>
                <w:szCs w:val="14"/>
              </w:rPr>
            </w:pPr>
            <w:r w:rsidRPr="001D4A5A">
              <w:rPr>
                <w:rFonts w:ascii="Times New Roman" w:hAnsi="Times New Roman"/>
                <w:sz w:val="14"/>
                <w:szCs w:val="14"/>
              </w:rPr>
              <w:t>Štátny ústav pre kontrolu liečiv (RO)</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129 172</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43 411</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c>
          <w:tcPr>
            <w:tcW w:w="460"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r>
      <w:tr>
        <w:tblPrEx>
          <w:tblW w:w="5000" w:type="pct"/>
          <w:tblCellMar>
            <w:left w:w="70" w:type="dxa"/>
            <w:right w:w="70" w:type="dxa"/>
          </w:tblCellMar>
          <w:tblLook w:val="04A0"/>
        </w:tblPrEx>
        <w:trPr>
          <w:trHeight w:val="225"/>
        </w:trPr>
        <w:tc>
          <w:tcPr>
            <w:tcW w:w="1786"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sz w:val="14"/>
                <w:szCs w:val="14"/>
              </w:rPr>
            </w:pPr>
            <w:r w:rsidRPr="001D4A5A">
              <w:rPr>
                <w:rFonts w:ascii="Times New Roman" w:hAnsi="Times New Roman"/>
                <w:sz w:val="14"/>
                <w:szCs w:val="14"/>
              </w:rPr>
              <w:t>Národné centrum zdravotníckych informácií (PO)</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493 660</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c>
          <w:tcPr>
            <w:tcW w:w="460"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r>
      <w:tr>
        <w:tblPrEx>
          <w:tblW w:w="5000" w:type="pct"/>
          <w:tblCellMar>
            <w:left w:w="70" w:type="dxa"/>
            <w:right w:w="70" w:type="dxa"/>
          </w:tblCellMar>
          <w:tblLook w:val="04A0"/>
        </w:tblPrEx>
        <w:trPr>
          <w:trHeight w:val="225"/>
        </w:trPr>
        <w:tc>
          <w:tcPr>
            <w:tcW w:w="1786"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sz w:val="14"/>
                <w:szCs w:val="14"/>
              </w:rPr>
            </w:pPr>
            <w:r w:rsidRPr="001D4A5A">
              <w:rPr>
                <w:rFonts w:ascii="Times New Roman" w:hAnsi="Times New Roman"/>
                <w:sz w:val="14"/>
                <w:szCs w:val="14"/>
              </w:rPr>
              <w:t>podpora vedy a výskumu</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15 601</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21 362</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c>
          <w:tcPr>
            <w:tcW w:w="460"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r>
      <w:tr>
        <w:tblPrEx>
          <w:tblW w:w="5000" w:type="pct"/>
          <w:tblCellMar>
            <w:left w:w="70" w:type="dxa"/>
            <w:right w:w="70" w:type="dxa"/>
          </w:tblCellMar>
          <w:tblLook w:val="04A0"/>
        </w:tblPrEx>
        <w:trPr>
          <w:trHeight w:val="225"/>
        </w:trPr>
        <w:tc>
          <w:tcPr>
            <w:tcW w:w="1786"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sz w:val="14"/>
                <w:szCs w:val="14"/>
              </w:rPr>
            </w:pPr>
            <w:r w:rsidRPr="001D4A5A">
              <w:rPr>
                <w:rFonts w:ascii="Times New Roman" w:hAnsi="Times New Roman"/>
                <w:sz w:val="14"/>
                <w:szCs w:val="14"/>
              </w:rPr>
              <w:t>plnenie programu eHealth</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3 191 509</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567 900</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c>
          <w:tcPr>
            <w:tcW w:w="460"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r>
      <w:tr>
        <w:tblPrEx>
          <w:tblW w:w="5000" w:type="pct"/>
          <w:tblCellMar>
            <w:left w:w="70" w:type="dxa"/>
            <w:right w:w="70" w:type="dxa"/>
          </w:tblCellMar>
          <w:tblLook w:val="04A0"/>
        </w:tblPrEx>
        <w:trPr>
          <w:trHeight w:val="225"/>
        </w:trPr>
        <w:tc>
          <w:tcPr>
            <w:tcW w:w="1786"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sz w:val="14"/>
                <w:szCs w:val="14"/>
              </w:rPr>
            </w:pPr>
            <w:r w:rsidRPr="001D4A5A">
              <w:rPr>
                <w:rFonts w:ascii="Times New Roman" w:hAnsi="Times New Roman"/>
                <w:sz w:val="14"/>
                <w:szCs w:val="14"/>
              </w:rPr>
              <w:t>aparát</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5 196</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67 474</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c>
          <w:tcPr>
            <w:tcW w:w="460"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0</w:t>
            </w:r>
          </w:p>
        </w:tc>
      </w:tr>
      <w:tr>
        <w:tblPrEx>
          <w:tblW w:w="5000" w:type="pct"/>
          <w:tblCellMar>
            <w:left w:w="70" w:type="dxa"/>
            <w:right w:w="70" w:type="dxa"/>
          </w:tblCellMar>
          <w:tblLook w:val="04A0"/>
        </w:tblPrEx>
        <w:trPr>
          <w:trHeight w:val="225"/>
        </w:trPr>
        <w:tc>
          <w:tcPr>
            <w:tcW w:w="1786"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sz w:val="14"/>
                <w:szCs w:val="14"/>
              </w:rPr>
            </w:pPr>
            <w:r w:rsidRPr="001D4A5A">
              <w:rPr>
                <w:rFonts w:ascii="Times New Roman" w:hAnsi="Times New Roman"/>
                <w:sz w:val="14"/>
                <w:szCs w:val="14"/>
              </w:rPr>
              <w:t>zdravotnícke zariadenia</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20 849 431</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4 994 010</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500 000</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2 000 000</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500 000</w:t>
            </w:r>
          </w:p>
        </w:tc>
        <w:tc>
          <w:tcPr>
            <w:tcW w:w="459"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500 000</w:t>
            </w:r>
          </w:p>
        </w:tc>
        <w:tc>
          <w:tcPr>
            <w:tcW w:w="460"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500 000</w:t>
            </w:r>
          </w:p>
        </w:tc>
      </w:tr>
    </w:tbl>
    <w:p w:rsidR="00CB350B" w:rsidRPr="00E167C4" w:rsidP="00CB350B">
      <w:pPr>
        <w:bidi w:val="0"/>
        <w:rPr>
          <w:rFonts w:ascii="Times New Roman" w:hAnsi="Times New Roman"/>
          <w:sz w:val="14"/>
          <w:szCs w:val="14"/>
        </w:rPr>
      </w:pPr>
      <w:r w:rsidRPr="00E167C4">
        <w:rPr>
          <w:rFonts w:ascii="Times New Roman" w:hAnsi="Times New Roman"/>
          <w:sz w:val="14"/>
          <w:szCs w:val="14"/>
        </w:rPr>
        <w:t>* S 2009 - bežné prostriedky sú uvedené bez spolufinancovania úveru od Svetovej banky zo zdroja 111</w:t>
      </w:r>
    </w:p>
    <w:p w:rsidR="00CB350B" w:rsidRPr="00432A91" w:rsidP="00CB350B">
      <w:pPr>
        <w:bidi w:val="0"/>
        <w:jc w:val="both"/>
        <w:rPr>
          <w:rFonts w:ascii="Times New Roman" w:hAnsi="Times New Roman"/>
        </w:rPr>
      </w:pPr>
    </w:p>
    <w:p w:rsidR="00CB350B" w:rsidRPr="00432A91" w:rsidP="00CB350B">
      <w:pPr>
        <w:bidi w:val="0"/>
        <w:ind w:firstLine="708"/>
        <w:jc w:val="both"/>
        <w:rPr>
          <w:rFonts w:ascii="Times New Roman" w:hAnsi="Times New Roman"/>
        </w:rPr>
      </w:pPr>
      <w:r w:rsidRPr="00432A91">
        <w:rPr>
          <w:rFonts w:ascii="Times New Roman" w:hAnsi="Times New Roman"/>
        </w:rPr>
        <w:t>Prostriedky EÚ a spolufinancovanie 2. programového obdobia sú pre rezort zdravotníctva rozpočtované od roku 2008, a to prostredníctvom Operačného programu Zdravotníctvo, ktorý je zameraný na výstavbu, rekonštrukciu a modernizáciu všeobecných, špecializovaných nemocníc, ambulantnej zdravotnej starostlivosti</w:t>
      </w:r>
      <w:r>
        <w:rPr>
          <w:rFonts w:ascii="Times New Roman" w:hAnsi="Times New Roman"/>
        </w:rPr>
        <w:t>,</w:t>
      </w:r>
      <w:r w:rsidRPr="00432A91">
        <w:rPr>
          <w:rFonts w:ascii="Times New Roman" w:hAnsi="Times New Roman"/>
        </w:rPr>
        <w:t xml:space="preserve"> obnovu a modernizáciu zdravotníckej techniky a prostredníctvom Operačného programu Vzdelávanie so zameraním najmä na podporu ďalšieho vzdelávania zdravotníckych pracovníkov. </w:t>
      </w:r>
    </w:p>
    <w:p w:rsidR="00CB350B" w:rsidP="00CB350B">
      <w:pPr>
        <w:bidi w:val="0"/>
        <w:ind w:firstLine="708"/>
        <w:jc w:val="both"/>
        <w:rPr>
          <w:rFonts w:ascii="Times New Roman" w:hAnsi="Times New Roman"/>
        </w:rPr>
      </w:pPr>
    </w:p>
    <w:p w:rsidR="00CB350B" w:rsidP="00CB350B">
      <w:pPr>
        <w:bidi w:val="0"/>
        <w:ind w:firstLine="708"/>
        <w:jc w:val="both"/>
        <w:rPr>
          <w:rFonts w:ascii="Times New Roman" w:hAnsi="Times New Roman"/>
        </w:rPr>
      </w:pPr>
      <w:r w:rsidRPr="00432A91">
        <w:rPr>
          <w:rFonts w:ascii="Times New Roman" w:hAnsi="Times New Roman"/>
        </w:rPr>
        <w:t xml:space="preserve">Celkové prostriedky EÚ vrátane spolufinancovania </w:t>
      </w:r>
      <w:r>
        <w:rPr>
          <w:rFonts w:ascii="Times New Roman" w:hAnsi="Times New Roman"/>
        </w:rPr>
        <w:t>na</w:t>
      </w:r>
      <w:r w:rsidRPr="00432A91">
        <w:rPr>
          <w:rFonts w:ascii="Times New Roman" w:hAnsi="Times New Roman"/>
        </w:rPr>
        <w:t> </w:t>
      </w:r>
      <w:r>
        <w:rPr>
          <w:rFonts w:ascii="Times New Roman" w:hAnsi="Times New Roman"/>
        </w:rPr>
        <w:t xml:space="preserve">rok </w:t>
      </w:r>
      <w:r w:rsidRPr="00432A91">
        <w:rPr>
          <w:rFonts w:ascii="Times New Roman" w:hAnsi="Times New Roman"/>
        </w:rPr>
        <w:t>2012 sú nižšie oproti schválenému rozpočtu v roku 2011 o 21,9 %, t.</w:t>
      </w:r>
      <w:r>
        <w:rPr>
          <w:rFonts w:ascii="Times New Roman" w:hAnsi="Times New Roman"/>
        </w:rPr>
        <w:t xml:space="preserve"> </w:t>
      </w:r>
      <w:r w:rsidRPr="00432A91">
        <w:rPr>
          <w:rFonts w:ascii="Times New Roman" w:hAnsi="Times New Roman"/>
        </w:rPr>
        <w:t>j. o 29,6 mil. eur.</w:t>
      </w:r>
    </w:p>
    <w:p w:rsidR="00CB350B" w:rsidRPr="00432A91" w:rsidP="00CB350B">
      <w:pPr>
        <w:bidi w:val="0"/>
        <w:jc w:val="both"/>
        <w:rPr>
          <w:rFonts w:ascii="Times New Roman" w:hAnsi="Times New Roman"/>
        </w:rPr>
      </w:pPr>
    </w:p>
    <w:tbl>
      <w:tblPr>
        <w:tblStyle w:val="TableNormal"/>
        <w:tblW w:w="9142" w:type="dxa"/>
        <w:tblLayout w:type="fixed"/>
        <w:tblCellMar>
          <w:left w:w="70" w:type="dxa"/>
          <w:right w:w="70" w:type="dxa"/>
        </w:tblCellMar>
        <w:tblLook w:val="04A0"/>
      </w:tblPr>
      <w:tblGrid>
        <w:gridCol w:w="70"/>
        <w:gridCol w:w="2198"/>
        <w:gridCol w:w="70"/>
        <w:gridCol w:w="902"/>
        <w:gridCol w:w="70"/>
        <w:gridCol w:w="902"/>
        <w:gridCol w:w="70"/>
        <w:gridCol w:w="902"/>
        <w:gridCol w:w="70"/>
        <w:gridCol w:w="902"/>
        <w:gridCol w:w="70"/>
        <w:gridCol w:w="902"/>
        <w:gridCol w:w="70"/>
        <w:gridCol w:w="902"/>
        <w:gridCol w:w="70"/>
        <w:gridCol w:w="902"/>
        <w:gridCol w:w="70"/>
      </w:tblGrid>
      <w:tr>
        <w:tblPrEx>
          <w:tblW w:w="9142" w:type="dxa"/>
          <w:tblLayout w:type="fixed"/>
          <w:tblCellMar>
            <w:left w:w="70" w:type="dxa"/>
            <w:right w:w="70" w:type="dxa"/>
          </w:tblCellMar>
          <w:tblLook w:val="04A0"/>
        </w:tblPrEx>
        <w:trPr>
          <w:gridBefore w:val="1"/>
          <w:wBefore w:w="70" w:type="dxa"/>
          <w:trHeight w:val="225"/>
        </w:trPr>
        <w:tc>
          <w:tcPr>
            <w:tcW w:w="2268" w:type="dxa"/>
            <w:gridSpan w:val="2"/>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b/>
                <w:sz w:val="14"/>
                <w:szCs w:val="14"/>
              </w:rPr>
            </w:pPr>
            <w:r w:rsidRPr="001D4A5A">
              <w:rPr>
                <w:rFonts w:ascii="Times New Roman" w:hAnsi="Times New Roman"/>
                <w:b/>
                <w:sz w:val="14"/>
                <w:szCs w:val="14"/>
              </w:rPr>
              <w:t> </w:t>
            </w:r>
            <w:r w:rsidRPr="001D4A5A">
              <w:rPr>
                <w:rFonts w:ascii="Times New Roman" w:hAnsi="Times New Roman"/>
                <w:b/>
                <w:bCs/>
                <w:sz w:val="14"/>
                <w:szCs w:val="14"/>
              </w:rPr>
              <w:t> v eurách</w:t>
            </w:r>
          </w:p>
        </w:tc>
        <w:tc>
          <w:tcPr>
            <w:tcW w:w="972" w:type="dxa"/>
            <w:gridSpan w:val="2"/>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b/>
                <w:sz w:val="14"/>
                <w:szCs w:val="14"/>
              </w:rPr>
            </w:pPr>
            <w:r w:rsidRPr="001D4A5A">
              <w:rPr>
                <w:rFonts w:ascii="Times New Roman" w:hAnsi="Times New Roman"/>
                <w:b/>
                <w:sz w:val="14"/>
                <w:szCs w:val="14"/>
              </w:rPr>
              <w:t>2009 S</w:t>
            </w:r>
          </w:p>
        </w:tc>
        <w:tc>
          <w:tcPr>
            <w:tcW w:w="972" w:type="dxa"/>
            <w:gridSpan w:val="2"/>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b/>
                <w:sz w:val="14"/>
                <w:szCs w:val="14"/>
              </w:rPr>
            </w:pPr>
            <w:r w:rsidRPr="001D4A5A">
              <w:rPr>
                <w:rFonts w:ascii="Times New Roman" w:hAnsi="Times New Roman"/>
                <w:b/>
                <w:sz w:val="14"/>
                <w:szCs w:val="14"/>
              </w:rPr>
              <w:t>2010 S</w:t>
            </w:r>
          </w:p>
        </w:tc>
        <w:tc>
          <w:tcPr>
            <w:tcW w:w="972" w:type="dxa"/>
            <w:gridSpan w:val="2"/>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b/>
                <w:sz w:val="14"/>
                <w:szCs w:val="14"/>
              </w:rPr>
            </w:pPr>
            <w:r w:rsidRPr="001D4A5A">
              <w:rPr>
                <w:rFonts w:ascii="Times New Roman" w:hAnsi="Times New Roman"/>
                <w:b/>
                <w:sz w:val="14"/>
                <w:szCs w:val="14"/>
              </w:rPr>
              <w:t>2011 R</w:t>
            </w:r>
          </w:p>
        </w:tc>
        <w:tc>
          <w:tcPr>
            <w:tcW w:w="972" w:type="dxa"/>
            <w:gridSpan w:val="2"/>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b/>
                <w:sz w:val="14"/>
                <w:szCs w:val="14"/>
              </w:rPr>
            </w:pPr>
            <w:r w:rsidRPr="001D4A5A">
              <w:rPr>
                <w:rFonts w:ascii="Times New Roman" w:hAnsi="Times New Roman"/>
                <w:b/>
                <w:sz w:val="14"/>
                <w:szCs w:val="14"/>
              </w:rPr>
              <w:t>2011 OS</w:t>
            </w:r>
          </w:p>
        </w:tc>
        <w:tc>
          <w:tcPr>
            <w:tcW w:w="972" w:type="dxa"/>
            <w:gridSpan w:val="2"/>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b/>
                <w:sz w:val="14"/>
                <w:szCs w:val="14"/>
              </w:rPr>
            </w:pPr>
            <w:r w:rsidRPr="001D4A5A">
              <w:rPr>
                <w:rFonts w:ascii="Times New Roman" w:hAnsi="Times New Roman"/>
                <w:b/>
                <w:sz w:val="14"/>
                <w:szCs w:val="14"/>
              </w:rPr>
              <w:t>2012 N</w:t>
            </w:r>
          </w:p>
        </w:tc>
        <w:tc>
          <w:tcPr>
            <w:tcW w:w="972" w:type="dxa"/>
            <w:gridSpan w:val="2"/>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b/>
                <w:sz w:val="14"/>
                <w:szCs w:val="14"/>
              </w:rPr>
            </w:pPr>
            <w:r w:rsidRPr="001D4A5A">
              <w:rPr>
                <w:rFonts w:ascii="Times New Roman" w:hAnsi="Times New Roman"/>
                <w:b/>
                <w:sz w:val="14"/>
                <w:szCs w:val="14"/>
              </w:rPr>
              <w:t>2013 N</w:t>
            </w:r>
          </w:p>
        </w:tc>
        <w:tc>
          <w:tcPr>
            <w:tcW w:w="972" w:type="dxa"/>
            <w:gridSpan w:val="2"/>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b/>
                <w:sz w:val="14"/>
                <w:szCs w:val="14"/>
              </w:rPr>
            </w:pPr>
            <w:r w:rsidRPr="001D4A5A">
              <w:rPr>
                <w:rFonts w:ascii="Times New Roman" w:hAnsi="Times New Roman"/>
                <w:b/>
                <w:sz w:val="14"/>
                <w:szCs w:val="14"/>
              </w:rPr>
              <w:t>2014 N</w:t>
            </w:r>
          </w:p>
        </w:tc>
      </w:tr>
      <w:tr>
        <w:tblPrEx>
          <w:tblW w:w="9142" w:type="dxa"/>
          <w:tblLayout w:type="fixed"/>
          <w:tblCellMar>
            <w:left w:w="70" w:type="dxa"/>
            <w:right w:w="70" w:type="dxa"/>
          </w:tblCellMar>
          <w:tblLook w:val="04A0"/>
        </w:tblPrEx>
        <w:trPr>
          <w:gridBefore w:val="1"/>
          <w:wBefore w:w="70" w:type="dxa"/>
          <w:trHeight w:val="225"/>
        </w:trPr>
        <w:tc>
          <w:tcPr>
            <w:tcW w:w="2268" w:type="dxa"/>
            <w:gridSpan w:val="2"/>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b/>
                <w:bCs/>
                <w:sz w:val="14"/>
                <w:szCs w:val="14"/>
              </w:rPr>
            </w:pPr>
            <w:r w:rsidRPr="001D4A5A">
              <w:rPr>
                <w:rFonts w:ascii="Times New Roman" w:hAnsi="Times New Roman"/>
                <w:b/>
                <w:bCs/>
                <w:sz w:val="14"/>
                <w:szCs w:val="14"/>
              </w:rPr>
              <w:t>2. programové obdobie</w:t>
            </w:r>
          </w:p>
        </w:tc>
        <w:tc>
          <w:tcPr>
            <w:tcW w:w="972" w:type="dxa"/>
            <w:gridSpan w:val="2"/>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b/>
                <w:bCs/>
                <w:sz w:val="14"/>
                <w:szCs w:val="14"/>
              </w:rPr>
            </w:pPr>
            <w:r w:rsidRPr="001D4A5A">
              <w:rPr>
                <w:rFonts w:ascii="Times New Roman" w:hAnsi="Times New Roman"/>
                <w:b/>
                <w:bCs/>
                <w:sz w:val="14"/>
                <w:szCs w:val="14"/>
              </w:rPr>
              <w:t>18 582 794</w:t>
            </w:r>
          </w:p>
        </w:tc>
        <w:tc>
          <w:tcPr>
            <w:tcW w:w="972" w:type="dxa"/>
            <w:gridSpan w:val="2"/>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b/>
                <w:bCs/>
                <w:sz w:val="14"/>
                <w:szCs w:val="14"/>
              </w:rPr>
            </w:pPr>
            <w:r w:rsidRPr="001D4A5A">
              <w:rPr>
                <w:rFonts w:ascii="Times New Roman" w:hAnsi="Times New Roman"/>
                <w:b/>
                <w:bCs/>
                <w:sz w:val="14"/>
                <w:szCs w:val="14"/>
              </w:rPr>
              <w:t>51 236 355</w:t>
            </w:r>
          </w:p>
        </w:tc>
        <w:tc>
          <w:tcPr>
            <w:tcW w:w="972" w:type="dxa"/>
            <w:gridSpan w:val="2"/>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b/>
                <w:bCs/>
                <w:sz w:val="14"/>
                <w:szCs w:val="14"/>
              </w:rPr>
            </w:pPr>
            <w:r w:rsidRPr="001D4A5A">
              <w:rPr>
                <w:rFonts w:ascii="Times New Roman" w:hAnsi="Times New Roman"/>
                <w:b/>
                <w:bCs/>
                <w:sz w:val="14"/>
                <w:szCs w:val="14"/>
              </w:rPr>
              <w:t>135 000 000</w:t>
            </w:r>
          </w:p>
        </w:tc>
        <w:tc>
          <w:tcPr>
            <w:tcW w:w="972" w:type="dxa"/>
            <w:gridSpan w:val="2"/>
            <w:tcBorders>
              <w:top w:val="single" w:sz="4" w:space="0" w:color="auto"/>
              <w:left w:val="nil"/>
              <w:bottom w:val="single" w:sz="4" w:space="0" w:color="auto"/>
              <w:right w:val="single" w:sz="4" w:space="0" w:color="auto"/>
            </w:tcBorders>
            <w:noWrap/>
            <w:textDirection w:val="lrTb"/>
            <w:vAlign w:val="bottom"/>
            <w:hideMark/>
          </w:tcPr>
          <w:p w:rsidR="00CB350B" w:rsidRPr="007F5D9F" w:rsidP="00257E12">
            <w:pPr>
              <w:bidi w:val="0"/>
              <w:jc w:val="right"/>
              <w:rPr>
                <w:rFonts w:ascii="Times New Roman" w:hAnsi="Times New Roman"/>
                <w:b/>
                <w:bCs/>
                <w:sz w:val="14"/>
                <w:szCs w:val="14"/>
              </w:rPr>
            </w:pPr>
            <w:r w:rsidRPr="007F5D9F">
              <w:rPr>
                <w:rFonts w:ascii="Times New Roman" w:hAnsi="Times New Roman"/>
                <w:b/>
                <w:bCs/>
                <w:sz w:val="14"/>
                <w:szCs w:val="14"/>
              </w:rPr>
              <w:t>70 100 754</w:t>
            </w:r>
          </w:p>
        </w:tc>
        <w:tc>
          <w:tcPr>
            <w:tcW w:w="972" w:type="dxa"/>
            <w:gridSpan w:val="2"/>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b/>
                <w:bCs/>
                <w:sz w:val="14"/>
                <w:szCs w:val="14"/>
              </w:rPr>
            </w:pPr>
            <w:r w:rsidRPr="001D4A5A">
              <w:rPr>
                <w:rFonts w:ascii="Times New Roman" w:hAnsi="Times New Roman"/>
                <w:b/>
                <w:bCs/>
                <w:sz w:val="14"/>
                <w:szCs w:val="14"/>
              </w:rPr>
              <w:t>105 396 732</w:t>
            </w:r>
          </w:p>
        </w:tc>
        <w:tc>
          <w:tcPr>
            <w:tcW w:w="972" w:type="dxa"/>
            <w:gridSpan w:val="2"/>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b/>
                <w:bCs/>
                <w:sz w:val="14"/>
                <w:szCs w:val="14"/>
              </w:rPr>
            </w:pPr>
            <w:r w:rsidRPr="001D4A5A">
              <w:rPr>
                <w:rFonts w:ascii="Times New Roman" w:hAnsi="Times New Roman"/>
                <w:b/>
                <w:bCs/>
                <w:sz w:val="14"/>
                <w:szCs w:val="14"/>
              </w:rPr>
              <w:t>21 041 697</w:t>
            </w:r>
          </w:p>
        </w:tc>
        <w:tc>
          <w:tcPr>
            <w:tcW w:w="972" w:type="dxa"/>
            <w:gridSpan w:val="2"/>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b/>
                <w:bCs/>
                <w:sz w:val="14"/>
                <w:szCs w:val="14"/>
              </w:rPr>
            </w:pPr>
            <w:r w:rsidRPr="001D4A5A">
              <w:rPr>
                <w:rFonts w:ascii="Times New Roman" w:hAnsi="Times New Roman"/>
                <w:b/>
                <w:bCs/>
                <w:sz w:val="14"/>
                <w:szCs w:val="14"/>
              </w:rPr>
              <w:t>9 431 086</w:t>
            </w:r>
          </w:p>
        </w:tc>
      </w:tr>
      <w:tr>
        <w:tblPrEx>
          <w:tblW w:w="9142" w:type="dxa"/>
          <w:tblLayout w:type="fixed"/>
          <w:tblCellMar>
            <w:left w:w="70" w:type="dxa"/>
            <w:right w:w="70" w:type="dxa"/>
          </w:tblCellMar>
          <w:tblLook w:val="04A0"/>
        </w:tblPrEx>
        <w:trPr>
          <w:gridBefore w:val="1"/>
          <w:wBefore w:w="70" w:type="dxa"/>
          <w:trHeight w:val="225"/>
        </w:trPr>
        <w:tc>
          <w:tcPr>
            <w:tcW w:w="2268" w:type="dxa"/>
            <w:gridSpan w:val="2"/>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sz w:val="14"/>
                <w:szCs w:val="14"/>
              </w:rPr>
            </w:pPr>
            <w:r w:rsidRPr="001D4A5A">
              <w:rPr>
                <w:rFonts w:ascii="Times New Roman" w:hAnsi="Times New Roman"/>
                <w:sz w:val="14"/>
                <w:szCs w:val="14"/>
              </w:rPr>
              <w:t>Operačný program Zdravotníctvo</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17 331 456</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49 005 240</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128 000 000</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7F5D9F" w:rsidP="00257E12">
            <w:pPr>
              <w:bidi w:val="0"/>
              <w:jc w:val="right"/>
              <w:rPr>
                <w:rFonts w:ascii="Times New Roman" w:hAnsi="Times New Roman"/>
                <w:bCs/>
                <w:sz w:val="14"/>
                <w:szCs w:val="14"/>
              </w:rPr>
            </w:pPr>
            <w:r w:rsidRPr="007F5D9F">
              <w:rPr>
                <w:rFonts w:ascii="Times New Roman" w:hAnsi="Times New Roman"/>
                <w:bCs/>
                <w:sz w:val="14"/>
                <w:szCs w:val="14"/>
              </w:rPr>
              <w:t>62 707 044</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7F5D9F" w:rsidP="00257E12">
            <w:pPr>
              <w:bidi w:val="0"/>
              <w:jc w:val="right"/>
              <w:rPr>
                <w:rFonts w:ascii="Times New Roman" w:hAnsi="Times New Roman"/>
                <w:bCs/>
                <w:sz w:val="14"/>
                <w:szCs w:val="14"/>
              </w:rPr>
            </w:pPr>
            <w:r w:rsidRPr="007F5D9F">
              <w:rPr>
                <w:rFonts w:ascii="Times New Roman" w:hAnsi="Times New Roman"/>
                <w:bCs/>
                <w:sz w:val="14"/>
                <w:szCs w:val="14"/>
              </w:rPr>
              <w:t>86 522 399</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7F5D9F" w:rsidP="00257E12">
            <w:pPr>
              <w:bidi w:val="0"/>
              <w:jc w:val="right"/>
              <w:rPr>
                <w:rFonts w:ascii="Times New Roman" w:hAnsi="Times New Roman"/>
                <w:bCs/>
                <w:sz w:val="14"/>
                <w:szCs w:val="14"/>
              </w:rPr>
            </w:pPr>
            <w:r w:rsidRPr="007F5D9F">
              <w:rPr>
                <w:rFonts w:ascii="Times New Roman" w:hAnsi="Times New Roman"/>
                <w:bCs/>
                <w:sz w:val="14"/>
                <w:szCs w:val="14"/>
              </w:rPr>
              <w:t>14 606 384</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7F5D9F" w:rsidP="00257E12">
            <w:pPr>
              <w:bidi w:val="0"/>
              <w:jc w:val="right"/>
              <w:rPr>
                <w:rFonts w:ascii="Times New Roman" w:hAnsi="Times New Roman"/>
                <w:bCs/>
                <w:sz w:val="14"/>
                <w:szCs w:val="14"/>
              </w:rPr>
            </w:pPr>
            <w:r w:rsidRPr="007F5D9F">
              <w:rPr>
                <w:rFonts w:ascii="Times New Roman" w:hAnsi="Times New Roman"/>
                <w:bCs/>
                <w:sz w:val="14"/>
                <w:szCs w:val="14"/>
              </w:rPr>
              <w:t>3 948 700</w:t>
            </w:r>
          </w:p>
        </w:tc>
      </w:tr>
      <w:tr>
        <w:tblPrEx>
          <w:tblW w:w="9142" w:type="dxa"/>
          <w:tblLayout w:type="fixed"/>
          <w:tblCellMar>
            <w:left w:w="70" w:type="dxa"/>
            <w:right w:w="70" w:type="dxa"/>
          </w:tblCellMar>
          <w:tblLook w:val="04A0"/>
        </w:tblPrEx>
        <w:trPr>
          <w:gridBefore w:val="1"/>
          <w:wBefore w:w="70" w:type="dxa"/>
          <w:trHeight w:val="225"/>
        </w:trPr>
        <w:tc>
          <w:tcPr>
            <w:tcW w:w="2268" w:type="dxa"/>
            <w:gridSpan w:val="2"/>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sz w:val="14"/>
                <w:szCs w:val="14"/>
              </w:rPr>
            </w:pPr>
            <w:r w:rsidRPr="001D4A5A">
              <w:rPr>
                <w:rFonts w:ascii="Times New Roman" w:hAnsi="Times New Roman"/>
                <w:sz w:val="14"/>
                <w:szCs w:val="14"/>
              </w:rPr>
              <w:t xml:space="preserve">     EÚ prostriedky</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14 731 737</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41 654 425</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108 800 000</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7F5D9F" w:rsidP="00257E12">
            <w:pPr>
              <w:bidi w:val="0"/>
              <w:jc w:val="right"/>
              <w:rPr>
                <w:rFonts w:ascii="Times New Roman" w:hAnsi="Times New Roman"/>
                <w:sz w:val="14"/>
                <w:szCs w:val="14"/>
              </w:rPr>
            </w:pPr>
            <w:r w:rsidRPr="007F5D9F">
              <w:rPr>
                <w:rFonts w:ascii="Times New Roman" w:hAnsi="Times New Roman"/>
                <w:sz w:val="14"/>
                <w:szCs w:val="14"/>
              </w:rPr>
              <w:t>53 300 990</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73 544 039</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12 415 426</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3 356 395</w:t>
            </w:r>
          </w:p>
        </w:tc>
      </w:tr>
      <w:tr>
        <w:tblPrEx>
          <w:tblW w:w="9142" w:type="dxa"/>
          <w:tblLayout w:type="fixed"/>
          <w:tblCellMar>
            <w:left w:w="70" w:type="dxa"/>
            <w:right w:w="70" w:type="dxa"/>
          </w:tblCellMar>
          <w:tblLook w:val="04A0"/>
        </w:tblPrEx>
        <w:trPr>
          <w:gridBefore w:val="1"/>
          <w:wBefore w:w="70" w:type="dxa"/>
          <w:trHeight w:val="225"/>
        </w:trPr>
        <w:tc>
          <w:tcPr>
            <w:tcW w:w="2268" w:type="dxa"/>
            <w:gridSpan w:val="2"/>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sz w:val="14"/>
                <w:szCs w:val="14"/>
              </w:rPr>
            </w:pPr>
            <w:r w:rsidRPr="001D4A5A">
              <w:rPr>
                <w:rFonts w:ascii="Times New Roman" w:hAnsi="Times New Roman"/>
                <w:sz w:val="14"/>
                <w:szCs w:val="14"/>
              </w:rPr>
              <w:t xml:space="preserve">     spolufinancovanie</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2 599 719</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7 350 815</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19 200 000</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7F5D9F" w:rsidP="00257E12">
            <w:pPr>
              <w:bidi w:val="0"/>
              <w:jc w:val="right"/>
              <w:rPr>
                <w:rFonts w:ascii="Times New Roman" w:hAnsi="Times New Roman"/>
                <w:sz w:val="14"/>
                <w:szCs w:val="14"/>
              </w:rPr>
            </w:pPr>
            <w:r w:rsidRPr="007F5D9F">
              <w:rPr>
                <w:rFonts w:ascii="Times New Roman" w:hAnsi="Times New Roman"/>
                <w:sz w:val="14"/>
                <w:szCs w:val="14"/>
              </w:rPr>
              <w:t>9 406 054</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12 978 360</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2 190 958</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592 305</w:t>
            </w:r>
          </w:p>
        </w:tc>
      </w:tr>
      <w:tr>
        <w:tblPrEx>
          <w:tblW w:w="9142" w:type="dxa"/>
          <w:tblLayout w:type="fixed"/>
          <w:tblCellMar>
            <w:left w:w="70" w:type="dxa"/>
            <w:right w:w="70" w:type="dxa"/>
          </w:tblCellMar>
          <w:tblLook w:val="04A0"/>
        </w:tblPrEx>
        <w:trPr>
          <w:gridBefore w:val="1"/>
          <w:wBefore w:w="70" w:type="dxa"/>
          <w:trHeight w:val="225"/>
        </w:trPr>
        <w:tc>
          <w:tcPr>
            <w:tcW w:w="2268" w:type="dxa"/>
            <w:gridSpan w:val="2"/>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sz w:val="14"/>
                <w:szCs w:val="14"/>
              </w:rPr>
            </w:pPr>
            <w:r w:rsidRPr="001D4A5A">
              <w:rPr>
                <w:rFonts w:ascii="Times New Roman" w:hAnsi="Times New Roman"/>
                <w:sz w:val="14"/>
                <w:szCs w:val="14"/>
              </w:rPr>
              <w:t>Operačný program Vzdelávanie</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1 251 338</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2 231 115</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7 000 000</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7F5D9F" w:rsidP="00257E12">
            <w:pPr>
              <w:bidi w:val="0"/>
              <w:jc w:val="right"/>
              <w:rPr>
                <w:rFonts w:ascii="Times New Roman" w:hAnsi="Times New Roman"/>
                <w:bCs/>
                <w:sz w:val="14"/>
                <w:szCs w:val="14"/>
              </w:rPr>
            </w:pPr>
            <w:r w:rsidRPr="007F5D9F">
              <w:rPr>
                <w:rFonts w:ascii="Times New Roman" w:hAnsi="Times New Roman"/>
                <w:bCs/>
                <w:sz w:val="14"/>
                <w:szCs w:val="14"/>
              </w:rPr>
              <w:t>7 393 710</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7F5D9F" w:rsidP="00257E12">
            <w:pPr>
              <w:bidi w:val="0"/>
              <w:jc w:val="right"/>
              <w:rPr>
                <w:rFonts w:ascii="Times New Roman" w:hAnsi="Times New Roman"/>
                <w:bCs/>
                <w:sz w:val="14"/>
                <w:szCs w:val="14"/>
              </w:rPr>
            </w:pPr>
            <w:r w:rsidRPr="007F5D9F">
              <w:rPr>
                <w:rFonts w:ascii="Times New Roman" w:hAnsi="Times New Roman"/>
                <w:bCs/>
                <w:sz w:val="14"/>
                <w:szCs w:val="14"/>
              </w:rPr>
              <w:t>18 874 333</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7F5D9F" w:rsidP="00257E12">
            <w:pPr>
              <w:bidi w:val="0"/>
              <w:jc w:val="right"/>
              <w:rPr>
                <w:rFonts w:ascii="Times New Roman" w:hAnsi="Times New Roman"/>
                <w:bCs/>
                <w:sz w:val="14"/>
                <w:szCs w:val="14"/>
              </w:rPr>
            </w:pPr>
            <w:r w:rsidRPr="007F5D9F">
              <w:rPr>
                <w:rFonts w:ascii="Times New Roman" w:hAnsi="Times New Roman"/>
                <w:bCs/>
                <w:sz w:val="14"/>
                <w:szCs w:val="14"/>
              </w:rPr>
              <w:t>6 435 313</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7F5D9F" w:rsidP="00257E12">
            <w:pPr>
              <w:bidi w:val="0"/>
              <w:jc w:val="right"/>
              <w:rPr>
                <w:rFonts w:ascii="Times New Roman" w:hAnsi="Times New Roman"/>
                <w:bCs/>
                <w:sz w:val="14"/>
                <w:szCs w:val="14"/>
              </w:rPr>
            </w:pPr>
            <w:r w:rsidRPr="007F5D9F">
              <w:rPr>
                <w:rFonts w:ascii="Times New Roman" w:hAnsi="Times New Roman"/>
                <w:bCs/>
                <w:sz w:val="14"/>
                <w:szCs w:val="14"/>
              </w:rPr>
              <w:t>5 482 386</w:t>
            </w:r>
          </w:p>
        </w:tc>
      </w:tr>
      <w:tr>
        <w:tblPrEx>
          <w:tblW w:w="9142" w:type="dxa"/>
          <w:tblLayout w:type="fixed"/>
          <w:tblCellMar>
            <w:left w:w="70" w:type="dxa"/>
            <w:right w:w="70" w:type="dxa"/>
          </w:tblCellMar>
          <w:tblLook w:val="04A0"/>
        </w:tblPrEx>
        <w:trPr>
          <w:gridBefore w:val="1"/>
          <w:wBefore w:w="70" w:type="dxa"/>
          <w:trHeight w:val="225"/>
        </w:trPr>
        <w:tc>
          <w:tcPr>
            <w:tcW w:w="2268" w:type="dxa"/>
            <w:gridSpan w:val="2"/>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sz w:val="14"/>
                <w:szCs w:val="14"/>
              </w:rPr>
            </w:pPr>
            <w:r w:rsidRPr="001D4A5A">
              <w:rPr>
                <w:rFonts w:ascii="Times New Roman" w:hAnsi="Times New Roman"/>
                <w:sz w:val="14"/>
                <w:szCs w:val="14"/>
              </w:rPr>
              <w:t xml:space="preserve">     EÚ prostriedky</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1 105 896</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1 916 419</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5 950 000</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7F5D9F" w:rsidP="00257E12">
            <w:pPr>
              <w:bidi w:val="0"/>
              <w:jc w:val="right"/>
              <w:rPr>
                <w:rFonts w:ascii="Times New Roman" w:hAnsi="Times New Roman"/>
                <w:sz w:val="14"/>
                <w:szCs w:val="14"/>
              </w:rPr>
            </w:pPr>
            <w:r w:rsidRPr="007F5D9F">
              <w:rPr>
                <w:rFonts w:ascii="Times New Roman" w:hAnsi="Times New Roman"/>
                <w:sz w:val="14"/>
                <w:szCs w:val="14"/>
              </w:rPr>
              <w:t>6 284 653</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16 014 463</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5 460 224</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4 651 686</w:t>
            </w:r>
          </w:p>
        </w:tc>
      </w:tr>
      <w:tr>
        <w:tblPrEx>
          <w:tblW w:w="9142" w:type="dxa"/>
          <w:tblLayout w:type="fixed"/>
          <w:tblCellMar>
            <w:left w:w="70" w:type="dxa"/>
            <w:right w:w="70" w:type="dxa"/>
          </w:tblCellMar>
          <w:tblLook w:val="04A0"/>
        </w:tblPrEx>
        <w:trPr>
          <w:gridBefore w:val="1"/>
          <w:wBefore w:w="70" w:type="dxa"/>
          <w:trHeight w:val="225"/>
        </w:trPr>
        <w:tc>
          <w:tcPr>
            <w:tcW w:w="2268" w:type="dxa"/>
            <w:gridSpan w:val="2"/>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sz w:val="14"/>
                <w:szCs w:val="14"/>
              </w:rPr>
            </w:pPr>
            <w:r w:rsidRPr="001D4A5A">
              <w:rPr>
                <w:rFonts w:ascii="Times New Roman" w:hAnsi="Times New Roman"/>
                <w:sz w:val="14"/>
                <w:szCs w:val="14"/>
              </w:rPr>
              <w:t xml:space="preserve">     spolufinancovanie</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145 442</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314 696</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1 050 000</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7F5D9F" w:rsidP="00257E12">
            <w:pPr>
              <w:bidi w:val="0"/>
              <w:jc w:val="right"/>
              <w:rPr>
                <w:rFonts w:ascii="Times New Roman" w:hAnsi="Times New Roman"/>
                <w:sz w:val="14"/>
                <w:szCs w:val="14"/>
              </w:rPr>
            </w:pPr>
            <w:r w:rsidRPr="007F5D9F">
              <w:rPr>
                <w:rFonts w:ascii="Times New Roman" w:hAnsi="Times New Roman"/>
                <w:sz w:val="14"/>
                <w:szCs w:val="14"/>
              </w:rPr>
              <w:t>1 109 057</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2 859 870</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975 089</w:t>
            </w:r>
          </w:p>
        </w:tc>
        <w:tc>
          <w:tcPr>
            <w:tcW w:w="972" w:type="dxa"/>
            <w:gridSpan w:val="2"/>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sz w:val="14"/>
                <w:szCs w:val="14"/>
              </w:rPr>
            </w:pPr>
            <w:r w:rsidRPr="001D4A5A">
              <w:rPr>
                <w:rFonts w:ascii="Times New Roman" w:hAnsi="Times New Roman"/>
                <w:sz w:val="14"/>
                <w:szCs w:val="14"/>
              </w:rPr>
              <w:t>830 700</w:t>
            </w:r>
          </w:p>
        </w:tc>
      </w:tr>
      <w:tr>
        <w:tblPrEx>
          <w:tblW w:w="9142" w:type="dxa"/>
          <w:tblLayout w:type="fixed"/>
          <w:tblCellMar>
            <w:left w:w="70" w:type="dxa"/>
            <w:right w:w="70" w:type="dxa"/>
          </w:tblCellMar>
          <w:tblLook w:val="04A0"/>
        </w:tblPrEx>
        <w:trPr>
          <w:gridBefore w:val="1"/>
          <w:wBefore w:w="70" w:type="dxa"/>
          <w:trHeight w:val="225"/>
        </w:trPr>
        <w:tc>
          <w:tcPr>
            <w:tcW w:w="9072" w:type="dxa"/>
            <w:gridSpan w:val="16"/>
            <w:tcBorders>
              <w:top w:val="nil"/>
              <w:left w:val="nil"/>
              <w:bottom w:val="nil"/>
              <w:right w:val="nil"/>
            </w:tcBorders>
            <w:noWrap/>
            <w:textDirection w:val="lrTb"/>
            <w:vAlign w:val="bottom"/>
            <w:hideMark/>
          </w:tcPr>
          <w:p w:rsidR="00CB350B" w:rsidRPr="00E167C4" w:rsidP="00257E12">
            <w:pPr>
              <w:bidi w:val="0"/>
              <w:rPr>
                <w:rFonts w:ascii="Times New Roman" w:hAnsi="Times New Roman"/>
                <w:sz w:val="16"/>
                <w:szCs w:val="16"/>
              </w:rPr>
            </w:pPr>
            <w:r w:rsidRPr="00E167C4">
              <w:rPr>
                <w:rFonts w:ascii="Times New Roman" w:hAnsi="Times New Roman"/>
                <w:sz w:val="14"/>
                <w:szCs w:val="14"/>
              </w:rPr>
              <w:t>* skutočné čerpanie prostriedkov je uvedené vrátane zdrojov z predchádzajúcich rokov</w:t>
            </w:r>
          </w:p>
        </w:tc>
      </w:tr>
      <w:tr>
        <w:tblPrEx>
          <w:tblW w:w="9142" w:type="dxa"/>
          <w:tblLayout w:type="fixed"/>
          <w:tblCellMar>
            <w:left w:w="0" w:type="dxa"/>
            <w:right w:w="0" w:type="dxa"/>
          </w:tblCellMar>
          <w:tblLook w:val="04A0"/>
        </w:tblPrEx>
        <w:trPr>
          <w:gridAfter w:val="1"/>
          <w:wAfter w:w="70" w:type="dxa"/>
        </w:trPr>
        <w:tc>
          <w:tcPr>
            <w:tcW w:w="2268" w:type="dxa"/>
            <w:gridSpan w:val="2"/>
            <w:tcBorders>
              <w:top w:val="nil"/>
              <w:left w:val="nil"/>
              <w:bottom w:val="nil"/>
              <w:right w:val="nil"/>
            </w:tcBorders>
            <w:textDirection w:val="lrTb"/>
            <w:vAlign w:val="center"/>
            <w:hideMark/>
          </w:tcPr>
          <w:p w:rsidR="00CB350B" w:rsidRPr="00D0665C" w:rsidP="00257E12">
            <w:pPr>
              <w:bidi w:val="0"/>
              <w:rPr>
                <w:rFonts w:ascii="Times New Roman" w:hAnsi="Times New Roman"/>
                <w:sz w:val="2"/>
                <w:lang w:eastAsia="sk-SK"/>
              </w:rPr>
            </w:pPr>
          </w:p>
        </w:tc>
        <w:tc>
          <w:tcPr>
            <w:tcW w:w="972" w:type="dxa"/>
            <w:gridSpan w:val="2"/>
            <w:tcBorders>
              <w:top w:val="nil"/>
              <w:left w:val="nil"/>
              <w:bottom w:val="nil"/>
              <w:right w:val="nil"/>
            </w:tcBorders>
            <w:textDirection w:val="lrTb"/>
            <w:vAlign w:val="center"/>
            <w:hideMark/>
          </w:tcPr>
          <w:p w:rsidR="00CB350B" w:rsidRPr="00D0665C" w:rsidP="00257E12">
            <w:pPr>
              <w:bidi w:val="0"/>
              <w:rPr>
                <w:rFonts w:ascii="Times New Roman" w:hAnsi="Times New Roman"/>
                <w:sz w:val="2"/>
                <w:lang w:eastAsia="sk-SK"/>
              </w:rPr>
            </w:pPr>
          </w:p>
        </w:tc>
        <w:tc>
          <w:tcPr>
            <w:tcW w:w="972" w:type="dxa"/>
            <w:gridSpan w:val="2"/>
            <w:tcBorders>
              <w:top w:val="nil"/>
              <w:left w:val="nil"/>
              <w:bottom w:val="nil"/>
              <w:right w:val="nil"/>
            </w:tcBorders>
            <w:textDirection w:val="lrTb"/>
            <w:vAlign w:val="center"/>
            <w:hideMark/>
          </w:tcPr>
          <w:p w:rsidR="00CB350B" w:rsidRPr="00D0665C" w:rsidP="00257E12">
            <w:pPr>
              <w:bidi w:val="0"/>
              <w:rPr>
                <w:rFonts w:ascii="Times New Roman" w:hAnsi="Times New Roman"/>
                <w:sz w:val="2"/>
                <w:lang w:eastAsia="sk-SK"/>
              </w:rPr>
            </w:pPr>
          </w:p>
        </w:tc>
        <w:tc>
          <w:tcPr>
            <w:tcW w:w="972" w:type="dxa"/>
            <w:gridSpan w:val="2"/>
            <w:tcBorders>
              <w:top w:val="nil"/>
              <w:left w:val="nil"/>
              <w:bottom w:val="nil"/>
              <w:right w:val="nil"/>
            </w:tcBorders>
            <w:textDirection w:val="lrTb"/>
            <w:vAlign w:val="center"/>
            <w:hideMark/>
          </w:tcPr>
          <w:p w:rsidR="00CB350B" w:rsidRPr="00D0665C" w:rsidP="00257E12">
            <w:pPr>
              <w:bidi w:val="0"/>
              <w:rPr>
                <w:rFonts w:ascii="Times New Roman" w:hAnsi="Times New Roman"/>
                <w:sz w:val="2"/>
                <w:lang w:eastAsia="sk-SK"/>
              </w:rPr>
            </w:pPr>
          </w:p>
        </w:tc>
        <w:tc>
          <w:tcPr>
            <w:tcW w:w="972" w:type="dxa"/>
            <w:gridSpan w:val="2"/>
            <w:tcBorders>
              <w:top w:val="nil"/>
              <w:left w:val="nil"/>
              <w:bottom w:val="nil"/>
              <w:right w:val="nil"/>
            </w:tcBorders>
            <w:textDirection w:val="lrTb"/>
            <w:vAlign w:val="center"/>
            <w:hideMark/>
          </w:tcPr>
          <w:p w:rsidR="00CB350B" w:rsidRPr="00D0665C" w:rsidP="00257E12">
            <w:pPr>
              <w:bidi w:val="0"/>
              <w:rPr>
                <w:rFonts w:ascii="Times New Roman" w:hAnsi="Times New Roman"/>
                <w:sz w:val="2"/>
                <w:lang w:eastAsia="sk-SK"/>
              </w:rPr>
            </w:pPr>
          </w:p>
        </w:tc>
        <w:tc>
          <w:tcPr>
            <w:tcW w:w="972" w:type="dxa"/>
            <w:gridSpan w:val="2"/>
            <w:tcBorders>
              <w:top w:val="nil"/>
              <w:left w:val="nil"/>
              <w:bottom w:val="nil"/>
              <w:right w:val="nil"/>
            </w:tcBorders>
            <w:textDirection w:val="lrTb"/>
            <w:vAlign w:val="center"/>
            <w:hideMark/>
          </w:tcPr>
          <w:p w:rsidR="00CB350B" w:rsidRPr="00D0665C" w:rsidP="00257E12">
            <w:pPr>
              <w:bidi w:val="0"/>
              <w:rPr>
                <w:rFonts w:ascii="Times New Roman" w:hAnsi="Times New Roman"/>
                <w:sz w:val="2"/>
                <w:lang w:eastAsia="sk-SK"/>
              </w:rPr>
            </w:pPr>
          </w:p>
        </w:tc>
        <w:tc>
          <w:tcPr>
            <w:tcW w:w="972" w:type="dxa"/>
            <w:gridSpan w:val="2"/>
            <w:tcBorders>
              <w:top w:val="nil"/>
              <w:left w:val="nil"/>
              <w:bottom w:val="nil"/>
              <w:right w:val="nil"/>
            </w:tcBorders>
            <w:textDirection w:val="lrTb"/>
            <w:vAlign w:val="center"/>
            <w:hideMark/>
          </w:tcPr>
          <w:p w:rsidR="00CB350B" w:rsidRPr="00D0665C" w:rsidP="00257E12">
            <w:pPr>
              <w:bidi w:val="0"/>
              <w:rPr>
                <w:rFonts w:ascii="Times New Roman" w:hAnsi="Times New Roman"/>
                <w:sz w:val="2"/>
                <w:lang w:eastAsia="sk-SK"/>
              </w:rPr>
            </w:pPr>
          </w:p>
        </w:tc>
        <w:tc>
          <w:tcPr>
            <w:tcW w:w="972" w:type="dxa"/>
            <w:gridSpan w:val="2"/>
            <w:tcBorders>
              <w:top w:val="nil"/>
              <w:left w:val="nil"/>
              <w:bottom w:val="nil"/>
              <w:right w:val="nil"/>
            </w:tcBorders>
            <w:textDirection w:val="lrTb"/>
            <w:vAlign w:val="center"/>
            <w:hideMark/>
          </w:tcPr>
          <w:p w:rsidR="00CB350B" w:rsidRPr="00D0665C" w:rsidP="00257E12">
            <w:pPr>
              <w:bidi w:val="0"/>
              <w:rPr>
                <w:rFonts w:ascii="Times New Roman" w:hAnsi="Times New Roman"/>
                <w:sz w:val="2"/>
                <w:lang w:eastAsia="sk-SK"/>
              </w:rPr>
            </w:pPr>
          </w:p>
        </w:tc>
      </w:tr>
    </w:tbl>
    <w:p w:rsidR="00CB350B" w:rsidP="00CB350B">
      <w:pPr>
        <w:bidi w:val="0"/>
        <w:jc w:val="both"/>
        <w:rPr>
          <w:rFonts w:ascii="Times New Roman" w:hAnsi="Times New Roman"/>
          <w:lang w:eastAsia="sk-SK"/>
        </w:rPr>
      </w:pPr>
      <w:r w:rsidRPr="00D0665C">
        <w:rPr>
          <w:rFonts w:ascii="Times New Roman" w:hAnsi="Times New Roman"/>
          <w:lang w:eastAsia="sk-SK"/>
        </w:rPr>
        <w:t> </w:t>
      </w:r>
    </w:p>
    <w:p w:rsidR="00CB350B" w:rsidP="00CB350B">
      <w:pPr>
        <w:bidi w:val="0"/>
        <w:jc w:val="both"/>
        <w:rPr>
          <w:rFonts w:ascii="Times New Roman" w:hAnsi="Times New Roman"/>
          <w:lang w:eastAsia="sk-SK"/>
        </w:rPr>
      </w:pPr>
    </w:p>
    <w:p w:rsidR="00CB350B" w:rsidP="00CB350B">
      <w:pPr>
        <w:bidi w:val="0"/>
        <w:jc w:val="both"/>
        <w:rPr>
          <w:rFonts w:ascii="Times New Roman" w:hAnsi="Times New Roman"/>
          <w:lang w:eastAsia="sk-SK"/>
        </w:rPr>
      </w:pPr>
    </w:p>
    <w:p w:rsidR="00CB350B" w:rsidP="00CB350B">
      <w:pPr>
        <w:bidi w:val="0"/>
        <w:jc w:val="both"/>
        <w:rPr>
          <w:rFonts w:ascii="Times New Roman" w:hAnsi="Times New Roman"/>
          <w:lang w:eastAsia="sk-SK"/>
        </w:rPr>
      </w:pPr>
    </w:p>
    <w:p w:rsidR="00CB350B" w:rsidP="00CB350B">
      <w:pPr>
        <w:bidi w:val="0"/>
        <w:jc w:val="both"/>
        <w:rPr>
          <w:rFonts w:ascii="Times New Roman" w:hAnsi="Times New Roman"/>
          <w:lang w:eastAsia="sk-SK"/>
        </w:rPr>
      </w:pPr>
    </w:p>
    <w:p w:rsidR="00CB350B" w:rsidP="00CB350B">
      <w:pPr>
        <w:bidi w:val="0"/>
        <w:jc w:val="both"/>
        <w:rPr>
          <w:rFonts w:ascii="Times New Roman" w:hAnsi="Times New Roman"/>
          <w:lang w:eastAsia="sk-SK"/>
        </w:rPr>
      </w:pPr>
    </w:p>
    <w:p w:rsidR="00CB350B" w:rsidRPr="00A25083" w:rsidP="00CB350B">
      <w:pPr>
        <w:bidi w:val="0"/>
      </w:pPr>
    </w:p>
    <w:p w:rsidR="00CB350B" w:rsidRPr="00AE3FAE" w:rsidP="00CB350B">
      <w:pPr>
        <w:bidi w:val="0"/>
        <w:jc w:val="both"/>
        <w:rPr>
          <w:rFonts w:ascii="Times New Roman" w:hAnsi="Times New Roman"/>
          <w:highlight w:val="yellow"/>
          <w:lang w:eastAsia="sk-SK"/>
        </w:rPr>
      </w:pPr>
    </w:p>
    <w:p w:rsidR="00CB350B" w:rsidRPr="00AE3FAE" w:rsidP="00CB350B">
      <w:pPr>
        <w:bidi w:val="0"/>
        <w:jc w:val="both"/>
        <w:rPr>
          <w:rFonts w:ascii="Times New Roman" w:hAnsi="Times New Roman"/>
          <w:highlight w:val="yellow"/>
          <w:lang w:eastAsia="sk-SK"/>
        </w:rPr>
      </w:pPr>
    </w:p>
    <w:p w:rsidR="00CB350B" w:rsidRPr="00432A91" w:rsidP="00CB350B">
      <w:pPr>
        <w:pBdr>
          <w:bottom w:val="single" w:sz="4" w:space="1" w:color="auto"/>
        </w:pBdr>
        <w:bidi w:val="0"/>
        <w:jc w:val="both"/>
        <w:rPr>
          <w:rFonts w:ascii="Times New Roman" w:hAnsi="Times New Roman" w:cs="Times New Roman"/>
          <w:b/>
          <w:bCs/>
        </w:rPr>
      </w:pPr>
      <w:r w:rsidRPr="00432A91">
        <w:rPr>
          <w:rFonts w:ascii="Times New Roman" w:hAnsi="Times New Roman" w:cs="Times New Roman"/>
          <w:b/>
          <w:bCs/>
        </w:rPr>
        <w:t>Ministerstvo pôdohospodárstva a rozvoja vidieka SR</w:t>
      </w:r>
    </w:p>
    <w:p w:rsidR="00CB350B" w:rsidRPr="00432A91" w:rsidP="00CB350B">
      <w:pPr>
        <w:bidi w:val="0"/>
        <w:jc w:val="both"/>
        <w:rPr>
          <w:rFonts w:ascii="Times New Roman" w:hAnsi="Times New Roman" w:cs="Times New Roman"/>
          <w:b/>
        </w:rPr>
      </w:pPr>
    </w:p>
    <w:tbl>
      <w:tblPr>
        <w:tblStyle w:val="TableNormal"/>
        <w:tblW w:w="5000" w:type="pct"/>
        <w:tblLayout w:type="fixed"/>
        <w:tblCellMar>
          <w:left w:w="70" w:type="dxa"/>
          <w:right w:w="70" w:type="dxa"/>
        </w:tblCellMar>
        <w:tblLook w:val="04A0"/>
      </w:tblPr>
      <w:tblGrid>
        <w:gridCol w:w="2197"/>
        <w:gridCol w:w="1003"/>
        <w:gridCol w:w="1002"/>
        <w:gridCol w:w="1002"/>
        <w:gridCol w:w="1002"/>
        <w:gridCol w:w="1002"/>
        <w:gridCol w:w="1002"/>
        <w:gridCol w:w="1002"/>
      </w:tblGrid>
      <w:tr>
        <w:tblPrEx>
          <w:tblW w:w="5000" w:type="pct"/>
          <w:tblLayout w:type="fixed"/>
          <w:tblCellMar>
            <w:left w:w="70" w:type="dxa"/>
            <w:right w:w="70" w:type="dxa"/>
          </w:tblCellMar>
          <w:tblLook w:val="04A0"/>
        </w:tblPrEx>
        <w:trPr>
          <w:trHeight w:val="250"/>
        </w:trPr>
        <w:tc>
          <w:tcPr>
            <w:tcW w:w="1192"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b/>
                <w:sz w:val="14"/>
                <w:szCs w:val="14"/>
              </w:rPr>
            </w:pPr>
            <w:r>
              <w:rPr>
                <w:rFonts w:ascii="Times New Roman" w:hAnsi="Times New Roman" w:cs="Times New Roman"/>
                <w:b/>
                <w:sz w:val="14"/>
                <w:szCs w:val="14"/>
              </w:rPr>
              <w:t>v eurách</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2009 S</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2010 S</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2011 R</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2011 OS</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2012 N</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2013 N</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2014 N</w:t>
            </w:r>
          </w:p>
        </w:tc>
      </w:tr>
      <w:tr>
        <w:tblPrEx>
          <w:tblW w:w="5000" w:type="pct"/>
          <w:tblLayout w:type="fixed"/>
          <w:tblCellMar>
            <w:left w:w="70" w:type="dxa"/>
            <w:right w:w="70" w:type="dxa"/>
          </w:tblCellMar>
          <w:tblLook w:val="04A0"/>
        </w:tblPrEx>
        <w:trPr>
          <w:trHeight w:val="250"/>
        </w:trPr>
        <w:tc>
          <w:tcPr>
            <w:tcW w:w="1192"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b/>
                <w:sz w:val="14"/>
                <w:szCs w:val="14"/>
              </w:rPr>
            </w:pPr>
            <w:r w:rsidRPr="001D4A5A">
              <w:rPr>
                <w:rFonts w:ascii="Times New Roman" w:hAnsi="Times New Roman" w:cs="Times New Roman"/>
                <w:b/>
                <w:sz w:val="14"/>
                <w:szCs w:val="14"/>
              </w:rPr>
              <w:t>Ministerstvo pôdohospodárstva a rozvoja vidieka SR</w:t>
            </w:r>
          </w:p>
        </w:tc>
        <w:tc>
          <w:tcPr>
            <w:tcW w:w="544" w:type="pct"/>
            <w:tcBorders>
              <w:top w:val="nil"/>
              <w:left w:val="nil"/>
              <w:bottom w:val="single" w:sz="4" w:space="0" w:color="auto"/>
              <w:right w:val="single" w:sz="4" w:space="0" w:color="auto"/>
            </w:tcBorders>
            <w:textDirection w:val="lrTb"/>
            <w:vAlign w:val="bottom"/>
            <w:hideMark/>
          </w:tcPr>
          <w:p w:rsidR="00CB350B" w:rsidRPr="001D4A5A" w:rsidP="00257E12">
            <w:pPr>
              <w:bidi w:val="0"/>
              <w:jc w:val="right"/>
              <w:rPr>
                <w:rFonts w:ascii="Times New Roman" w:hAnsi="Times New Roman" w:cs="Times New Roman"/>
                <w:b/>
                <w:sz w:val="14"/>
                <w:szCs w:val="14"/>
              </w:rPr>
            </w:pPr>
            <w:r w:rsidRPr="001D4A5A">
              <w:rPr>
                <w:rFonts w:ascii="Times New Roman" w:hAnsi="Times New Roman" w:cs="Times New Roman"/>
                <w:b/>
                <w:sz w:val="14"/>
                <w:szCs w:val="14"/>
              </w:rPr>
              <w:t>1 038 072 171</w:t>
            </w:r>
          </w:p>
        </w:tc>
        <w:tc>
          <w:tcPr>
            <w:tcW w:w="544" w:type="pct"/>
            <w:tcBorders>
              <w:top w:val="nil"/>
              <w:left w:val="nil"/>
              <w:bottom w:val="single" w:sz="4" w:space="0" w:color="auto"/>
              <w:right w:val="single" w:sz="4" w:space="0" w:color="auto"/>
            </w:tcBorders>
            <w:textDirection w:val="lrTb"/>
            <w:vAlign w:val="bottom"/>
            <w:hideMark/>
          </w:tcPr>
          <w:p w:rsidR="00CB350B" w:rsidRPr="001D4A5A" w:rsidP="00257E12">
            <w:pPr>
              <w:bidi w:val="0"/>
              <w:jc w:val="right"/>
              <w:rPr>
                <w:rFonts w:ascii="Times New Roman" w:hAnsi="Times New Roman" w:cs="Times New Roman"/>
                <w:b/>
                <w:sz w:val="14"/>
                <w:szCs w:val="14"/>
              </w:rPr>
            </w:pPr>
            <w:r w:rsidRPr="001D4A5A">
              <w:rPr>
                <w:rFonts w:ascii="Times New Roman" w:hAnsi="Times New Roman" w:cs="Times New Roman"/>
                <w:b/>
                <w:sz w:val="14"/>
                <w:szCs w:val="14"/>
              </w:rPr>
              <w:t>1 220 396 355</w:t>
            </w:r>
          </w:p>
        </w:tc>
        <w:tc>
          <w:tcPr>
            <w:tcW w:w="544" w:type="pct"/>
            <w:tcBorders>
              <w:top w:val="nil"/>
              <w:left w:val="nil"/>
              <w:bottom w:val="single" w:sz="4" w:space="0" w:color="auto"/>
              <w:right w:val="single" w:sz="4" w:space="0" w:color="auto"/>
            </w:tcBorders>
            <w:textDirection w:val="lrTb"/>
            <w:vAlign w:val="bottom"/>
            <w:hideMark/>
          </w:tcPr>
          <w:p w:rsidR="00CB350B" w:rsidRPr="001D4A5A" w:rsidP="00257E12">
            <w:pPr>
              <w:bidi w:val="0"/>
              <w:jc w:val="right"/>
              <w:rPr>
                <w:rFonts w:ascii="Times New Roman" w:hAnsi="Times New Roman" w:cs="Times New Roman"/>
                <w:b/>
                <w:sz w:val="14"/>
                <w:szCs w:val="14"/>
              </w:rPr>
            </w:pPr>
            <w:r w:rsidRPr="001D4A5A">
              <w:rPr>
                <w:rFonts w:ascii="Times New Roman" w:hAnsi="Times New Roman" w:cs="Times New Roman"/>
                <w:b/>
                <w:sz w:val="14"/>
                <w:szCs w:val="14"/>
              </w:rPr>
              <w:t>1 303 985 602</w:t>
            </w:r>
          </w:p>
        </w:tc>
        <w:tc>
          <w:tcPr>
            <w:tcW w:w="544" w:type="pct"/>
            <w:tcBorders>
              <w:top w:val="nil"/>
              <w:left w:val="nil"/>
              <w:bottom w:val="single" w:sz="4" w:space="0" w:color="auto"/>
              <w:right w:val="single" w:sz="4" w:space="0" w:color="auto"/>
            </w:tcBorders>
            <w:textDirection w:val="lrTb"/>
            <w:vAlign w:val="bottom"/>
            <w:hideMark/>
          </w:tcPr>
          <w:p w:rsidR="00CB350B" w:rsidRPr="001D4A5A" w:rsidP="00257E12">
            <w:pPr>
              <w:bidi w:val="0"/>
              <w:jc w:val="right"/>
              <w:rPr>
                <w:rFonts w:ascii="Times New Roman" w:hAnsi="Times New Roman" w:cs="Times New Roman"/>
                <w:b/>
                <w:sz w:val="14"/>
                <w:szCs w:val="14"/>
              </w:rPr>
            </w:pPr>
            <w:r w:rsidRPr="001D4A5A">
              <w:rPr>
                <w:rFonts w:ascii="Times New Roman" w:hAnsi="Times New Roman" w:cs="Times New Roman"/>
                <w:b/>
                <w:sz w:val="14"/>
                <w:szCs w:val="14"/>
              </w:rPr>
              <w:t>1 347 616 899</w:t>
            </w:r>
          </w:p>
        </w:tc>
        <w:tc>
          <w:tcPr>
            <w:tcW w:w="544" w:type="pct"/>
            <w:tcBorders>
              <w:top w:val="nil"/>
              <w:left w:val="nil"/>
              <w:bottom w:val="single" w:sz="4" w:space="0" w:color="auto"/>
              <w:right w:val="single" w:sz="4" w:space="0" w:color="auto"/>
            </w:tcBorders>
            <w:textDirection w:val="lrTb"/>
            <w:vAlign w:val="bottom"/>
            <w:hideMark/>
          </w:tcPr>
          <w:p w:rsidR="00CB350B" w:rsidRPr="001D4A5A" w:rsidP="00257E12">
            <w:pPr>
              <w:bidi w:val="0"/>
              <w:jc w:val="right"/>
              <w:rPr>
                <w:rFonts w:ascii="Times New Roman" w:hAnsi="Times New Roman" w:cs="Times New Roman"/>
                <w:b/>
                <w:sz w:val="14"/>
                <w:szCs w:val="14"/>
              </w:rPr>
            </w:pPr>
            <w:r>
              <w:rPr>
                <w:rFonts w:ascii="Times New Roman" w:hAnsi="Times New Roman" w:cs="Times New Roman"/>
                <w:b/>
                <w:sz w:val="14"/>
                <w:szCs w:val="14"/>
              </w:rPr>
              <w:t>1 45</w:t>
            </w:r>
            <w:r w:rsidRPr="001D4A5A">
              <w:rPr>
                <w:rFonts w:ascii="Times New Roman" w:hAnsi="Times New Roman" w:cs="Times New Roman"/>
                <w:b/>
                <w:sz w:val="14"/>
                <w:szCs w:val="14"/>
              </w:rPr>
              <w:t>2 681 182</w:t>
            </w:r>
          </w:p>
        </w:tc>
        <w:tc>
          <w:tcPr>
            <w:tcW w:w="544" w:type="pct"/>
            <w:tcBorders>
              <w:top w:val="nil"/>
              <w:left w:val="nil"/>
              <w:bottom w:val="single" w:sz="4" w:space="0" w:color="auto"/>
              <w:right w:val="single" w:sz="4" w:space="0" w:color="auto"/>
            </w:tcBorders>
            <w:textDirection w:val="lrTb"/>
            <w:vAlign w:val="bottom"/>
            <w:hideMark/>
          </w:tcPr>
          <w:p w:rsidR="00CB350B" w:rsidRPr="001D4A5A" w:rsidP="00257E12">
            <w:pPr>
              <w:bidi w:val="0"/>
              <w:jc w:val="right"/>
              <w:rPr>
                <w:rFonts w:ascii="Times New Roman" w:hAnsi="Times New Roman" w:cs="Times New Roman"/>
                <w:b/>
                <w:sz w:val="14"/>
                <w:szCs w:val="14"/>
              </w:rPr>
            </w:pPr>
            <w:r w:rsidRPr="001D4A5A">
              <w:rPr>
                <w:rFonts w:ascii="Times New Roman" w:hAnsi="Times New Roman" w:cs="Times New Roman"/>
                <w:b/>
                <w:sz w:val="14"/>
                <w:szCs w:val="14"/>
              </w:rPr>
              <w:t>1 098 655 280</w:t>
            </w:r>
          </w:p>
        </w:tc>
        <w:tc>
          <w:tcPr>
            <w:tcW w:w="544" w:type="pct"/>
            <w:tcBorders>
              <w:top w:val="nil"/>
              <w:left w:val="nil"/>
              <w:bottom w:val="single" w:sz="4" w:space="0" w:color="auto"/>
              <w:right w:val="single" w:sz="4" w:space="0" w:color="auto"/>
            </w:tcBorders>
            <w:textDirection w:val="lrTb"/>
            <w:vAlign w:val="bottom"/>
            <w:hideMark/>
          </w:tcPr>
          <w:p w:rsidR="00CB350B" w:rsidRPr="001D4A5A" w:rsidP="00257E12">
            <w:pPr>
              <w:bidi w:val="0"/>
              <w:jc w:val="right"/>
              <w:rPr>
                <w:rFonts w:ascii="Times New Roman" w:hAnsi="Times New Roman" w:cs="Times New Roman"/>
                <w:b/>
                <w:sz w:val="14"/>
                <w:szCs w:val="14"/>
              </w:rPr>
            </w:pPr>
            <w:r w:rsidRPr="001D4A5A">
              <w:rPr>
                <w:rFonts w:ascii="Times New Roman" w:hAnsi="Times New Roman" w:cs="Times New Roman"/>
                <w:b/>
                <w:sz w:val="14"/>
                <w:szCs w:val="14"/>
              </w:rPr>
              <w:t>851 533 886</w:t>
            </w:r>
          </w:p>
        </w:tc>
      </w:tr>
      <w:tr>
        <w:tblPrEx>
          <w:tblW w:w="5000" w:type="pct"/>
          <w:tblLayout w:type="fixed"/>
          <w:tblCellMar>
            <w:left w:w="70" w:type="dxa"/>
            <w:right w:w="70" w:type="dxa"/>
          </w:tblCellMar>
          <w:tblLook w:val="04A0"/>
        </w:tblPrEx>
        <w:trPr>
          <w:trHeight w:val="250"/>
        </w:trPr>
        <w:tc>
          <w:tcPr>
            <w:tcW w:w="1192"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sz w:val="14"/>
                <w:szCs w:val="14"/>
              </w:rPr>
            </w:pPr>
            <w:r w:rsidRPr="001D4A5A">
              <w:rPr>
                <w:rFonts w:ascii="Times New Roman" w:hAnsi="Times New Roman" w:cs="Times New Roman"/>
                <w:sz w:val="14"/>
                <w:szCs w:val="14"/>
              </w:rPr>
              <w:t>Priame platby</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364 100 548</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337 645 238</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357 746 235</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399 116 418</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3</w:t>
            </w:r>
            <w:r>
              <w:rPr>
                <w:rFonts w:ascii="Times New Roman" w:hAnsi="Times New Roman" w:cs="Times New Roman"/>
                <w:sz w:val="14"/>
                <w:szCs w:val="14"/>
              </w:rPr>
              <w:t>75</w:t>
            </w:r>
            <w:r w:rsidRPr="001D4A5A">
              <w:rPr>
                <w:rFonts w:ascii="Times New Roman" w:hAnsi="Times New Roman" w:cs="Times New Roman"/>
                <w:sz w:val="14"/>
                <w:szCs w:val="14"/>
              </w:rPr>
              <w:t xml:space="preserve"> 020 000</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390 138 000</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390 138 000</w:t>
            </w:r>
          </w:p>
        </w:tc>
      </w:tr>
      <w:tr>
        <w:tblPrEx>
          <w:tblW w:w="5000" w:type="pct"/>
          <w:tblLayout w:type="fixed"/>
          <w:tblCellMar>
            <w:left w:w="70" w:type="dxa"/>
            <w:right w:w="70" w:type="dxa"/>
          </w:tblCellMar>
          <w:tblLook w:val="04A0"/>
        </w:tblPrEx>
        <w:trPr>
          <w:trHeight w:val="250"/>
        </w:trPr>
        <w:tc>
          <w:tcPr>
            <w:tcW w:w="1192"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sz w:val="14"/>
                <w:szCs w:val="14"/>
              </w:rPr>
            </w:pPr>
            <w:r w:rsidRPr="001D4A5A">
              <w:rPr>
                <w:rFonts w:ascii="Times New Roman" w:hAnsi="Times New Roman" w:cs="Times New Roman"/>
                <w:sz w:val="14"/>
                <w:szCs w:val="14"/>
              </w:rPr>
              <w:t>Rozvoj vidieka</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433 449 562</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481 077 683</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425 200 000</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414 415 314</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492 491 410</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201 473 758</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120 884 255</w:t>
            </w:r>
          </w:p>
        </w:tc>
      </w:tr>
      <w:tr>
        <w:tblPrEx>
          <w:tblW w:w="5000" w:type="pct"/>
          <w:tblLayout w:type="fixed"/>
          <w:tblCellMar>
            <w:left w:w="70" w:type="dxa"/>
            <w:right w:w="70" w:type="dxa"/>
          </w:tblCellMar>
          <w:tblLook w:val="04A0"/>
        </w:tblPrEx>
        <w:trPr>
          <w:trHeight w:val="250"/>
        </w:trPr>
        <w:tc>
          <w:tcPr>
            <w:tcW w:w="1192"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sz w:val="14"/>
                <w:szCs w:val="14"/>
              </w:rPr>
            </w:pPr>
            <w:r w:rsidRPr="001D4A5A">
              <w:rPr>
                <w:rFonts w:ascii="Times New Roman" w:hAnsi="Times New Roman" w:cs="Times New Roman"/>
                <w:sz w:val="14"/>
                <w:szCs w:val="14"/>
              </w:rPr>
              <w:t>Rybné hospodárstvo</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629 797</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1 970 879</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3 596 503</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3 565 861</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3 489 489</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1 712 096</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3 157 173</w:t>
            </w:r>
          </w:p>
        </w:tc>
      </w:tr>
      <w:tr>
        <w:tblPrEx>
          <w:tblW w:w="5000" w:type="pct"/>
          <w:tblLayout w:type="fixed"/>
          <w:tblCellMar>
            <w:left w:w="70" w:type="dxa"/>
            <w:right w:w="70" w:type="dxa"/>
          </w:tblCellMar>
          <w:tblLook w:val="04A0"/>
        </w:tblPrEx>
        <w:trPr>
          <w:trHeight w:val="250"/>
        </w:trPr>
        <w:tc>
          <w:tcPr>
            <w:tcW w:w="1192"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sz w:val="14"/>
                <w:szCs w:val="14"/>
              </w:rPr>
            </w:pPr>
            <w:r w:rsidRPr="001D4A5A">
              <w:rPr>
                <w:rFonts w:ascii="Times New Roman" w:hAnsi="Times New Roman" w:cs="Times New Roman"/>
                <w:sz w:val="14"/>
                <w:szCs w:val="14"/>
              </w:rPr>
              <w:t>Trhovo-orientované výdavky</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39 755 389</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13 637 537</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31 886 924</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39 840 214</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19 752 761</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18 517 280</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18 545 304</w:t>
            </w:r>
          </w:p>
        </w:tc>
      </w:tr>
      <w:tr>
        <w:tblPrEx>
          <w:tblW w:w="5000" w:type="pct"/>
          <w:tblLayout w:type="fixed"/>
          <w:tblCellMar>
            <w:left w:w="70" w:type="dxa"/>
            <w:right w:w="70" w:type="dxa"/>
          </w:tblCellMar>
          <w:tblLook w:val="04A0"/>
        </w:tblPrEx>
        <w:trPr>
          <w:trHeight w:val="250"/>
        </w:trPr>
        <w:tc>
          <w:tcPr>
            <w:tcW w:w="1192"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sz w:val="14"/>
                <w:szCs w:val="14"/>
              </w:rPr>
            </w:pPr>
            <w:r w:rsidRPr="001D4A5A">
              <w:rPr>
                <w:rFonts w:ascii="Times New Roman" w:hAnsi="Times New Roman" w:cs="Times New Roman"/>
                <w:sz w:val="14"/>
                <w:szCs w:val="14"/>
              </w:rPr>
              <w:t>Štátna pomoc</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24 676 707</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19 005 796</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8 000 000</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11 220 736</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Pr>
                <w:rFonts w:ascii="Times New Roman" w:hAnsi="Times New Roman" w:cs="Times New Roman"/>
                <w:sz w:val="14"/>
                <w:szCs w:val="14"/>
              </w:rPr>
              <w:t xml:space="preserve">10 </w:t>
            </w:r>
            <w:r w:rsidRPr="001D4A5A">
              <w:rPr>
                <w:rFonts w:ascii="Times New Roman" w:hAnsi="Times New Roman" w:cs="Times New Roman"/>
                <w:sz w:val="14"/>
                <w:szCs w:val="14"/>
              </w:rPr>
              <w:t xml:space="preserve"> 000 000</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8 000 000</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8 000 000</w:t>
            </w:r>
          </w:p>
        </w:tc>
      </w:tr>
      <w:tr>
        <w:tblPrEx>
          <w:tblW w:w="5000" w:type="pct"/>
          <w:tblLayout w:type="fixed"/>
          <w:tblCellMar>
            <w:left w:w="70" w:type="dxa"/>
            <w:right w:w="70" w:type="dxa"/>
          </w:tblCellMar>
          <w:tblLook w:val="04A0"/>
        </w:tblPrEx>
        <w:trPr>
          <w:trHeight w:val="250"/>
        </w:trPr>
        <w:tc>
          <w:tcPr>
            <w:tcW w:w="1192"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sz w:val="14"/>
                <w:szCs w:val="14"/>
              </w:rPr>
            </w:pPr>
            <w:r w:rsidRPr="001D4A5A">
              <w:rPr>
                <w:rFonts w:ascii="Times New Roman" w:hAnsi="Times New Roman" w:cs="Times New Roman"/>
                <w:sz w:val="14"/>
                <w:szCs w:val="14"/>
              </w:rPr>
              <w:t>Regionálny rozvoj</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149 205 593</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178 839 465</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372 212 759</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363 072 655</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444 873 035</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373 463 937</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205 451 011</w:t>
            </w:r>
          </w:p>
        </w:tc>
      </w:tr>
      <w:tr>
        <w:tblPrEx>
          <w:tblW w:w="5000" w:type="pct"/>
          <w:tblLayout w:type="fixed"/>
          <w:tblCellMar>
            <w:left w:w="70" w:type="dxa"/>
            <w:right w:w="70" w:type="dxa"/>
          </w:tblCellMar>
          <w:tblLook w:val="04A0"/>
        </w:tblPrEx>
        <w:trPr>
          <w:trHeight w:val="250"/>
        </w:trPr>
        <w:tc>
          <w:tcPr>
            <w:tcW w:w="1192" w:type="pct"/>
            <w:tcBorders>
              <w:top w:val="nil"/>
              <w:left w:val="single" w:sz="4" w:space="0" w:color="auto"/>
              <w:bottom w:val="single" w:sz="4" w:space="0" w:color="auto"/>
              <w:right w:val="single" w:sz="4" w:space="0" w:color="auto"/>
            </w:tcBorders>
            <w:textDirection w:val="lrTb"/>
            <w:vAlign w:val="center"/>
            <w:hideMark/>
          </w:tcPr>
          <w:p w:rsidR="00CB350B" w:rsidRPr="001D4A5A" w:rsidP="00257E12">
            <w:pPr>
              <w:bidi w:val="0"/>
              <w:rPr>
                <w:rFonts w:ascii="Times New Roman" w:hAnsi="Times New Roman" w:cs="Times New Roman"/>
                <w:sz w:val="14"/>
                <w:szCs w:val="14"/>
              </w:rPr>
            </w:pPr>
            <w:r w:rsidRPr="001D4A5A">
              <w:rPr>
                <w:rFonts w:ascii="Times New Roman" w:hAnsi="Times New Roman" w:cs="Times New Roman"/>
                <w:sz w:val="14"/>
                <w:szCs w:val="14"/>
              </w:rPr>
              <w:t xml:space="preserve">Inštitucionálna podpora </w:t>
            </w:r>
          </w:p>
        </w:tc>
        <w:tc>
          <w:tcPr>
            <w:tcW w:w="544" w:type="pct"/>
            <w:tcBorders>
              <w:top w:val="nil"/>
              <w:left w:val="nil"/>
              <w:bottom w:val="single" w:sz="4" w:space="0" w:color="auto"/>
              <w:right w:val="single" w:sz="4" w:space="0" w:color="auto"/>
            </w:tcBorders>
            <w:noWrap/>
            <w:textDirection w:val="lrTb"/>
            <w:vAlign w:val="center"/>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175 460 168</w:t>
            </w:r>
          </w:p>
        </w:tc>
        <w:tc>
          <w:tcPr>
            <w:tcW w:w="544" w:type="pct"/>
            <w:tcBorders>
              <w:top w:val="nil"/>
              <w:left w:val="nil"/>
              <w:bottom w:val="single" w:sz="4" w:space="0" w:color="auto"/>
              <w:right w:val="single" w:sz="4" w:space="0" w:color="auto"/>
            </w:tcBorders>
            <w:noWrap/>
            <w:textDirection w:val="lrTb"/>
            <w:vAlign w:val="center"/>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188 219 757</w:t>
            </w:r>
          </w:p>
        </w:tc>
        <w:tc>
          <w:tcPr>
            <w:tcW w:w="544" w:type="pct"/>
            <w:tcBorders>
              <w:top w:val="nil"/>
              <w:left w:val="nil"/>
              <w:bottom w:val="single" w:sz="4" w:space="0" w:color="auto"/>
              <w:right w:val="single" w:sz="4" w:space="0" w:color="auto"/>
            </w:tcBorders>
            <w:noWrap/>
            <w:textDirection w:val="lrTb"/>
            <w:vAlign w:val="center"/>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105 343 181</w:t>
            </w:r>
          </w:p>
        </w:tc>
        <w:tc>
          <w:tcPr>
            <w:tcW w:w="544" w:type="pct"/>
            <w:tcBorders>
              <w:top w:val="nil"/>
              <w:left w:val="nil"/>
              <w:bottom w:val="single" w:sz="4" w:space="0" w:color="auto"/>
              <w:right w:val="single" w:sz="4" w:space="0" w:color="auto"/>
            </w:tcBorders>
            <w:noWrap/>
            <w:textDirection w:val="lrTb"/>
            <w:vAlign w:val="center"/>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116 385 702</w:t>
            </w:r>
          </w:p>
        </w:tc>
        <w:tc>
          <w:tcPr>
            <w:tcW w:w="544" w:type="pct"/>
            <w:tcBorders>
              <w:top w:val="nil"/>
              <w:left w:val="nil"/>
              <w:bottom w:val="single" w:sz="4" w:space="0" w:color="auto"/>
              <w:right w:val="single" w:sz="4" w:space="0" w:color="auto"/>
            </w:tcBorders>
            <w:noWrap/>
            <w:textDirection w:val="lrTb"/>
            <w:vAlign w:val="center"/>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107 054 487</w:t>
            </w:r>
          </w:p>
        </w:tc>
        <w:tc>
          <w:tcPr>
            <w:tcW w:w="544" w:type="pct"/>
            <w:tcBorders>
              <w:top w:val="nil"/>
              <w:left w:val="nil"/>
              <w:bottom w:val="single" w:sz="4" w:space="0" w:color="auto"/>
              <w:right w:val="single" w:sz="4" w:space="0" w:color="auto"/>
            </w:tcBorders>
            <w:noWrap/>
            <w:textDirection w:val="lrTb"/>
            <w:vAlign w:val="center"/>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105 350 209</w:t>
            </w:r>
          </w:p>
        </w:tc>
        <w:tc>
          <w:tcPr>
            <w:tcW w:w="544" w:type="pct"/>
            <w:tcBorders>
              <w:top w:val="nil"/>
              <w:left w:val="nil"/>
              <w:bottom w:val="single" w:sz="4" w:space="0" w:color="auto"/>
              <w:right w:val="single" w:sz="4" w:space="0" w:color="auto"/>
            </w:tcBorders>
            <w:noWrap/>
            <w:textDirection w:val="lrTb"/>
            <w:vAlign w:val="center"/>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105 358 143</w:t>
            </w:r>
          </w:p>
        </w:tc>
      </w:tr>
    </w:tbl>
    <w:p w:rsidR="00CB350B" w:rsidRPr="00575C66" w:rsidP="00CB350B">
      <w:pPr>
        <w:bidi w:val="0"/>
        <w:jc w:val="both"/>
        <w:rPr>
          <w:rFonts w:ascii="Times New Roman" w:hAnsi="Times New Roman" w:cs="Times New Roman"/>
          <w:b/>
          <w:sz w:val="14"/>
          <w:szCs w:val="14"/>
        </w:rPr>
      </w:pPr>
      <w:r w:rsidRPr="00575C66">
        <w:rPr>
          <w:rFonts w:ascii="Times New Roman" w:hAnsi="Times New Roman" w:cs="Times New Roman"/>
          <w:color w:val="000000"/>
          <w:sz w:val="14"/>
          <w:szCs w:val="14"/>
        </w:rPr>
        <w:t xml:space="preserve">* </w:t>
      </w:r>
      <w:r w:rsidRPr="00575C66">
        <w:rPr>
          <w:rFonts w:ascii="Times New Roman" w:hAnsi="Times New Roman" w:cs="Times New Roman"/>
          <w:sz w:val="14"/>
          <w:szCs w:val="14"/>
        </w:rPr>
        <w:t>v roku 2009 nie sú vo výdavkoch započítané zdroje na regionálny rozvoj</w:t>
      </w:r>
    </w:p>
    <w:p w:rsidR="00CB350B" w:rsidRPr="00432A91" w:rsidP="00CB350B">
      <w:pPr>
        <w:bidi w:val="0"/>
        <w:jc w:val="both"/>
        <w:rPr>
          <w:rFonts w:ascii="Times New Roman" w:hAnsi="Times New Roman" w:cs="Times New Roman"/>
          <w:b/>
        </w:rPr>
      </w:pPr>
    </w:p>
    <w:p w:rsidR="00CB350B" w:rsidRPr="00432A91" w:rsidP="00CB350B">
      <w:pPr>
        <w:bidi w:val="0"/>
        <w:ind w:firstLine="708"/>
        <w:jc w:val="both"/>
        <w:rPr>
          <w:rFonts w:ascii="Times New Roman" w:hAnsi="Times New Roman" w:cs="Times New Roman"/>
        </w:rPr>
      </w:pPr>
      <w:r w:rsidRPr="00432A91">
        <w:rPr>
          <w:rFonts w:ascii="Times New Roman" w:hAnsi="Times New Roman" w:cs="Times New Roman"/>
        </w:rPr>
        <w:t>Kapitola MPRV SR bude mať v roku 2012 k dispozícii celkové zdroje vo výške 1,4</w:t>
      </w:r>
      <w:r>
        <w:rPr>
          <w:rFonts w:ascii="Times New Roman" w:hAnsi="Times New Roman" w:cs="Times New Roman"/>
        </w:rPr>
        <w:t>5 </w:t>
      </w:r>
      <w:r w:rsidRPr="00432A91">
        <w:rPr>
          <w:rFonts w:ascii="Times New Roman" w:hAnsi="Times New Roman" w:cs="Times New Roman"/>
        </w:rPr>
        <w:t>mld. eur, z toho rozpočtové prostriedky kapitoly predstavujú sumu 11</w:t>
      </w:r>
      <w:r>
        <w:rPr>
          <w:rFonts w:ascii="Times New Roman" w:hAnsi="Times New Roman" w:cs="Times New Roman"/>
        </w:rPr>
        <w:t>5</w:t>
      </w:r>
      <w:r w:rsidRPr="00432A91">
        <w:rPr>
          <w:rFonts w:ascii="Times New Roman" w:hAnsi="Times New Roman" w:cs="Times New Roman"/>
        </w:rPr>
        <w:t xml:space="preserve"> mil. eur a zdroje EÚ vrátane spolufinancovania sumu 1,2</w:t>
      </w:r>
      <w:r>
        <w:rPr>
          <w:rFonts w:ascii="Times New Roman" w:hAnsi="Times New Roman" w:cs="Times New Roman"/>
        </w:rPr>
        <w:t>9</w:t>
      </w:r>
      <w:r w:rsidRPr="00432A91">
        <w:rPr>
          <w:rFonts w:ascii="Times New Roman" w:hAnsi="Times New Roman" w:cs="Times New Roman"/>
        </w:rPr>
        <w:t xml:space="preserve"> mld. eur. </w:t>
      </w:r>
    </w:p>
    <w:p w:rsidR="00CB350B" w:rsidRPr="00432A91" w:rsidP="00CB350B">
      <w:pPr>
        <w:bidi w:val="0"/>
        <w:jc w:val="both"/>
        <w:rPr>
          <w:rFonts w:ascii="Times New Roman" w:hAnsi="Times New Roman" w:cs="Times New Roman"/>
        </w:rPr>
      </w:pPr>
    </w:p>
    <w:p w:rsidR="00CB350B" w:rsidRPr="00432A91" w:rsidP="00CB350B">
      <w:pPr>
        <w:bidi w:val="0"/>
        <w:ind w:firstLine="708"/>
        <w:jc w:val="both"/>
        <w:rPr>
          <w:rFonts w:ascii="Times New Roman" w:hAnsi="Times New Roman" w:cs="Times New Roman"/>
        </w:rPr>
      </w:pPr>
      <w:r w:rsidRPr="00432A91">
        <w:rPr>
          <w:rFonts w:ascii="Times New Roman" w:hAnsi="Times New Roman" w:cs="Times New Roman"/>
        </w:rPr>
        <w:t>Rozpočtové prostriedky kapitoly v roku 2012 oproti roku 2011 klesajú o</w:t>
      </w:r>
      <w:r>
        <w:rPr>
          <w:rFonts w:ascii="Times New Roman" w:hAnsi="Times New Roman" w:cs="Times New Roman"/>
        </w:rPr>
        <w:t> 2,54</w:t>
      </w:r>
      <w:r w:rsidRPr="00432A91">
        <w:rPr>
          <w:rFonts w:ascii="Times New Roman" w:hAnsi="Times New Roman" w:cs="Times New Roman"/>
        </w:rPr>
        <w:t xml:space="preserve"> %, uvedenú zmenu spôsobil pokles výdavkov na tovary a služby o 5 % oproti sch</w:t>
      </w:r>
      <w:r>
        <w:rPr>
          <w:rFonts w:ascii="Times New Roman" w:hAnsi="Times New Roman" w:cs="Times New Roman"/>
        </w:rPr>
        <w:t xml:space="preserve">válenému rozpočtu na rok 2011, </w:t>
      </w:r>
      <w:r w:rsidRPr="00432A91">
        <w:rPr>
          <w:rFonts w:ascii="Times New Roman" w:hAnsi="Times New Roman" w:cs="Times New Roman"/>
        </w:rPr>
        <w:t>nerozpočtovanie výdavkov na registre obnovenej eviden</w:t>
      </w:r>
      <w:r>
        <w:rPr>
          <w:rFonts w:ascii="Times New Roman" w:hAnsi="Times New Roman" w:cs="Times New Roman"/>
        </w:rPr>
        <w:t>cie pozemkov (ďalej len „ROEP“) a zabezpečenie výdavkov na podporu vidieckej zamestnanosti.</w:t>
      </w:r>
      <w:r w:rsidRPr="00432A91">
        <w:rPr>
          <w:rFonts w:ascii="Times New Roman" w:hAnsi="Times New Roman" w:cs="Times New Roman"/>
        </w:rPr>
        <w:t xml:space="preserve">  </w:t>
      </w:r>
    </w:p>
    <w:p w:rsidR="00CB350B" w:rsidRPr="00432A91" w:rsidP="00CB350B">
      <w:pPr>
        <w:bidi w:val="0"/>
        <w:jc w:val="both"/>
        <w:rPr>
          <w:rFonts w:ascii="Times New Roman" w:hAnsi="Times New Roman" w:cs="Times New Roman"/>
        </w:rPr>
      </w:pPr>
    </w:p>
    <w:p w:rsidR="00CB350B" w:rsidRPr="00432A91" w:rsidP="00CB350B">
      <w:pPr>
        <w:bidi w:val="0"/>
        <w:ind w:firstLine="708"/>
        <w:jc w:val="both"/>
        <w:rPr>
          <w:rFonts w:ascii="Times New Roman" w:hAnsi="Times New Roman" w:cs="Times New Roman"/>
        </w:rPr>
      </w:pPr>
      <w:r w:rsidRPr="00432A91">
        <w:rPr>
          <w:rFonts w:ascii="Times New Roman" w:hAnsi="Times New Roman" w:cs="Times New Roman"/>
        </w:rPr>
        <w:t>Výdavky kapitoly Ministerstva pôdohospodárstva a rozvoja vidieka SR sú smerované do oblastí:</w:t>
      </w:r>
    </w:p>
    <w:p w:rsidR="00CB350B" w:rsidRPr="00432A91" w:rsidP="00CB350B">
      <w:pPr>
        <w:bidi w:val="0"/>
        <w:ind w:firstLine="708"/>
        <w:jc w:val="both"/>
        <w:rPr>
          <w:rFonts w:ascii="Times New Roman" w:hAnsi="Times New Roman" w:cs="Times New Roman"/>
        </w:rPr>
      </w:pPr>
    </w:p>
    <w:p w:rsidR="00CB350B" w:rsidRPr="00432A91" w:rsidP="00CB350B">
      <w:pPr>
        <w:bidi w:val="0"/>
        <w:jc w:val="both"/>
        <w:rPr>
          <w:rFonts w:ascii="Times New Roman" w:hAnsi="Times New Roman" w:cs="Times New Roman"/>
          <w:b/>
        </w:rPr>
      </w:pPr>
      <w:r w:rsidRPr="00432A91">
        <w:rPr>
          <w:rFonts w:ascii="Times New Roman" w:hAnsi="Times New Roman" w:cs="Times New Roman"/>
          <w:b/>
        </w:rPr>
        <w:t>Priame platby</w:t>
      </w:r>
    </w:p>
    <w:p w:rsidR="00CB350B" w:rsidRPr="00432A91" w:rsidP="00CB350B">
      <w:pPr>
        <w:bidi w:val="0"/>
        <w:jc w:val="both"/>
        <w:rPr>
          <w:rFonts w:ascii="Times New Roman" w:hAnsi="Times New Roman" w:cs="Times New Roman"/>
          <w:b/>
        </w:rPr>
      </w:pPr>
    </w:p>
    <w:tbl>
      <w:tblPr>
        <w:tblStyle w:val="TableNormal"/>
        <w:tblW w:w="4919" w:type="pct"/>
        <w:tblCellMar>
          <w:left w:w="70" w:type="dxa"/>
          <w:right w:w="70" w:type="dxa"/>
        </w:tblCellMar>
        <w:tblLook w:val="04A0"/>
      </w:tblPr>
      <w:tblGrid>
        <w:gridCol w:w="2198"/>
        <w:gridCol w:w="980"/>
        <w:gridCol w:w="980"/>
        <w:gridCol w:w="981"/>
        <w:gridCol w:w="981"/>
        <w:gridCol w:w="981"/>
        <w:gridCol w:w="981"/>
        <w:gridCol w:w="981"/>
      </w:tblGrid>
      <w:tr>
        <w:tblPrEx>
          <w:tblW w:w="4919" w:type="pct"/>
          <w:tblCellMar>
            <w:left w:w="70" w:type="dxa"/>
            <w:right w:w="70" w:type="dxa"/>
          </w:tblCellMar>
          <w:tblLook w:val="04A0"/>
        </w:tblPrEx>
        <w:trPr>
          <w:trHeight w:val="255"/>
        </w:trPr>
        <w:tc>
          <w:tcPr>
            <w:tcW w:w="1213"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b/>
                <w:sz w:val="14"/>
                <w:szCs w:val="14"/>
              </w:rPr>
            </w:pPr>
            <w:r>
              <w:rPr>
                <w:rFonts w:ascii="Times New Roman" w:hAnsi="Times New Roman" w:cs="Times New Roman"/>
                <w:b/>
                <w:sz w:val="14"/>
                <w:szCs w:val="14"/>
              </w:rPr>
              <w:t>v eurách</w:t>
            </w:r>
          </w:p>
        </w:tc>
        <w:tc>
          <w:tcPr>
            <w:tcW w:w="541"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2009 S</w:t>
            </w:r>
          </w:p>
        </w:tc>
        <w:tc>
          <w:tcPr>
            <w:tcW w:w="541"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2010 S</w:t>
            </w:r>
          </w:p>
        </w:tc>
        <w:tc>
          <w:tcPr>
            <w:tcW w:w="541"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2011 R</w:t>
            </w:r>
          </w:p>
        </w:tc>
        <w:tc>
          <w:tcPr>
            <w:tcW w:w="541"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2011 OS</w:t>
            </w:r>
          </w:p>
        </w:tc>
        <w:tc>
          <w:tcPr>
            <w:tcW w:w="541"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2012 N</w:t>
            </w:r>
          </w:p>
        </w:tc>
        <w:tc>
          <w:tcPr>
            <w:tcW w:w="541"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2013 N</w:t>
            </w:r>
          </w:p>
        </w:tc>
        <w:tc>
          <w:tcPr>
            <w:tcW w:w="541"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2014 N</w:t>
            </w:r>
          </w:p>
        </w:tc>
      </w:tr>
      <w:tr>
        <w:tblPrEx>
          <w:tblW w:w="4919" w:type="pct"/>
          <w:tblCellMar>
            <w:left w:w="70" w:type="dxa"/>
            <w:right w:w="70" w:type="dxa"/>
          </w:tblCellMar>
          <w:tblLook w:val="04A0"/>
        </w:tblPrEx>
        <w:trPr>
          <w:trHeight w:val="255"/>
        </w:trPr>
        <w:tc>
          <w:tcPr>
            <w:tcW w:w="1213"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b/>
                <w:bCs/>
                <w:sz w:val="14"/>
                <w:szCs w:val="14"/>
              </w:rPr>
            </w:pPr>
            <w:r w:rsidRPr="001D4A5A">
              <w:rPr>
                <w:rFonts w:ascii="Times New Roman" w:hAnsi="Times New Roman" w:cs="Times New Roman"/>
                <w:b/>
                <w:bCs/>
                <w:sz w:val="14"/>
                <w:szCs w:val="14"/>
              </w:rPr>
              <w:t xml:space="preserve">Priame platby </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364 100 548 </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337 645 238 </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357 746 235 </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399 116 418 </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3</w:t>
            </w:r>
            <w:r>
              <w:rPr>
                <w:rFonts w:ascii="Times New Roman" w:hAnsi="Times New Roman" w:cs="Times New Roman"/>
                <w:b/>
                <w:bCs/>
                <w:sz w:val="14"/>
                <w:szCs w:val="14"/>
              </w:rPr>
              <w:t>75</w:t>
            </w:r>
            <w:r w:rsidRPr="001D4A5A">
              <w:rPr>
                <w:rFonts w:ascii="Times New Roman" w:hAnsi="Times New Roman" w:cs="Times New Roman"/>
                <w:b/>
                <w:bCs/>
                <w:sz w:val="14"/>
                <w:szCs w:val="14"/>
              </w:rPr>
              <w:t xml:space="preserve"> 020 000 </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390 138 000 </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390 138 000 </w:t>
            </w:r>
          </w:p>
        </w:tc>
      </w:tr>
      <w:tr>
        <w:tblPrEx>
          <w:tblW w:w="4919" w:type="pct"/>
          <w:tblCellMar>
            <w:left w:w="70" w:type="dxa"/>
            <w:right w:w="70" w:type="dxa"/>
          </w:tblCellMar>
          <w:tblLook w:val="04A0"/>
        </w:tblPrEx>
        <w:trPr>
          <w:trHeight w:val="255"/>
        </w:trPr>
        <w:tc>
          <w:tcPr>
            <w:tcW w:w="1213"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sz w:val="14"/>
                <w:szCs w:val="14"/>
              </w:rPr>
            </w:pPr>
            <w:r w:rsidRPr="001D4A5A">
              <w:rPr>
                <w:rFonts w:ascii="Times New Roman" w:hAnsi="Times New Roman" w:cs="Times New Roman"/>
                <w:sz w:val="14"/>
                <w:szCs w:val="14"/>
              </w:rPr>
              <w:t>prostriedky EÚ</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196 466 928 </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236 902 444 </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278 359 000 </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278 359 000 </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314 155 000 </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357 020 000 </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390 138 000 </w:t>
            </w:r>
          </w:p>
        </w:tc>
      </w:tr>
      <w:tr>
        <w:tblPrEx>
          <w:tblW w:w="4919" w:type="pct"/>
          <w:tblCellMar>
            <w:left w:w="70" w:type="dxa"/>
            <w:right w:w="70" w:type="dxa"/>
          </w:tblCellMar>
          <w:tblLook w:val="04A0"/>
        </w:tblPrEx>
        <w:trPr>
          <w:trHeight w:val="255"/>
        </w:trPr>
        <w:tc>
          <w:tcPr>
            <w:tcW w:w="1213"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sz w:val="14"/>
                <w:szCs w:val="14"/>
              </w:rPr>
            </w:pPr>
            <w:r w:rsidRPr="001D4A5A">
              <w:rPr>
                <w:rFonts w:ascii="Times New Roman" w:hAnsi="Times New Roman" w:cs="Times New Roman"/>
                <w:sz w:val="14"/>
                <w:szCs w:val="14"/>
              </w:rPr>
              <w:t>spolufinancovanie zo ŠR*</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27 438 436 </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14 044 712 </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38 789 300 </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38 789 300 </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42 865 000 </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33 118 000 </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r>
      <w:tr>
        <w:tblPrEx>
          <w:tblW w:w="4919" w:type="pct"/>
          <w:tblCellMar>
            <w:left w:w="70" w:type="dxa"/>
            <w:right w:w="70" w:type="dxa"/>
          </w:tblCellMar>
          <w:tblLook w:val="04A0"/>
        </w:tblPrEx>
        <w:trPr>
          <w:trHeight w:val="255"/>
        </w:trPr>
        <w:tc>
          <w:tcPr>
            <w:tcW w:w="1213"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sz w:val="14"/>
                <w:szCs w:val="14"/>
              </w:rPr>
            </w:pPr>
            <w:r w:rsidRPr="001D4A5A">
              <w:rPr>
                <w:rFonts w:ascii="Times New Roman" w:hAnsi="Times New Roman" w:cs="Times New Roman"/>
                <w:sz w:val="14"/>
                <w:szCs w:val="14"/>
              </w:rPr>
              <w:t>národná vyrovnávacia platba</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98 648 978 </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61 193 786 </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40 597 935 </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40 597 935 </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Pr>
                <w:rFonts w:ascii="Times New Roman" w:hAnsi="Times New Roman" w:cs="Times New Roman"/>
                <w:sz w:val="14"/>
                <w:szCs w:val="14"/>
              </w:rPr>
              <w:t>18 000 00</w:t>
            </w:r>
            <w:r w:rsidRPr="001D4A5A">
              <w:rPr>
                <w:rFonts w:ascii="Times New Roman" w:hAnsi="Times New Roman" w:cs="Times New Roman"/>
                <w:sz w:val="14"/>
                <w:szCs w:val="14"/>
              </w:rPr>
              <w:t xml:space="preserve">0 </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r>
      <w:tr>
        <w:tblPrEx>
          <w:tblW w:w="4919" w:type="pct"/>
          <w:tblCellMar>
            <w:left w:w="70" w:type="dxa"/>
            <w:right w:w="70" w:type="dxa"/>
          </w:tblCellMar>
          <w:tblLook w:val="04A0"/>
        </w:tblPrEx>
        <w:trPr>
          <w:trHeight w:val="255"/>
        </w:trPr>
        <w:tc>
          <w:tcPr>
            <w:tcW w:w="1213"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sz w:val="14"/>
                <w:szCs w:val="14"/>
              </w:rPr>
            </w:pPr>
            <w:r w:rsidRPr="001D4A5A">
              <w:rPr>
                <w:rFonts w:ascii="Times New Roman" w:hAnsi="Times New Roman" w:cs="Times New Roman"/>
                <w:sz w:val="14"/>
                <w:szCs w:val="14"/>
              </w:rPr>
              <w:t>presun z minulých rokov</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41 546 206 </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25 504 296 </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41 370 183 </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1"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r>
    </w:tbl>
    <w:p w:rsidR="00CB350B" w:rsidRPr="00575C66" w:rsidP="00CB350B">
      <w:pPr>
        <w:bidi w:val="0"/>
        <w:jc w:val="both"/>
        <w:rPr>
          <w:rFonts w:ascii="Times New Roman" w:hAnsi="Times New Roman" w:cs="Times New Roman"/>
          <w:sz w:val="14"/>
          <w:szCs w:val="14"/>
        </w:rPr>
      </w:pPr>
      <w:r w:rsidRPr="00575C66">
        <w:rPr>
          <w:rFonts w:ascii="Times New Roman" w:hAnsi="Times New Roman" w:cs="Times New Roman"/>
          <w:sz w:val="14"/>
          <w:szCs w:val="14"/>
        </w:rPr>
        <w:t>* spolufinancovanie predstavuje medziročný nárast pohľadávky voči EÚ</w:t>
      </w:r>
    </w:p>
    <w:p w:rsidR="00CB350B" w:rsidRPr="00575C66" w:rsidP="00CB350B">
      <w:pPr>
        <w:bidi w:val="0"/>
        <w:jc w:val="both"/>
        <w:rPr>
          <w:rFonts w:ascii="Times New Roman" w:hAnsi="Times New Roman" w:cs="Times New Roman"/>
          <w:sz w:val="14"/>
          <w:szCs w:val="14"/>
        </w:rPr>
      </w:pPr>
    </w:p>
    <w:p w:rsidR="00CB350B" w:rsidRPr="00432A91" w:rsidP="00CB350B">
      <w:pPr>
        <w:bidi w:val="0"/>
        <w:ind w:firstLine="708"/>
        <w:jc w:val="both"/>
        <w:rPr>
          <w:rFonts w:ascii="Times New Roman" w:hAnsi="Times New Roman" w:cs="Times New Roman"/>
        </w:rPr>
      </w:pPr>
      <w:r w:rsidRPr="00432A91">
        <w:rPr>
          <w:rFonts w:ascii="Times New Roman" w:hAnsi="Times New Roman" w:cs="Times New Roman"/>
        </w:rPr>
        <w:t>Priame platby predstavujú dotácie na zachovanie poľnohospodárskej produkcie podľa vopred stanovených výrobných kvót. Stabilizujú príjmy farmárov, zlepšujú konkurenčnú pozíciu farmárov, zabraňujú negatívnemu vplyvu cezhraničnej dotačnej konkurenci</w:t>
      </w:r>
      <w:r>
        <w:rPr>
          <w:rFonts w:ascii="Times New Roman" w:hAnsi="Times New Roman" w:cs="Times New Roman"/>
        </w:rPr>
        <w:t>e</w:t>
      </w:r>
      <w:r w:rsidRPr="00432A91">
        <w:rPr>
          <w:rFonts w:ascii="Times New Roman" w:hAnsi="Times New Roman" w:cs="Times New Roman"/>
        </w:rPr>
        <w:t xml:space="preserve"> z okolitých krajín, rozvíjajú odvetvia tvoriace pridanú hodnotu na území SR a revitalizujú živočíšnu výrobu. </w:t>
      </w:r>
    </w:p>
    <w:p w:rsidR="00CB350B" w:rsidRPr="00432A91" w:rsidP="00CB350B">
      <w:pPr>
        <w:bidi w:val="0"/>
        <w:jc w:val="both"/>
        <w:rPr>
          <w:rFonts w:ascii="Times New Roman" w:hAnsi="Times New Roman" w:cs="Times New Roman"/>
        </w:rPr>
      </w:pPr>
    </w:p>
    <w:p w:rsidR="00CB350B" w:rsidRPr="00432A91" w:rsidP="00CB350B">
      <w:pPr>
        <w:bidi w:val="0"/>
        <w:ind w:firstLine="708"/>
        <w:jc w:val="both"/>
        <w:rPr>
          <w:rFonts w:ascii="Times New Roman" w:hAnsi="Times New Roman" w:cs="Times New Roman"/>
        </w:rPr>
      </w:pPr>
      <w:r w:rsidRPr="002058AE">
        <w:rPr>
          <w:rFonts w:ascii="Times New Roman" w:hAnsi="Times New Roman" w:cs="Times New Roman"/>
        </w:rPr>
        <w:t xml:space="preserve">V roku 2012 predstavujú úroveň </w:t>
      </w:r>
      <w:r>
        <w:rPr>
          <w:rFonts w:ascii="Times New Roman" w:hAnsi="Times New Roman" w:cs="Times New Roman"/>
        </w:rPr>
        <w:t>94,6</w:t>
      </w:r>
      <w:r w:rsidRPr="002058AE">
        <w:rPr>
          <w:rFonts w:ascii="Times New Roman" w:hAnsi="Times New Roman" w:cs="Times New Roman"/>
        </w:rPr>
        <w:t xml:space="preserve"> % priemeru krajín EÚ 15, na n</w:t>
      </w:r>
      <w:r>
        <w:rPr>
          <w:rFonts w:ascii="Times New Roman" w:hAnsi="Times New Roman" w:cs="Times New Roman"/>
        </w:rPr>
        <w:t xml:space="preserve">árodnú vyrovnávaciu platbu sa </w:t>
      </w:r>
      <w:r w:rsidRPr="002058AE">
        <w:rPr>
          <w:rFonts w:ascii="Times New Roman" w:hAnsi="Times New Roman" w:cs="Times New Roman"/>
        </w:rPr>
        <w:t>rozpočtujú finančné prostriedky</w:t>
      </w:r>
      <w:r>
        <w:rPr>
          <w:rFonts w:ascii="Times New Roman" w:hAnsi="Times New Roman" w:cs="Times New Roman"/>
        </w:rPr>
        <w:t xml:space="preserve"> v sume 18 mil. eur</w:t>
      </w:r>
      <w:r w:rsidRPr="002058AE">
        <w:rPr>
          <w:rFonts w:ascii="Times New Roman" w:hAnsi="Times New Roman" w:cs="Times New Roman"/>
        </w:rPr>
        <w:t>. V priamom porovnaní so schváleným rozpočtom roku 2011 sú priame platby o</w:t>
      </w:r>
      <w:r>
        <w:rPr>
          <w:rFonts w:ascii="Times New Roman" w:hAnsi="Times New Roman" w:cs="Times New Roman"/>
        </w:rPr>
        <w:t> 4,83</w:t>
      </w:r>
      <w:r w:rsidRPr="002058AE">
        <w:rPr>
          <w:rFonts w:ascii="Times New Roman" w:hAnsi="Times New Roman" w:cs="Times New Roman"/>
        </w:rPr>
        <w:t xml:space="preserve"> % </w:t>
      </w:r>
      <w:r>
        <w:rPr>
          <w:rFonts w:ascii="Times New Roman" w:hAnsi="Times New Roman" w:cs="Times New Roman"/>
        </w:rPr>
        <w:t>vyššie</w:t>
      </w:r>
      <w:r w:rsidRPr="002058AE">
        <w:rPr>
          <w:rFonts w:ascii="Times New Roman" w:hAnsi="Times New Roman" w:cs="Times New Roman"/>
        </w:rPr>
        <w:t>. Od roku 2013 sa už rozpočtuje 100 % priemeru krajín EÚ 15.</w:t>
      </w:r>
    </w:p>
    <w:p w:rsidR="00CB350B" w:rsidP="00CB350B">
      <w:pPr>
        <w:bidi w:val="0"/>
        <w:jc w:val="both"/>
        <w:rPr>
          <w:rFonts w:ascii="Times New Roman" w:hAnsi="Times New Roman" w:cs="Times New Roman"/>
        </w:rPr>
      </w:pPr>
    </w:p>
    <w:p w:rsidR="00257E12" w:rsidP="00CB350B">
      <w:pPr>
        <w:bidi w:val="0"/>
        <w:jc w:val="both"/>
        <w:rPr>
          <w:rFonts w:ascii="Times New Roman" w:hAnsi="Times New Roman" w:cs="Times New Roman"/>
        </w:rPr>
      </w:pPr>
    </w:p>
    <w:p w:rsidR="00257E12" w:rsidP="00CB350B">
      <w:pPr>
        <w:bidi w:val="0"/>
        <w:jc w:val="both"/>
        <w:rPr>
          <w:rFonts w:ascii="Times New Roman" w:hAnsi="Times New Roman" w:cs="Times New Roman"/>
        </w:rPr>
      </w:pPr>
    </w:p>
    <w:p w:rsidR="00257E12" w:rsidP="00CB350B">
      <w:pPr>
        <w:bidi w:val="0"/>
        <w:jc w:val="both"/>
        <w:rPr>
          <w:rFonts w:ascii="Times New Roman" w:hAnsi="Times New Roman" w:cs="Times New Roman"/>
        </w:rPr>
      </w:pPr>
    </w:p>
    <w:p w:rsidR="00257E12" w:rsidP="00CB350B">
      <w:pPr>
        <w:bidi w:val="0"/>
        <w:jc w:val="both"/>
        <w:rPr>
          <w:rFonts w:ascii="Times New Roman" w:hAnsi="Times New Roman" w:cs="Times New Roman"/>
        </w:rPr>
      </w:pPr>
    </w:p>
    <w:p w:rsidR="00257E12" w:rsidP="00CB350B">
      <w:pPr>
        <w:bidi w:val="0"/>
        <w:jc w:val="both"/>
        <w:rPr>
          <w:rFonts w:ascii="Times New Roman" w:hAnsi="Times New Roman" w:cs="Times New Roman"/>
        </w:rPr>
      </w:pPr>
    </w:p>
    <w:p w:rsidR="00257E12" w:rsidRPr="00432A91" w:rsidP="00CB350B">
      <w:pPr>
        <w:bidi w:val="0"/>
        <w:jc w:val="both"/>
        <w:rPr>
          <w:rFonts w:ascii="Times New Roman" w:hAnsi="Times New Roman" w:cs="Times New Roman"/>
        </w:rPr>
      </w:pPr>
    </w:p>
    <w:p w:rsidR="00CB350B" w:rsidRPr="00432A91" w:rsidP="00CB350B">
      <w:pPr>
        <w:bidi w:val="0"/>
        <w:jc w:val="both"/>
        <w:rPr>
          <w:rFonts w:ascii="Times New Roman" w:hAnsi="Times New Roman" w:cs="Times New Roman"/>
          <w:b/>
        </w:rPr>
      </w:pPr>
      <w:r w:rsidRPr="00432A91">
        <w:rPr>
          <w:rFonts w:ascii="Times New Roman" w:hAnsi="Times New Roman" w:cs="Times New Roman"/>
          <w:b/>
        </w:rPr>
        <w:t>Rozvoj vidieka</w:t>
      </w:r>
    </w:p>
    <w:p w:rsidR="00CB350B" w:rsidRPr="00432A91" w:rsidP="00CB350B">
      <w:pPr>
        <w:bidi w:val="0"/>
        <w:jc w:val="both"/>
        <w:rPr>
          <w:rFonts w:ascii="Times New Roman" w:hAnsi="Times New Roman" w:cs="Times New Roman"/>
          <w:b/>
        </w:rPr>
      </w:pPr>
    </w:p>
    <w:tbl>
      <w:tblPr>
        <w:tblStyle w:val="TableNormal"/>
        <w:tblW w:w="5000" w:type="pct"/>
        <w:tblCellMar>
          <w:left w:w="70" w:type="dxa"/>
          <w:right w:w="70" w:type="dxa"/>
        </w:tblCellMar>
        <w:tblLook w:val="04A0"/>
      </w:tblPr>
      <w:tblGrid>
        <w:gridCol w:w="2197"/>
        <w:gridCol w:w="1003"/>
        <w:gridCol w:w="1002"/>
        <w:gridCol w:w="1002"/>
        <w:gridCol w:w="1002"/>
        <w:gridCol w:w="1002"/>
        <w:gridCol w:w="1002"/>
        <w:gridCol w:w="1002"/>
      </w:tblGrid>
      <w:tr>
        <w:tblPrEx>
          <w:tblW w:w="5000" w:type="pct"/>
          <w:tblCellMar>
            <w:left w:w="70" w:type="dxa"/>
            <w:right w:w="70" w:type="dxa"/>
          </w:tblCellMar>
          <w:tblLook w:val="04A0"/>
        </w:tblPrEx>
        <w:trPr>
          <w:trHeight w:val="255"/>
        </w:trPr>
        <w:tc>
          <w:tcPr>
            <w:tcW w:w="1192"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b/>
                <w:sz w:val="14"/>
                <w:szCs w:val="14"/>
              </w:rPr>
            </w:pPr>
            <w:r>
              <w:rPr>
                <w:rFonts w:ascii="Times New Roman" w:hAnsi="Times New Roman" w:cs="Times New Roman"/>
                <w:b/>
                <w:sz w:val="14"/>
                <w:szCs w:val="14"/>
              </w:rPr>
              <w:t>v eurách</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2009 S</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2010 S</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2011 R</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2011 OS</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2012 N</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2013 N</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2014 N</w:t>
            </w:r>
          </w:p>
        </w:tc>
      </w:tr>
      <w:tr>
        <w:tblPrEx>
          <w:tblW w:w="5000" w:type="pct"/>
          <w:tblCellMar>
            <w:left w:w="70" w:type="dxa"/>
            <w:right w:w="70" w:type="dxa"/>
          </w:tblCellMar>
          <w:tblLook w:val="04A0"/>
        </w:tblPrEx>
        <w:trPr>
          <w:trHeight w:val="255"/>
        </w:trPr>
        <w:tc>
          <w:tcPr>
            <w:tcW w:w="1192"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b/>
                <w:bCs/>
                <w:sz w:val="14"/>
                <w:szCs w:val="14"/>
              </w:rPr>
            </w:pPr>
            <w:r w:rsidRPr="001D4A5A">
              <w:rPr>
                <w:rFonts w:ascii="Times New Roman" w:hAnsi="Times New Roman" w:cs="Times New Roman"/>
                <w:b/>
                <w:bCs/>
                <w:sz w:val="14"/>
                <w:szCs w:val="14"/>
              </w:rPr>
              <w:t xml:space="preserve">Rozvoj vidieka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433 449 562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481 077 683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425 200 000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414 415 314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492 491 410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201 473 758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120 884 255 </w:t>
            </w:r>
          </w:p>
        </w:tc>
      </w:tr>
      <w:tr>
        <w:tblPrEx>
          <w:tblW w:w="5000" w:type="pct"/>
          <w:tblCellMar>
            <w:left w:w="70" w:type="dxa"/>
            <w:right w:w="70" w:type="dxa"/>
          </w:tblCellMar>
          <w:tblLook w:val="04A0"/>
        </w:tblPrEx>
        <w:trPr>
          <w:trHeight w:val="255"/>
        </w:trPr>
        <w:tc>
          <w:tcPr>
            <w:tcW w:w="1192"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sz w:val="14"/>
                <w:szCs w:val="14"/>
              </w:rPr>
            </w:pPr>
            <w:r w:rsidRPr="001D4A5A">
              <w:rPr>
                <w:rFonts w:ascii="Times New Roman" w:hAnsi="Times New Roman" w:cs="Times New Roman"/>
                <w:sz w:val="14"/>
                <w:szCs w:val="14"/>
              </w:rPr>
              <w:t>prostriedky EÚ</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193 963 853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258 195 012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325 404 000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324 836 717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376 291 753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153 937 535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92 362 521 </w:t>
            </w:r>
          </w:p>
        </w:tc>
      </w:tr>
      <w:tr>
        <w:tblPrEx>
          <w:tblW w:w="5000" w:type="pct"/>
          <w:tblCellMar>
            <w:left w:w="70" w:type="dxa"/>
            <w:right w:w="70" w:type="dxa"/>
          </w:tblCellMar>
          <w:tblLook w:val="04A0"/>
        </w:tblPrEx>
        <w:trPr>
          <w:trHeight w:val="255"/>
        </w:trPr>
        <w:tc>
          <w:tcPr>
            <w:tcW w:w="1192"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sz w:val="14"/>
                <w:szCs w:val="14"/>
              </w:rPr>
            </w:pPr>
            <w:r w:rsidRPr="001D4A5A">
              <w:rPr>
                <w:rFonts w:ascii="Times New Roman" w:hAnsi="Times New Roman" w:cs="Times New Roman"/>
                <w:sz w:val="14"/>
                <w:szCs w:val="14"/>
              </w:rPr>
              <w:t>spolufinancovanie zo ŠR</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60 960 917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85 514 520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99 796 000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88 423 132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116 199 657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47 536 223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28 521 734 </w:t>
            </w:r>
          </w:p>
        </w:tc>
      </w:tr>
      <w:tr>
        <w:tblPrEx>
          <w:tblW w:w="5000" w:type="pct"/>
          <w:tblCellMar>
            <w:left w:w="70" w:type="dxa"/>
            <w:right w:w="70" w:type="dxa"/>
          </w:tblCellMar>
          <w:tblLook w:val="04A0"/>
        </w:tblPrEx>
        <w:trPr>
          <w:trHeight w:val="255"/>
        </w:trPr>
        <w:tc>
          <w:tcPr>
            <w:tcW w:w="1192"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sz w:val="14"/>
                <w:szCs w:val="14"/>
              </w:rPr>
            </w:pPr>
            <w:r w:rsidRPr="001D4A5A">
              <w:rPr>
                <w:rFonts w:ascii="Times New Roman" w:hAnsi="Times New Roman" w:cs="Times New Roman"/>
                <w:sz w:val="14"/>
                <w:szCs w:val="14"/>
              </w:rPr>
              <w:t>presun z minulých rokov</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178 524 792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137 368 152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1 155 465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r>
    </w:tbl>
    <w:p w:rsidR="00CB350B" w:rsidRPr="00432A91" w:rsidP="00CB350B">
      <w:pPr>
        <w:bidi w:val="0"/>
        <w:jc w:val="both"/>
        <w:rPr>
          <w:rFonts w:ascii="Times New Roman" w:hAnsi="Times New Roman" w:cs="Times New Roman"/>
          <w:b/>
        </w:rPr>
      </w:pPr>
    </w:p>
    <w:p w:rsidR="00CB350B" w:rsidRPr="00432A91" w:rsidP="00CB350B">
      <w:pPr>
        <w:bidi w:val="0"/>
        <w:ind w:firstLine="708"/>
        <w:jc w:val="both"/>
        <w:rPr>
          <w:rFonts w:ascii="Times New Roman" w:hAnsi="Times New Roman" w:cs="Times New Roman"/>
        </w:rPr>
      </w:pPr>
      <w:r w:rsidRPr="00432A91">
        <w:rPr>
          <w:rFonts w:ascii="Times New Roman" w:hAnsi="Times New Roman" w:cs="Times New Roman"/>
        </w:rPr>
        <w:t>V novom programovom období 2007 až 2013 sa rozvoj vidieka podporuje z Európskeho poľnohospodárskeho fondu pre rozvoj vidieka, čím sa zabezpečuje vyššia konkurencieschopnosť poľnohospodárstva, potravinárstva a lesného hospodárstva, lepší stav životného prostredia a krajiny, kvalitnejší život vo vidieckych oblastiach a diverzifikácia vidieckeho hospodárstva. Výdavky na rozvoj vidieka sú oproti schválenému rozpočtu roku 2011 o 15,8 % vyššie. Výška týchto výdavkov je v plnej miere ovplyvňovaná alokáciou výdavkov EÚ a spolufinancovania v rámci 2. programového obdobia na roky 2007 až 2013.</w:t>
      </w:r>
    </w:p>
    <w:p w:rsidR="00CB350B" w:rsidRPr="00432A91" w:rsidP="00CB350B">
      <w:pPr>
        <w:bidi w:val="0"/>
        <w:jc w:val="both"/>
        <w:rPr>
          <w:rFonts w:ascii="Times New Roman" w:hAnsi="Times New Roman" w:cs="Times New Roman"/>
        </w:rPr>
      </w:pPr>
    </w:p>
    <w:p w:rsidR="00CB350B" w:rsidP="00CB350B">
      <w:pPr>
        <w:bidi w:val="0"/>
        <w:jc w:val="both"/>
        <w:rPr>
          <w:rFonts w:ascii="Times New Roman" w:hAnsi="Times New Roman" w:cs="Times New Roman"/>
          <w:b/>
        </w:rPr>
      </w:pPr>
      <w:r w:rsidRPr="00432A91">
        <w:rPr>
          <w:rFonts w:ascii="Times New Roman" w:hAnsi="Times New Roman" w:cs="Times New Roman"/>
          <w:b/>
        </w:rPr>
        <w:t>Rybné hospodárstvo</w:t>
      </w:r>
    </w:p>
    <w:p w:rsidR="00CB350B" w:rsidRPr="00432A91" w:rsidP="00CB350B">
      <w:pPr>
        <w:bidi w:val="0"/>
        <w:jc w:val="both"/>
        <w:rPr>
          <w:rFonts w:ascii="Times New Roman" w:hAnsi="Times New Roman" w:cs="Times New Roman"/>
          <w:b/>
        </w:rPr>
      </w:pPr>
    </w:p>
    <w:tbl>
      <w:tblPr>
        <w:tblStyle w:val="TableNormal"/>
        <w:tblW w:w="5000" w:type="pct"/>
        <w:tblCellMar>
          <w:left w:w="70" w:type="dxa"/>
          <w:right w:w="70" w:type="dxa"/>
        </w:tblCellMar>
        <w:tblLook w:val="04A0"/>
      </w:tblPr>
      <w:tblGrid>
        <w:gridCol w:w="2197"/>
        <w:gridCol w:w="1003"/>
        <w:gridCol w:w="1002"/>
        <w:gridCol w:w="1002"/>
        <w:gridCol w:w="1002"/>
        <w:gridCol w:w="1002"/>
        <w:gridCol w:w="1002"/>
        <w:gridCol w:w="1002"/>
      </w:tblGrid>
      <w:tr>
        <w:tblPrEx>
          <w:tblW w:w="5000" w:type="pct"/>
          <w:tblCellMar>
            <w:left w:w="70" w:type="dxa"/>
            <w:right w:w="70" w:type="dxa"/>
          </w:tblCellMar>
          <w:tblLook w:val="04A0"/>
        </w:tblPrEx>
        <w:trPr>
          <w:trHeight w:val="255"/>
        </w:trPr>
        <w:tc>
          <w:tcPr>
            <w:tcW w:w="1192"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b/>
                <w:sz w:val="14"/>
                <w:szCs w:val="14"/>
              </w:rPr>
            </w:pPr>
            <w:r>
              <w:rPr>
                <w:rFonts w:ascii="Times New Roman" w:hAnsi="Times New Roman" w:cs="Times New Roman"/>
                <w:b/>
                <w:sz w:val="14"/>
                <w:szCs w:val="14"/>
              </w:rPr>
              <w:t>v eurách</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2009 S</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2010 S</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2011 R</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2011 OS</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2012 N</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2013 N</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2014 N</w:t>
            </w:r>
          </w:p>
        </w:tc>
      </w:tr>
      <w:tr>
        <w:tblPrEx>
          <w:tblW w:w="5000" w:type="pct"/>
          <w:tblCellMar>
            <w:left w:w="70" w:type="dxa"/>
            <w:right w:w="70" w:type="dxa"/>
          </w:tblCellMar>
          <w:tblLook w:val="04A0"/>
        </w:tblPrEx>
        <w:trPr>
          <w:trHeight w:val="255"/>
        </w:trPr>
        <w:tc>
          <w:tcPr>
            <w:tcW w:w="1192"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b/>
                <w:bCs/>
                <w:sz w:val="14"/>
                <w:szCs w:val="14"/>
              </w:rPr>
            </w:pPr>
            <w:r w:rsidRPr="001D4A5A">
              <w:rPr>
                <w:rFonts w:ascii="Times New Roman" w:hAnsi="Times New Roman" w:cs="Times New Roman"/>
                <w:b/>
                <w:bCs/>
                <w:sz w:val="14"/>
                <w:szCs w:val="14"/>
              </w:rPr>
              <w:t xml:space="preserve">Rybné hospodárstvo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629 797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1 970 879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3 596 503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3 565 861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3 489 489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1 712 096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3 157 173 </w:t>
            </w:r>
          </w:p>
        </w:tc>
      </w:tr>
      <w:tr>
        <w:tblPrEx>
          <w:tblW w:w="5000" w:type="pct"/>
          <w:tblCellMar>
            <w:left w:w="70" w:type="dxa"/>
            <w:right w:w="70" w:type="dxa"/>
          </w:tblCellMar>
          <w:tblLook w:val="04A0"/>
        </w:tblPrEx>
        <w:trPr>
          <w:trHeight w:val="255"/>
        </w:trPr>
        <w:tc>
          <w:tcPr>
            <w:tcW w:w="1192"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sz w:val="14"/>
                <w:szCs w:val="14"/>
              </w:rPr>
            </w:pPr>
            <w:r w:rsidRPr="001D4A5A">
              <w:rPr>
                <w:rFonts w:ascii="Times New Roman" w:hAnsi="Times New Roman" w:cs="Times New Roman"/>
                <w:sz w:val="14"/>
                <w:szCs w:val="14"/>
              </w:rPr>
              <w:t>prostriedky EÚ</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154 252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339 711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2 595 077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2 572 096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2 582 992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1 273 197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2 257 303 </w:t>
            </w:r>
          </w:p>
        </w:tc>
      </w:tr>
      <w:tr>
        <w:tblPrEx>
          <w:tblW w:w="5000" w:type="pct"/>
          <w:tblCellMar>
            <w:left w:w="70" w:type="dxa"/>
            <w:right w:w="70" w:type="dxa"/>
          </w:tblCellMar>
          <w:tblLook w:val="04A0"/>
        </w:tblPrEx>
        <w:trPr>
          <w:trHeight w:val="255"/>
        </w:trPr>
        <w:tc>
          <w:tcPr>
            <w:tcW w:w="1192"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sz w:val="14"/>
                <w:szCs w:val="14"/>
              </w:rPr>
            </w:pPr>
            <w:r w:rsidRPr="001D4A5A">
              <w:rPr>
                <w:rFonts w:ascii="Times New Roman" w:hAnsi="Times New Roman" w:cs="Times New Roman"/>
                <w:sz w:val="14"/>
                <w:szCs w:val="14"/>
              </w:rPr>
              <w:t>spolufinancovanie zo ŠR</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51 417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113 231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1 001 426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993 766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906 497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438 899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899 870 </w:t>
            </w:r>
          </w:p>
        </w:tc>
      </w:tr>
      <w:tr>
        <w:tblPrEx>
          <w:tblW w:w="5000" w:type="pct"/>
          <w:tblCellMar>
            <w:left w:w="70" w:type="dxa"/>
            <w:right w:w="70" w:type="dxa"/>
          </w:tblCellMar>
          <w:tblLook w:val="04A0"/>
        </w:tblPrEx>
        <w:trPr>
          <w:trHeight w:val="255"/>
        </w:trPr>
        <w:tc>
          <w:tcPr>
            <w:tcW w:w="1192"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sz w:val="14"/>
                <w:szCs w:val="14"/>
              </w:rPr>
            </w:pPr>
            <w:r w:rsidRPr="001D4A5A">
              <w:rPr>
                <w:rFonts w:ascii="Times New Roman" w:hAnsi="Times New Roman" w:cs="Times New Roman"/>
                <w:sz w:val="14"/>
                <w:szCs w:val="14"/>
              </w:rPr>
              <w:t>presun z minulých rokov</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424 128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1 517 937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r>
    </w:tbl>
    <w:p w:rsidR="00CB350B" w:rsidRPr="00432A91" w:rsidP="00CB350B">
      <w:pPr>
        <w:bidi w:val="0"/>
        <w:jc w:val="both"/>
        <w:rPr>
          <w:rFonts w:ascii="Times New Roman" w:hAnsi="Times New Roman" w:cs="Times New Roman"/>
          <w:b/>
        </w:rPr>
      </w:pPr>
      <w:r w:rsidRPr="00E167C4">
        <w:rPr>
          <w:rFonts w:ascii="Times New Roman" w:hAnsi="Times New Roman" w:cs="Times New Roman"/>
          <w:b/>
          <w:sz w:val="16"/>
          <w:szCs w:val="16"/>
        </w:rPr>
        <w:tab/>
      </w:r>
    </w:p>
    <w:p w:rsidR="00CB350B" w:rsidRPr="00432A91" w:rsidP="00CB350B">
      <w:pPr>
        <w:bidi w:val="0"/>
        <w:ind w:firstLine="708"/>
        <w:jc w:val="both"/>
        <w:rPr>
          <w:rFonts w:ascii="Times New Roman" w:hAnsi="Times New Roman" w:cs="Times New Roman"/>
        </w:rPr>
      </w:pPr>
      <w:r w:rsidRPr="00432A91">
        <w:rPr>
          <w:rFonts w:ascii="Times New Roman" w:hAnsi="Times New Roman" w:cs="Times New Roman"/>
        </w:rPr>
        <w:t>Výdavky na podporu, ktorou sa zabezpečuje modernizácia, inováci</w:t>
      </w:r>
      <w:r>
        <w:rPr>
          <w:rFonts w:ascii="Times New Roman" w:hAnsi="Times New Roman" w:cs="Times New Roman"/>
        </w:rPr>
        <w:t>a</w:t>
      </w:r>
      <w:r w:rsidRPr="00432A91">
        <w:rPr>
          <w:rFonts w:ascii="Times New Roman" w:hAnsi="Times New Roman" w:cs="Times New Roman"/>
        </w:rPr>
        <w:t xml:space="preserve"> a reštrukturalizáci</w:t>
      </w:r>
      <w:r>
        <w:rPr>
          <w:rFonts w:ascii="Times New Roman" w:hAnsi="Times New Roman" w:cs="Times New Roman"/>
        </w:rPr>
        <w:t>a</w:t>
      </w:r>
      <w:r w:rsidRPr="00432A91">
        <w:rPr>
          <w:rFonts w:ascii="Times New Roman" w:hAnsi="Times New Roman" w:cs="Times New Roman"/>
        </w:rPr>
        <w:t xml:space="preserve"> akvakultúry a zvýšenie konkurencieschopnosti podnikov zaoberajúcich sa spracovaním produktov z rybolovu a akvakultúry, pričom hlavný dôraz je kladený na podporu spracovania domácej produkcie a rozvoj ľudských zdrojov v oblasti rybného hospodárstva prostredníctvom celoživotného vzdelávania sú oproti schválenému rozpočtu roku 2011 nižšie o 2,98 %. </w:t>
      </w:r>
    </w:p>
    <w:p w:rsidR="00CB350B" w:rsidRPr="00432A91" w:rsidP="00CB350B">
      <w:pPr>
        <w:bidi w:val="0"/>
        <w:jc w:val="both"/>
        <w:rPr>
          <w:rFonts w:ascii="Times New Roman" w:hAnsi="Times New Roman" w:cs="Times New Roman"/>
          <w:b/>
        </w:rPr>
      </w:pPr>
    </w:p>
    <w:p w:rsidR="00CB350B" w:rsidRPr="00432A91" w:rsidP="00CB350B">
      <w:pPr>
        <w:bidi w:val="0"/>
        <w:jc w:val="both"/>
        <w:rPr>
          <w:rFonts w:ascii="Times New Roman" w:hAnsi="Times New Roman" w:cs="Times New Roman"/>
          <w:b/>
        </w:rPr>
      </w:pPr>
      <w:r w:rsidRPr="00432A91">
        <w:rPr>
          <w:rFonts w:ascii="Times New Roman" w:hAnsi="Times New Roman" w:cs="Times New Roman"/>
          <w:b/>
        </w:rPr>
        <w:t>Trhovo-orientované výdavky</w:t>
      </w:r>
    </w:p>
    <w:p w:rsidR="00CB350B" w:rsidRPr="00432A91" w:rsidP="00CB350B">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197"/>
        <w:gridCol w:w="1003"/>
        <w:gridCol w:w="1002"/>
        <w:gridCol w:w="1002"/>
        <w:gridCol w:w="1002"/>
        <w:gridCol w:w="1002"/>
        <w:gridCol w:w="1002"/>
        <w:gridCol w:w="1002"/>
      </w:tblGrid>
      <w:tr>
        <w:tblPrEx>
          <w:tblW w:w="5000" w:type="pct"/>
          <w:tblCellMar>
            <w:left w:w="70" w:type="dxa"/>
            <w:right w:w="70" w:type="dxa"/>
          </w:tblCellMar>
          <w:tblLook w:val="04A0"/>
        </w:tblPrEx>
        <w:trPr>
          <w:trHeight w:val="264"/>
        </w:trPr>
        <w:tc>
          <w:tcPr>
            <w:tcW w:w="1192"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b/>
                <w:sz w:val="14"/>
                <w:szCs w:val="14"/>
              </w:rPr>
            </w:pPr>
            <w:r>
              <w:rPr>
                <w:rFonts w:ascii="Times New Roman" w:hAnsi="Times New Roman" w:cs="Times New Roman"/>
                <w:b/>
                <w:sz w:val="14"/>
                <w:szCs w:val="14"/>
              </w:rPr>
              <w:t>v eurách</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2009 S</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2010 S</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2011 R</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2011 OS</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2012 N</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2013 N</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D4A5A" w:rsidP="00257E12">
            <w:pPr>
              <w:bidi w:val="0"/>
              <w:jc w:val="center"/>
              <w:rPr>
                <w:rFonts w:ascii="Times New Roman" w:hAnsi="Times New Roman" w:cs="Times New Roman"/>
                <w:b/>
                <w:sz w:val="14"/>
                <w:szCs w:val="14"/>
              </w:rPr>
            </w:pPr>
            <w:r w:rsidRPr="001D4A5A">
              <w:rPr>
                <w:rFonts w:ascii="Times New Roman" w:hAnsi="Times New Roman" w:cs="Times New Roman"/>
                <w:b/>
                <w:sz w:val="14"/>
                <w:szCs w:val="14"/>
              </w:rPr>
              <w:t>2014 N</w:t>
            </w:r>
          </w:p>
        </w:tc>
      </w:tr>
      <w:tr>
        <w:tblPrEx>
          <w:tblW w:w="5000" w:type="pct"/>
          <w:tblCellMar>
            <w:left w:w="70" w:type="dxa"/>
            <w:right w:w="70" w:type="dxa"/>
          </w:tblCellMar>
          <w:tblLook w:val="04A0"/>
        </w:tblPrEx>
        <w:trPr>
          <w:trHeight w:val="264"/>
        </w:trPr>
        <w:tc>
          <w:tcPr>
            <w:tcW w:w="1192" w:type="pct"/>
            <w:tcBorders>
              <w:top w:val="nil"/>
              <w:left w:val="single" w:sz="4" w:space="0" w:color="auto"/>
              <w:bottom w:val="single" w:sz="4" w:space="0" w:color="auto"/>
              <w:right w:val="single" w:sz="4" w:space="0" w:color="auto"/>
            </w:tcBorders>
            <w:textDirection w:val="lrTb"/>
            <w:vAlign w:val="bottom"/>
            <w:hideMark/>
          </w:tcPr>
          <w:p w:rsidR="00CB350B" w:rsidRPr="001D4A5A" w:rsidP="00257E12">
            <w:pPr>
              <w:bidi w:val="0"/>
              <w:rPr>
                <w:rFonts w:ascii="Times New Roman" w:hAnsi="Times New Roman" w:cs="Times New Roman"/>
                <w:b/>
                <w:bCs/>
                <w:sz w:val="14"/>
                <w:szCs w:val="14"/>
              </w:rPr>
            </w:pPr>
            <w:r w:rsidRPr="001D4A5A">
              <w:rPr>
                <w:rFonts w:ascii="Times New Roman" w:hAnsi="Times New Roman" w:cs="Times New Roman"/>
                <w:b/>
                <w:bCs/>
                <w:sz w:val="14"/>
                <w:szCs w:val="14"/>
              </w:rPr>
              <w:t xml:space="preserve">Trhovo-orientované výdavky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39 755 389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13 637 537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31 886 924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39 840 214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19 752 761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18 517 280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18 545 304 </w:t>
            </w:r>
          </w:p>
        </w:tc>
      </w:tr>
      <w:tr>
        <w:tblPrEx>
          <w:tblW w:w="5000" w:type="pct"/>
          <w:tblCellMar>
            <w:left w:w="70" w:type="dxa"/>
            <w:right w:w="70" w:type="dxa"/>
          </w:tblCellMar>
          <w:tblLook w:val="04A0"/>
        </w:tblPrEx>
        <w:trPr>
          <w:trHeight w:val="264"/>
        </w:trPr>
        <w:tc>
          <w:tcPr>
            <w:tcW w:w="1192"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sz w:val="14"/>
                <w:szCs w:val="14"/>
              </w:rPr>
            </w:pPr>
            <w:r w:rsidRPr="001D4A5A">
              <w:rPr>
                <w:rFonts w:ascii="Times New Roman" w:hAnsi="Times New Roman" w:cs="Times New Roman"/>
                <w:sz w:val="14"/>
                <w:szCs w:val="14"/>
              </w:rPr>
              <w:t>prostriedky EÚ</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37 565 989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10 918 045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28 665 153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28 665 153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16 472 307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15 029 492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14 689 377 </w:t>
            </w:r>
          </w:p>
        </w:tc>
      </w:tr>
      <w:tr>
        <w:tblPrEx>
          <w:tblW w:w="5000" w:type="pct"/>
          <w:tblCellMar>
            <w:left w:w="70" w:type="dxa"/>
            <w:right w:w="70" w:type="dxa"/>
          </w:tblCellMar>
          <w:tblLook w:val="04A0"/>
        </w:tblPrEx>
        <w:trPr>
          <w:trHeight w:val="264"/>
        </w:trPr>
        <w:tc>
          <w:tcPr>
            <w:tcW w:w="1192"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sz w:val="14"/>
                <w:szCs w:val="14"/>
              </w:rPr>
            </w:pPr>
            <w:r w:rsidRPr="001D4A5A">
              <w:rPr>
                <w:rFonts w:ascii="Times New Roman" w:hAnsi="Times New Roman" w:cs="Times New Roman"/>
                <w:sz w:val="14"/>
                <w:szCs w:val="14"/>
              </w:rPr>
              <w:t>spolufinancovanie zo ŠR</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3 221 771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3 221 771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3 280 454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3 487 788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3 855 927 </w:t>
            </w:r>
          </w:p>
        </w:tc>
      </w:tr>
      <w:tr>
        <w:tblPrEx>
          <w:tblW w:w="5000" w:type="pct"/>
          <w:tblCellMar>
            <w:left w:w="70" w:type="dxa"/>
            <w:right w:w="70" w:type="dxa"/>
          </w:tblCellMar>
          <w:tblLook w:val="04A0"/>
        </w:tblPrEx>
        <w:trPr>
          <w:trHeight w:val="264"/>
        </w:trPr>
        <w:tc>
          <w:tcPr>
            <w:tcW w:w="1192"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sz w:val="14"/>
                <w:szCs w:val="14"/>
              </w:rPr>
            </w:pPr>
            <w:r w:rsidRPr="001D4A5A">
              <w:rPr>
                <w:rFonts w:ascii="Times New Roman" w:hAnsi="Times New Roman" w:cs="Times New Roman"/>
                <w:sz w:val="14"/>
                <w:szCs w:val="14"/>
              </w:rPr>
              <w:t>presun z minulých rokov</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2 189 400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2 719 492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7 953 290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r>
    </w:tbl>
    <w:p w:rsidR="00CB350B" w:rsidRPr="00432A91" w:rsidP="00CB350B">
      <w:pPr>
        <w:bidi w:val="0"/>
        <w:jc w:val="both"/>
        <w:rPr>
          <w:rFonts w:ascii="Times New Roman" w:hAnsi="Times New Roman" w:cs="Times New Roman"/>
        </w:rPr>
      </w:pPr>
    </w:p>
    <w:p w:rsidR="00CB350B" w:rsidRPr="00432A91" w:rsidP="00CB350B">
      <w:pPr>
        <w:bidi w:val="0"/>
        <w:ind w:firstLine="708"/>
        <w:jc w:val="both"/>
        <w:rPr>
          <w:rFonts w:ascii="Times New Roman" w:hAnsi="Times New Roman" w:cs="Times New Roman"/>
        </w:rPr>
      </w:pPr>
      <w:r w:rsidRPr="00432A91">
        <w:rPr>
          <w:rFonts w:ascii="Times New Roman" w:hAnsi="Times New Roman" w:cs="Times New Roman"/>
        </w:rPr>
        <w:t>Trhovo orientované výdavky sú výdavky na trhové opatrenia, ktoré sa realizujú na základe záväzných nariadení, ktorými sa uskutočňuje spoločná organizácia trhu v EÚ. Vo všeobecnosti ich možno rozdeliť na intervencie určené na reguláciu poľnohospodárskych trhov, náhrady stanovené za vývoz poľnohospodárskych výrobkov do tretích krajín a iné podporné opatrenia v zmysle spoločnej organizáci</w:t>
      </w:r>
      <w:r>
        <w:rPr>
          <w:rFonts w:ascii="Times New Roman" w:hAnsi="Times New Roman" w:cs="Times New Roman"/>
        </w:rPr>
        <w:t>e</w:t>
      </w:r>
      <w:r w:rsidRPr="00432A91">
        <w:rPr>
          <w:rFonts w:ascii="Times New Roman" w:hAnsi="Times New Roman" w:cs="Times New Roman"/>
        </w:rPr>
        <w:t xml:space="preserve"> trhu v rámci EÚ ako sú výrobné náhrady, podpory v sektore ovocia a zeleniny, špecifické opatrenia vo vinohradníckom sektore (napr. reštrukturalizácia a konverzia vinohradov a ďalšie opatrenia), podpora spotreby školského mlieka a mliečnych výrobkov a ďalšie opatrenia. Výdavky na trhovo-orientované výdavky sú oproti schválenému rozpočtu roku 2011 nižšie o 38,1 %. Výška týchto výdavkov je v plnej miere ovplyvňovaná alokáciou výdavkov EÚ a spolufinancovania v rámci 2. programového obdobia na roky 2007 až 2013.</w:t>
      </w:r>
    </w:p>
    <w:p w:rsidR="00CB350B" w:rsidRPr="00432A91" w:rsidP="00CB350B">
      <w:pPr>
        <w:bidi w:val="0"/>
        <w:jc w:val="both"/>
        <w:rPr>
          <w:rFonts w:ascii="Times New Roman" w:hAnsi="Times New Roman" w:cs="Times New Roman"/>
        </w:rPr>
      </w:pPr>
    </w:p>
    <w:p w:rsidR="00CB350B" w:rsidRPr="00432A91" w:rsidP="00CB350B">
      <w:pPr>
        <w:bidi w:val="0"/>
        <w:jc w:val="both"/>
        <w:rPr>
          <w:rFonts w:ascii="Times New Roman" w:hAnsi="Times New Roman" w:cs="Times New Roman"/>
          <w:b/>
        </w:rPr>
      </w:pPr>
      <w:r w:rsidRPr="00432A91">
        <w:rPr>
          <w:rFonts w:ascii="Times New Roman" w:hAnsi="Times New Roman" w:cs="Times New Roman"/>
          <w:b/>
        </w:rPr>
        <w:t>Štátna pomoc</w:t>
      </w:r>
    </w:p>
    <w:p w:rsidR="00CB350B" w:rsidRPr="00432A91" w:rsidP="00CB350B">
      <w:pPr>
        <w:bidi w:val="0"/>
        <w:jc w:val="both"/>
        <w:rPr>
          <w:rFonts w:ascii="Times New Roman" w:hAnsi="Times New Roman" w:cs="Times New Roman"/>
          <w:b/>
        </w:rPr>
      </w:pPr>
    </w:p>
    <w:tbl>
      <w:tblPr>
        <w:tblStyle w:val="TableNormal"/>
        <w:tblW w:w="5000" w:type="pct"/>
        <w:tblCellMar>
          <w:left w:w="70" w:type="dxa"/>
          <w:right w:w="70" w:type="dxa"/>
        </w:tblCellMar>
        <w:tblLook w:val="04A0"/>
      </w:tblPr>
      <w:tblGrid>
        <w:gridCol w:w="2197"/>
        <w:gridCol w:w="1003"/>
        <w:gridCol w:w="1002"/>
        <w:gridCol w:w="1002"/>
        <w:gridCol w:w="1002"/>
        <w:gridCol w:w="1002"/>
        <w:gridCol w:w="1002"/>
        <w:gridCol w:w="1002"/>
      </w:tblGrid>
      <w:tr>
        <w:tblPrEx>
          <w:tblW w:w="5000" w:type="pct"/>
          <w:tblCellMar>
            <w:left w:w="70" w:type="dxa"/>
            <w:right w:w="70" w:type="dxa"/>
          </w:tblCellMar>
          <w:tblLook w:val="04A0"/>
        </w:tblPrEx>
        <w:trPr>
          <w:trHeight w:val="255"/>
        </w:trPr>
        <w:tc>
          <w:tcPr>
            <w:tcW w:w="1192"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b/>
                <w:bCs/>
                <w:color w:val="000000"/>
                <w:sz w:val="14"/>
                <w:szCs w:val="14"/>
              </w:rPr>
            </w:pPr>
            <w:r w:rsidRPr="001D4A5A">
              <w:rPr>
                <w:rFonts w:ascii="Times New Roman" w:hAnsi="Times New Roman" w:cs="Times New Roman"/>
                <w:b/>
                <w:bCs/>
                <w:color w:val="000000"/>
                <w:sz w:val="14"/>
                <w:szCs w:val="14"/>
              </w:rPr>
              <w:t>v eurách</w:t>
            </w:r>
          </w:p>
        </w:tc>
        <w:tc>
          <w:tcPr>
            <w:tcW w:w="544" w:type="pct"/>
            <w:tcBorders>
              <w:top w:val="single" w:sz="4" w:space="0" w:color="auto"/>
              <w:left w:val="nil"/>
              <w:bottom w:val="single" w:sz="4" w:space="0" w:color="auto"/>
              <w:right w:val="single" w:sz="4" w:space="0" w:color="auto"/>
            </w:tcBorders>
            <w:noWrap/>
            <w:textDirection w:val="lrTb"/>
            <w:vAlign w:val="center"/>
            <w:hideMark/>
          </w:tcPr>
          <w:p w:rsidR="00CB350B" w:rsidRPr="001D4A5A" w:rsidP="00257E12">
            <w:pPr>
              <w:bidi w:val="0"/>
              <w:jc w:val="center"/>
              <w:rPr>
                <w:rFonts w:ascii="Times New Roman" w:hAnsi="Times New Roman" w:cs="Times New Roman"/>
                <w:b/>
                <w:bCs/>
                <w:color w:val="000000"/>
                <w:sz w:val="14"/>
                <w:szCs w:val="14"/>
              </w:rPr>
            </w:pPr>
            <w:r w:rsidRPr="001D4A5A">
              <w:rPr>
                <w:rFonts w:ascii="Times New Roman" w:hAnsi="Times New Roman" w:cs="Times New Roman"/>
                <w:b/>
                <w:bCs/>
                <w:color w:val="000000"/>
                <w:sz w:val="14"/>
                <w:szCs w:val="14"/>
              </w:rPr>
              <w:t>2009 S</w:t>
            </w:r>
          </w:p>
        </w:tc>
        <w:tc>
          <w:tcPr>
            <w:tcW w:w="544" w:type="pct"/>
            <w:tcBorders>
              <w:top w:val="single" w:sz="4" w:space="0" w:color="auto"/>
              <w:left w:val="nil"/>
              <w:bottom w:val="single" w:sz="4" w:space="0" w:color="auto"/>
              <w:right w:val="single" w:sz="4" w:space="0" w:color="auto"/>
            </w:tcBorders>
            <w:noWrap/>
            <w:textDirection w:val="lrTb"/>
            <w:vAlign w:val="center"/>
            <w:hideMark/>
          </w:tcPr>
          <w:p w:rsidR="00CB350B" w:rsidRPr="001D4A5A" w:rsidP="00257E12">
            <w:pPr>
              <w:bidi w:val="0"/>
              <w:jc w:val="center"/>
              <w:rPr>
                <w:rFonts w:ascii="Times New Roman" w:hAnsi="Times New Roman" w:cs="Times New Roman"/>
                <w:b/>
                <w:bCs/>
                <w:color w:val="000000"/>
                <w:sz w:val="14"/>
                <w:szCs w:val="14"/>
              </w:rPr>
            </w:pPr>
            <w:r w:rsidRPr="001D4A5A">
              <w:rPr>
                <w:rFonts w:ascii="Times New Roman" w:hAnsi="Times New Roman" w:cs="Times New Roman"/>
                <w:b/>
                <w:bCs/>
                <w:color w:val="000000"/>
                <w:sz w:val="14"/>
                <w:szCs w:val="14"/>
              </w:rPr>
              <w:t>2010 S</w:t>
            </w:r>
          </w:p>
        </w:tc>
        <w:tc>
          <w:tcPr>
            <w:tcW w:w="544" w:type="pct"/>
            <w:tcBorders>
              <w:top w:val="single" w:sz="4" w:space="0" w:color="auto"/>
              <w:left w:val="nil"/>
              <w:bottom w:val="single" w:sz="4" w:space="0" w:color="auto"/>
              <w:right w:val="single" w:sz="4" w:space="0" w:color="auto"/>
            </w:tcBorders>
            <w:noWrap/>
            <w:textDirection w:val="lrTb"/>
            <w:vAlign w:val="center"/>
            <w:hideMark/>
          </w:tcPr>
          <w:p w:rsidR="00CB350B" w:rsidRPr="001D4A5A" w:rsidP="00257E12">
            <w:pPr>
              <w:bidi w:val="0"/>
              <w:jc w:val="center"/>
              <w:rPr>
                <w:rFonts w:ascii="Times New Roman" w:hAnsi="Times New Roman" w:cs="Times New Roman"/>
                <w:b/>
                <w:bCs/>
                <w:color w:val="000000"/>
                <w:sz w:val="14"/>
                <w:szCs w:val="14"/>
              </w:rPr>
            </w:pPr>
            <w:r w:rsidRPr="001D4A5A">
              <w:rPr>
                <w:rFonts w:ascii="Times New Roman" w:hAnsi="Times New Roman" w:cs="Times New Roman"/>
                <w:b/>
                <w:bCs/>
                <w:color w:val="000000"/>
                <w:sz w:val="14"/>
                <w:szCs w:val="14"/>
              </w:rPr>
              <w:t>2011 R</w:t>
            </w:r>
          </w:p>
        </w:tc>
        <w:tc>
          <w:tcPr>
            <w:tcW w:w="544" w:type="pct"/>
            <w:tcBorders>
              <w:top w:val="single" w:sz="4" w:space="0" w:color="auto"/>
              <w:left w:val="nil"/>
              <w:bottom w:val="single" w:sz="4" w:space="0" w:color="auto"/>
              <w:right w:val="single" w:sz="4" w:space="0" w:color="auto"/>
            </w:tcBorders>
            <w:noWrap/>
            <w:textDirection w:val="lrTb"/>
            <w:vAlign w:val="center"/>
            <w:hideMark/>
          </w:tcPr>
          <w:p w:rsidR="00CB350B" w:rsidRPr="001D4A5A" w:rsidP="00257E12">
            <w:pPr>
              <w:bidi w:val="0"/>
              <w:jc w:val="center"/>
              <w:rPr>
                <w:rFonts w:ascii="Times New Roman" w:hAnsi="Times New Roman" w:cs="Times New Roman"/>
                <w:b/>
                <w:bCs/>
                <w:color w:val="000000"/>
                <w:sz w:val="14"/>
                <w:szCs w:val="14"/>
              </w:rPr>
            </w:pPr>
            <w:r w:rsidRPr="001D4A5A">
              <w:rPr>
                <w:rFonts w:ascii="Times New Roman" w:hAnsi="Times New Roman" w:cs="Times New Roman"/>
                <w:b/>
                <w:bCs/>
                <w:color w:val="000000"/>
                <w:sz w:val="14"/>
                <w:szCs w:val="14"/>
              </w:rPr>
              <w:t>2011 OS</w:t>
            </w:r>
          </w:p>
        </w:tc>
        <w:tc>
          <w:tcPr>
            <w:tcW w:w="544" w:type="pct"/>
            <w:tcBorders>
              <w:top w:val="single" w:sz="4" w:space="0" w:color="auto"/>
              <w:left w:val="nil"/>
              <w:bottom w:val="single" w:sz="4" w:space="0" w:color="auto"/>
              <w:right w:val="single" w:sz="4" w:space="0" w:color="auto"/>
            </w:tcBorders>
            <w:noWrap/>
            <w:textDirection w:val="lrTb"/>
            <w:vAlign w:val="center"/>
            <w:hideMark/>
          </w:tcPr>
          <w:p w:rsidR="00CB350B" w:rsidRPr="001D4A5A" w:rsidP="00257E12">
            <w:pPr>
              <w:bidi w:val="0"/>
              <w:jc w:val="center"/>
              <w:rPr>
                <w:rFonts w:ascii="Times New Roman" w:hAnsi="Times New Roman" w:cs="Times New Roman"/>
                <w:b/>
                <w:bCs/>
                <w:color w:val="000000"/>
                <w:sz w:val="14"/>
                <w:szCs w:val="14"/>
              </w:rPr>
            </w:pPr>
            <w:r w:rsidRPr="001D4A5A">
              <w:rPr>
                <w:rFonts w:ascii="Times New Roman" w:hAnsi="Times New Roman" w:cs="Times New Roman"/>
                <w:b/>
                <w:bCs/>
                <w:color w:val="000000"/>
                <w:sz w:val="14"/>
                <w:szCs w:val="14"/>
              </w:rPr>
              <w:t>2012 N</w:t>
            </w:r>
          </w:p>
        </w:tc>
        <w:tc>
          <w:tcPr>
            <w:tcW w:w="544" w:type="pct"/>
            <w:tcBorders>
              <w:top w:val="single" w:sz="4" w:space="0" w:color="auto"/>
              <w:left w:val="nil"/>
              <w:bottom w:val="single" w:sz="4" w:space="0" w:color="auto"/>
              <w:right w:val="single" w:sz="4" w:space="0" w:color="auto"/>
            </w:tcBorders>
            <w:noWrap/>
            <w:textDirection w:val="lrTb"/>
            <w:vAlign w:val="center"/>
            <w:hideMark/>
          </w:tcPr>
          <w:p w:rsidR="00CB350B" w:rsidRPr="001D4A5A" w:rsidP="00257E12">
            <w:pPr>
              <w:bidi w:val="0"/>
              <w:jc w:val="center"/>
              <w:rPr>
                <w:rFonts w:ascii="Times New Roman" w:hAnsi="Times New Roman" w:cs="Times New Roman"/>
                <w:b/>
                <w:bCs/>
                <w:color w:val="000000"/>
                <w:sz w:val="14"/>
                <w:szCs w:val="14"/>
              </w:rPr>
            </w:pPr>
            <w:r w:rsidRPr="001D4A5A">
              <w:rPr>
                <w:rFonts w:ascii="Times New Roman" w:hAnsi="Times New Roman" w:cs="Times New Roman"/>
                <w:b/>
                <w:bCs/>
                <w:color w:val="000000"/>
                <w:sz w:val="14"/>
                <w:szCs w:val="14"/>
              </w:rPr>
              <w:t>2013 N</w:t>
            </w:r>
          </w:p>
        </w:tc>
        <w:tc>
          <w:tcPr>
            <w:tcW w:w="544" w:type="pct"/>
            <w:tcBorders>
              <w:top w:val="single" w:sz="4" w:space="0" w:color="auto"/>
              <w:left w:val="nil"/>
              <w:bottom w:val="single" w:sz="4" w:space="0" w:color="auto"/>
              <w:right w:val="single" w:sz="4" w:space="0" w:color="auto"/>
            </w:tcBorders>
            <w:noWrap/>
            <w:textDirection w:val="lrTb"/>
            <w:vAlign w:val="center"/>
            <w:hideMark/>
          </w:tcPr>
          <w:p w:rsidR="00CB350B" w:rsidRPr="001D4A5A" w:rsidP="00257E12">
            <w:pPr>
              <w:bidi w:val="0"/>
              <w:jc w:val="center"/>
              <w:rPr>
                <w:rFonts w:ascii="Times New Roman" w:hAnsi="Times New Roman" w:cs="Times New Roman"/>
                <w:b/>
                <w:bCs/>
                <w:color w:val="000000"/>
                <w:sz w:val="14"/>
                <w:szCs w:val="14"/>
              </w:rPr>
            </w:pPr>
            <w:r w:rsidRPr="001D4A5A">
              <w:rPr>
                <w:rFonts w:ascii="Times New Roman" w:hAnsi="Times New Roman" w:cs="Times New Roman"/>
                <w:b/>
                <w:bCs/>
                <w:color w:val="000000"/>
                <w:sz w:val="14"/>
                <w:szCs w:val="14"/>
              </w:rPr>
              <w:t>2014 N</w:t>
            </w:r>
          </w:p>
        </w:tc>
      </w:tr>
      <w:tr>
        <w:tblPrEx>
          <w:tblW w:w="5000" w:type="pct"/>
          <w:tblCellMar>
            <w:left w:w="70" w:type="dxa"/>
            <w:right w:w="70" w:type="dxa"/>
          </w:tblCellMar>
          <w:tblLook w:val="04A0"/>
        </w:tblPrEx>
        <w:trPr>
          <w:trHeight w:val="255"/>
        </w:trPr>
        <w:tc>
          <w:tcPr>
            <w:tcW w:w="1192"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b/>
                <w:bCs/>
                <w:sz w:val="14"/>
                <w:szCs w:val="14"/>
              </w:rPr>
            </w:pPr>
            <w:r w:rsidRPr="001D4A5A">
              <w:rPr>
                <w:rFonts w:ascii="Times New Roman" w:hAnsi="Times New Roman" w:cs="Times New Roman"/>
                <w:b/>
                <w:bCs/>
                <w:sz w:val="14"/>
                <w:szCs w:val="14"/>
              </w:rPr>
              <w:t xml:space="preserve">Štátna pomoc </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24 676 707 </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19 005 796 </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8 000 000 </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11 220 736 </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Pr>
                <w:rFonts w:ascii="Times New Roman" w:hAnsi="Times New Roman" w:cs="Times New Roman"/>
                <w:b/>
                <w:bCs/>
                <w:sz w:val="14"/>
                <w:szCs w:val="14"/>
              </w:rPr>
              <w:t>10</w:t>
            </w:r>
            <w:r w:rsidRPr="001D4A5A">
              <w:rPr>
                <w:rFonts w:ascii="Times New Roman" w:hAnsi="Times New Roman" w:cs="Times New Roman"/>
                <w:b/>
                <w:bCs/>
                <w:sz w:val="14"/>
                <w:szCs w:val="14"/>
              </w:rPr>
              <w:t xml:space="preserve"> 000 000 </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8 000 000 </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8 000 000 </w:t>
            </w:r>
          </w:p>
        </w:tc>
      </w:tr>
      <w:tr>
        <w:tblPrEx>
          <w:tblW w:w="5000" w:type="pct"/>
          <w:tblCellMar>
            <w:left w:w="70" w:type="dxa"/>
            <w:right w:w="70" w:type="dxa"/>
          </w:tblCellMar>
          <w:tblLook w:val="04A0"/>
        </w:tblPrEx>
        <w:trPr>
          <w:trHeight w:val="255"/>
        </w:trPr>
        <w:tc>
          <w:tcPr>
            <w:tcW w:w="1192"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sz w:val="14"/>
                <w:szCs w:val="14"/>
              </w:rPr>
            </w:pPr>
            <w:r w:rsidRPr="001D4A5A">
              <w:rPr>
                <w:rFonts w:ascii="Times New Roman" w:hAnsi="Times New Roman" w:cs="Times New Roman"/>
                <w:sz w:val="14"/>
                <w:szCs w:val="14"/>
              </w:rPr>
              <w:t>prostriedky ŠR</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24 676 707 </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11 529 358 </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8 000 000 </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8 495 000 </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Pr>
                <w:rFonts w:ascii="Times New Roman" w:hAnsi="Times New Roman" w:cs="Times New Roman"/>
                <w:sz w:val="14"/>
                <w:szCs w:val="14"/>
              </w:rPr>
              <w:t>10</w:t>
            </w:r>
            <w:r w:rsidRPr="001D4A5A">
              <w:rPr>
                <w:rFonts w:ascii="Times New Roman" w:hAnsi="Times New Roman" w:cs="Times New Roman"/>
                <w:sz w:val="14"/>
                <w:szCs w:val="14"/>
              </w:rPr>
              <w:t xml:space="preserve"> 000 000 </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8 000 000 </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8 000 000 </w:t>
            </w:r>
          </w:p>
        </w:tc>
      </w:tr>
      <w:tr>
        <w:tblPrEx>
          <w:tblW w:w="5000" w:type="pct"/>
          <w:tblCellMar>
            <w:left w:w="70" w:type="dxa"/>
            <w:right w:w="70" w:type="dxa"/>
          </w:tblCellMar>
          <w:tblLook w:val="04A0"/>
        </w:tblPrEx>
        <w:trPr>
          <w:trHeight w:val="255"/>
        </w:trPr>
        <w:tc>
          <w:tcPr>
            <w:tcW w:w="1192"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sz w:val="14"/>
                <w:szCs w:val="14"/>
              </w:rPr>
            </w:pPr>
            <w:r w:rsidRPr="001D4A5A">
              <w:rPr>
                <w:rFonts w:ascii="Times New Roman" w:hAnsi="Times New Roman" w:cs="Times New Roman"/>
                <w:sz w:val="14"/>
                <w:szCs w:val="14"/>
              </w:rPr>
              <w:t>presun z minulých rokov</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1 897 891 </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r>
      <w:tr>
        <w:tblPrEx>
          <w:tblW w:w="5000" w:type="pct"/>
          <w:tblCellMar>
            <w:left w:w="70" w:type="dxa"/>
            <w:right w:w="70" w:type="dxa"/>
          </w:tblCellMar>
          <w:tblLook w:val="04A0"/>
        </w:tblPrEx>
        <w:trPr>
          <w:trHeight w:val="255"/>
        </w:trPr>
        <w:tc>
          <w:tcPr>
            <w:tcW w:w="1192" w:type="pct"/>
            <w:tcBorders>
              <w:top w:val="single" w:sz="4" w:space="0" w:color="auto"/>
              <w:left w:val="single" w:sz="4" w:space="0" w:color="auto"/>
              <w:bottom w:val="single" w:sz="4" w:space="0" w:color="auto"/>
              <w:right w:val="single" w:sz="4" w:space="0" w:color="auto"/>
            </w:tcBorders>
            <w:textDirection w:val="lrTb"/>
            <w:vAlign w:val="bottom"/>
            <w:hideMark/>
          </w:tcPr>
          <w:p w:rsidR="00CB350B" w:rsidRPr="001D4A5A" w:rsidP="00257E12">
            <w:pPr>
              <w:bidi w:val="0"/>
              <w:rPr>
                <w:rFonts w:ascii="Times New Roman" w:hAnsi="Times New Roman" w:cs="Times New Roman"/>
                <w:sz w:val="14"/>
                <w:szCs w:val="14"/>
              </w:rPr>
            </w:pPr>
            <w:r w:rsidRPr="001D4A5A">
              <w:rPr>
                <w:rFonts w:ascii="Times New Roman" w:hAnsi="Times New Roman" w:cs="Times New Roman"/>
                <w:sz w:val="14"/>
                <w:szCs w:val="14"/>
              </w:rPr>
              <w:t>iné zdroje*</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5 578 547 </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2 725 736 </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r>
    </w:tbl>
    <w:p w:rsidR="00CB350B" w:rsidRPr="00575C66" w:rsidP="00CB350B">
      <w:pPr>
        <w:bidi w:val="0"/>
        <w:jc w:val="both"/>
        <w:rPr>
          <w:rFonts w:ascii="Times New Roman" w:hAnsi="Times New Roman" w:cs="Times New Roman"/>
          <w:color w:val="000000"/>
          <w:sz w:val="14"/>
          <w:szCs w:val="14"/>
        </w:rPr>
      </w:pPr>
      <w:r w:rsidRPr="00575C66">
        <w:rPr>
          <w:rFonts w:ascii="Times New Roman" w:hAnsi="Times New Roman" w:cs="Times New Roman"/>
          <w:sz w:val="14"/>
          <w:szCs w:val="14"/>
        </w:rPr>
        <w:t xml:space="preserve">* </w:t>
      </w:r>
      <w:r w:rsidRPr="00575C66">
        <w:rPr>
          <w:rFonts w:ascii="Times New Roman" w:hAnsi="Times New Roman" w:cs="Times New Roman"/>
          <w:color w:val="000000"/>
          <w:sz w:val="14"/>
          <w:szCs w:val="14"/>
        </w:rPr>
        <w:t>vybrané mimorozpočtové prostriedky a ostatné nerozpočtované príjmy</w:t>
      </w:r>
    </w:p>
    <w:p w:rsidR="00CB350B" w:rsidRPr="00432A91" w:rsidP="00CB350B">
      <w:pPr>
        <w:bidi w:val="0"/>
        <w:ind w:firstLine="708"/>
        <w:jc w:val="both"/>
        <w:rPr>
          <w:rFonts w:ascii="Times New Roman" w:hAnsi="Times New Roman" w:cs="Times New Roman"/>
        </w:rPr>
      </w:pPr>
    </w:p>
    <w:p w:rsidR="00CB350B" w:rsidRPr="00432A91" w:rsidP="00CB350B">
      <w:pPr>
        <w:bidi w:val="0"/>
        <w:ind w:firstLine="708"/>
        <w:jc w:val="both"/>
        <w:rPr>
          <w:rFonts w:ascii="Times New Roman" w:hAnsi="Times New Roman" w:cs="Times New Roman"/>
          <w:color w:val="000000"/>
        </w:rPr>
      </w:pPr>
      <w:r w:rsidRPr="00432A91">
        <w:rPr>
          <w:rFonts w:ascii="Times New Roman" w:hAnsi="Times New Roman" w:cs="Times New Roman"/>
        </w:rPr>
        <w:t>EÚ umožňuje poskytovať podnikateľským subjektom v pôdohospodárstve štátnu pomoc z vlastných zdrojov členského štátu v súlade s pravidlami EÚ o štátnej pomoci. Podporuje sa účasť prvovýrobcov na výstavách, založenie a vedenie plemennej knihy alebo plemenárskej evidencie, rozvoj včelárstva, kompenzácia škôd spôsobených živelnými pohromami, zvýšenie kvality poľnohospodárskych produktov, pestovanie a ochrana lesov, podpora rybnikárstva, karanténne opatrenie plodín a pod.</w:t>
      </w:r>
      <w:r w:rsidRPr="00432A91">
        <w:rPr>
          <w:rFonts w:ascii="Times New Roman" w:hAnsi="Times New Roman" w:cs="Times New Roman"/>
          <w:color w:val="000000"/>
        </w:rPr>
        <w:t xml:space="preserve"> Výdavky na bežné transfery pre štátnu pomoc a národné podpory s</w:t>
      </w:r>
      <w:r>
        <w:rPr>
          <w:rFonts w:ascii="Times New Roman" w:hAnsi="Times New Roman" w:cs="Times New Roman"/>
          <w:color w:val="000000"/>
        </w:rPr>
        <w:t>ú</w:t>
      </w:r>
      <w:r w:rsidRPr="00432A91">
        <w:rPr>
          <w:rFonts w:ascii="Times New Roman" w:hAnsi="Times New Roman" w:cs="Times New Roman"/>
          <w:color w:val="000000"/>
        </w:rPr>
        <w:t xml:space="preserve"> oproti schválenému rozpočtu roku 2011 </w:t>
      </w:r>
      <w:r>
        <w:rPr>
          <w:rFonts w:ascii="Times New Roman" w:hAnsi="Times New Roman" w:cs="Times New Roman"/>
          <w:color w:val="000000"/>
        </w:rPr>
        <w:t>vyššie o 25,0 %</w:t>
      </w:r>
      <w:r w:rsidRPr="00432A91">
        <w:rPr>
          <w:rFonts w:ascii="Times New Roman" w:hAnsi="Times New Roman" w:cs="Times New Roman"/>
          <w:color w:val="000000"/>
        </w:rPr>
        <w:t xml:space="preserve">.  </w:t>
      </w:r>
    </w:p>
    <w:p w:rsidR="00CB350B" w:rsidRPr="00432A91" w:rsidP="00CB350B">
      <w:pPr>
        <w:bidi w:val="0"/>
        <w:rPr>
          <w:rFonts w:ascii="Times New Roman" w:hAnsi="Times New Roman" w:cs="Times New Roman"/>
        </w:rPr>
      </w:pPr>
    </w:p>
    <w:p w:rsidR="00CB350B" w:rsidRPr="00432A91" w:rsidP="00CB350B">
      <w:pPr>
        <w:bidi w:val="0"/>
        <w:jc w:val="both"/>
        <w:rPr>
          <w:rFonts w:ascii="Times New Roman" w:hAnsi="Times New Roman" w:cs="Times New Roman"/>
          <w:b/>
        </w:rPr>
      </w:pPr>
      <w:r w:rsidRPr="00432A91">
        <w:rPr>
          <w:rFonts w:ascii="Times New Roman" w:hAnsi="Times New Roman" w:cs="Times New Roman"/>
          <w:b/>
        </w:rPr>
        <w:t xml:space="preserve">Regionálny rozvoj </w:t>
      </w:r>
    </w:p>
    <w:p w:rsidR="00CB350B" w:rsidRPr="00432A91" w:rsidP="00CB350B">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195"/>
        <w:gridCol w:w="1003"/>
        <w:gridCol w:w="1003"/>
        <w:gridCol w:w="1003"/>
        <w:gridCol w:w="1002"/>
        <w:gridCol w:w="1002"/>
        <w:gridCol w:w="1002"/>
        <w:gridCol w:w="1002"/>
      </w:tblGrid>
      <w:tr>
        <w:tblPrEx>
          <w:tblW w:w="5000" w:type="pct"/>
          <w:tblCellMar>
            <w:left w:w="70" w:type="dxa"/>
            <w:right w:w="70" w:type="dxa"/>
          </w:tblCellMar>
          <w:tblLook w:val="04A0"/>
        </w:tblPrEx>
        <w:trPr>
          <w:trHeight w:val="255"/>
        </w:trPr>
        <w:tc>
          <w:tcPr>
            <w:tcW w:w="1191"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b/>
                <w:bCs/>
                <w:color w:val="000000"/>
                <w:sz w:val="14"/>
                <w:szCs w:val="14"/>
              </w:rPr>
            </w:pPr>
            <w:r>
              <w:rPr>
                <w:rFonts w:ascii="Times New Roman" w:hAnsi="Times New Roman" w:cs="Times New Roman"/>
                <w:b/>
                <w:bCs/>
                <w:color w:val="000000"/>
                <w:sz w:val="14"/>
                <w:szCs w:val="14"/>
              </w:rPr>
              <w:t>v eurách</w:t>
            </w:r>
          </w:p>
        </w:tc>
        <w:tc>
          <w:tcPr>
            <w:tcW w:w="544" w:type="pct"/>
            <w:tcBorders>
              <w:top w:val="single" w:sz="4" w:space="0" w:color="auto"/>
              <w:left w:val="nil"/>
              <w:bottom w:val="single" w:sz="4" w:space="0" w:color="auto"/>
              <w:right w:val="single" w:sz="4" w:space="0" w:color="auto"/>
            </w:tcBorders>
            <w:noWrap/>
            <w:textDirection w:val="lrTb"/>
            <w:vAlign w:val="center"/>
            <w:hideMark/>
          </w:tcPr>
          <w:p w:rsidR="00CB350B" w:rsidRPr="001D4A5A" w:rsidP="00257E12">
            <w:pPr>
              <w:bidi w:val="0"/>
              <w:jc w:val="center"/>
              <w:rPr>
                <w:rFonts w:ascii="Times New Roman" w:hAnsi="Times New Roman" w:cs="Times New Roman"/>
                <w:b/>
                <w:bCs/>
                <w:color w:val="000000"/>
                <w:sz w:val="14"/>
                <w:szCs w:val="14"/>
              </w:rPr>
            </w:pPr>
            <w:r w:rsidRPr="001D4A5A">
              <w:rPr>
                <w:rFonts w:ascii="Times New Roman" w:hAnsi="Times New Roman" w:cs="Times New Roman"/>
                <w:b/>
                <w:bCs/>
                <w:color w:val="000000"/>
                <w:sz w:val="14"/>
                <w:szCs w:val="14"/>
              </w:rPr>
              <w:t>2009 S*</w:t>
            </w:r>
          </w:p>
        </w:tc>
        <w:tc>
          <w:tcPr>
            <w:tcW w:w="544" w:type="pct"/>
            <w:tcBorders>
              <w:top w:val="single" w:sz="4" w:space="0" w:color="auto"/>
              <w:left w:val="nil"/>
              <w:bottom w:val="single" w:sz="4" w:space="0" w:color="auto"/>
              <w:right w:val="single" w:sz="4" w:space="0" w:color="auto"/>
            </w:tcBorders>
            <w:noWrap/>
            <w:textDirection w:val="lrTb"/>
            <w:vAlign w:val="center"/>
            <w:hideMark/>
          </w:tcPr>
          <w:p w:rsidR="00CB350B" w:rsidRPr="001D4A5A" w:rsidP="00257E12">
            <w:pPr>
              <w:bidi w:val="0"/>
              <w:jc w:val="center"/>
              <w:rPr>
                <w:rFonts w:ascii="Times New Roman" w:hAnsi="Times New Roman" w:cs="Times New Roman"/>
                <w:b/>
                <w:bCs/>
                <w:color w:val="000000"/>
                <w:sz w:val="14"/>
                <w:szCs w:val="14"/>
              </w:rPr>
            </w:pPr>
            <w:r w:rsidRPr="001D4A5A">
              <w:rPr>
                <w:rFonts w:ascii="Times New Roman" w:hAnsi="Times New Roman" w:cs="Times New Roman"/>
                <w:b/>
                <w:bCs/>
                <w:color w:val="000000"/>
                <w:sz w:val="14"/>
                <w:szCs w:val="14"/>
              </w:rPr>
              <w:t>2010 S</w:t>
            </w:r>
          </w:p>
        </w:tc>
        <w:tc>
          <w:tcPr>
            <w:tcW w:w="544" w:type="pct"/>
            <w:tcBorders>
              <w:top w:val="single" w:sz="4" w:space="0" w:color="auto"/>
              <w:left w:val="nil"/>
              <w:bottom w:val="single" w:sz="4" w:space="0" w:color="auto"/>
              <w:right w:val="single" w:sz="4" w:space="0" w:color="auto"/>
            </w:tcBorders>
            <w:noWrap/>
            <w:textDirection w:val="lrTb"/>
            <w:vAlign w:val="center"/>
            <w:hideMark/>
          </w:tcPr>
          <w:p w:rsidR="00CB350B" w:rsidRPr="001D4A5A" w:rsidP="00257E12">
            <w:pPr>
              <w:bidi w:val="0"/>
              <w:jc w:val="center"/>
              <w:rPr>
                <w:rFonts w:ascii="Times New Roman" w:hAnsi="Times New Roman" w:cs="Times New Roman"/>
                <w:b/>
                <w:bCs/>
                <w:color w:val="000000"/>
                <w:sz w:val="14"/>
                <w:szCs w:val="14"/>
              </w:rPr>
            </w:pPr>
            <w:r w:rsidRPr="001D4A5A">
              <w:rPr>
                <w:rFonts w:ascii="Times New Roman" w:hAnsi="Times New Roman" w:cs="Times New Roman"/>
                <w:b/>
                <w:bCs/>
                <w:color w:val="000000"/>
                <w:sz w:val="14"/>
                <w:szCs w:val="14"/>
              </w:rPr>
              <w:t>2011 R</w:t>
            </w:r>
          </w:p>
        </w:tc>
        <w:tc>
          <w:tcPr>
            <w:tcW w:w="544" w:type="pct"/>
            <w:tcBorders>
              <w:top w:val="single" w:sz="4" w:space="0" w:color="auto"/>
              <w:left w:val="nil"/>
              <w:bottom w:val="single" w:sz="4" w:space="0" w:color="auto"/>
              <w:right w:val="single" w:sz="4" w:space="0" w:color="auto"/>
            </w:tcBorders>
            <w:noWrap/>
            <w:textDirection w:val="lrTb"/>
            <w:vAlign w:val="center"/>
            <w:hideMark/>
          </w:tcPr>
          <w:p w:rsidR="00CB350B" w:rsidRPr="001D4A5A" w:rsidP="00257E12">
            <w:pPr>
              <w:bidi w:val="0"/>
              <w:jc w:val="center"/>
              <w:rPr>
                <w:rFonts w:ascii="Times New Roman" w:hAnsi="Times New Roman" w:cs="Times New Roman"/>
                <w:b/>
                <w:bCs/>
                <w:color w:val="000000"/>
                <w:sz w:val="14"/>
                <w:szCs w:val="14"/>
              </w:rPr>
            </w:pPr>
            <w:r w:rsidRPr="001D4A5A">
              <w:rPr>
                <w:rFonts w:ascii="Times New Roman" w:hAnsi="Times New Roman" w:cs="Times New Roman"/>
                <w:b/>
                <w:bCs/>
                <w:color w:val="000000"/>
                <w:sz w:val="14"/>
                <w:szCs w:val="14"/>
              </w:rPr>
              <w:t>2011 OS</w:t>
            </w:r>
          </w:p>
        </w:tc>
        <w:tc>
          <w:tcPr>
            <w:tcW w:w="544" w:type="pct"/>
            <w:tcBorders>
              <w:top w:val="single" w:sz="4" w:space="0" w:color="auto"/>
              <w:left w:val="nil"/>
              <w:bottom w:val="single" w:sz="4" w:space="0" w:color="auto"/>
              <w:right w:val="single" w:sz="4" w:space="0" w:color="auto"/>
            </w:tcBorders>
            <w:noWrap/>
            <w:textDirection w:val="lrTb"/>
            <w:vAlign w:val="center"/>
            <w:hideMark/>
          </w:tcPr>
          <w:p w:rsidR="00CB350B" w:rsidRPr="001D4A5A" w:rsidP="00257E12">
            <w:pPr>
              <w:bidi w:val="0"/>
              <w:jc w:val="center"/>
              <w:rPr>
                <w:rFonts w:ascii="Times New Roman" w:hAnsi="Times New Roman" w:cs="Times New Roman"/>
                <w:b/>
                <w:bCs/>
                <w:color w:val="000000"/>
                <w:sz w:val="14"/>
                <w:szCs w:val="14"/>
              </w:rPr>
            </w:pPr>
            <w:r w:rsidRPr="001D4A5A">
              <w:rPr>
                <w:rFonts w:ascii="Times New Roman" w:hAnsi="Times New Roman" w:cs="Times New Roman"/>
                <w:b/>
                <w:bCs/>
                <w:color w:val="000000"/>
                <w:sz w:val="14"/>
                <w:szCs w:val="14"/>
              </w:rPr>
              <w:t>2012 N</w:t>
            </w:r>
          </w:p>
        </w:tc>
        <w:tc>
          <w:tcPr>
            <w:tcW w:w="544" w:type="pct"/>
            <w:tcBorders>
              <w:top w:val="single" w:sz="4" w:space="0" w:color="auto"/>
              <w:left w:val="nil"/>
              <w:bottom w:val="single" w:sz="4" w:space="0" w:color="auto"/>
              <w:right w:val="single" w:sz="4" w:space="0" w:color="auto"/>
            </w:tcBorders>
            <w:noWrap/>
            <w:textDirection w:val="lrTb"/>
            <w:vAlign w:val="center"/>
            <w:hideMark/>
          </w:tcPr>
          <w:p w:rsidR="00CB350B" w:rsidRPr="001D4A5A" w:rsidP="00257E12">
            <w:pPr>
              <w:bidi w:val="0"/>
              <w:jc w:val="center"/>
              <w:rPr>
                <w:rFonts w:ascii="Times New Roman" w:hAnsi="Times New Roman" w:cs="Times New Roman"/>
                <w:b/>
                <w:bCs/>
                <w:color w:val="000000"/>
                <w:sz w:val="14"/>
                <w:szCs w:val="14"/>
              </w:rPr>
            </w:pPr>
            <w:r w:rsidRPr="001D4A5A">
              <w:rPr>
                <w:rFonts w:ascii="Times New Roman" w:hAnsi="Times New Roman" w:cs="Times New Roman"/>
                <w:b/>
                <w:bCs/>
                <w:color w:val="000000"/>
                <w:sz w:val="14"/>
                <w:szCs w:val="14"/>
              </w:rPr>
              <w:t>2013 N</w:t>
            </w:r>
          </w:p>
        </w:tc>
        <w:tc>
          <w:tcPr>
            <w:tcW w:w="544" w:type="pct"/>
            <w:tcBorders>
              <w:top w:val="single" w:sz="4" w:space="0" w:color="auto"/>
              <w:left w:val="nil"/>
              <w:bottom w:val="single" w:sz="4" w:space="0" w:color="auto"/>
              <w:right w:val="single" w:sz="4" w:space="0" w:color="auto"/>
            </w:tcBorders>
            <w:noWrap/>
            <w:textDirection w:val="lrTb"/>
            <w:vAlign w:val="center"/>
            <w:hideMark/>
          </w:tcPr>
          <w:p w:rsidR="00CB350B" w:rsidRPr="001D4A5A" w:rsidP="00257E12">
            <w:pPr>
              <w:bidi w:val="0"/>
              <w:jc w:val="center"/>
              <w:rPr>
                <w:rFonts w:ascii="Times New Roman" w:hAnsi="Times New Roman" w:cs="Times New Roman"/>
                <w:b/>
                <w:bCs/>
                <w:color w:val="000000"/>
                <w:sz w:val="14"/>
                <w:szCs w:val="14"/>
              </w:rPr>
            </w:pPr>
            <w:r w:rsidRPr="001D4A5A">
              <w:rPr>
                <w:rFonts w:ascii="Times New Roman" w:hAnsi="Times New Roman" w:cs="Times New Roman"/>
                <w:b/>
                <w:bCs/>
                <w:color w:val="000000"/>
                <w:sz w:val="14"/>
                <w:szCs w:val="14"/>
              </w:rPr>
              <w:t>2014 N</w:t>
            </w:r>
          </w:p>
        </w:tc>
      </w:tr>
      <w:tr>
        <w:tblPrEx>
          <w:tblW w:w="5000" w:type="pct"/>
          <w:tblCellMar>
            <w:left w:w="70" w:type="dxa"/>
            <w:right w:w="70" w:type="dxa"/>
          </w:tblCellMar>
          <w:tblLook w:val="04A0"/>
        </w:tblPrEx>
        <w:trPr>
          <w:trHeight w:val="255"/>
        </w:trPr>
        <w:tc>
          <w:tcPr>
            <w:tcW w:w="1191" w:type="pct"/>
            <w:tcBorders>
              <w:top w:val="nil"/>
              <w:left w:val="single" w:sz="4" w:space="0" w:color="auto"/>
              <w:bottom w:val="single" w:sz="4" w:space="0" w:color="auto"/>
              <w:right w:val="single" w:sz="4" w:space="0" w:color="auto"/>
            </w:tcBorders>
            <w:textDirection w:val="lrTb"/>
            <w:vAlign w:val="bottom"/>
            <w:hideMark/>
          </w:tcPr>
          <w:p w:rsidR="00CB350B" w:rsidRPr="001D4A5A" w:rsidP="00257E12">
            <w:pPr>
              <w:bidi w:val="0"/>
              <w:rPr>
                <w:rFonts w:ascii="Times New Roman" w:hAnsi="Times New Roman" w:cs="Times New Roman"/>
                <w:b/>
                <w:bCs/>
                <w:sz w:val="14"/>
                <w:szCs w:val="14"/>
              </w:rPr>
            </w:pPr>
            <w:r>
              <w:rPr>
                <w:rFonts w:ascii="Times New Roman" w:hAnsi="Times New Roman" w:cs="Times New Roman"/>
                <w:b/>
                <w:bCs/>
                <w:sz w:val="14"/>
                <w:szCs w:val="14"/>
              </w:rPr>
              <w:t>R</w:t>
            </w:r>
            <w:r w:rsidRPr="001D4A5A">
              <w:rPr>
                <w:rFonts w:ascii="Times New Roman" w:hAnsi="Times New Roman" w:cs="Times New Roman"/>
                <w:b/>
                <w:bCs/>
                <w:sz w:val="14"/>
                <w:szCs w:val="14"/>
              </w:rPr>
              <w:t xml:space="preserve">egionálny rozvoj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149 205 593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178 839 465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372 212 759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363 072 655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444 873 035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373 463 937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205 451 011 </w:t>
            </w:r>
          </w:p>
        </w:tc>
      </w:tr>
      <w:tr>
        <w:tblPrEx>
          <w:tblW w:w="5000" w:type="pct"/>
          <w:tblCellMar>
            <w:left w:w="70" w:type="dxa"/>
            <w:right w:w="70" w:type="dxa"/>
          </w:tblCellMar>
          <w:tblLook w:val="04A0"/>
        </w:tblPrEx>
        <w:trPr>
          <w:trHeight w:val="255"/>
        </w:trPr>
        <w:tc>
          <w:tcPr>
            <w:tcW w:w="1191"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sz w:val="14"/>
                <w:szCs w:val="14"/>
              </w:rPr>
            </w:pPr>
            <w:r w:rsidRPr="001D4A5A">
              <w:rPr>
                <w:rFonts w:ascii="Times New Roman" w:hAnsi="Times New Roman" w:cs="Times New Roman"/>
                <w:sz w:val="14"/>
                <w:szCs w:val="14"/>
              </w:rPr>
              <w:t>prostriedky ŠR</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5 876 060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3 025 594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5 100 231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91 105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r>
      <w:tr>
        <w:tblPrEx>
          <w:tblW w:w="5000" w:type="pct"/>
          <w:tblCellMar>
            <w:left w:w="70" w:type="dxa"/>
            <w:right w:w="70" w:type="dxa"/>
          </w:tblCellMar>
          <w:tblLook w:val="04A0"/>
        </w:tblPrEx>
        <w:trPr>
          <w:trHeight w:val="255"/>
        </w:trPr>
        <w:tc>
          <w:tcPr>
            <w:tcW w:w="1191"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sz w:val="14"/>
                <w:szCs w:val="14"/>
              </w:rPr>
            </w:pPr>
            <w:r w:rsidRPr="001D4A5A">
              <w:rPr>
                <w:rFonts w:ascii="Times New Roman" w:hAnsi="Times New Roman" w:cs="Times New Roman"/>
                <w:sz w:val="14"/>
                <w:szCs w:val="14"/>
              </w:rPr>
              <w:t>prostriedky EÚ</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76 110 325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149 891 771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313 336 301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309 753 180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343 370 000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268 975 000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167 639 748 </w:t>
            </w:r>
          </w:p>
        </w:tc>
      </w:tr>
      <w:tr>
        <w:tblPrEx>
          <w:tblW w:w="5000" w:type="pct"/>
          <w:tblCellMar>
            <w:left w:w="70" w:type="dxa"/>
            <w:right w:w="70" w:type="dxa"/>
          </w:tblCellMar>
          <w:tblLook w:val="04A0"/>
        </w:tblPrEx>
        <w:trPr>
          <w:trHeight w:val="255"/>
        </w:trPr>
        <w:tc>
          <w:tcPr>
            <w:tcW w:w="1191"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sz w:val="14"/>
                <w:szCs w:val="14"/>
              </w:rPr>
            </w:pPr>
            <w:r w:rsidRPr="001D4A5A">
              <w:rPr>
                <w:rFonts w:ascii="Times New Roman" w:hAnsi="Times New Roman" w:cs="Times New Roman"/>
                <w:sz w:val="14"/>
                <w:szCs w:val="14"/>
              </w:rPr>
              <w:t>spolufinancovanie zo ŠR</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8 258 210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17 070 787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53 776 227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53 111 169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59 688 492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48 284 498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7 507 832 </w:t>
            </w:r>
          </w:p>
        </w:tc>
      </w:tr>
      <w:tr>
        <w:tblPrEx>
          <w:tblW w:w="5000" w:type="pct"/>
          <w:tblCellMar>
            <w:left w:w="70" w:type="dxa"/>
            <w:right w:w="70" w:type="dxa"/>
          </w:tblCellMar>
          <w:tblLook w:val="04A0"/>
        </w:tblPrEx>
        <w:trPr>
          <w:trHeight w:val="255"/>
        </w:trPr>
        <w:tc>
          <w:tcPr>
            <w:tcW w:w="1191"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sz w:val="14"/>
                <w:szCs w:val="14"/>
              </w:rPr>
            </w:pPr>
            <w:r w:rsidRPr="001D4A5A">
              <w:rPr>
                <w:rFonts w:ascii="Times New Roman" w:hAnsi="Times New Roman" w:cs="Times New Roman"/>
                <w:sz w:val="14"/>
                <w:szCs w:val="14"/>
              </w:rPr>
              <w:t>presun z minulých rokov</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58 960 997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8 851 313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117 201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r>
      <w:tr>
        <w:tblPrEx>
          <w:tblW w:w="5000" w:type="pct"/>
          <w:tblCellMar>
            <w:left w:w="70" w:type="dxa"/>
            <w:right w:w="70" w:type="dxa"/>
          </w:tblCellMar>
          <w:tblLook w:val="04A0"/>
        </w:tblPrEx>
        <w:trPr>
          <w:trHeight w:val="255"/>
        </w:trPr>
        <w:tc>
          <w:tcPr>
            <w:tcW w:w="1191"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sz w:val="14"/>
                <w:szCs w:val="14"/>
              </w:rPr>
            </w:pPr>
            <w:r w:rsidRPr="001D4A5A">
              <w:rPr>
                <w:rFonts w:ascii="Times New Roman" w:hAnsi="Times New Roman" w:cs="Times New Roman"/>
                <w:sz w:val="14"/>
                <w:szCs w:val="14"/>
              </w:rPr>
              <w:t>iné zdroje**</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41 814 543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56 204 439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30 303 431 </w:t>
            </w:r>
          </w:p>
        </w:tc>
      </w:tr>
    </w:tbl>
    <w:p w:rsidR="00CB350B" w:rsidRPr="00575C66" w:rsidP="00CB350B">
      <w:pPr>
        <w:bidi w:val="0"/>
        <w:jc w:val="both"/>
        <w:rPr>
          <w:rFonts w:ascii="Times New Roman" w:hAnsi="Times New Roman" w:cs="Times New Roman"/>
          <w:sz w:val="14"/>
          <w:szCs w:val="14"/>
        </w:rPr>
      </w:pPr>
      <w:r w:rsidRPr="00E167C4">
        <w:rPr>
          <w:rFonts w:ascii="Times New Roman" w:hAnsi="Times New Roman" w:cs="Times New Roman"/>
          <w:sz w:val="16"/>
          <w:szCs w:val="16"/>
        </w:rPr>
        <w:t xml:space="preserve"> </w:t>
      </w:r>
      <w:r w:rsidRPr="00575C66">
        <w:rPr>
          <w:rFonts w:ascii="Times New Roman" w:hAnsi="Times New Roman" w:cs="Times New Roman"/>
          <w:sz w:val="14"/>
          <w:szCs w:val="14"/>
        </w:rPr>
        <w:t>*  výdavky MVRR SR celkom na regionálny rozvoj</w:t>
      </w:r>
    </w:p>
    <w:p w:rsidR="00CB350B" w:rsidRPr="00575C66" w:rsidP="00CB350B">
      <w:pPr>
        <w:bidi w:val="0"/>
        <w:jc w:val="both"/>
        <w:rPr>
          <w:rFonts w:ascii="Times New Roman" w:hAnsi="Times New Roman" w:cs="Times New Roman"/>
          <w:sz w:val="14"/>
          <w:szCs w:val="14"/>
        </w:rPr>
      </w:pPr>
      <w:r w:rsidRPr="00575C66">
        <w:rPr>
          <w:rFonts w:ascii="Times New Roman" w:hAnsi="Times New Roman" w:cs="Times New Roman"/>
          <w:sz w:val="14"/>
          <w:szCs w:val="14"/>
        </w:rPr>
        <w:t xml:space="preserve"> ** prostriedky Programov európskej územnej spolupráce programového obdobia 2007 až 2013</w:t>
      </w:r>
    </w:p>
    <w:p w:rsidR="00CB350B" w:rsidRPr="00575C66" w:rsidP="00CB350B">
      <w:pPr>
        <w:bidi w:val="0"/>
        <w:jc w:val="both"/>
        <w:rPr>
          <w:rFonts w:ascii="Times New Roman" w:hAnsi="Times New Roman" w:cs="Times New Roman"/>
          <w:b/>
          <w:sz w:val="14"/>
          <w:szCs w:val="14"/>
        </w:rPr>
      </w:pPr>
    </w:p>
    <w:p w:rsidR="00CB350B" w:rsidRPr="00432A91" w:rsidP="00CB350B">
      <w:pPr>
        <w:bidi w:val="0"/>
        <w:ind w:firstLine="708"/>
        <w:jc w:val="both"/>
        <w:rPr>
          <w:rFonts w:ascii="Times New Roman" w:hAnsi="Times New Roman" w:cs="Times New Roman"/>
        </w:rPr>
      </w:pPr>
      <w:r w:rsidRPr="00432A91">
        <w:rPr>
          <w:rFonts w:ascii="Times New Roman" w:hAnsi="Times New Roman" w:cs="Times New Roman"/>
        </w:rPr>
        <w:t>Finančné prostriedky určené na financovanie projektov zo štrukturálnych fondov pre programov</w:t>
      </w:r>
      <w:r>
        <w:rPr>
          <w:rFonts w:ascii="Times New Roman" w:hAnsi="Times New Roman" w:cs="Times New Roman"/>
        </w:rPr>
        <w:t>é</w:t>
      </w:r>
      <w:r w:rsidRPr="00432A91">
        <w:rPr>
          <w:rFonts w:ascii="Times New Roman" w:hAnsi="Times New Roman" w:cs="Times New Roman"/>
        </w:rPr>
        <w:t xml:space="preserve"> obdobie 2007 až 2013 a ich spolufinancovanie zo štátneho rozpočtu sú smerované do programov Operačný program Bratislavský kraj, Regionálny operačný program a Operačný program cezhraničnej spolupráce. Výdavky sú smerované na regeneráciu sídiel, regionálnu a mestskú hromadnú dopravu, inováciu a technologické transfery, informatizáciu spoločnosti, technickú pomoc, na financovanie kultúrneho potenciálu regiónov, sociálnu infraštruktúru, spoluprácu v cestovnom ruchu, podporu turizmu, spoluprácu v oblasti vedy, výskumu a inovácií, verejnú dopravu, vzdelávanie a pod. Výdavky na regionálny rozvoj sú na </w:t>
      </w:r>
      <w:r>
        <w:rPr>
          <w:rFonts w:ascii="Times New Roman" w:hAnsi="Times New Roman" w:cs="Times New Roman"/>
        </w:rPr>
        <w:t xml:space="preserve">rok 2012 rozpočtované vo výške </w:t>
      </w:r>
      <w:r w:rsidRPr="00432A91">
        <w:rPr>
          <w:rFonts w:ascii="Times New Roman" w:hAnsi="Times New Roman" w:cs="Times New Roman"/>
        </w:rPr>
        <w:t>445 mil. eur, čo predstavuje oproti schválenému rozpočtu roku 2011 nárast o 19,5 %.</w:t>
      </w:r>
    </w:p>
    <w:p w:rsidR="00CB350B" w:rsidRPr="00432A91" w:rsidP="00CB350B">
      <w:pPr>
        <w:bidi w:val="0"/>
        <w:jc w:val="both"/>
        <w:rPr>
          <w:rFonts w:ascii="Times New Roman" w:hAnsi="Times New Roman" w:cs="Times New Roman"/>
        </w:rPr>
      </w:pPr>
    </w:p>
    <w:p w:rsidR="00CB350B" w:rsidRPr="00432A91" w:rsidP="00CB350B">
      <w:pPr>
        <w:bidi w:val="0"/>
        <w:jc w:val="both"/>
        <w:rPr>
          <w:rFonts w:ascii="Times New Roman" w:hAnsi="Times New Roman" w:cs="Times New Roman"/>
          <w:b/>
        </w:rPr>
      </w:pPr>
      <w:r w:rsidRPr="00432A91">
        <w:rPr>
          <w:rFonts w:ascii="Times New Roman" w:hAnsi="Times New Roman" w:cs="Times New Roman"/>
          <w:b/>
        </w:rPr>
        <w:t>Inštitucionálna podpora pôdohospodárstva</w:t>
      </w:r>
    </w:p>
    <w:p w:rsidR="00CB350B" w:rsidRPr="00432A91" w:rsidP="00CB350B">
      <w:pPr>
        <w:bidi w:val="0"/>
        <w:jc w:val="both"/>
        <w:rPr>
          <w:rFonts w:ascii="Times New Roman" w:hAnsi="Times New Roman" w:cs="Times New Roman"/>
          <w:b/>
        </w:rPr>
      </w:pPr>
    </w:p>
    <w:tbl>
      <w:tblPr>
        <w:tblStyle w:val="TableNormal"/>
        <w:tblW w:w="5000" w:type="pct"/>
        <w:tblCellMar>
          <w:left w:w="70" w:type="dxa"/>
          <w:right w:w="70" w:type="dxa"/>
        </w:tblCellMar>
        <w:tblLook w:val="04A0"/>
      </w:tblPr>
      <w:tblGrid>
        <w:gridCol w:w="2197"/>
        <w:gridCol w:w="1003"/>
        <w:gridCol w:w="1002"/>
        <w:gridCol w:w="1002"/>
        <w:gridCol w:w="1002"/>
        <w:gridCol w:w="1002"/>
        <w:gridCol w:w="1002"/>
        <w:gridCol w:w="1002"/>
      </w:tblGrid>
      <w:tr>
        <w:tblPrEx>
          <w:tblW w:w="5000" w:type="pct"/>
          <w:tblCellMar>
            <w:left w:w="70" w:type="dxa"/>
            <w:right w:w="70" w:type="dxa"/>
          </w:tblCellMar>
          <w:tblLook w:val="04A0"/>
        </w:tblPrEx>
        <w:trPr>
          <w:trHeight w:val="251"/>
        </w:trPr>
        <w:tc>
          <w:tcPr>
            <w:tcW w:w="1192"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b/>
                <w:bCs/>
                <w:color w:val="000000"/>
                <w:sz w:val="14"/>
                <w:szCs w:val="14"/>
              </w:rPr>
            </w:pPr>
            <w:r>
              <w:rPr>
                <w:rFonts w:ascii="Times New Roman" w:hAnsi="Times New Roman" w:cs="Times New Roman"/>
                <w:b/>
                <w:bCs/>
                <w:color w:val="000000"/>
                <w:sz w:val="14"/>
                <w:szCs w:val="14"/>
              </w:rPr>
              <w:t>v eurách</w:t>
            </w:r>
          </w:p>
        </w:tc>
        <w:tc>
          <w:tcPr>
            <w:tcW w:w="544" w:type="pct"/>
            <w:tcBorders>
              <w:top w:val="single" w:sz="4" w:space="0" w:color="auto"/>
              <w:left w:val="nil"/>
              <w:bottom w:val="single" w:sz="4" w:space="0" w:color="auto"/>
              <w:right w:val="single" w:sz="4" w:space="0" w:color="auto"/>
            </w:tcBorders>
            <w:noWrap/>
            <w:textDirection w:val="lrTb"/>
            <w:vAlign w:val="center"/>
            <w:hideMark/>
          </w:tcPr>
          <w:p w:rsidR="00CB350B" w:rsidRPr="001D4A5A" w:rsidP="00257E12">
            <w:pPr>
              <w:bidi w:val="0"/>
              <w:jc w:val="center"/>
              <w:rPr>
                <w:rFonts w:ascii="Times New Roman" w:hAnsi="Times New Roman" w:cs="Times New Roman"/>
                <w:b/>
                <w:bCs/>
                <w:color w:val="000000"/>
                <w:sz w:val="14"/>
                <w:szCs w:val="14"/>
              </w:rPr>
            </w:pPr>
            <w:r w:rsidRPr="001D4A5A">
              <w:rPr>
                <w:rFonts w:ascii="Times New Roman" w:hAnsi="Times New Roman" w:cs="Times New Roman"/>
                <w:b/>
                <w:bCs/>
                <w:color w:val="000000"/>
                <w:sz w:val="14"/>
                <w:szCs w:val="14"/>
              </w:rPr>
              <w:t>2009 S</w:t>
            </w:r>
          </w:p>
        </w:tc>
        <w:tc>
          <w:tcPr>
            <w:tcW w:w="544" w:type="pct"/>
            <w:tcBorders>
              <w:top w:val="single" w:sz="4" w:space="0" w:color="auto"/>
              <w:left w:val="nil"/>
              <w:bottom w:val="single" w:sz="4" w:space="0" w:color="auto"/>
              <w:right w:val="single" w:sz="4" w:space="0" w:color="auto"/>
            </w:tcBorders>
            <w:noWrap/>
            <w:textDirection w:val="lrTb"/>
            <w:vAlign w:val="center"/>
            <w:hideMark/>
          </w:tcPr>
          <w:p w:rsidR="00CB350B" w:rsidRPr="001D4A5A" w:rsidP="00257E12">
            <w:pPr>
              <w:bidi w:val="0"/>
              <w:jc w:val="center"/>
              <w:rPr>
                <w:rFonts w:ascii="Times New Roman" w:hAnsi="Times New Roman" w:cs="Times New Roman"/>
                <w:b/>
                <w:bCs/>
                <w:color w:val="000000"/>
                <w:sz w:val="14"/>
                <w:szCs w:val="14"/>
              </w:rPr>
            </w:pPr>
            <w:r w:rsidRPr="001D4A5A">
              <w:rPr>
                <w:rFonts w:ascii="Times New Roman" w:hAnsi="Times New Roman" w:cs="Times New Roman"/>
                <w:b/>
                <w:bCs/>
                <w:color w:val="000000"/>
                <w:sz w:val="14"/>
                <w:szCs w:val="14"/>
              </w:rPr>
              <w:t>2010 S</w:t>
            </w:r>
          </w:p>
        </w:tc>
        <w:tc>
          <w:tcPr>
            <w:tcW w:w="544" w:type="pct"/>
            <w:tcBorders>
              <w:top w:val="single" w:sz="4" w:space="0" w:color="auto"/>
              <w:left w:val="nil"/>
              <w:bottom w:val="single" w:sz="4" w:space="0" w:color="auto"/>
              <w:right w:val="single" w:sz="4" w:space="0" w:color="auto"/>
            </w:tcBorders>
            <w:noWrap/>
            <w:textDirection w:val="lrTb"/>
            <w:vAlign w:val="center"/>
            <w:hideMark/>
          </w:tcPr>
          <w:p w:rsidR="00CB350B" w:rsidRPr="001D4A5A" w:rsidP="00257E12">
            <w:pPr>
              <w:bidi w:val="0"/>
              <w:jc w:val="center"/>
              <w:rPr>
                <w:rFonts w:ascii="Times New Roman" w:hAnsi="Times New Roman" w:cs="Times New Roman"/>
                <w:b/>
                <w:bCs/>
                <w:color w:val="000000"/>
                <w:sz w:val="14"/>
                <w:szCs w:val="14"/>
              </w:rPr>
            </w:pPr>
            <w:r w:rsidRPr="001D4A5A">
              <w:rPr>
                <w:rFonts w:ascii="Times New Roman" w:hAnsi="Times New Roman" w:cs="Times New Roman"/>
                <w:b/>
                <w:bCs/>
                <w:color w:val="000000"/>
                <w:sz w:val="14"/>
                <w:szCs w:val="14"/>
              </w:rPr>
              <w:t>2011 R</w:t>
            </w:r>
          </w:p>
        </w:tc>
        <w:tc>
          <w:tcPr>
            <w:tcW w:w="544" w:type="pct"/>
            <w:tcBorders>
              <w:top w:val="single" w:sz="4" w:space="0" w:color="auto"/>
              <w:left w:val="nil"/>
              <w:bottom w:val="single" w:sz="4" w:space="0" w:color="auto"/>
              <w:right w:val="single" w:sz="4" w:space="0" w:color="auto"/>
            </w:tcBorders>
            <w:noWrap/>
            <w:textDirection w:val="lrTb"/>
            <w:vAlign w:val="center"/>
            <w:hideMark/>
          </w:tcPr>
          <w:p w:rsidR="00CB350B" w:rsidRPr="001D4A5A" w:rsidP="00257E12">
            <w:pPr>
              <w:bidi w:val="0"/>
              <w:jc w:val="center"/>
              <w:rPr>
                <w:rFonts w:ascii="Times New Roman" w:hAnsi="Times New Roman" w:cs="Times New Roman"/>
                <w:b/>
                <w:bCs/>
                <w:color w:val="000000"/>
                <w:sz w:val="14"/>
                <w:szCs w:val="14"/>
              </w:rPr>
            </w:pPr>
            <w:r w:rsidRPr="001D4A5A">
              <w:rPr>
                <w:rFonts w:ascii="Times New Roman" w:hAnsi="Times New Roman" w:cs="Times New Roman"/>
                <w:b/>
                <w:bCs/>
                <w:color w:val="000000"/>
                <w:sz w:val="14"/>
                <w:szCs w:val="14"/>
              </w:rPr>
              <w:t>2011 OS</w:t>
            </w:r>
          </w:p>
        </w:tc>
        <w:tc>
          <w:tcPr>
            <w:tcW w:w="544" w:type="pct"/>
            <w:tcBorders>
              <w:top w:val="single" w:sz="4" w:space="0" w:color="auto"/>
              <w:left w:val="nil"/>
              <w:bottom w:val="single" w:sz="4" w:space="0" w:color="auto"/>
              <w:right w:val="single" w:sz="4" w:space="0" w:color="auto"/>
            </w:tcBorders>
            <w:noWrap/>
            <w:textDirection w:val="lrTb"/>
            <w:vAlign w:val="center"/>
            <w:hideMark/>
          </w:tcPr>
          <w:p w:rsidR="00CB350B" w:rsidRPr="001D4A5A" w:rsidP="00257E12">
            <w:pPr>
              <w:bidi w:val="0"/>
              <w:jc w:val="center"/>
              <w:rPr>
                <w:rFonts w:ascii="Times New Roman" w:hAnsi="Times New Roman" w:cs="Times New Roman"/>
                <w:b/>
                <w:bCs/>
                <w:color w:val="000000"/>
                <w:sz w:val="14"/>
                <w:szCs w:val="14"/>
              </w:rPr>
            </w:pPr>
            <w:r w:rsidRPr="001D4A5A">
              <w:rPr>
                <w:rFonts w:ascii="Times New Roman" w:hAnsi="Times New Roman" w:cs="Times New Roman"/>
                <w:b/>
                <w:bCs/>
                <w:color w:val="000000"/>
                <w:sz w:val="14"/>
                <w:szCs w:val="14"/>
              </w:rPr>
              <w:t>2012 N</w:t>
            </w:r>
          </w:p>
        </w:tc>
        <w:tc>
          <w:tcPr>
            <w:tcW w:w="544" w:type="pct"/>
            <w:tcBorders>
              <w:top w:val="single" w:sz="4" w:space="0" w:color="auto"/>
              <w:left w:val="nil"/>
              <w:bottom w:val="single" w:sz="4" w:space="0" w:color="auto"/>
              <w:right w:val="single" w:sz="4" w:space="0" w:color="auto"/>
            </w:tcBorders>
            <w:noWrap/>
            <w:textDirection w:val="lrTb"/>
            <w:vAlign w:val="center"/>
            <w:hideMark/>
          </w:tcPr>
          <w:p w:rsidR="00CB350B" w:rsidRPr="001D4A5A" w:rsidP="00257E12">
            <w:pPr>
              <w:bidi w:val="0"/>
              <w:jc w:val="center"/>
              <w:rPr>
                <w:rFonts w:ascii="Times New Roman" w:hAnsi="Times New Roman" w:cs="Times New Roman"/>
                <w:b/>
                <w:bCs/>
                <w:color w:val="000000"/>
                <w:sz w:val="14"/>
                <w:szCs w:val="14"/>
              </w:rPr>
            </w:pPr>
            <w:r w:rsidRPr="001D4A5A">
              <w:rPr>
                <w:rFonts w:ascii="Times New Roman" w:hAnsi="Times New Roman" w:cs="Times New Roman"/>
                <w:b/>
                <w:bCs/>
                <w:color w:val="000000"/>
                <w:sz w:val="14"/>
                <w:szCs w:val="14"/>
              </w:rPr>
              <w:t>2013 N</w:t>
            </w:r>
          </w:p>
        </w:tc>
        <w:tc>
          <w:tcPr>
            <w:tcW w:w="544" w:type="pct"/>
            <w:tcBorders>
              <w:top w:val="single" w:sz="4" w:space="0" w:color="auto"/>
              <w:left w:val="nil"/>
              <w:bottom w:val="single" w:sz="4" w:space="0" w:color="auto"/>
              <w:right w:val="single" w:sz="4" w:space="0" w:color="auto"/>
            </w:tcBorders>
            <w:noWrap/>
            <w:textDirection w:val="lrTb"/>
            <w:vAlign w:val="center"/>
            <w:hideMark/>
          </w:tcPr>
          <w:p w:rsidR="00CB350B" w:rsidRPr="001D4A5A" w:rsidP="00257E12">
            <w:pPr>
              <w:bidi w:val="0"/>
              <w:jc w:val="center"/>
              <w:rPr>
                <w:rFonts w:ascii="Times New Roman" w:hAnsi="Times New Roman" w:cs="Times New Roman"/>
                <w:b/>
                <w:bCs/>
                <w:color w:val="000000"/>
                <w:sz w:val="14"/>
                <w:szCs w:val="14"/>
              </w:rPr>
            </w:pPr>
            <w:r w:rsidRPr="001D4A5A">
              <w:rPr>
                <w:rFonts w:ascii="Times New Roman" w:hAnsi="Times New Roman" w:cs="Times New Roman"/>
                <w:b/>
                <w:bCs/>
                <w:color w:val="000000"/>
                <w:sz w:val="14"/>
                <w:szCs w:val="14"/>
              </w:rPr>
              <w:t>2014 N</w:t>
            </w:r>
          </w:p>
        </w:tc>
      </w:tr>
      <w:tr>
        <w:tblPrEx>
          <w:tblW w:w="5000" w:type="pct"/>
          <w:tblCellMar>
            <w:left w:w="70" w:type="dxa"/>
            <w:right w:w="70" w:type="dxa"/>
          </w:tblCellMar>
          <w:tblLook w:val="04A0"/>
        </w:tblPrEx>
        <w:trPr>
          <w:trHeight w:val="251"/>
        </w:trPr>
        <w:tc>
          <w:tcPr>
            <w:tcW w:w="1192" w:type="pct"/>
            <w:tcBorders>
              <w:top w:val="nil"/>
              <w:left w:val="single" w:sz="4" w:space="0" w:color="auto"/>
              <w:bottom w:val="single" w:sz="4" w:space="0" w:color="auto"/>
              <w:right w:val="single" w:sz="4" w:space="0" w:color="auto"/>
            </w:tcBorders>
            <w:textDirection w:val="lrTb"/>
            <w:vAlign w:val="center"/>
            <w:hideMark/>
          </w:tcPr>
          <w:p w:rsidR="00CB350B" w:rsidRPr="001D4A5A" w:rsidP="00257E12">
            <w:pPr>
              <w:bidi w:val="0"/>
              <w:rPr>
                <w:rFonts w:ascii="Times New Roman" w:hAnsi="Times New Roman" w:cs="Times New Roman"/>
                <w:b/>
                <w:bCs/>
                <w:sz w:val="14"/>
                <w:szCs w:val="14"/>
              </w:rPr>
            </w:pPr>
            <w:r w:rsidRPr="001D4A5A">
              <w:rPr>
                <w:rFonts w:ascii="Times New Roman" w:hAnsi="Times New Roman" w:cs="Times New Roman"/>
                <w:b/>
                <w:bCs/>
                <w:sz w:val="14"/>
                <w:szCs w:val="14"/>
              </w:rPr>
              <w:t xml:space="preserve">Inštitucionálna podpora </w:t>
            </w:r>
          </w:p>
        </w:tc>
        <w:tc>
          <w:tcPr>
            <w:tcW w:w="544" w:type="pct"/>
            <w:tcBorders>
              <w:top w:val="nil"/>
              <w:left w:val="nil"/>
              <w:bottom w:val="single" w:sz="4" w:space="0" w:color="auto"/>
              <w:right w:val="single" w:sz="4" w:space="0" w:color="auto"/>
            </w:tcBorders>
            <w:noWrap/>
            <w:textDirection w:val="lrTb"/>
            <w:vAlign w:val="center"/>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175 460 168 </w:t>
            </w:r>
          </w:p>
        </w:tc>
        <w:tc>
          <w:tcPr>
            <w:tcW w:w="544" w:type="pct"/>
            <w:tcBorders>
              <w:top w:val="nil"/>
              <w:left w:val="nil"/>
              <w:bottom w:val="single" w:sz="4" w:space="0" w:color="auto"/>
              <w:right w:val="single" w:sz="4" w:space="0" w:color="auto"/>
            </w:tcBorders>
            <w:noWrap/>
            <w:textDirection w:val="lrTb"/>
            <w:vAlign w:val="center"/>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188 219 757 </w:t>
            </w:r>
          </w:p>
        </w:tc>
        <w:tc>
          <w:tcPr>
            <w:tcW w:w="544" w:type="pct"/>
            <w:tcBorders>
              <w:top w:val="nil"/>
              <w:left w:val="nil"/>
              <w:bottom w:val="single" w:sz="4" w:space="0" w:color="auto"/>
              <w:right w:val="single" w:sz="4" w:space="0" w:color="auto"/>
            </w:tcBorders>
            <w:noWrap/>
            <w:textDirection w:val="lrTb"/>
            <w:vAlign w:val="center"/>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105 343 181 </w:t>
            </w:r>
          </w:p>
        </w:tc>
        <w:tc>
          <w:tcPr>
            <w:tcW w:w="544" w:type="pct"/>
            <w:tcBorders>
              <w:top w:val="nil"/>
              <w:left w:val="nil"/>
              <w:bottom w:val="single" w:sz="4" w:space="0" w:color="auto"/>
              <w:right w:val="single" w:sz="4" w:space="0" w:color="auto"/>
            </w:tcBorders>
            <w:noWrap/>
            <w:textDirection w:val="lrTb"/>
            <w:vAlign w:val="center"/>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116 385 702 </w:t>
            </w:r>
          </w:p>
        </w:tc>
        <w:tc>
          <w:tcPr>
            <w:tcW w:w="544" w:type="pct"/>
            <w:tcBorders>
              <w:top w:val="nil"/>
              <w:left w:val="nil"/>
              <w:bottom w:val="single" w:sz="4" w:space="0" w:color="auto"/>
              <w:right w:val="single" w:sz="4" w:space="0" w:color="auto"/>
            </w:tcBorders>
            <w:noWrap/>
            <w:textDirection w:val="lrTb"/>
            <w:vAlign w:val="center"/>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107 054 487 </w:t>
            </w:r>
          </w:p>
        </w:tc>
        <w:tc>
          <w:tcPr>
            <w:tcW w:w="544" w:type="pct"/>
            <w:tcBorders>
              <w:top w:val="nil"/>
              <w:left w:val="nil"/>
              <w:bottom w:val="single" w:sz="4" w:space="0" w:color="auto"/>
              <w:right w:val="single" w:sz="4" w:space="0" w:color="auto"/>
            </w:tcBorders>
            <w:noWrap/>
            <w:textDirection w:val="lrTb"/>
            <w:vAlign w:val="center"/>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105 350 209 </w:t>
            </w:r>
          </w:p>
        </w:tc>
        <w:tc>
          <w:tcPr>
            <w:tcW w:w="544" w:type="pct"/>
            <w:tcBorders>
              <w:top w:val="nil"/>
              <w:left w:val="nil"/>
              <w:bottom w:val="single" w:sz="4" w:space="0" w:color="auto"/>
              <w:right w:val="single" w:sz="4" w:space="0" w:color="auto"/>
            </w:tcBorders>
            <w:noWrap/>
            <w:textDirection w:val="lrTb"/>
            <w:vAlign w:val="center"/>
            <w:hideMark/>
          </w:tcPr>
          <w:p w:rsidR="00CB350B" w:rsidRPr="001D4A5A" w:rsidP="00257E12">
            <w:pPr>
              <w:bidi w:val="0"/>
              <w:jc w:val="right"/>
              <w:rPr>
                <w:rFonts w:ascii="Times New Roman" w:hAnsi="Times New Roman" w:cs="Times New Roman"/>
                <w:b/>
                <w:bCs/>
                <w:sz w:val="14"/>
                <w:szCs w:val="14"/>
              </w:rPr>
            </w:pPr>
            <w:r w:rsidRPr="001D4A5A">
              <w:rPr>
                <w:rFonts w:ascii="Times New Roman" w:hAnsi="Times New Roman" w:cs="Times New Roman"/>
                <w:b/>
                <w:bCs/>
                <w:sz w:val="14"/>
                <w:szCs w:val="14"/>
              </w:rPr>
              <w:t xml:space="preserve">105 358 143 </w:t>
            </w:r>
          </w:p>
        </w:tc>
      </w:tr>
      <w:tr>
        <w:tblPrEx>
          <w:tblW w:w="5000" w:type="pct"/>
          <w:tblCellMar>
            <w:left w:w="70" w:type="dxa"/>
            <w:right w:w="70" w:type="dxa"/>
          </w:tblCellMar>
          <w:tblLook w:val="04A0"/>
        </w:tblPrEx>
        <w:trPr>
          <w:trHeight w:val="251"/>
        </w:trPr>
        <w:tc>
          <w:tcPr>
            <w:tcW w:w="1192" w:type="pct"/>
            <w:tcBorders>
              <w:top w:val="nil"/>
              <w:left w:val="single" w:sz="4" w:space="0" w:color="auto"/>
              <w:bottom w:val="single" w:sz="4" w:space="0" w:color="auto"/>
              <w:right w:val="single" w:sz="4" w:space="0" w:color="auto"/>
            </w:tcBorders>
            <w:textDirection w:val="lrTb"/>
            <w:vAlign w:val="bottom"/>
            <w:hideMark/>
          </w:tcPr>
          <w:p w:rsidR="00CB350B" w:rsidRPr="001D4A5A" w:rsidP="00257E12">
            <w:pPr>
              <w:bidi w:val="0"/>
              <w:rPr>
                <w:rFonts w:ascii="Times New Roman" w:hAnsi="Times New Roman" w:cs="Times New Roman"/>
                <w:sz w:val="14"/>
                <w:szCs w:val="14"/>
              </w:rPr>
            </w:pPr>
            <w:r w:rsidRPr="001D4A5A">
              <w:rPr>
                <w:rFonts w:ascii="Times New Roman" w:hAnsi="Times New Roman" w:cs="Times New Roman"/>
                <w:sz w:val="14"/>
                <w:szCs w:val="14"/>
              </w:rPr>
              <w:t>prostriedky ŠR</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161 162 608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133 313 126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105 211 067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110 210 463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105 301 787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105 325 230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105 332 870 </w:t>
            </w:r>
          </w:p>
        </w:tc>
      </w:tr>
      <w:tr>
        <w:tblPrEx>
          <w:tblW w:w="5000" w:type="pct"/>
          <w:tblCellMar>
            <w:left w:w="70" w:type="dxa"/>
            <w:right w:w="70" w:type="dxa"/>
          </w:tblCellMar>
          <w:tblLook w:val="04A0"/>
        </w:tblPrEx>
        <w:trPr>
          <w:trHeight w:val="251"/>
        </w:trPr>
        <w:tc>
          <w:tcPr>
            <w:tcW w:w="1192" w:type="pct"/>
            <w:tcBorders>
              <w:top w:val="nil"/>
              <w:left w:val="single" w:sz="4" w:space="0" w:color="auto"/>
              <w:bottom w:val="single" w:sz="4" w:space="0" w:color="auto"/>
              <w:right w:val="single" w:sz="4" w:space="0" w:color="auto"/>
            </w:tcBorders>
            <w:textDirection w:val="lrTb"/>
            <w:vAlign w:val="bottom"/>
            <w:hideMark/>
          </w:tcPr>
          <w:p w:rsidR="00CB350B" w:rsidRPr="001D4A5A" w:rsidP="00257E12">
            <w:pPr>
              <w:bidi w:val="0"/>
              <w:rPr>
                <w:rFonts w:ascii="Times New Roman" w:hAnsi="Times New Roman" w:cs="Times New Roman"/>
                <w:sz w:val="14"/>
                <w:szCs w:val="14"/>
              </w:rPr>
            </w:pPr>
            <w:r w:rsidRPr="001D4A5A">
              <w:rPr>
                <w:rFonts w:ascii="Times New Roman" w:hAnsi="Times New Roman" w:cs="Times New Roman"/>
                <w:sz w:val="14"/>
                <w:szCs w:val="14"/>
              </w:rPr>
              <w:t>prostriedky EÚ</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9 197 442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r>
      <w:tr>
        <w:tblPrEx>
          <w:tblW w:w="5000" w:type="pct"/>
          <w:tblCellMar>
            <w:left w:w="70" w:type="dxa"/>
            <w:right w:w="70" w:type="dxa"/>
          </w:tblCellMar>
          <w:tblLook w:val="04A0"/>
        </w:tblPrEx>
        <w:trPr>
          <w:trHeight w:val="251"/>
        </w:trPr>
        <w:tc>
          <w:tcPr>
            <w:tcW w:w="1192" w:type="pct"/>
            <w:tcBorders>
              <w:top w:val="nil"/>
              <w:left w:val="single" w:sz="4" w:space="0" w:color="auto"/>
              <w:bottom w:val="single" w:sz="4" w:space="0" w:color="auto"/>
              <w:right w:val="single" w:sz="4" w:space="0" w:color="auto"/>
            </w:tcBorders>
            <w:textDirection w:val="lrTb"/>
            <w:vAlign w:val="bottom"/>
            <w:hideMark/>
          </w:tcPr>
          <w:p w:rsidR="00CB350B" w:rsidRPr="001D4A5A" w:rsidP="00257E12">
            <w:pPr>
              <w:bidi w:val="0"/>
              <w:rPr>
                <w:rFonts w:ascii="Times New Roman" w:hAnsi="Times New Roman" w:cs="Times New Roman"/>
                <w:sz w:val="14"/>
                <w:szCs w:val="14"/>
              </w:rPr>
            </w:pPr>
            <w:r w:rsidRPr="001D4A5A">
              <w:rPr>
                <w:rFonts w:ascii="Times New Roman" w:hAnsi="Times New Roman" w:cs="Times New Roman"/>
                <w:sz w:val="14"/>
                <w:szCs w:val="14"/>
              </w:rPr>
              <w:t>spolufinancovanie zo ŠR</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515 239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r>
      <w:tr>
        <w:tblPrEx>
          <w:tblW w:w="5000" w:type="pct"/>
          <w:tblCellMar>
            <w:left w:w="70" w:type="dxa"/>
            <w:right w:w="70" w:type="dxa"/>
          </w:tblCellMar>
          <w:tblLook w:val="04A0"/>
        </w:tblPrEx>
        <w:trPr>
          <w:trHeight w:val="251"/>
        </w:trPr>
        <w:tc>
          <w:tcPr>
            <w:tcW w:w="1192" w:type="pct"/>
            <w:tcBorders>
              <w:top w:val="nil"/>
              <w:left w:val="single" w:sz="4" w:space="0" w:color="auto"/>
              <w:bottom w:val="single" w:sz="4" w:space="0" w:color="auto"/>
              <w:right w:val="single" w:sz="4" w:space="0" w:color="auto"/>
            </w:tcBorders>
            <w:noWrap/>
            <w:textDirection w:val="lrTb"/>
            <w:vAlign w:val="bottom"/>
            <w:hideMark/>
          </w:tcPr>
          <w:p w:rsidR="00CB350B" w:rsidRPr="001D4A5A" w:rsidP="00257E12">
            <w:pPr>
              <w:bidi w:val="0"/>
              <w:rPr>
                <w:rFonts w:ascii="Times New Roman" w:hAnsi="Times New Roman" w:cs="Times New Roman"/>
                <w:sz w:val="14"/>
                <w:szCs w:val="14"/>
              </w:rPr>
            </w:pPr>
            <w:r w:rsidRPr="001D4A5A">
              <w:rPr>
                <w:rFonts w:ascii="Times New Roman" w:hAnsi="Times New Roman" w:cs="Times New Roman"/>
                <w:sz w:val="14"/>
                <w:szCs w:val="14"/>
              </w:rPr>
              <w:t>presun z minulých rokov</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2 992 889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35 811 443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5 703 438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0 </w:t>
            </w:r>
          </w:p>
        </w:tc>
      </w:tr>
      <w:tr>
        <w:tblPrEx>
          <w:tblW w:w="5000" w:type="pct"/>
          <w:tblCellMar>
            <w:left w:w="70" w:type="dxa"/>
            <w:right w:w="70" w:type="dxa"/>
          </w:tblCellMar>
          <w:tblLook w:val="04A0"/>
        </w:tblPrEx>
        <w:trPr>
          <w:trHeight w:val="251"/>
        </w:trPr>
        <w:tc>
          <w:tcPr>
            <w:tcW w:w="1192" w:type="pct"/>
            <w:tcBorders>
              <w:top w:val="nil"/>
              <w:left w:val="single" w:sz="4" w:space="0" w:color="auto"/>
              <w:bottom w:val="single" w:sz="4" w:space="0" w:color="auto"/>
              <w:right w:val="single" w:sz="4" w:space="0" w:color="auto"/>
            </w:tcBorders>
            <w:textDirection w:val="lrTb"/>
            <w:vAlign w:val="bottom"/>
            <w:hideMark/>
          </w:tcPr>
          <w:p w:rsidR="00CB350B" w:rsidRPr="001D4A5A" w:rsidP="00257E12">
            <w:pPr>
              <w:bidi w:val="0"/>
              <w:rPr>
                <w:rFonts w:ascii="Times New Roman" w:hAnsi="Times New Roman" w:cs="Times New Roman"/>
                <w:sz w:val="14"/>
                <w:szCs w:val="14"/>
              </w:rPr>
            </w:pPr>
            <w:r w:rsidRPr="001D4A5A">
              <w:rPr>
                <w:rFonts w:ascii="Times New Roman" w:hAnsi="Times New Roman" w:cs="Times New Roman"/>
                <w:sz w:val="14"/>
                <w:szCs w:val="14"/>
              </w:rPr>
              <w:t>iné zdroje*</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11 304 672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9 382 508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132 114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 xml:space="preserve">471 801 </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1 752 700</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24 979</w:t>
            </w:r>
          </w:p>
        </w:tc>
        <w:tc>
          <w:tcPr>
            <w:tcW w:w="544" w:type="pct"/>
            <w:tcBorders>
              <w:top w:val="nil"/>
              <w:left w:val="nil"/>
              <w:bottom w:val="single" w:sz="4" w:space="0" w:color="auto"/>
              <w:right w:val="single" w:sz="4" w:space="0" w:color="auto"/>
            </w:tcBorders>
            <w:noWrap/>
            <w:textDirection w:val="lrTb"/>
            <w:vAlign w:val="bottom"/>
            <w:hideMark/>
          </w:tcPr>
          <w:p w:rsidR="00CB350B" w:rsidRPr="001D4A5A" w:rsidP="00257E12">
            <w:pPr>
              <w:bidi w:val="0"/>
              <w:jc w:val="right"/>
              <w:rPr>
                <w:rFonts w:ascii="Times New Roman" w:hAnsi="Times New Roman" w:cs="Times New Roman"/>
                <w:sz w:val="14"/>
                <w:szCs w:val="14"/>
              </w:rPr>
            </w:pPr>
            <w:r w:rsidRPr="001D4A5A">
              <w:rPr>
                <w:rFonts w:ascii="Times New Roman" w:hAnsi="Times New Roman" w:cs="Times New Roman"/>
                <w:sz w:val="14"/>
                <w:szCs w:val="14"/>
              </w:rPr>
              <w:t>25 273</w:t>
            </w:r>
          </w:p>
        </w:tc>
      </w:tr>
    </w:tbl>
    <w:p w:rsidR="00CB350B" w:rsidRPr="00575C66" w:rsidP="00CB350B">
      <w:pPr>
        <w:bidi w:val="0"/>
        <w:jc w:val="both"/>
        <w:rPr>
          <w:rFonts w:ascii="Times New Roman" w:hAnsi="Times New Roman" w:cs="Times New Roman"/>
          <w:color w:val="000000"/>
          <w:sz w:val="14"/>
          <w:szCs w:val="14"/>
        </w:rPr>
      </w:pPr>
      <w:r w:rsidRPr="00575C66">
        <w:rPr>
          <w:rFonts w:ascii="Times New Roman" w:hAnsi="Times New Roman" w:cs="Times New Roman"/>
          <w:color w:val="000000"/>
          <w:sz w:val="14"/>
          <w:szCs w:val="14"/>
        </w:rPr>
        <w:t>* prostriedky Švajčiarskeho finančného mechanizmu, Nórskeho finančného mechanizmu, Finančného mechanizmu EHP vrátane príslušného spolufinancovania a vybrané mimorozpočtové prostriedky a ostatné nerozpočtované príjmy</w:t>
      </w:r>
    </w:p>
    <w:p w:rsidR="00CB350B" w:rsidRPr="00575C66" w:rsidP="00CB350B">
      <w:pPr>
        <w:bidi w:val="0"/>
        <w:jc w:val="both"/>
        <w:rPr>
          <w:rFonts w:ascii="Times New Roman" w:hAnsi="Times New Roman" w:cs="Times New Roman"/>
          <w:b/>
          <w:sz w:val="14"/>
          <w:szCs w:val="14"/>
        </w:rPr>
      </w:pPr>
    </w:p>
    <w:p w:rsidR="00CB350B" w:rsidRPr="003F0310" w:rsidP="00CB350B">
      <w:pPr>
        <w:bidi w:val="0"/>
        <w:ind w:firstLine="708"/>
        <w:jc w:val="both"/>
        <w:rPr>
          <w:rFonts w:ascii="Times New Roman" w:hAnsi="Times New Roman" w:cs="Times New Roman"/>
        </w:rPr>
      </w:pPr>
      <w:r w:rsidRPr="00432A91">
        <w:rPr>
          <w:rFonts w:ascii="Times New Roman" w:hAnsi="Times New Roman" w:cs="Times New Roman"/>
        </w:rPr>
        <w:t>Celkové výdavky na inštitucionálnu podporu pôdohospodárstva sú určené na zabezpečenie plnenia úloh rozpočtových a príspevkových organizácií rezortu, na činnosť Agentúry na podporu regionálneho rozvoja, financovanie DPH pre Program rozvoja vidieka SR 2007 až 2013 a na ďalšie výdavky ako sú napr. pozemkové úpravy, vyhotovenie lesných hospodárskych plánov, eradikácia chorôb, kontrola BSE, štatistický informačný systém, verejnoprospešné aktivity rozvoja vidieka, špecifické činnosti v lesnom hospodárstve, potravinový dozor a iné úlohy rezortu. Výdavky na inštitucionálnu podporu pôdohospodárstva sú oproti schválenému rozpočtu roku 2011 vyššie o 1,62 %. V tejto oblasti je premietnuté zníženie výdavkov z </w:t>
      </w:r>
      <w:r w:rsidRPr="002058AE">
        <w:rPr>
          <w:rFonts w:ascii="Times New Roman" w:hAnsi="Times New Roman" w:cs="Times New Roman"/>
        </w:rPr>
        <w:t xml:space="preserve">titulu 5% viazania výdavkov na tovary a služby, nerozpočtovanie výdavkov na ROEP a zároveň kapitola v tejto oblasti </w:t>
      </w:r>
      <w:r>
        <w:rPr>
          <w:rFonts w:ascii="Times New Roman" w:hAnsi="Times New Roman" w:cs="Times New Roman"/>
        </w:rPr>
        <w:t xml:space="preserve">od roku 2012 </w:t>
      </w:r>
      <w:r w:rsidRPr="002058AE">
        <w:rPr>
          <w:rFonts w:ascii="Times New Roman" w:hAnsi="Times New Roman" w:cs="Times New Roman"/>
        </w:rPr>
        <w:t xml:space="preserve">rozpočtuje výdavky </w:t>
        <w:br/>
        <w:t>na činnosť Agentúry na podporu regionálneho rozvoja, ktoré sa v schválenom rozpočte na rok 2011 rozpočtovali v rámci oblasti regionálny rozvoj vo výške 5,10 mil. eur.</w:t>
      </w:r>
    </w:p>
    <w:p w:rsidR="00CB350B" w:rsidRPr="00432A91" w:rsidP="00CB350B">
      <w:pPr>
        <w:bidi w:val="0"/>
        <w:jc w:val="both"/>
        <w:rPr>
          <w:rFonts w:ascii="Times New Roman" w:hAnsi="Times New Roman" w:cs="Times New Roman"/>
        </w:rPr>
      </w:pPr>
    </w:p>
    <w:p w:rsidR="00CB350B" w:rsidRPr="00432A91" w:rsidP="00CB350B">
      <w:pPr>
        <w:bidi w:val="0"/>
        <w:ind w:firstLine="708"/>
        <w:jc w:val="both"/>
        <w:rPr>
          <w:rFonts w:ascii="Times New Roman" w:hAnsi="Times New Roman" w:cs="Times New Roman"/>
        </w:rPr>
      </w:pPr>
      <w:r w:rsidRPr="00432A91">
        <w:rPr>
          <w:rFonts w:ascii="Times New Roman" w:hAnsi="Times New Roman" w:cs="Times New Roman"/>
        </w:rPr>
        <w:t>Podrobné členenie výdavkov zo štátneho rozpočtu na inštitucionálnu podporu pôdohospodárstva je uvedené v nasledujúcej tabuľke.</w:t>
      </w:r>
    </w:p>
    <w:p w:rsidR="00CB350B" w:rsidRPr="00432A91" w:rsidP="00CB350B">
      <w:pPr>
        <w:bidi w:val="0"/>
        <w:rPr>
          <w:rFonts w:ascii="Times New Roman" w:hAnsi="Times New Roman" w:cs="Times New Roman"/>
        </w:rPr>
      </w:pPr>
    </w:p>
    <w:tbl>
      <w:tblPr>
        <w:tblStyle w:val="TableNormal"/>
        <w:tblW w:w="5000" w:type="pct"/>
        <w:tblCellMar>
          <w:left w:w="70" w:type="dxa"/>
          <w:right w:w="70" w:type="dxa"/>
        </w:tblCellMar>
        <w:tblLook w:val="04A0"/>
      </w:tblPr>
      <w:tblGrid>
        <w:gridCol w:w="3103"/>
        <w:gridCol w:w="884"/>
        <w:gridCol w:w="866"/>
        <w:gridCol w:w="903"/>
        <w:gridCol w:w="866"/>
        <w:gridCol w:w="866"/>
        <w:gridCol w:w="884"/>
        <w:gridCol w:w="840"/>
      </w:tblGrid>
      <w:tr>
        <w:tblPrEx>
          <w:tblW w:w="5000" w:type="pct"/>
          <w:tblCellMar>
            <w:left w:w="70" w:type="dxa"/>
            <w:right w:w="70" w:type="dxa"/>
          </w:tblCellMar>
          <w:tblLook w:val="04A0"/>
        </w:tblPrEx>
        <w:trPr>
          <w:trHeight w:val="270"/>
        </w:trPr>
        <w:tc>
          <w:tcPr>
            <w:tcW w:w="1684" w:type="pct"/>
            <w:tcBorders>
              <w:top w:val="single" w:sz="4" w:space="0" w:color="auto"/>
              <w:left w:val="single" w:sz="4" w:space="0" w:color="auto"/>
              <w:bottom w:val="single" w:sz="4" w:space="0" w:color="auto"/>
              <w:right w:val="single" w:sz="4" w:space="0" w:color="auto"/>
            </w:tcBorders>
            <w:noWrap/>
            <w:textDirection w:val="lrTb"/>
            <w:vAlign w:val="center"/>
            <w:hideMark/>
          </w:tcPr>
          <w:p w:rsidR="00CB350B" w:rsidRPr="00F1798A" w:rsidP="00257E12">
            <w:pPr>
              <w:bidi w:val="0"/>
              <w:rPr>
                <w:rFonts w:ascii="Times New Roman" w:hAnsi="Times New Roman" w:cs="Times New Roman"/>
                <w:b/>
                <w:bCs/>
                <w:color w:val="000000"/>
                <w:sz w:val="14"/>
                <w:szCs w:val="14"/>
              </w:rPr>
            </w:pPr>
            <w:r>
              <w:rPr>
                <w:rFonts w:ascii="Times New Roman" w:hAnsi="Times New Roman" w:cs="Times New Roman"/>
                <w:b/>
                <w:bCs/>
                <w:color w:val="000000"/>
                <w:sz w:val="14"/>
                <w:szCs w:val="14"/>
              </w:rPr>
              <w:t>v eurách</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CB350B" w:rsidRPr="00F1798A" w:rsidP="00257E12">
            <w:pPr>
              <w:bidi w:val="0"/>
              <w:jc w:val="center"/>
              <w:rPr>
                <w:rFonts w:ascii="Times New Roman" w:hAnsi="Times New Roman" w:cs="Times New Roman"/>
                <w:b/>
                <w:bCs/>
                <w:color w:val="000000"/>
                <w:sz w:val="14"/>
                <w:szCs w:val="14"/>
              </w:rPr>
            </w:pPr>
            <w:r w:rsidRPr="00F1798A">
              <w:rPr>
                <w:rFonts w:ascii="Times New Roman" w:hAnsi="Times New Roman" w:cs="Times New Roman"/>
                <w:b/>
                <w:bCs/>
                <w:color w:val="000000"/>
                <w:sz w:val="14"/>
                <w:szCs w:val="14"/>
              </w:rPr>
              <w:t>2009 S</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CB350B" w:rsidRPr="00F1798A" w:rsidP="00257E12">
            <w:pPr>
              <w:bidi w:val="0"/>
              <w:jc w:val="center"/>
              <w:rPr>
                <w:rFonts w:ascii="Times New Roman" w:hAnsi="Times New Roman" w:cs="Times New Roman"/>
                <w:b/>
                <w:bCs/>
                <w:color w:val="000000"/>
                <w:sz w:val="14"/>
                <w:szCs w:val="14"/>
              </w:rPr>
            </w:pPr>
            <w:r w:rsidRPr="00F1798A">
              <w:rPr>
                <w:rFonts w:ascii="Times New Roman" w:hAnsi="Times New Roman" w:cs="Times New Roman"/>
                <w:b/>
                <w:bCs/>
                <w:color w:val="000000"/>
                <w:sz w:val="14"/>
                <w:szCs w:val="14"/>
              </w:rPr>
              <w:t>2010 S</w:t>
            </w:r>
          </w:p>
        </w:tc>
        <w:tc>
          <w:tcPr>
            <w:tcW w:w="490" w:type="pct"/>
            <w:tcBorders>
              <w:top w:val="single" w:sz="4" w:space="0" w:color="auto"/>
              <w:left w:val="nil"/>
              <w:bottom w:val="single" w:sz="4" w:space="0" w:color="auto"/>
              <w:right w:val="single" w:sz="4" w:space="0" w:color="auto"/>
            </w:tcBorders>
            <w:noWrap/>
            <w:textDirection w:val="lrTb"/>
            <w:vAlign w:val="center"/>
            <w:hideMark/>
          </w:tcPr>
          <w:p w:rsidR="00CB350B" w:rsidRPr="00F1798A" w:rsidP="00257E12">
            <w:pPr>
              <w:bidi w:val="0"/>
              <w:jc w:val="center"/>
              <w:rPr>
                <w:rFonts w:ascii="Times New Roman" w:hAnsi="Times New Roman" w:cs="Times New Roman"/>
                <w:b/>
                <w:bCs/>
                <w:color w:val="000000"/>
                <w:sz w:val="14"/>
                <w:szCs w:val="14"/>
              </w:rPr>
            </w:pPr>
            <w:r w:rsidRPr="00F1798A">
              <w:rPr>
                <w:rFonts w:ascii="Times New Roman" w:hAnsi="Times New Roman" w:cs="Times New Roman"/>
                <w:b/>
                <w:bCs/>
                <w:color w:val="000000"/>
                <w:sz w:val="14"/>
                <w:szCs w:val="14"/>
              </w:rPr>
              <w:t>2011 R</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CB350B" w:rsidRPr="00F1798A" w:rsidP="00257E12">
            <w:pPr>
              <w:bidi w:val="0"/>
              <w:jc w:val="center"/>
              <w:rPr>
                <w:rFonts w:ascii="Times New Roman" w:hAnsi="Times New Roman" w:cs="Times New Roman"/>
                <w:b/>
                <w:bCs/>
                <w:color w:val="000000"/>
                <w:sz w:val="14"/>
                <w:szCs w:val="14"/>
              </w:rPr>
            </w:pPr>
            <w:r w:rsidRPr="00F1798A">
              <w:rPr>
                <w:rFonts w:ascii="Times New Roman" w:hAnsi="Times New Roman" w:cs="Times New Roman"/>
                <w:b/>
                <w:bCs/>
                <w:color w:val="000000"/>
                <w:sz w:val="14"/>
                <w:szCs w:val="14"/>
              </w:rPr>
              <w:t>2011 OS</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CB350B" w:rsidRPr="00F1798A" w:rsidP="00257E12">
            <w:pPr>
              <w:bidi w:val="0"/>
              <w:jc w:val="center"/>
              <w:rPr>
                <w:rFonts w:ascii="Times New Roman" w:hAnsi="Times New Roman" w:cs="Times New Roman"/>
                <w:b/>
                <w:bCs/>
                <w:color w:val="000000"/>
                <w:sz w:val="14"/>
                <w:szCs w:val="14"/>
              </w:rPr>
            </w:pPr>
            <w:r w:rsidRPr="00F1798A">
              <w:rPr>
                <w:rFonts w:ascii="Times New Roman" w:hAnsi="Times New Roman" w:cs="Times New Roman"/>
                <w:b/>
                <w:bCs/>
                <w:color w:val="000000"/>
                <w:sz w:val="14"/>
                <w:szCs w:val="14"/>
              </w:rPr>
              <w:t>2012 N</w:t>
            </w:r>
          </w:p>
        </w:tc>
        <w:tc>
          <w:tcPr>
            <w:tcW w:w="480" w:type="pct"/>
            <w:tcBorders>
              <w:top w:val="single" w:sz="4" w:space="0" w:color="auto"/>
              <w:left w:val="nil"/>
              <w:bottom w:val="single" w:sz="4" w:space="0" w:color="auto"/>
              <w:right w:val="single" w:sz="4" w:space="0" w:color="auto"/>
            </w:tcBorders>
            <w:noWrap/>
            <w:textDirection w:val="lrTb"/>
            <w:vAlign w:val="center"/>
            <w:hideMark/>
          </w:tcPr>
          <w:p w:rsidR="00CB350B" w:rsidRPr="00F1798A" w:rsidP="00257E12">
            <w:pPr>
              <w:bidi w:val="0"/>
              <w:jc w:val="center"/>
              <w:rPr>
                <w:rFonts w:ascii="Times New Roman" w:hAnsi="Times New Roman" w:cs="Times New Roman"/>
                <w:b/>
                <w:bCs/>
                <w:color w:val="000000"/>
                <w:sz w:val="14"/>
                <w:szCs w:val="14"/>
              </w:rPr>
            </w:pPr>
            <w:r w:rsidRPr="00F1798A">
              <w:rPr>
                <w:rFonts w:ascii="Times New Roman" w:hAnsi="Times New Roman" w:cs="Times New Roman"/>
                <w:b/>
                <w:bCs/>
                <w:color w:val="000000"/>
                <w:sz w:val="14"/>
                <w:szCs w:val="14"/>
              </w:rPr>
              <w:t>2013 N</w:t>
            </w:r>
          </w:p>
        </w:tc>
        <w:tc>
          <w:tcPr>
            <w:tcW w:w="456" w:type="pct"/>
            <w:tcBorders>
              <w:top w:val="single" w:sz="4" w:space="0" w:color="auto"/>
              <w:left w:val="nil"/>
              <w:bottom w:val="single" w:sz="4" w:space="0" w:color="auto"/>
              <w:right w:val="single" w:sz="4" w:space="0" w:color="auto"/>
            </w:tcBorders>
            <w:noWrap/>
            <w:textDirection w:val="lrTb"/>
            <w:vAlign w:val="center"/>
            <w:hideMark/>
          </w:tcPr>
          <w:p w:rsidR="00CB350B" w:rsidRPr="00F1798A" w:rsidP="00257E12">
            <w:pPr>
              <w:bidi w:val="0"/>
              <w:jc w:val="center"/>
              <w:rPr>
                <w:rFonts w:ascii="Times New Roman" w:hAnsi="Times New Roman" w:cs="Times New Roman"/>
                <w:b/>
                <w:bCs/>
                <w:color w:val="000000"/>
                <w:sz w:val="14"/>
                <w:szCs w:val="14"/>
              </w:rPr>
            </w:pPr>
            <w:r w:rsidRPr="00F1798A">
              <w:rPr>
                <w:rFonts w:ascii="Times New Roman" w:hAnsi="Times New Roman" w:cs="Times New Roman"/>
                <w:b/>
                <w:bCs/>
                <w:color w:val="000000"/>
                <w:sz w:val="14"/>
                <w:szCs w:val="14"/>
              </w:rPr>
              <w:t>2014 N</w:t>
            </w:r>
          </w:p>
        </w:tc>
      </w:tr>
      <w:tr>
        <w:tblPrEx>
          <w:tblW w:w="5000" w:type="pct"/>
          <w:tblCellMar>
            <w:left w:w="70" w:type="dxa"/>
            <w:right w:w="70" w:type="dxa"/>
          </w:tblCellMar>
          <w:tblLook w:val="04A0"/>
        </w:tblPrEx>
        <w:trPr>
          <w:trHeight w:val="270"/>
        </w:trPr>
        <w:tc>
          <w:tcPr>
            <w:tcW w:w="1684" w:type="pct"/>
            <w:tcBorders>
              <w:top w:val="nil"/>
              <w:left w:val="single" w:sz="4" w:space="0" w:color="auto"/>
              <w:bottom w:val="single" w:sz="4" w:space="0" w:color="auto"/>
              <w:right w:val="single" w:sz="4" w:space="0" w:color="auto"/>
            </w:tcBorders>
            <w:textDirection w:val="lrTb"/>
            <w:vAlign w:val="center"/>
            <w:hideMark/>
          </w:tcPr>
          <w:p w:rsidR="00CB350B" w:rsidRPr="00F1798A" w:rsidP="00257E12">
            <w:pPr>
              <w:bidi w:val="0"/>
              <w:rPr>
                <w:rFonts w:ascii="Times New Roman" w:hAnsi="Times New Roman" w:cs="Times New Roman"/>
                <w:b/>
                <w:bCs/>
                <w:sz w:val="14"/>
                <w:szCs w:val="14"/>
              </w:rPr>
            </w:pPr>
            <w:r w:rsidRPr="00F1798A">
              <w:rPr>
                <w:rFonts w:ascii="Times New Roman" w:hAnsi="Times New Roman" w:cs="Times New Roman"/>
                <w:b/>
                <w:bCs/>
                <w:sz w:val="14"/>
                <w:szCs w:val="14"/>
              </w:rPr>
              <w:t xml:space="preserve">Výdavky zo ŠR na inštitucionálnu podporu </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b/>
                <w:bCs/>
                <w:sz w:val="14"/>
                <w:szCs w:val="14"/>
              </w:rPr>
            </w:pPr>
            <w:r w:rsidRPr="00F1798A">
              <w:rPr>
                <w:rFonts w:ascii="Times New Roman" w:hAnsi="Times New Roman" w:cs="Times New Roman"/>
                <w:b/>
                <w:bCs/>
                <w:sz w:val="14"/>
                <w:szCs w:val="14"/>
              </w:rPr>
              <w:t xml:space="preserve">161 162 608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b/>
                <w:bCs/>
                <w:sz w:val="14"/>
                <w:szCs w:val="14"/>
              </w:rPr>
            </w:pPr>
            <w:r w:rsidRPr="00F1798A">
              <w:rPr>
                <w:rFonts w:ascii="Times New Roman" w:hAnsi="Times New Roman" w:cs="Times New Roman"/>
                <w:b/>
                <w:bCs/>
                <w:sz w:val="14"/>
                <w:szCs w:val="14"/>
              </w:rPr>
              <w:t xml:space="preserve">133 313 126 </w:t>
            </w:r>
          </w:p>
        </w:tc>
        <w:tc>
          <w:tcPr>
            <w:tcW w:w="49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b/>
                <w:bCs/>
                <w:sz w:val="14"/>
                <w:szCs w:val="14"/>
              </w:rPr>
            </w:pPr>
            <w:r w:rsidRPr="00F1798A">
              <w:rPr>
                <w:rFonts w:ascii="Times New Roman" w:hAnsi="Times New Roman" w:cs="Times New Roman"/>
                <w:b/>
                <w:bCs/>
                <w:sz w:val="14"/>
                <w:szCs w:val="14"/>
              </w:rPr>
              <w:t xml:space="preserve">105 211 067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b/>
                <w:bCs/>
                <w:sz w:val="14"/>
                <w:szCs w:val="14"/>
              </w:rPr>
            </w:pPr>
            <w:r w:rsidRPr="00F1798A">
              <w:rPr>
                <w:rFonts w:ascii="Times New Roman" w:hAnsi="Times New Roman" w:cs="Times New Roman"/>
                <w:b/>
                <w:bCs/>
                <w:sz w:val="14"/>
                <w:szCs w:val="14"/>
              </w:rPr>
              <w:t xml:space="preserve">110 210 463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b/>
                <w:bCs/>
                <w:sz w:val="14"/>
                <w:szCs w:val="14"/>
              </w:rPr>
            </w:pPr>
            <w:r w:rsidRPr="00F1798A">
              <w:rPr>
                <w:rFonts w:ascii="Times New Roman" w:hAnsi="Times New Roman" w:cs="Times New Roman"/>
                <w:b/>
                <w:bCs/>
                <w:sz w:val="14"/>
                <w:szCs w:val="14"/>
              </w:rPr>
              <w:t xml:space="preserve">105 301 787 </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b/>
                <w:bCs/>
                <w:sz w:val="14"/>
                <w:szCs w:val="14"/>
              </w:rPr>
            </w:pPr>
            <w:r w:rsidRPr="00F1798A">
              <w:rPr>
                <w:rFonts w:ascii="Times New Roman" w:hAnsi="Times New Roman" w:cs="Times New Roman"/>
                <w:b/>
                <w:bCs/>
                <w:sz w:val="14"/>
                <w:szCs w:val="14"/>
              </w:rPr>
              <w:t xml:space="preserve">105 325 230 </w:t>
            </w:r>
          </w:p>
        </w:tc>
        <w:tc>
          <w:tcPr>
            <w:tcW w:w="456"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b/>
                <w:bCs/>
                <w:sz w:val="14"/>
                <w:szCs w:val="14"/>
              </w:rPr>
            </w:pPr>
            <w:r w:rsidRPr="00F1798A">
              <w:rPr>
                <w:rFonts w:ascii="Times New Roman" w:hAnsi="Times New Roman" w:cs="Times New Roman"/>
                <w:b/>
                <w:bCs/>
                <w:sz w:val="14"/>
                <w:szCs w:val="14"/>
              </w:rPr>
              <w:t xml:space="preserve">105 332 870 </w:t>
            </w:r>
          </w:p>
        </w:tc>
      </w:tr>
      <w:tr>
        <w:tblPrEx>
          <w:tblW w:w="5000" w:type="pct"/>
          <w:tblCellMar>
            <w:left w:w="70" w:type="dxa"/>
            <w:right w:w="70" w:type="dxa"/>
          </w:tblCellMar>
          <w:tblLook w:val="04A0"/>
        </w:tblPrEx>
        <w:trPr>
          <w:trHeight w:val="270"/>
        </w:trPr>
        <w:tc>
          <w:tcPr>
            <w:tcW w:w="1684" w:type="pct"/>
            <w:tcBorders>
              <w:top w:val="nil"/>
              <w:left w:val="single" w:sz="4" w:space="0" w:color="auto"/>
              <w:bottom w:val="single" w:sz="4" w:space="0" w:color="auto"/>
              <w:right w:val="single" w:sz="4" w:space="0" w:color="auto"/>
            </w:tcBorders>
            <w:textDirection w:val="lrTb"/>
            <w:vAlign w:val="center"/>
            <w:hideMark/>
          </w:tcPr>
          <w:p w:rsidR="00CB350B" w:rsidRPr="00F1798A" w:rsidP="00257E12">
            <w:pPr>
              <w:bidi w:val="0"/>
              <w:rPr>
                <w:rFonts w:ascii="Times New Roman" w:hAnsi="Times New Roman" w:cs="Times New Roman"/>
                <w:b/>
                <w:bCs/>
                <w:sz w:val="14"/>
                <w:szCs w:val="14"/>
              </w:rPr>
            </w:pPr>
            <w:r w:rsidRPr="00F1798A">
              <w:rPr>
                <w:rFonts w:ascii="Times New Roman" w:hAnsi="Times New Roman" w:cs="Times New Roman"/>
                <w:b/>
                <w:bCs/>
                <w:sz w:val="14"/>
                <w:szCs w:val="14"/>
              </w:rPr>
              <w:t>Rozpočtové organizácie:</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b/>
                <w:bCs/>
                <w:sz w:val="14"/>
                <w:szCs w:val="14"/>
              </w:rPr>
            </w:pPr>
            <w:r w:rsidRPr="00F1798A">
              <w:rPr>
                <w:rFonts w:ascii="Times New Roman" w:hAnsi="Times New Roman" w:cs="Times New Roman"/>
                <w:b/>
                <w:bCs/>
                <w:sz w:val="14"/>
                <w:szCs w:val="14"/>
              </w:rPr>
              <w:t xml:space="preserve">134 564 308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b/>
                <w:bCs/>
                <w:sz w:val="14"/>
                <w:szCs w:val="14"/>
              </w:rPr>
            </w:pPr>
            <w:r w:rsidRPr="00F1798A">
              <w:rPr>
                <w:rFonts w:ascii="Times New Roman" w:hAnsi="Times New Roman" w:cs="Times New Roman"/>
                <w:b/>
                <w:bCs/>
                <w:sz w:val="14"/>
                <w:szCs w:val="14"/>
              </w:rPr>
              <w:t xml:space="preserve">111 528 777 </w:t>
            </w:r>
          </w:p>
        </w:tc>
        <w:tc>
          <w:tcPr>
            <w:tcW w:w="49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b/>
                <w:bCs/>
                <w:sz w:val="14"/>
                <w:szCs w:val="14"/>
              </w:rPr>
            </w:pPr>
            <w:r w:rsidRPr="00F1798A">
              <w:rPr>
                <w:rFonts w:ascii="Times New Roman" w:hAnsi="Times New Roman" w:cs="Times New Roman"/>
                <w:b/>
                <w:bCs/>
                <w:sz w:val="14"/>
                <w:szCs w:val="14"/>
              </w:rPr>
              <w:t xml:space="preserve">87 847 381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b/>
                <w:bCs/>
                <w:sz w:val="14"/>
                <w:szCs w:val="14"/>
              </w:rPr>
            </w:pPr>
            <w:r w:rsidRPr="00F1798A">
              <w:rPr>
                <w:rFonts w:ascii="Times New Roman" w:hAnsi="Times New Roman" w:cs="Times New Roman"/>
                <w:b/>
                <w:bCs/>
                <w:sz w:val="14"/>
                <w:szCs w:val="14"/>
              </w:rPr>
              <w:t xml:space="preserve">92 567 473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b/>
                <w:bCs/>
                <w:sz w:val="14"/>
                <w:szCs w:val="14"/>
              </w:rPr>
            </w:pPr>
            <w:r w:rsidRPr="00F1798A">
              <w:rPr>
                <w:rFonts w:ascii="Times New Roman" w:hAnsi="Times New Roman" w:cs="Times New Roman"/>
                <w:b/>
                <w:bCs/>
                <w:sz w:val="14"/>
                <w:szCs w:val="14"/>
              </w:rPr>
              <w:t xml:space="preserve">88 288 332 </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b/>
                <w:bCs/>
                <w:sz w:val="14"/>
                <w:szCs w:val="14"/>
              </w:rPr>
            </w:pPr>
            <w:r w:rsidRPr="00F1798A">
              <w:rPr>
                <w:rFonts w:ascii="Times New Roman" w:hAnsi="Times New Roman" w:cs="Times New Roman"/>
                <w:b/>
                <w:bCs/>
                <w:sz w:val="14"/>
                <w:szCs w:val="14"/>
              </w:rPr>
              <w:t xml:space="preserve">88 316 439 </w:t>
            </w:r>
          </w:p>
        </w:tc>
        <w:tc>
          <w:tcPr>
            <w:tcW w:w="456"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b/>
                <w:bCs/>
                <w:sz w:val="14"/>
                <w:szCs w:val="14"/>
              </w:rPr>
            </w:pPr>
            <w:r w:rsidRPr="00F1798A">
              <w:rPr>
                <w:rFonts w:ascii="Times New Roman" w:hAnsi="Times New Roman" w:cs="Times New Roman"/>
                <w:b/>
                <w:bCs/>
                <w:sz w:val="14"/>
                <w:szCs w:val="14"/>
              </w:rPr>
              <w:t xml:space="preserve">88 324 079 </w:t>
            </w:r>
          </w:p>
        </w:tc>
      </w:tr>
      <w:tr>
        <w:tblPrEx>
          <w:tblW w:w="5000" w:type="pct"/>
          <w:tblCellMar>
            <w:left w:w="70" w:type="dxa"/>
            <w:right w:w="70" w:type="dxa"/>
          </w:tblCellMar>
          <w:tblLook w:val="04A0"/>
        </w:tblPrEx>
        <w:trPr>
          <w:trHeight w:val="270"/>
        </w:trPr>
        <w:tc>
          <w:tcPr>
            <w:tcW w:w="1684" w:type="pct"/>
            <w:tcBorders>
              <w:top w:val="nil"/>
              <w:left w:val="single" w:sz="4" w:space="0" w:color="auto"/>
              <w:bottom w:val="single" w:sz="4" w:space="0" w:color="auto"/>
              <w:right w:val="single" w:sz="4" w:space="0" w:color="auto"/>
            </w:tcBorders>
            <w:textDirection w:val="lrTb"/>
            <w:vAlign w:val="center"/>
            <w:hideMark/>
          </w:tcPr>
          <w:p w:rsidR="00CB350B" w:rsidRPr="00F1798A" w:rsidP="00257E12">
            <w:pPr>
              <w:bidi w:val="0"/>
              <w:rPr>
                <w:rFonts w:ascii="Times New Roman" w:hAnsi="Times New Roman" w:cs="Times New Roman"/>
                <w:sz w:val="14"/>
                <w:szCs w:val="14"/>
              </w:rPr>
            </w:pPr>
            <w:r w:rsidRPr="00F1798A">
              <w:rPr>
                <w:rFonts w:ascii="Times New Roman" w:hAnsi="Times New Roman" w:cs="Times New Roman"/>
                <w:sz w:val="14"/>
                <w:szCs w:val="14"/>
              </w:rPr>
              <w:t>Služobný úrad MPRV SR</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70 222 522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50 984 985 </w:t>
            </w:r>
          </w:p>
        </w:tc>
        <w:tc>
          <w:tcPr>
            <w:tcW w:w="49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37 095 514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40 863 538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36 695 050 </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36 723 157 </w:t>
            </w:r>
          </w:p>
        </w:tc>
        <w:tc>
          <w:tcPr>
            <w:tcW w:w="456"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36 730 797 </w:t>
            </w:r>
          </w:p>
        </w:tc>
      </w:tr>
      <w:tr>
        <w:tblPrEx>
          <w:tblW w:w="5000" w:type="pct"/>
          <w:tblCellMar>
            <w:left w:w="70" w:type="dxa"/>
            <w:right w:w="70" w:type="dxa"/>
          </w:tblCellMar>
          <w:tblLook w:val="04A0"/>
        </w:tblPrEx>
        <w:trPr>
          <w:trHeight w:val="270"/>
        </w:trPr>
        <w:tc>
          <w:tcPr>
            <w:tcW w:w="1684" w:type="pct"/>
            <w:tcBorders>
              <w:top w:val="nil"/>
              <w:left w:val="single" w:sz="4" w:space="0" w:color="auto"/>
              <w:bottom w:val="single" w:sz="4" w:space="0" w:color="auto"/>
              <w:right w:val="single" w:sz="4" w:space="0" w:color="auto"/>
            </w:tcBorders>
            <w:textDirection w:val="lrTb"/>
            <w:vAlign w:val="center"/>
            <w:hideMark/>
          </w:tcPr>
          <w:p w:rsidR="00CB350B" w:rsidRPr="00F1798A" w:rsidP="00257E12">
            <w:pPr>
              <w:bidi w:val="0"/>
              <w:rPr>
                <w:rFonts w:ascii="Times New Roman" w:hAnsi="Times New Roman" w:cs="Times New Roman"/>
                <w:sz w:val="14"/>
                <w:szCs w:val="14"/>
              </w:rPr>
            </w:pPr>
            <w:r w:rsidRPr="00F1798A">
              <w:rPr>
                <w:rFonts w:ascii="Times New Roman" w:hAnsi="Times New Roman" w:cs="Times New Roman"/>
                <w:sz w:val="14"/>
                <w:szCs w:val="14"/>
              </w:rPr>
              <w:t>Štátna veterinárna a potravinová správa SR</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26 321 986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23 721 307 </w:t>
            </w:r>
          </w:p>
        </w:tc>
        <w:tc>
          <w:tcPr>
            <w:tcW w:w="49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20 635 361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20 852 671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21 030 432 </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21 030 432 </w:t>
            </w:r>
          </w:p>
        </w:tc>
        <w:tc>
          <w:tcPr>
            <w:tcW w:w="456"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21 030 432 </w:t>
            </w:r>
          </w:p>
        </w:tc>
      </w:tr>
      <w:tr>
        <w:tblPrEx>
          <w:tblW w:w="5000" w:type="pct"/>
          <w:tblCellMar>
            <w:left w:w="70" w:type="dxa"/>
            <w:right w:w="70" w:type="dxa"/>
          </w:tblCellMar>
          <w:tblLook w:val="04A0"/>
        </w:tblPrEx>
        <w:trPr>
          <w:trHeight w:val="510"/>
        </w:trPr>
        <w:tc>
          <w:tcPr>
            <w:tcW w:w="1684" w:type="pct"/>
            <w:tcBorders>
              <w:top w:val="nil"/>
              <w:left w:val="single" w:sz="4" w:space="0" w:color="auto"/>
              <w:bottom w:val="single" w:sz="4" w:space="0" w:color="auto"/>
              <w:right w:val="single" w:sz="4" w:space="0" w:color="auto"/>
            </w:tcBorders>
            <w:textDirection w:val="lrTb"/>
            <w:vAlign w:val="center"/>
            <w:hideMark/>
          </w:tcPr>
          <w:p w:rsidR="00CB350B" w:rsidRPr="00F1798A" w:rsidP="00257E12">
            <w:pPr>
              <w:bidi w:val="0"/>
              <w:rPr>
                <w:rFonts w:ascii="Times New Roman" w:hAnsi="Times New Roman" w:cs="Times New Roman"/>
                <w:sz w:val="14"/>
                <w:szCs w:val="14"/>
              </w:rPr>
            </w:pPr>
            <w:r w:rsidRPr="00F1798A">
              <w:rPr>
                <w:rFonts w:ascii="Times New Roman" w:hAnsi="Times New Roman" w:cs="Times New Roman"/>
                <w:sz w:val="14"/>
                <w:szCs w:val="14"/>
              </w:rPr>
              <w:t>Ústredný kontrolný a skúšobný ústav poľnohospodársky</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10 633 167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9 736 282 </w:t>
            </w:r>
          </w:p>
        </w:tc>
        <w:tc>
          <w:tcPr>
            <w:tcW w:w="49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8 351 248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8 576 248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8 542 829 </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8 542 829 </w:t>
            </w:r>
          </w:p>
        </w:tc>
        <w:tc>
          <w:tcPr>
            <w:tcW w:w="456"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8 542 829 </w:t>
            </w:r>
          </w:p>
        </w:tc>
      </w:tr>
      <w:tr>
        <w:tblPrEx>
          <w:tblW w:w="5000" w:type="pct"/>
          <w:tblCellMar>
            <w:left w:w="70" w:type="dxa"/>
            <w:right w:w="70" w:type="dxa"/>
          </w:tblCellMar>
          <w:tblLook w:val="04A0"/>
        </w:tblPrEx>
        <w:trPr>
          <w:trHeight w:val="255"/>
        </w:trPr>
        <w:tc>
          <w:tcPr>
            <w:tcW w:w="1684" w:type="pct"/>
            <w:tcBorders>
              <w:top w:val="nil"/>
              <w:left w:val="single" w:sz="4" w:space="0" w:color="auto"/>
              <w:bottom w:val="single" w:sz="4" w:space="0" w:color="auto"/>
              <w:right w:val="single" w:sz="4" w:space="0" w:color="auto"/>
            </w:tcBorders>
            <w:textDirection w:val="lrTb"/>
            <w:vAlign w:val="center"/>
            <w:hideMark/>
          </w:tcPr>
          <w:p w:rsidR="00CB350B" w:rsidRPr="00F1798A" w:rsidP="00257E12">
            <w:pPr>
              <w:bidi w:val="0"/>
              <w:rPr>
                <w:rFonts w:ascii="Times New Roman" w:hAnsi="Times New Roman" w:cs="Times New Roman"/>
                <w:sz w:val="14"/>
                <w:szCs w:val="14"/>
              </w:rPr>
            </w:pPr>
            <w:r w:rsidRPr="00F1798A">
              <w:rPr>
                <w:rFonts w:ascii="Times New Roman" w:hAnsi="Times New Roman" w:cs="Times New Roman"/>
                <w:sz w:val="14"/>
                <w:szCs w:val="14"/>
              </w:rPr>
              <w:t>Plemenárska inšpekcia SR</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259 562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254 296 </w:t>
            </w:r>
          </w:p>
        </w:tc>
        <w:tc>
          <w:tcPr>
            <w:tcW w:w="49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226 846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226 846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227 544</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227 544</w:t>
            </w:r>
          </w:p>
        </w:tc>
        <w:tc>
          <w:tcPr>
            <w:tcW w:w="456"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227 544</w:t>
            </w:r>
          </w:p>
        </w:tc>
      </w:tr>
      <w:tr>
        <w:tblPrEx>
          <w:tblW w:w="5000" w:type="pct"/>
          <w:tblCellMar>
            <w:left w:w="70" w:type="dxa"/>
            <w:right w:w="70" w:type="dxa"/>
          </w:tblCellMar>
          <w:tblLook w:val="04A0"/>
        </w:tblPrEx>
        <w:trPr>
          <w:trHeight w:val="510"/>
        </w:trPr>
        <w:tc>
          <w:tcPr>
            <w:tcW w:w="1684" w:type="pct"/>
            <w:tcBorders>
              <w:top w:val="nil"/>
              <w:left w:val="single" w:sz="4" w:space="0" w:color="auto"/>
              <w:bottom w:val="single" w:sz="4" w:space="0" w:color="auto"/>
              <w:right w:val="single" w:sz="4" w:space="0" w:color="auto"/>
            </w:tcBorders>
            <w:textDirection w:val="lrTb"/>
            <w:vAlign w:val="center"/>
            <w:hideMark/>
          </w:tcPr>
          <w:p w:rsidR="00CB350B" w:rsidRPr="00F1798A" w:rsidP="00257E12">
            <w:pPr>
              <w:bidi w:val="0"/>
              <w:rPr>
                <w:rFonts w:ascii="Times New Roman" w:hAnsi="Times New Roman" w:cs="Times New Roman"/>
                <w:sz w:val="14"/>
                <w:szCs w:val="14"/>
              </w:rPr>
            </w:pPr>
            <w:r w:rsidRPr="00F1798A">
              <w:rPr>
                <w:rFonts w:ascii="Times New Roman" w:hAnsi="Times New Roman" w:cs="Times New Roman"/>
                <w:sz w:val="14"/>
                <w:szCs w:val="14"/>
              </w:rPr>
              <w:t>Agentúra Slovenskej akadémie pôdohospodárskych vied</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81 082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75 439 </w:t>
            </w:r>
          </w:p>
        </w:tc>
        <w:tc>
          <w:tcPr>
            <w:tcW w:w="49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68 956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68 956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69 161 </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69 161 </w:t>
            </w:r>
          </w:p>
        </w:tc>
        <w:tc>
          <w:tcPr>
            <w:tcW w:w="456"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69 161 </w:t>
            </w:r>
          </w:p>
        </w:tc>
      </w:tr>
      <w:tr>
        <w:tblPrEx>
          <w:tblW w:w="5000" w:type="pct"/>
          <w:tblCellMar>
            <w:left w:w="70" w:type="dxa"/>
            <w:right w:w="70" w:type="dxa"/>
          </w:tblCellMar>
          <w:tblLook w:val="04A0"/>
        </w:tblPrEx>
        <w:trPr>
          <w:trHeight w:val="255"/>
        </w:trPr>
        <w:tc>
          <w:tcPr>
            <w:tcW w:w="1684" w:type="pct"/>
            <w:tcBorders>
              <w:top w:val="nil"/>
              <w:left w:val="single" w:sz="4" w:space="0" w:color="auto"/>
              <w:bottom w:val="single" w:sz="4" w:space="0" w:color="auto"/>
              <w:right w:val="single" w:sz="4" w:space="0" w:color="auto"/>
            </w:tcBorders>
            <w:textDirection w:val="lrTb"/>
            <w:vAlign w:val="center"/>
            <w:hideMark/>
          </w:tcPr>
          <w:p w:rsidR="00CB350B" w:rsidRPr="00F1798A" w:rsidP="00257E12">
            <w:pPr>
              <w:bidi w:val="0"/>
              <w:rPr>
                <w:rFonts w:ascii="Times New Roman" w:hAnsi="Times New Roman" w:cs="Times New Roman"/>
                <w:sz w:val="14"/>
                <w:szCs w:val="14"/>
              </w:rPr>
            </w:pPr>
            <w:r w:rsidRPr="00F1798A">
              <w:rPr>
                <w:rFonts w:ascii="Times New Roman" w:hAnsi="Times New Roman" w:cs="Times New Roman"/>
                <w:sz w:val="14"/>
                <w:szCs w:val="14"/>
              </w:rPr>
              <w:t>Pôdohospodárska platobná agentúra</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15 004 279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14 418 830 </w:t>
            </w:r>
          </w:p>
        </w:tc>
        <w:tc>
          <w:tcPr>
            <w:tcW w:w="49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11 193 459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11 678 742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11 220 841 </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11 220 841 </w:t>
            </w:r>
          </w:p>
        </w:tc>
        <w:tc>
          <w:tcPr>
            <w:tcW w:w="456"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11 220 841 </w:t>
            </w:r>
          </w:p>
        </w:tc>
      </w:tr>
      <w:tr>
        <w:tblPrEx>
          <w:tblW w:w="5000" w:type="pct"/>
          <w:tblCellMar>
            <w:left w:w="70" w:type="dxa"/>
            <w:right w:w="70" w:type="dxa"/>
          </w:tblCellMar>
          <w:tblLook w:val="04A0"/>
        </w:tblPrEx>
        <w:trPr>
          <w:trHeight w:val="255"/>
        </w:trPr>
        <w:tc>
          <w:tcPr>
            <w:tcW w:w="1684" w:type="pct"/>
            <w:tcBorders>
              <w:top w:val="nil"/>
              <w:left w:val="single" w:sz="4" w:space="0" w:color="auto"/>
              <w:bottom w:val="single" w:sz="4" w:space="0" w:color="auto"/>
              <w:right w:val="single" w:sz="4" w:space="0" w:color="auto"/>
            </w:tcBorders>
            <w:textDirection w:val="lrTb"/>
            <w:vAlign w:val="center"/>
            <w:hideMark/>
          </w:tcPr>
          <w:p w:rsidR="00CB350B" w:rsidRPr="00F1798A" w:rsidP="00257E12">
            <w:pPr>
              <w:bidi w:val="0"/>
              <w:rPr>
                <w:rFonts w:ascii="Times New Roman" w:hAnsi="Times New Roman" w:cs="Times New Roman"/>
                <w:sz w:val="14"/>
                <w:szCs w:val="14"/>
              </w:rPr>
            </w:pPr>
            <w:r w:rsidRPr="00F1798A">
              <w:rPr>
                <w:rFonts w:ascii="Times New Roman" w:hAnsi="Times New Roman" w:cs="Times New Roman"/>
                <w:sz w:val="14"/>
                <w:szCs w:val="14"/>
              </w:rPr>
              <w:t>Špecializovaná štátna správa spolu, z toho:</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12 041 710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12 337 638 </w:t>
            </w:r>
          </w:p>
        </w:tc>
        <w:tc>
          <w:tcPr>
            <w:tcW w:w="49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10 275 997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10 300 472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10 502 475 </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10 502 475 </w:t>
            </w:r>
          </w:p>
        </w:tc>
        <w:tc>
          <w:tcPr>
            <w:tcW w:w="456"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10 502 475 </w:t>
            </w:r>
          </w:p>
        </w:tc>
      </w:tr>
      <w:tr>
        <w:tblPrEx>
          <w:tblW w:w="5000" w:type="pct"/>
          <w:tblCellMar>
            <w:left w:w="70" w:type="dxa"/>
            <w:right w:w="70" w:type="dxa"/>
          </w:tblCellMar>
          <w:tblLook w:val="04A0"/>
        </w:tblPrEx>
        <w:trPr>
          <w:trHeight w:val="510"/>
        </w:trPr>
        <w:tc>
          <w:tcPr>
            <w:tcW w:w="1684" w:type="pct"/>
            <w:tcBorders>
              <w:top w:val="nil"/>
              <w:left w:val="single" w:sz="4" w:space="0" w:color="auto"/>
              <w:bottom w:val="single" w:sz="4" w:space="0" w:color="auto"/>
              <w:right w:val="single" w:sz="4" w:space="0" w:color="auto"/>
            </w:tcBorders>
            <w:textDirection w:val="lrTb"/>
            <w:vAlign w:val="center"/>
            <w:hideMark/>
          </w:tcPr>
          <w:p w:rsidR="00CB350B" w:rsidRPr="00F1798A" w:rsidP="00257E12">
            <w:pPr>
              <w:bidi w:val="0"/>
              <w:rPr>
                <w:rFonts w:ascii="Times New Roman" w:hAnsi="Times New Roman" w:cs="Times New Roman"/>
                <w:sz w:val="14"/>
                <w:szCs w:val="14"/>
              </w:rPr>
            </w:pPr>
            <w:r w:rsidRPr="00F1798A">
              <w:rPr>
                <w:rFonts w:ascii="Times New Roman" w:hAnsi="Times New Roman" w:cs="Times New Roman"/>
                <w:sz w:val="14"/>
                <w:szCs w:val="14"/>
              </w:rPr>
              <w:t>na úseku pozemkových úprav a ochrany poľnohospodárskej pôdy</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8 228 004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8 372 623 </w:t>
            </w:r>
          </w:p>
        </w:tc>
        <w:tc>
          <w:tcPr>
            <w:tcW w:w="49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7 025 511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7 029 250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7 151 122 </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7 151 122 </w:t>
            </w:r>
          </w:p>
        </w:tc>
        <w:tc>
          <w:tcPr>
            <w:tcW w:w="456"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7 151 122 </w:t>
            </w:r>
          </w:p>
        </w:tc>
      </w:tr>
      <w:tr>
        <w:tblPrEx>
          <w:tblW w:w="5000" w:type="pct"/>
          <w:tblCellMar>
            <w:left w:w="70" w:type="dxa"/>
            <w:right w:w="70" w:type="dxa"/>
          </w:tblCellMar>
          <w:tblLook w:val="04A0"/>
        </w:tblPrEx>
        <w:trPr>
          <w:trHeight w:val="255"/>
        </w:trPr>
        <w:tc>
          <w:tcPr>
            <w:tcW w:w="1684" w:type="pct"/>
            <w:tcBorders>
              <w:top w:val="nil"/>
              <w:left w:val="single" w:sz="4" w:space="0" w:color="auto"/>
              <w:bottom w:val="single" w:sz="4" w:space="0" w:color="auto"/>
              <w:right w:val="single" w:sz="4" w:space="0" w:color="auto"/>
            </w:tcBorders>
            <w:textDirection w:val="lrTb"/>
            <w:vAlign w:val="center"/>
            <w:hideMark/>
          </w:tcPr>
          <w:p w:rsidR="00CB350B" w:rsidRPr="00F1798A" w:rsidP="00257E12">
            <w:pPr>
              <w:bidi w:val="0"/>
              <w:rPr>
                <w:rFonts w:ascii="Times New Roman" w:hAnsi="Times New Roman" w:cs="Times New Roman"/>
                <w:sz w:val="14"/>
                <w:szCs w:val="14"/>
              </w:rPr>
            </w:pPr>
            <w:r w:rsidRPr="00F1798A">
              <w:rPr>
                <w:rFonts w:ascii="Times New Roman" w:hAnsi="Times New Roman" w:cs="Times New Roman"/>
                <w:sz w:val="14"/>
                <w:szCs w:val="14"/>
              </w:rPr>
              <w:t>na úseku lesného hospodárstva a poľovníctva</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3 813 706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3 965 015 </w:t>
            </w:r>
          </w:p>
        </w:tc>
        <w:tc>
          <w:tcPr>
            <w:tcW w:w="49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3 250 486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3 271 222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3 351 353 </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3 351 353 </w:t>
            </w:r>
          </w:p>
        </w:tc>
        <w:tc>
          <w:tcPr>
            <w:tcW w:w="456"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3 351 353 </w:t>
            </w:r>
          </w:p>
        </w:tc>
      </w:tr>
      <w:tr>
        <w:tblPrEx>
          <w:tblW w:w="5000" w:type="pct"/>
          <w:tblCellMar>
            <w:left w:w="70" w:type="dxa"/>
            <w:right w:w="70" w:type="dxa"/>
          </w:tblCellMar>
          <w:tblLook w:val="04A0"/>
        </w:tblPrEx>
        <w:trPr>
          <w:trHeight w:val="255"/>
        </w:trPr>
        <w:tc>
          <w:tcPr>
            <w:tcW w:w="1684" w:type="pct"/>
            <w:tcBorders>
              <w:top w:val="nil"/>
              <w:left w:val="single" w:sz="4" w:space="0" w:color="auto"/>
              <w:bottom w:val="single" w:sz="4" w:space="0" w:color="auto"/>
              <w:right w:val="single" w:sz="4" w:space="0" w:color="auto"/>
            </w:tcBorders>
            <w:textDirection w:val="lrTb"/>
            <w:vAlign w:val="center"/>
            <w:hideMark/>
          </w:tcPr>
          <w:p w:rsidR="00CB350B" w:rsidRPr="00F1798A" w:rsidP="00257E12">
            <w:pPr>
              <w:bidi w:val="0"/>
              <w:rPr>
                <w:rFonts w:ascii="Times New Roman" w:hAnsi="Times New Roman" w:cs="Times New Roman"/>
                <w:b/>
                <w:bCs/>
                <w:sz w:val="14"/>
                <w:szCs w:val="14"/>
              </w:rPr>
            </w:pPr>
            <w:r w:rsidRPr="00F1798A">
              <w:rPr>
                <w:rFonts w:ascii="Times New Roman" w:hAnsi="Times New Roman" w:cs="Times New Roman"/>
                <w:b/>
                <w:bCs/>
                <w:sz w:val="14"/>
                <w:szCs w:val="14"/>
              </w:rPr>
              <w:t>Príspevkové organizácie:</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b/>
                <w:bCs/>
                <w:sz w:val="14"/>
                <w:szCs w:val="14"/>
              </w:rPr>
            </w:pPr>
            <w:r w:rsidRPr="00F1798A">
              <w:rPr>
                <w:rFonts w:ascii="Times New Roman" w:hAnsi="Times New Roman" w:cs="Times New Roman"/>
                <w:b/>
                <w:bCs/>
                <w:sz w:val="14"/>
                <w:szCs w:val="14"/>
              </w:rPr>
              <w:t xml:space="preserve">26 598 300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b/>
                <w:bCs/>
                <w:sz w:val="14"/>
                <w:szCs w:val="14"/>
              </w:rPr>
            </w:pPr>
            <w:r w:rsidRPr="00F1798A">
              <w:rPr>
                <w:rFonts w:ascii="Times New Roman" w:hAnsi="Times New Roman" w:cs="Times New Roman"/>
                <w:b/>
                <w:bCs/>
                <w:sz w:val="14"/>
                <w:szCs w:val="14"/>
              </w:rPr>
              <w:t xml:space="preserve">21 784 349 </w:t>
            </w:r>
          </w:p>
        </w:tc>
        <w:tc>
          <w:tcPr>
            <w:tcW w:w="49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b/>
                <w:bCs/>
                <w:sz w:val="14"/>
                <w:szCs w:val="14"/>
              </w:rPr>
            </w:pPr>
            <w:r w:rsidRPr="00F1798A">
              <w:rPr>
                <w:rFonts w:ascii="Times New Roman" w:hAnsi="Times New Roman" w:cs="Times New Roman"/>
                <w:b/>
                <w:bCs/>
                <w:sz w:val="14"/>
                <w:szCs w:val="14"/>
              </w:rPr>
              <w:t xml:space="preserve">17 363 686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b/>
                <w:bCs/>
                <w:sz w:val="14"/>
                <w:szCs w:val="14"/>
              </w:rPr>
            </w:pPr>
            <w:r w:rsidRPr="00F1798A">
              <w:rPr>
                <w:rFonts w:ascii="Times New Roman" w:hAnsi="Times New Roman" w:cs="Times New Roman"/>
                <w:b/>
                <w:bCs/>
                <w:sz w:val="14"/>
                <w:szCs w:val="14"/>
              </w:rPr>
              <w:t xml:space="preserve">17 642 990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b/>
                <w:bCs/>
                <w:sz w:val="14"/>
                <w:szCs w:val="14"/>
              </w:rPr>
            </w:pPr>
            <w:r w:rsidRPr="00F1798A">
              <w:rPr>
                <w:rFonts w:ascii="Times New Roman" w:hAnsi="Times New Roman" w:cs="Times New Roman"/>
                <w:b/>
                <w:bCs/>
                <w:sz w:val="14"/>
                <w:szCs w:val="14"/>
              </w:rPr>
              <w:t xml:space="preserve">17 013 455 </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b/>
                <w:bCs/>
                <w:sz w:val="14"/>
                <w:szCs w:val="14"/>
              </w:rPr>
            </w:pPr>
            <w:r w:rsidRPr="00F1798A">
              <w:rPr>
                <w:rFonts w:ascii="Times New Roman" w:hAnsi="Times New Roman" w:cs="Times New Roman"/>
                <w:b/>
                <w:bCs/>
                <w:sz w:val="14"/>
                <w:szCs w:val="14"/>
              </w:rPr>
              <w:t xml:space="preserve">17 008 791 </w:t>
            </w:r>
          </w:p>
        </w:tc>
        <w:tc>
          <w:tcPr>
            <w:tcW w:w="456"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b/>
                <w:bCs/>
                <w:sz w:val="14"/>
                <w:szCs w:val="14"/>
              </w:rPr>
            </w:pPr>
            <w:r w:rsidRPr="00F1798A">
              <w:rPr>
                <w:rFonts w:ascii="Times New Roman" w:hAnsi="Times New Roman" w:cs="Times New Roman"/>
                <w:b/>
                <w:bCs/>
                <w:sz w:val="14"/>
                <w:szCs w:val="14"/>
              </w:rPr>
              <w:t xml:space="preserve">17 008 791 </w:t>
            </w:r>
          </w:p>
        </w:tc>
      </w:tr>
      <w:tr>
        <w:tblPrEx>
          <w:tblW w:w="5000" w:type="pct"/>
          <w:tblCellMar>
            <w:left w:w="70" w:type="dxa"/>
            <w:right w:w="70" w:type="dxa"/>
          </w:tblCellMar>
          <w:tblLook w:val="04A0"/>
        </w:tblPrEx>
        <w:trPr>
          <w:trHeight w:val="510"/>
        </w:trPr>
        <w:tc>
          <w:tcPr>
            <w:tcW w:w="1684" w:type="pct"/>
            <w:tcBorders>
              <w:top w:val="nil"/>
              <w:left w:val="single" w:sz="4" w:space="0" w:color="auto"/>
              <w:bottom w:val="single" w:sz="4" w:space="0" w:color="auto"/>
              <w:right w:val="single" w:sz="4" w:space="0" w:color="auto"/>
            </w:tcBorders>
            <w:textDirection w:val="lrTb"/>
            <w:vAlign w:val="center"/>
            <w:hideMark/>
          </w:tcPr>
          <w:p w:rsidR="00CB350B" w:rsidRPr="00F1798A" w:rsidP="00257E12">
            <w:pPr>
              <w:bidi w:val="0"/>
              <w:rPr>
                <w:rFonts w:ascii="Times New Roman" w:hAnsi="Times New Roman" w:cs="Times New Roman"/>
                <w:sz w:val="14"/>
                <w:szCs w:val="14"/>
              </w:rPr>
            </w:pPr>
            <w:r w:rsidRPr="00F1798A">
              <w:rPr>
                <w:rFonts w:ascii="Times New Roman" w:hAnsi="Times New Roman" w:cs="Times New Roman"/>
                <w:sz w:val="14"/>
                <w:szCs w:val="14"/>
              </w:rPr>
              <w:t>Výskumný ústav pôdoznalectva a ochrany pôdy Bratislava</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1 218 017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1 201 034 </w:t>
            </w:r>
          </w:p>
        </w:tc>
        <w:tc>
          <w:tcPr>
            <w:tcW w:w="49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919 966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1 059 966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896 127 </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896 127 </w:t>
            </w:r>
          </w:p>
        </w:tc>
        <w:tc>
          <w:tcPr>
            <w:tcW w:w="456"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896 127 </w:t>
            </w:r>
          </w:p>
        </w:tc>
      </w:tr>
      <w:tr>
        <w:tblPrEx>
          <w:tblW w:w="5000" w:type="pct"/>
          <w:tblCellMar>
            <w:left w:w="70" w:type="dxa"/>
            <w:right w:w="70" w:type="dxa"/>
          </w:tblCellMar>
          <w:tblLook w:val="04A0"/>
        </w:tblPrEx>
        <w:trPr>
          <w:trHeight w:val="255"/>
        </w:trPr>
        <w:tc>
          <w:tcPr>
            <w:tcW w:w="1684" w:type="pct"/>
            <w:tcBorders>
              <w:top w:val="nil"/>
              <w:left w:val="single" w:sz="4" w:space="0" w:color="auto"/>
              <w:bottom w:val="single" w:sz="4" w:space="0" w:color="auto"/>
              <w:right w:val="single" w:sz="4" w:space="0" w:color="auto"/>
            </w:tcBorders>
            <w:textDirection w:val="lrTb"/>
            <w:vAlign w:val="center"/>
            <w:hideMark/>
          </w:tcPr>
          <w:p w:rsidR="00CB350B" w:rsidRPr="00F1798A" w:rsidP="00257E12">
            <w:pPr>
              <w:bidi w:val="0"/>
              <w:rPr>
                <w:rFonts w:ascii="Times New Roman" w:hAnsi="Times New Roman" w:cs="Times New Roman"/>
                <w:sz w:val="14"/>
                <w:szCs w:val="14"/>
              </w:rPr>
            </w:pPr>
            <w:r w:rsidRPr="00F1798A">
              <w:rPr>
                <w:rFonts w:ascii="Times New Roman" w:hAnsi="Times New Roman" w:cs="Times New Roman"/>
                <w:sz w:val="14"/>
                <w:szCs w:val="14"/>
              </w:rPr>
              <w:t>Výskumný ústav potravinársky Bratislava</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1 152 366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861 000 </w:t>
            </w:r>
          </w:p>
        </w:tc>
        <w:tc>
          <w:tcPr>
            <w:tcW w:w="49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765 900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765 900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757 160 </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757 160 </w:t>
            </w:r>
          </w:p>
        </w:tc>
        <w:tc>
          <w:tcPr>
            <w:tcW w:w="456"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757 160 </w:t>
            </w:r>
          </w:p>
        </w:tc>
      </w:tr>
      <w:tr>
        <w:tblPrEx>
          <w:tblW w:w="5000" w:type="pct"/>
          <w:tblCellMar>
            <w:left w:w="70" w:type="dxa"/>
            <w:right w:w="70" w:type="dxa"/>
          </w:tblCellMar>
          <w:tblLook w:val="04A0"/>
        </w:tblPrEx>
        <w:trPr>
          <w:trHeight w:val="510"/>
        </w:trPr>
        <w:tc>
          <w:tcPr>
            <w:tcW w:w="1684" w:type="pct"/>
            <w:tcBorders>
              <w:top w:val="nil"/>
              <w:left w:val="single" w:sz="4" w:space="0" w:color="auto"/>
              <w:bottom w:val="single" w:sz="4" w:space="0" w:color="auto"/>
              <w:right w:val="single" w:sz="4" w:space="0" w:color="auto"/>
            </w:tcBorders>
            <w:textDirection w:val="lrTb"/>
            <w:vAlign w:val="center"/>
            <w:hideMark/>
          </w:tcPr>
          <w:p w:rsidR="00CB350B" w:rsidRPr="00F1798A" w:rsidP="00257E12">
            <w:pPr>
              <w:bidi w:val="0"/>
              <w:rPr>
                <w:rFonts w:ascii="Times New Roman" w:hAnsi="Times New Roman" w:cs="Times New Roman"/>
                <w:sz w:val="14"/>
                <w:szCs w:val="14"/>
              </w:rPr>
            </w:pPr>
            <w:r w:rsidRPr="00F1798A">
              <w:rPr>
                <w:rFonts w:ascii="Times New Roman" w:hAnsi="Times New Roman" w:cs="Times New Roman"/>
                <w:sz w:val="14"/>
                <w:szCs w:val="14"/>
              </w:rPr>
              <w:t>Výskumný ústav ekonomiky poľnohospodárstva a potravinárstva Bratislava</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1 289 585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1 103 154 </w:t>
            </w:r>
          </w:p>
        </w:tc>
        <w:tc>
          <w:tcPr>
            <w:tcW w:w="49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911 839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911 839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897 550 </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897 550 </w:t>
            </w:r>
          </w:p>
        </w:tc>
        <w:tc>
          <w:tcPr>
            <w:tcW w:w="456"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897 550 </w:t>
            </w:r>
          </w:p>
        </w:tc>
      </w:tr>
      <w:tr>
        <w:tblPrEx>
          <w:tblW w:w="5000" w:type="pct"/>
          <w:tblCellMar>
            <w:left w:w="70" w:type="dxa"/>
            <w:right w:w="70" w:type="dxa"/>
          </w:tblCellMar>
          <w:tblLook w:val="04A0"/>
        </w:tblPrEx>
        <w:trPr>
          <w:trHeight w:val="255"/>
        </w:trPr>
        <w:tc>
          <w:tcPr>
            <w:tcW w:w="1684" w:type="pct"/>
            <w:tcBorders>
              <w:top w:val="nil"/>
              <w:left w:val="single" w:sz="4" w:space="0" w:color="auto"/>
              <w:bottom w:val="single" w:sz="4" w:space="0" w:color="auto"/>
              <w:right w:val="single" w:sz="4" w:space="0" w:color="auto"/>
            </w:tcBorders>
            <w:textDirection w:val="lrTb"/>
            <w:vAlign w:val="center"/>
            <w:hideMark/>
          </w:tcPr>
          <w:p w:rsidR="00CB350B" w:rsidRPr="00F1798A" w:rsidP="00257E12">
            <w:pPr>
              <w:bidi w:val="0"/>
              <w:rPr>
                <w:rFonts w:ascii="Times New Roman" w:hAnsi="Times New Roman" w:cs="Times New Roman"/>
                <w:sz w:val="14"/>
                <w:szCs w:val="14"/>
              </w:rPr>
            </w:pPr>
            <w:r w:rsidRPr="00F1798A">
              <w:rPr>
                <w:rFonts w:ascii="Times New Roman" w:hAnsi="Times New Roman" w:cs="Times New Roman"/>
                <w:sz w:val="14"/>
                <w:szCs w:val="14"/>
              </w:rPr>
              <w:t>Národné lesnícke centrum Zvolen</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6 724 723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5 306 445 </w:t>
            </w:r>
          </w:p>
        </w:tc>
        <w:tc>
          <w:tcPr>
            <w:tcW w:w="49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4 651 802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4 695 002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4 546 173 </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4 546 173 </w:t>
            </w:r>
          </w:p>
        </w:tc>
        <w:tc>
          <w:tcPr>
            <w:tcW w:w="456"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4 546 173 </w:t>
            </w:r>
          </w:p>
        </w:tc>
      </w:tr>
      <w:tr>
        <w:tblPrEx>
          <w:tblW w:w="5000" w:type="pct"/>
          <w:tblCellMar>
            <w:left w:w="70" w:type="dxa"/>
            <w:right w:w="70" w:type="dxa"/>
          </w:tblCellMar>
          <w:tblLook w:val="04A0"/>
        </w:tblPrEx>
        <w:trPr>
          <w:trHeight w:val="255"/>
        </w:trPr>
        <w:tc>
          <w:tcPr>
            <w:tcW w:w="1684" w:type="pct"/>
            <w:tcBorders>
              <w:top w:val="nil"/>
              <w:left w:val="single" w:sz="4" w:space="0" w:color="auto"/>
              <w:bottom w:val="single" w:sz="4" w:space="0" w:color="auto"/>
              <w:right w:val="single" w:sz="4" w:space="0" w:color="auto"/>
            </w:tcBorders>
            <w:textDirection w:val="lrTb"/>
            <w:vAlign w:val="center"/>
            <w:hideMark/>
          </w:tcPr>
          <w:p w:rsidR="00CB350B" w:rsidRPr="00F1798A" w:rsidP="00257E12">
            <w:pPr>
              <w:bidi w:val="0"/>
              <w:rPr>
                <w:rFonts w:ascii="Times New Roman" w:hAnsi="Times New Roman" w:cs="Times New Roman"/>
                <w:sz w:val="14"/>
                <w:szCs w:val="14"/>
              </w:rPr>
            </w:pPr>
            <w:r w:rsidRPr="00F1798A">
              <w:rPr>
                <w:rFonts w:ascii="Times New Roman" w:hAnsi="Times New Roman" w:cs="Times New Roman"/>
                <w:sz w:val="14"/>
                <w:szCs w:val="14"/>
              </w:rPr>
              <w:t>Štátny veterinárny a potravinový ústav Bratislava</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1 755 189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1 508 214 </w:t>
            </w:r>
          </w:p>
        </w:tc>
        <w:tc>
          <w:tcPr>
            <w:tcW w:w="49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1 298 056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1 332 056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1 264 870 </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1 264 870 </w:t>
            </w:r>
          </w:p>
        </w:tc>
        <w:tc>
          <w:tcPr>
            <w:tcW w:w="456"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1 264 870 </w:t>
            </w:r>
          </w:p>
        </w:tc>
      </w:tr>
      <w:tr>
        <w:tblPrEx>
          <w:tblW w:w="5000" w:type="pct"/>
          <w:tblCellMar>
            <w:left w:w="70" w:type="dxa"/>
            <w:right w:w="70" w:type="dxa"/>
          </w:tblCellMar>
          <w:tblLook w:val="04A0"/>
        </w:tblPrEx>
        <w:trPr>
          <w:trHeight w:val="255"/>
        </w:trPr>
        <w:tc>
          <w:tcPr>
            <w:tcW w:w="1684" w:type="pct"/>
            <w:tcBorders>
              <w:top w:val="nil"/>
              <w:left w:val="single" w:sz="4" w:space="0" w:color="auto"/>
              <w:bottom w:val="single" w:sz="4" w:space="0" w:color="auto"/>
              <w:right w:val="single" w:sz="4" w:space="0" w:color="auto"/>
            </w:tcBorders>
            <w:textDirection w:val="lrTb"/>
            <w:vAlign w:val="center"/>
            <w:hideMark/>
          </w:tcPr>
          <w:p w:rsidR="00CB350B" w:rsidRPr="00F1798A" w:rsidP="00257E12">
            <w:pPr>
              <w:bidi w:val="0"/>
              <w:rPr>
                <w:rFonts w:ascii="Times New Roman" w:hAnsi="Times New Roman" w:cs="Times New Roman"/>
                <w:sz w:val="14"/>
                <w:szCs w:val="14"/>
              </w:rPr>
            </w:pPr>
            <w:r w:rsidRPr="00F1798A">
              <w:rPr>
                <w:rFonts w:ascii="Times New Roman" w:hAnsi="Times New Roman" w:cs="Times New Roman"/>
                <w:sz w:val="14"/>
                <w:szCs w:val="14"/>
              </w:rPr>
              <w:t>Štátny veterinárny a potravinový ústav Dolný Kubín</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1 719 958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1 271 681 </w:t>
            </w:r>
          </w:p>
        </w:tc>
        <w:tc>
          <w:tcPr>
            <w:tcW w:w="49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1 132 511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1 132 511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1 106 762 </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1 106 762 </w:t>
            </w:r>
          </w:p>
        </w:tc>
        <w:tc>
          <w:tcPr>
            <w:tcW w:w="456"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1 106 762 </w:t>
            </w:r>
          </w:p>
        </w:tc>
      </w:tr>
      <w:tr>
        <w:tblPrEx>
          <w:tblW w:w="5000" w:type="pct"/>
          <w:tblCellMar>
            <w:left w:w="70" w:type="dxa"/>
            <w:right w:w="70" w:type="dxa"/>
          </w:tblCellMar>
          <w:tblLook w:val="04A0"/>
        </w:tblPrEx>
        <w:trPr>
          <w:trHeight w:val="255"/>
        </w:trPr>
        <w:tc>
          <w:tcPr>
            <w:tcW w:w="1684" w:type="pct"/>
            <w:tcBorders>
              <w:top w:val="nil"/>
              <w:left w:val="single" w:sz="4" w:space="0" w:color="auto"/>
              <w:bottom w:val="single" w:sz="4" w:space="0" w:color="auto"/>
              <w:right w:val="single" w:sz="4" w:space="0" w:color="auto"/>
            </w:tcBorders>
            <w:textDirection w:val="lrTb"/>
            <w:vAlign w:val="center"/>
            <w:hideMark/>
          </w:tcPr>
          <w:p w:rsidR="00CB350B" w:rsidRPr="00F1798A" w:rsidP="00257E12">
            <w:pPr>
              <w:bidi w:val="0"/>
              <w:rPr>
                <w:rFonts w:ascii="Times New Roman" w:hAnsi="Times New Roman" w:cs="Times New Roman"/>
                <w:sz w:val="14"/>
                <w:szCs w:val="14"/>
              </w:rPr>
            </w:pPr>
            <w:r w:rsidRPr="00F1798A">
              <w:rPr>
                <w:rFonts w:ascii="Times New Roman" w:hAnsi="Times New Roman" w:cs="Times New Roman"/>
                <w:sz w:val="14"/>
                <w:szCs w:val="14"/>
              </w:rPr>
              <w:t>Štátny veterinárny ústav Zvolen</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1 930 537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1 689 223 </w:t>
            </w:r>
          </w:p>
        </w:tc>
        <w:tc>
          <w:tcPr>
            <w:tcW w:w="49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1 493 851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1 493 851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1 440 768 </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1 440 768 </w:t>
            </w:r>
          </w:p>
        </w:tc>
        <w:tc>
          <w:tcPr>
            <w:tcW w:w="456"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1 440 768 </w:t>
            </w:r>
          </w:p>
        </w:tc>
      </w:tr>
      <w:tr>
        <w:tblPrEx>
          <w:tblW w:w="5000" w:type="pct"/>
          <w:tblCellMar>
            <w:left w:w="70" w:type="dxa"/>
            <w:right w:w="70" w:type="dxa"/>
          </w:tblCellMar>
          <w:tblLook w:val="04A0"/>
        </w:tblPrEx>
        <w:trPr>
          <w:trHeight w:val="255"/>
        </w:trPr>
        <w:tc>
          <w:tcPr>
            <w:tcW w:w="1684" w:type="pct"/>
            <w:tcBorders>
              <w:top w:val="nil"/>
              <w:left w:val="single" w:sz="4" w:space="0" w:color="auto"/>
              <w:bottom w:val="single" w:sz="4" w:space="0" w:color="auto"/>
              <w:right w:val="single" w:sz="4" w:space="0" w:color="auto"/>
            </w:tcBorders>
            <w:textDirection w:val="lrTb"/>
            <w:vAlign w:val="center"/>
            <w:hideMark/>
          </w:tcPr>
          <w:p w:rsidR="00CB350B" w:rsidRPr="00F1798A" w:rsidP="00257E12">
            <w:pPr>
              <w:bidi w:val="0"/>
              <w:rPr>
                <w:rFonts w:ascii="Times New Roman" w:hAnsi="Times New Roman" w:cs="Times New Roman"/>
                <w:sz w:val="14"/>
                <w:szCs w:val="14"/>
              </w:rPr>
            </w:pPr>
            <w:r w:rsidRPr="00F1798A">
              <w:rPr>
                <w:rFonts w:ascii="Times New Roman" w:hAnsi="Times New Roman" w:cs="Times New Roman"/>
                <w:sz w:val="14"/>
                <w:szCs w:val="14"/>
              </w:rPr>
              <w:t>Štátny veterinárny a potravinový ústav Košice</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500 687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400 339 </w:t>
            </w:r>
          </w:p>
        </w:tc>
        <w:tc>
          <w:tcPr>
            <w:tcW w:w="49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413 094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413 094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405 184 </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405 184 </w:t>
            </w:r>
          </w:p>
        </w:tc>
        <w:tc>
          <w:tcPr>
            <w:tcW w:w="456"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405 184 </w:t>
            </w:r>
          </w:p>
        </w:tc>
      </w:tr>
      <w:tr>
        <w:tblPrEx>
          <w:tblW w:w="5000" w:type="pct"/>
          <w:tblCellMar>
            <w:left w:w="70" w:type="dxa"/>
            <w:right w:w="70" w:type="dxa"/>
          </w:tblCellMar>
          <w:tblLook w:val="04A0"/>
        </w:tblPrEx>
        <w:trPr>
          <w:trHeight w:val="255"/>
        </w:trPr>
        <w:tc>
          <w:tcPr>
            <w:tcW w:w="1684" w:type="pct"/>
            <w:tcBorders>
              <w:top w:val="nil"/>
              <w:left w:val="single" w:sz="4" w:space="0" w:color="auto"/>
              <w:bottom w:val="single" w:sz="4" w:space="0" w:color="auto"/>
              <w:right w:val="single" w:sz="4" w:space="0" w:color="auto"/>
            </w:tcBorders>
            <w:textDirection w:val="lrTb"/>
            <w:vAlign w:val="center"/>
            <w:hideMark/>
          </w:tcPr>
          <w:p w:rsidR="00CB350B" w:rsidRPr="00F1798A" w:rsidP="00257E12">
            <w:pPr>
              <w:bidi w:val="0"/>
              <w:rPr>
                <w:rFonts w:ascii="Times New Roman" w:hAnsi="Times New Roman" w:cs="Times New Roman"/>
                <w:sz w:val="14"/>
                <w:szCs w:val="14"/>
              </w:rPr>
            </w:pPr>
            <w:r w:rsidRPr="00F1798A">
              <w:rPr>
                <w:rFonts w:ascii="Times New Roman" w:hAnsi="Times New Roman" w:cs="Times New Roman"/>
                <w:sz w:val="14"/>
                <w:szCs w:val="14"/>
              </w:rPr>
              <w:t>Inštitút vzdelávania veterinárnych lekárov, Košice</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224 149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181 606 </w:t>
            </w:r>
          </w:p>
        </w:tc>
        <w:tc>
          <w:tcPr>
            <w:tcW w:w="49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163 445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163 445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158 309 </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158 309 </w:t>
            </w:r>
          </w:p>
        </w:tc>
        <w:tc>
          <w:tcPr>
            <w:tcW w:w="456"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158 309 </w:t>
            </w:r>
          </w:p>
        </w:tc>
      </w:tr>
      <w:tr>
        <w:tblPrEx>
          <w:tblW w:w="5000" w:type="pct"/>
          <w:tblCellMar>
            <w:left w:w="70" w:type="dxa"/>
            <w:right w:w="70" w:type="dxa"/>
          </w:tblCellMar>
          <w:tblLook w:val="04A0"/>
        </w:tblPrEx>
        <w:trPr>
          <w:trHeight w:val="510"/>
        </w:trPr>
        <w:tc>
          <w:tcPr>
            <w:tcW w:w="1684" w:type="pct"/>
            <w:tcBorders>
              <w:top w:val="nil"/>
              <w:left w:val="single" w:sz="4" w:space="0" w:color="auto"/>
              <w:bottom w:val="single" w:sz="4" w:space="0" w:color="auto"/>
              <w:right w:val="single" w:sz="4" w:space="0" w:color="auto"/>
            </w:tcBorders>
            <w:textDirection w:val="lrTb"/>
            <w:vAlign w:val="center"/>
            <w:hideMark/>
          </w:tcPr>
          <w:p w:rsidR="00CB350B" w:rsidRPr="00F1798A" w:rsidP="00257E12">
            <w:pPr>
              <w:bidi w:val="0"/>
              <w:rPr>
                <w:rFonts w:ascii="Times New Roman" w:hAnsi="Times New Roman" w:cs="Times New Roman"/>
                <w:sz w:val="14"/>
                <w:szCs w:val="14"/>
              </w:rPr>
            </w:pPr>
            <w:r w:rsidRPr="00F1798A">
              <w:rPr>
                <w:rFonts w:ascii="Times New Roman" w:hAnsi="Times New Roman" w:cs="Times New Roman"/>
                <w:sz w:val="14"/>
                <w:szCs w:val="14"/>
              </w:rPr>
              <w:t>Štátne lesy Tatranského národného parku, Tatranská Lomnica</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2 359 746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1 645 540 </w:t>
            </w:r>
          </w:p>
        </w:tc>
        <w:tc>
          <w:tcPr>
            <w:tcW w:w="49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892 962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892 962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864 916 </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864 916 </w:t>
            </w:r>
          </w:p>
        </w:tc>
        <w:tc>
          <w:tcPr>
            <w:tcW w:w="456"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864 916 </w:t>
            </w:r>
          </w:p>
        </w:tc>
      </w:tr>
      <w:tr>
        <w:tblPrEx>
          <w:tblW w:w="5000" w:type="pct"/>
          <w:tblCellMar>
            <w:left w:w="70" w:type="dxa"/>
            <w:right w:w="70" w:type="dxa"/>
          </w:tblCellMar>
          <w:tblLook w:val="04A0"/>
        </w:tblPrEx>
        <w:trPr>
          <w:trHeight w:val="255"/>
        </w:trPr>
        <w:tc>
          <w:tcPr>
            <w:tcW w:w="1684" w:type="pct"/>
            <w:tcBorders>
              <w:top w:val="nil"/>
              <w:left w:val="single" w:sz="4" w:space="0" w:color="auto"/>
              <w:bottom w:val="single" w:sz="4" w:space="0" w:color="auto"/>
              <w:right w:val="single" w:sz="4" w:space="0" w:color="auto"/>
            </w:tcBorders>
            <w:textDirection w:val="lrTb"/>
            <w:vAlign w:val="center"/>
            <w:hideMark/>
          </w:tcPr>
          <w:p w:rsidR="00CB350B" w:rsidRPr="00F1798A" w:rsidP="00257E12">
            <w:pPr>
              <w:bidi w:val="0"/>
              <w:rPr>
                <w:rFonts w:ascii="Times New Roman" w:hAnsi="Times New Roman" w:cs="Times New Roman"/>
                <w:sz w:val="14"/>
                <w:szCs w:val="14"/>
              </w:rPr>
            </w:pPr>
            <w:r w:rsidRPr="00F1798A">
              <w:rPr>
                <w:rFonts w:ascii="Times New Roman" w:hAnsi="Times New Roman" w:cs="Times New Roman"/>
                <w:sz w:val="14"/>
                <w:szCs w:val="14"/>
              </w:rPr>
              <w:t>Agentúra pre rozvoj vidieka, Nitra</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104 079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97 470 </w:t>
            </w:r>
          </w:p>
        </w:tc>
        <w:tc>
          <w:tcPr>
            <w:tcW w:w="49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58 023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113 023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112 293 </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112 293 </w:t>
            </w:r>
          </w:p>
        </w:tc>
        <w:tc>
          <w:tcPr>
            <w:tcW w:w="456"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112 293 </w:t>
            </w:r>
          </w:p>
        </w:tc>
      </w:tr>
      <w:tr>
        <w:tblPrEx>
          <w:tblW w:w="5000" w:type="pct"/>
          <w:tblCellMar>
            <w:left w:w="70" w:type="dxa"/>
            <w:right w:w="70" w:type="dxa"/>
          </w:tblCellMar>
          <w:tblLook w:val="04A0"/>
        </w:tblPrEx>
        <w:trPr>
          <w:trHeight w:val="255"/>
        </w:trPr>
        <w:tc>
          <w:tcPr>
            <w:tcW w:w="1684" w:type="pct"/>
            <w:tcBorders>
              <w:top w:val="nil"/>
              <w:left w:val="single" w:sz="4" w:space="0" w:color="auto"/>
              <w:bottom w:val="single" w:sz="4" w:space="0" w:color="auto"/>
              <w:right w:val="single" w:sz="4" w:space="0" w:color="auto"/>
            </w:tcBorders>
            <w:textDirection w:val="lrTb"/>
            <w:vAlign w:val="center"/>
            <w:hideMark/>
          </w:tcPr>
          <w:p w:rsidR="00CB350B" w:rsidRPr="00F1798A" w:rsidP="00257E12">
            <w:pPr>
              <w:bidi w:val="0"/>
              <w:rPr>
                <w:rFonts w:ascii="Times New Roman" w:hAnsi="Times New Roman" w:cs="Times New Roman"/>
                <w:sz w:val="14"/>
                <w:szCs w:val="14"/>
              </w:rPr>
            </w:pPr>
            <w:r w:rsidRPr="00F1798A">
              <w:rPr>
                <w:rFonts w:ascii="Times New Roman" w:hAnsi="Times New Roman" w:cs="Times New Roman"/>
                <w:sz w:val="14"/>
                <w:szCs w:val="14"/>
              </w:rPr>
              <w:t>Múzeum vo Svätom Antone</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830 619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189 370 </w:t>
            </w:r>
          </w:p>
        </w:tc>
        <w:tc>
          <w:tcPr>
            <w:tcW w:w="49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125 433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125 433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124 281 </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124 281 </w:t>
            </w:r>
          </w:p>
        </w:tc>
        <w:tc>
          <w:tcPr>
            <w:tcW w:w="456"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124 281 </w:t>
            </w:r>
          </w:p>
        </w:tc>
      </w:tr>
      <w:tr>
        <w:tblPrEx>
          <w:tblW w:w="5000" w:type="pct"/>
          <w:tblCellMar>
            <w:left w:w="70" w:type="dxa"/>
            <w:right w:w="70" w:type="dxa"/>
          </w:tblCellMar>
          <w:tblLook w:val="04A0"/>
        </w:tblPrEx>
        <w:trPr>
          <w:trHeight w:val="510"/>
        </w:trPr>
        <w:tc>
          <w:tcPr>
            <w:tcW w:w="1684" w:type="pct"/>
            <w:tcBorders>
              <w:top w:val="nil"/>
              <w:left w:val="single" w:sz="4" w:space="0" w:color="auto"/>
              <w:bottom w:val="single" w:sz="4" w:space="0" w:color="auto"/>
              <w:right w:val="single" w:sz="4" w:space="0" w:color="auto"/>
            </w:tcBorders>
            <w:textDirection w:val="lrTb"/>
            <w:vAlign w:val="center"/>
            <w:hideMark/>
          </w:tcPr>
          <w:p w:rsidR="00CB350B" w:rsidRPr="00F1798A" w:rsidP="00257E12">
            <w:pPr>
              <w:bidi w:val="0"/>
              <w:rPr>
                <w:rFonts w:ascii="Times New Roman" w:hAnsi="Times New Roman" w:cs="Times New Roman"/>
                <w:sz w:val="14"/>
                <w:szCs w:val="14"/>
              </w:rPr>
            </w:pPr>
            <w:r w:rsidRPr="00F1798A">
              <w:rPr>
                <w:rFonts w:ascii="Times New Roman" w:hAnsi="Times New Roman" w:cs="Times New Roman"/>
                <w:sz w:val="14"/>
                <w:szCs w:val="14"/>
              </w:rPr>
              <w:t>Technický a skúšobný ústav pôdohospodársky, Rovinka</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350 371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390 918 </w:t>
            </w:r>
          </w:p>
        </w:tc>
        <w:tc>
          <w:tcPr>
            <w:tcW w:w="49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243 826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250 930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240 643 </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240 643 </w:t>
            </w:r>
          </w:p>
        </w:tc>
        <w:tc>
          <w:tcPr>
            <w:tcW w:w="456"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240 643 </w:t>
            </w:r>
          </w:p>
        </w:tc>
      </w:tr>
      <w:tr>
        <w:tblPrEx>
          <w:tblW w:w="5000" w:type="pct"/>
          <w:tblCellMar>
            <w:left w:w="70" w:type="dxa"/>
            <w:right w:w="70" w:type="dxa"/>
          </w:tblCellMar>
          <w:tblLook w:val="04A0"/>
        </w:tblPrEx>
        <w:trPr>
          <w:trHeight w:val="255"/>
        </w:trPr>
        <w:tc>
          <w:tcPr>
            <w:tcW w:w="1684" w:type="pct"/>
            <w:tcBorders>
              <w:top w:val="nil"/>
              <w:left w:val="single" w:sz="4" w:space="0" w:color="auto"/>
              <w:bottom w:val="single" w:sz="4" w:space="0" w:color="auto"/>
              <w:right w:val="single" w:sz="4" w:space="0" w:color="auto"/>
            </w:tcBorders>
            <w:textDirection w:val="lrTb"/>
            <w:vAlign w:val="center"/>
            <w:hideMark/>
          </w:tcPr>
          <w:p w:rsidR="00CB350B" w:rsidRPr="00F1798A" w:rsidP="00257E12">
            <w:pPr>
              <w:bidi w:val="0"/>
              <w:rPr>
                <w:rFonts w:ascii="Times New Roman" w:hAnsi="Times New Roman" w:cs="Times New Roman"/>
                <w:sz w:val="14"/>
                <w:szCs w:val="14"/>
              </w:rPr>
            </w:pPr>
            <w:r w:rsidRPr="00F1798A">
              <w:rPr>
                <w:rFonts w:ascii="Times New Roman" w:hAnsi="Times New Roman" w:cs="Times New Roman"/>
                <w:sz w:val="14"/>
                <w:szCs w:val="14"/>
              </w:rPr>
              <w:t>Centrum výskumu rastlinnej výroby Piešťany</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3 918 626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3 769 577 </w:t>
            </w:r>
          </w:p>
        </w:tc>
        <w:tc>
          <w:tcPr>
            <w:tcW w:w="49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2 356 011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2 356 011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2 309 680 </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2 309 680 </w:t>
            </w:r>
          </w:p>
        </w:tc>
        <w:tc>
          <w:tcPr>
            <w:tcW w:w="456"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2 309 680 </w:t>
            </w:r>
          </w:p>
        </w:tc>
      </w:tr>
      <w:tr>
        <w:tblPrEx>
          <w:tblW w:w="5000" w:type="pct"/>
          <w:tblCellMar>
            <w:left w:w="70" w:type="dxa"/>
            <w:right w:w="70" w:type="dxa"/>
          </w:tblCellMar>
          <w:tblLook w:val="04A0"/>
        </w:tblPrEx>
        <w:trPr>
          <w:trHeight w:val="255"/>
        </w:trPr>
        <w:tc>
          <w:tcPr>
            <w:tcW w:w="1684" w:type="pct"/>
            <w:tcBorders>
              <w:top w:val="nil"/>
              <w:left w:val="single" w:sz="4" w:space="0" w:color="auto"/>
              <w:bottom w:val="single" w:sz="4" w:space="0" w:color="auto"/>
              <w:right w:val="single" w:sz="4" w:space="0" w:color="auto"/>
            </w:tcBorders>
            <w:textDirection w:val="lrTb"/>
            <w:vAlign w:val="center"/>
            <w:hideMark/>
          </w:tcPr>
          <w:p w:rsidR="00CB350B" w:rsidRPr="00F1798A" w:rsidP="00257E12">
            <w:pPr>
              <w:bidi w:val="0"/>
              <w:rPr>
                <w:rFonts w:ascii="Times New Roman" w:hAnsi="Times New Roman" w:cs="Times New Roman"/>
                <w:sz w:val="14"/>
                <w:szCs w:val="14"/>
              </w:rPr>
            </w:pPr>
            <w:r w:rsidRPr="00F1798A">
              <w:rPr>
                <w:rFonts w:ascii="Times New Roman" w:hAnsi="Times New Roman" w:cs="Times New Roman"/>
                <w:sz w:val="14"/>
                <w:szCs w:val="14"/>
              </w:rPr>
              <w:t>Centrum výskumu živočíšnej výroby Nitra</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2 519 648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2 168 778 </w:t>
            </w:r>
          </w:p>
        </w:tc>
        <w:tc>
          <w:tcPr>
            <w:tcW w:w="49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1 936 967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1 936 967 </w:t>
            </w:r>
          </w:p>
        </w:tc>
        <w:tc>
          <w:tcPr>
            <w:tcW w:w="47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1 888 739 </w:t>
            </w:r>
          </w:p>
        </w:tc>
        <w:tc>
          <w:tcPr>
            <w:tcW w:w="480"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1 884 075 </w:t>
            </w:r>
          </w:p>
        </w:tc>
        <w:tc>
          <w:tcPr>
            <w:tcW w:w="456" w:type="pct"/>
            <w:tcBorders>
              <w:top w:val="nil"/>
              <w:left w:val="nil"/>
              <w:bottom w:val="single" w:sz="4" w:space="0" w:color="auto"/>
              <w:right w:val="single" w:sz="4" w:space="0" w:color="auto"/>
            </w:tcBorders>
            <w:noWrap/>
            <w:textDirection w:val="lrTb"/>
            <w:vAlign w:val="center"/>
            <w:hideMark/>
          </w:tcPr>
          <w:p w:rsidR="00CB350B" w:rsidRPr="00F1798A" w:rsidP="00257E12">
            <w:pPr>
              <w:bidi w:val="0"/>
              <w:jc w:val="right"/>
              <w:rPr>
                <w:rFonts w:ascii="Times New Roman" w:hAnsi="Times New Roman" w:cs="Times New Roman"/>
                <w:sz w:val="14"/>
                <w:szCs w:val="14"/>
              </w:rPr>
            </w:pPr>
            <w:r w:rsidRPr="00F1798A">
              <w:rPr>
                <w:rFonts w:ascii="Times New Roman" w:hAnsi="Times New Roman" w:cs="Times New Roman"/>
                <w:sz w:val="14"/>
                <w:szCs w:val="14"/>
              </w:rPr>
              <w:t xml:space="preserve">1 884 075 </w:t>
            </w:r>
          </w:p>
        </w:tc>
      </w:tr>
    </w:tbl>
    <w:p w:rsidR="00CB350B" w:rsidRPr="00432A91" w:rsidP="00CB350B">
      <w:pPr>
        <w:bidi w:val="0"/>
        <w:jc w:val="both"/>
        <w:rPr>
          <w:rFonts w:ascii="Times New Roman" w:hAnsi="Times New Roman" w:cs="Times New Roman"/>
        </w:rPr>
      </w:pPr>
    </w:p>
    <w:p w:rsidR="00CB350B" w:rsidRPr="00432A91" w:rsidP="00CB350B">
      <w:pPr>
        <w:bidi w:val="0"/>
        <w:ind w:firstLine="708"/>
        <w:jc w:val="both"/>
        <w:rPr>
          <w:rFonts w:ascii="Times New Roman" w:hAnsi="Times New Roman" w:cs="Times New Roman"/>
        </w:rPr>
      </w:pPr>
      <w:r w:rsidRPr="00432A91">
        <w:rPr>
          <w:rFonts w:ascii="Times New Roman" w:hAnsi="Times New Roman" w:cs="Times New Roman"/>
        </w:rPr>
        <w:t xml:space="preserve">Celkové výdavky zo ŠR na inštitucionálnu podporu pôdohospodárstva sú v roku 2012 rozpočtované na takmer rovnakej úrovni ako v schválenom rozpočte roku 2011. Výdavky rozpočtových organizácií v porovnaní so schváleným rozpočtom roku 2011 rastú o 0,50 %, naproti tomu výdavky príspevkových organizácií medziročne klesajú o 2,02 %. </w:t>
      </w:r>
    </w:p>
    <w:p w:rsidR="00CB350B" w:rsidP="00CB350B">
      <w:pPr>
        <w:bidi w:val="0"/>
      </w:pPr>
    </w:p>
    <w:p w:rsidR="00CB350B" w:rsidP="00CB350B">
      <w:pPr>
        <w:pBdr>
          <w:bottom w:val="single" w:sz="4" w:space="1" w:color="auto"/>
        </w:pBdr>
        <w:bidi w:val="0"/>
        <w:rPr>
          <w:rFonts w:ascii="Times New Roman" w:hAnsi="Times New Roman" w:cs="Times New Roman"/>
          <w:b/>
          <w:bCs/>
        </w:rPr>
      </w:pPr>
      <w:r w:rsidRPr="00432A91">
        <w:rPr>
          <w:rFonts w:ascii="Times New Roman" w:hAnsi="Times New Roman" w:cs="Times New Roman"/>
          <w:b/>
          <w:bCs/>
        </w:rPr>
        <w:t>Ministerstvo vnútra SR</w:t>
      </w:r>
    </w:p>
    <w:p w:rsidR="000163CE" w:rsidRPr="00C11F98" w:rsidP="000163CE">
      <w:pPr>
        <w:bidi w:val="0"/>
        <w:rPr>
          <w:rFonts w:ascii="Times New Roman" w:hAnsi="Times New Roman" w:cs="Times New Roman"/>
          <w:b/>
          <w:bCs/>
        </w:rPr>
      </w:pPr>
    </w:p>
    <w:tbl>
      <w:tblPr>
        <w:tblStyle w:val="TableNormal"/>
        <w:tblW w:w="5155" w:type="pct"/>
        <w:tblInd w:w="70" w:type="dxa"/>
        <w:tblCellMar>
          <w:left w:w="70" w:type="dxa"/>
          <w:right w:w="70" w:type="dxa"/>
        </w:tblCellMar>
        <w:tblLook w:val="04A0"/>
      </w:tblPr>
      <w:tblGrid>
        <w:gridCol w:w="2552"/>
        <w:gridCol w:w="992"/>
        <w:gridCol w:w="992"/>
        <w:gridCol w:w="992"/>
        <w:gridCol w:w="993"/>
        <w:gridCol w:w="992"/>
        <w:gridCol w:w="992"/>
        <w:gridCol w:w="993"/>
      </w:tblGrid>
      <w:tr>
        <w:tblPrEx>
          <w:tblW w:w="5155" w:type="pct"/>
          <w:tblInd w:w="70" w:type="dxa"/>
          <w:tblCellMar>
            <w:left w:w="70" w:type="dxa"/>
            <w:right w:w="70" w:type="dxa"/>
          </w:tblCellMar>
          <w:tblLook w:val="04A0"/>
        </w:tblPrEx>
        <w:trPr>
          <w:trHeight w:val="259"/>
        </w:trPr>
        <w:tc>
          <w:tcPr>
            <w:tcW w:w="1343" w:type="pct"/>
            <w:tcBorders>
              <w:top w:val="single" w:sz="4" w:space="0" w:color="auto"/>
              <w:left w:val="single" w:sz="4" w:space="0" w:color="auto"/>
              <w:bottom w:val="single" w:sz="4" w:space="0" w:color="auto"/>
              <w:right w:val="single" w:sz="4" w:space="0" w:color="auto"/>
            </w:tcBorders>
            <w:noWrap/>
            <w:textDirection w:val="lrTb"/>
            <w:vAlign w:val="bottom"/>
            <w:hideMark/>
          </w:tcPr>
          <w:p w:rsidR="000163CE" w:rsidRPr="00C11F98" w:rsidP="009112FB">
            <w:pPr>
              <w:bidi w:val="0"/>
              <w:rPr>
                <w:rFonts w:ascii="Times New Roman" w:hAnsi="Times New Roman" w:cs="Times New Roman"/>
                <w:b/>
                <w:sz w:val="14"/>
                <w:szCs w:val="14"/>
              </w:rPr>
            </w:pPr>
            <w:r w:rsidRPr="00C11F98">
              <w:rPr>
                <w:rFonts w:ascii="Times New Roman" w:hAnsi="Times New Roman" w:cs="Times New Roman"/>
                <w:b/>
                <w:sz w:val="14"/>
                <w:szCs w:val="14"/>
              </w:rPr>
              <w:t> v eurách</w:t>
            </w:r>
          </w:p>
        </w:tc>
        <w:tc>
          <w:tcPr>
            <w:tcW w:w="522" w:type="pct"/>
            <w:tcBorders>
              <w:top w:val="single" w:sz="4" w:space="0" w:color="auto"/>
              <w:left w:val="single" w:sz="4" w:space="0" w:color="auto"/>
              <w:bottom w:val="single" w:sz="4" w:space="0" w:color="auto"/>
              <w:right w:val="single" w:sz="4" w:space="0" w:color="auto"/>
            </w:tcBorders>
            <w:noWrap/>
            <w:textDirection w:val="lrTb"/>
            <w:vAlign w:val="bottom"/>
            <w:hideMark/>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2009 S</w:t>
            </w:r>
          </w:p>
        </w:tc>
        <w:tc>
          <w:tcPr>
            <w:tcW w:w="522" w:type="pct"/>
            <w:tcBorders>
              <w:top w:val="single" w:sz="4" w:space="0" w:color="auto"/>
              <w:left w:val="single" w:sz="4" w:space="0" w:color="auto"/>
              <w:bottom w:val="single" w:sz="4" w:space="0" w:color="auto"/>
              <w:right w:val="single" w:sz="4" w:space="0" w:color="auto"/>
            </w:tcBorders>
            <w:noWrap/>
            <w:textDirection w:val="lrTb"/>
            <w:vAlign w:val="bottom"/>
            <w:hideMark/>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2010 S</w:t>
            </w:r>
          </w:p>
        </w:tc>
        <w:tc>
          <w:tcPr>
            <w:tcW w:w="522" w:type="pct"/>
            <w:tcBorders>
              <w:top w:val="single" w:sz="4" w:space="0" w:color="auto"/>
              <w:left w:val="single" w:sz="4" w:space="0" w:color="auto"/>
              <w:bottom w:val="single" w:sz="4" w:space="0" w:color="auto"/>
              <w:right w:val="single" w:sz="4" w:space="0" w:color="auto"/>
            </w:tcBorders>
            <w:noWrap/>
            <w:textDirection w:val="lrTb"/>
            <w:vAlign w:val="bottom"/>
            <w:hideMark/>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2011 R</w:t>
            </w:r>
          </w:p>
        </w:tc>
        <w:tc>
          <w:tcPr>
            <w:tcW w:w="523" w:type="pct"/>
            <w:tcBorders>
              <w:top w:val="single" w:sz="4" w:space="0" w:color="auto"/>
              <w:left w:val="single" w:sz="4" w:space="0" w:color="auto"/>
              <w:bottom w:val="single" w:sz="4" w:space="0" w:color="auto"/>
              <w:right w:val="single" w:sz="4" w:space="0" w:color="auto"/>
            </w:tcBorders>
            <w:noWrap/>
            <w:textDirection w:val="lrTb"/>
            <w:vAlign w:val="bottom"/>
            <w:hideMark/>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2011 OS</w:t>
            </w:r>
          </w:p>
        </w:tc>
        <w:tc>
          <w:tcPr>
            <w:tcW w:w="522" w:type="pct"/>
            <w:tcBorders>
              <w:top w:val="single" w:sz="4" w:space="0" w:color="auto"/>
              <w:left w:val="single" w:sz="4" w:space="0" w:color="auto"/>
              <w:bottom w:val="single" w:sz="4" w:space="0" w:color="auto"/>
              <w:right w:val="single" w:sz="4" w:space="0" w:color="auto"/>
            </w:tcBorders>
            <w:noWrap/>
            <w:textDirection w:val="lrTb"/>
            <w:vAlign w:val="bottom"/>
            <w:hideMark/>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2012 N</w:t>
            </w:r>
          </w:p>
        </w:tc>
        <w:tc>
          <w:tcPr>
            <w:tcW w:w="522" w:type="pct"/>
            <w:tcBorders>
              <w:top w:val="single" w:sz="4" w:space="0" w:color="auto"/>
              <w:left w:val="single" w:sz="4" w:space="0" w:color="auto"/>
              <w:bottom w:val="single" w:sz="4" w:space="0" w:color="auto"/>
              <w:right w:val="single" w:sz="4" w:space="0" w:color="auto"/>
            </w:tcBorders>
            <w:noWrap/>
            <w:textDirection w:val="lrTb"/>
            <w:vAlign w:val="bottom"/>
            <w:hideMark/>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2013 N</w:t>
            </w:r>
          </w:p>
        </w:tc>
        <w:tc>
          <w:tcPr>
            <w:tcW w:w="523" w:type="pct"/>
            <w:tcBorders>
              <w:top w:val="single" w:sz="4" w:space="0" w:color="auto"/>
              <w:left w:val="single" w:sz="4" w:space="0" w:color="auto"/>
              <w:bottom w:val="single" w:sz="4" w:space="0" w:color="auto"/>
              <w:right w:val="single" w:sz="4" w:space="0" w:color="auto"/>
            </w:tcBorders>
            <w:noWrap/>
            <w:textDirection w:val="lrTb"/>
            <w:vAlign w:val="bottom"/>
            <w:hideMark/>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2014 N</w:t>
            </w:r>
          </w:p>
        </w:tc>
      </w:tr>
      <w:tr>
        <w:tblPrEx>
          <w:tblW w:w="5155" w:type="pct"/>
          <w:tblInd w:w="70" w:type="dxa"/>
          <w:tblCellMar>
            <w:left w:w="70" w:type="dxa"/>
            <w:right w:w="70" w:type="dxa"/>
          </w:tblCellMar>
          <w:tblLook w:val="04A0"/>
        </w:tblPrEx>
        <w:trPr>
          <w:trHeight w:val="259"/>
        </w:trPr>
        <w:tc>
          <w:tcPr>
            <w:tcW w:w="1343" w:type="pct"/>
            <w:tcBorders>
              <w:top w:val="single" w:sz="4" w:space="0" w:color="auto"/>
              <w:left w:val="single" w:sz="4" w:space="0" w:color="auto"/>
              <w:bottom w:val="single" w:sz="4" w:space="0" w:color="auto"/>
              <w:right w:val="single" w:sz="4" w:space="0" w:color="auto"/>
            </w:tcBorders>
            <w:noWrap/>
            <w:textDirection w:val="lrTb"/>
            <w:vAlign w:val="bottom"/>
            <w:hideMark/>
          </w:tcPr>
          <w:p w:rsidR="000163CE" w:rsidRPr="00C11F98" w:rsidP="009112FB">
            <w:pPr>
              <w:bidi w:val="0"/>
              <w:rPr>
                <w:rFonts w:ascii="Times New Roman" w:hAnsi="Times New Roman" w:cs="Times New Roman"/>
                <w:b/>
                <w:bCs/>
                <w:sz w:val="14"/>
                <w:szCs w:val="14"/>
              </w:rPr>
            </w:pPr>
            <w:r w:rsidRPr="00C11F98">
              <w:rPr>
                <w:rFonts w:ascii="Times New Roman" w:hAnsi="Times New Roman" w:cs="Times New Roman"/>
                <w:b/>
                <w:bCs/>
                <w:sz w:val="14"/>
                <w:szCs w:val="14"/>
              </w:rPr>
              <w:t>Ministerstvo vnútra SR</w:t>
            </w:r>
          </w:p>
        </w:tc>
        <w:tc>
          <w:tcPr>
            <w:tcW w:w="522" w:type="pct"/>
            <w:tcBorders>
              <w:top w:val="single" w:sz="4" w:space="0" w:color="auto"/>
              <w:left w:val="nil"/>
              <w:bottom w:val="single" w:sz="4" w:space="0" w:color="auto"/>
              <w:right w:val="single" w:sz="4" w:space="0" w:color="auto"/>
            </w:tcBorders>
            <w:textDirection w:val="lrTb"/>
            <w:vAlign w:val="bottom"/>
            <w:hideMark/>
          </w:tcPr>
          <w:p w:rsidR="000163CE" w:rsidRPr="00C11F98" w:rsidP="009112FB">
            <w:pPr>
              <w:bidi w:val="0"/>
              <w:jc w:val="right"/>
              <w:rPr>
                <w:rFonts w:ascii="Times New Roman" w:hAnsi="Times New Roman" w:cs="Times New Roman"/>
                <w:b/>
                <w:bCs/>
                <w:sz w:val="14"/>
                <w:szCs w:val="14"/>
              </w:rPr>
            </w:pPr>
            <w:r w:rsidRPr="00C11F98">
              <w:rPr>
                <w:rFonts w:ascii="Times New Roman" w:hAnsi="Times New Roman" w:cs="Times New Roman"/>
                <w:b/>
                <w:bCs/>
                <w:sz w:val="14"/>
                <w:szCs w:val="14"/>
              </w:rPr>
              <w:t>1 014 167 950</w:t>
            </w:r>
          </w:p>
        </w:tc>
        <w:tc>
          <w:tcPr>
            <w:tcW w:w="522" w:type="pct"/>
            <w:tcBorders>
              <w:top w:val="single" w:sz="4" w:space="0" w:color="auto"/>
              <w:left w:val="nil"/>
              <w:bottom w:val="single" w:sz="4" w:space="0" w:color="auto"/>
              <w:right w:val="single" w:sz="4" w:space="0" w:color="auto"/>
            </w:tcBorders>
            <w:textDirection w:val="lrTb"/>
            <w:vAlign w:val="bottom"/>
            <w:hideMark/>
          </w:tcPr>
          <w:p w:rsidR="000163CE" w:rsidRPr="00C11F98" w:rsidP="009112FB">
            <w:pPr>
              <w:autoSpaceDE w:val="0"/>
              <w:autoSpaceDN w:val="0"/>
              <w:bidi w:val="0"/>
              <w:adjustRightInd w:val="0"/>
              <w:jc w:val="right"/>
              <w:rPr>
                <w:rFonts w:ascii="Times New Roman" w:hAnsi="Times New Roman" w:cs="Times New Roman"/>
                <w:b/>
                <w:sz w:val="14"/>
                <w:szCs w:val="14"/>
              </w:rPr>
            </w:pPr>
            <w:r w:rsidRPr="00C11F98">
              <w:rPr>
                <w:rFonts w:ascii="Times New Roman" w:hAnsi="Times New Roman" w:cs="Times New Roman"/>
                <w:b/>
                <w:sz w:val="14"/>
                <w:szCs w:val="14"/>
              </w:rPr>
              <w:t>1 021 053 882</w:t>
            </w:r>
          </w:p>
        </w:tc>
        <w:tc>
          <w:tcPr>
            <w:tcW w:w="522" w:type="pct"/>
            <w:tcBorders>
              <w:top w:val="single" w:sz="4" w:space="0" w:color="auto"/>
              <w:left w:val="nil"/>
              <w:bottom w:val="single" w:sz="4" w:space="0" w:color="auto"/>
              <w:right w:val="single" w:sz="4" w:space="0" w:color="auto"/>
            </w:tcBorders>
            <w:textDirection w:val="lrTb"/>
            <w:vAlign w:val="bottom"/>
            <w:hideMark/>
          </w:tcPr>
          <w:p w:rsidR="000163CE" w:rsidRPr="00C11F98" w:rsidP="009112FB">
            <w:pPr>
              <w:bidi w:val="0"/>
              <w:jc w:val="right"/>
              <w:rPr>
                <w:rFonts w:ascii="Times New Roman" w:hAnsi="Times New Roman" w:cs="Times New Roman"/>
                <w:b/>
                <w:bCs/>
                <w:sz w:val="14"/>
                <w:szCs w:val="14"/>
              </w:rPr>
            </w:pPr>
            <w:r w:rsidRPr="00C11F98">
              <w:rPr>
                <w:rFonts w:ascii="Times New Roman" w:hAnsi="Times New Roman" w:cs="Times New Roman"/>
                <w:b/>
                <w:bCs/>
                <w:sz w:val="14"/>
                <w:szCs w:val="14"/>
              </w:rPr>
              <w:t>888 357 474</w:t>
            </w:r>
          </w:p>
        </w:tc>
        <w:tc>
          <w:tcPr>
            <w:tcW w:w="523" w:type="pct"/>
            <w:tcBorders>
              <w:top w:val="single" w:sz="4" w:space="0" w:color="auto"/>
              <w:left w:val="nil"/>
              <w:bottom w:val="single" w:sz="4" w:space="0" w:color="auto"/>
              <w:right w:val="single" w:sz="4" w:space="0" w:color="auto"/>
            </w:tcBorders>
            <w:textDirection w:val="lrTb"/>
            <w:vAlign w:val="bottom"/>
            <w:hideMark/>
          </w:tcPr>
          <w:p w:rsidR="000163CE" w:rsidRPr="00C11F98" w:rsidP="009112FB">
            <w:pPr>
              <w:bidi w:val="0"/>
              <w:jc w:val="right"/>
              <w:rPr>
                <w:rFonts w:ascii="Times New Roman" w:hAnsi="Times New Roman" w:cs="Times New Roman"/>
                <w:b/>
                <w:bCs/>
                <w:sz w:val="14"/>
                <w:szCs w:val="14"/>
              </w:rPr>
            </w:pPr>
            <w:r w:rsidRPr="00C11F98">
              <w:rPr>
                <w:rFonts w:ascii="Times New Roman" w:hAnsi="Times New Roman" w:cs="Times New Roman"/>
                <w:b/>
                <w:bCs/>
                <w:sz w:val="14"/>
                <w:szCs w:val="14"/>
              </w:rPr>
              <w:t>941 266 740</w:t>
            </w:r>
          </w:p>
        </w:tc>
        <w:tc>
          <w:tcPr>
            <w:tcW w:w="522" w:type="pct"/>
            <w:tcBorders>
              <w:top w:val="single" w:sz="4" w:space="0" w:color="auto"/>
              <w:left w:val="nil"/>
              <w:bottom w:val="single" w:sz="4" w:space="0" w:color="auto"/>
              <w:right w:val="single" w:sz="4" w:space="0" w:color="auto"/>
            </w:tcBorders>
            <w:textDirection w:val="lrTb"/>
            <w:vAlign w:val="bottom"/>
            <w:hideMark/>
          </w:tcPr>
          <w:p w:rsidR="000163CE" w:rsidRPr="00C11F98" w:rsidP="009112FB">
            <w:pPr>
              <w:bidi w:val="0"/>
              <w:jc w:val="right"/>
              <w:rPr>
                <w:rFonts w:ascii="Times New Roman" w:hAnsi="Times New Roman" w:cs="Times New Roman"/>
                <w:b/>
                <w:bCs/>
                <w:sz w:val="14"/>
                <w:szCs w:val="14"/>
              </w:rPr>
            </w:pPr>
            <w:r w:rsidRPr="00C11F98">
              <w:rPr>
                <w:rFonts w:ascii="Times New Roman" w:hAnsi="Times New Roman" w:cs="Times New Roman"/>
                <w:b/>
                <w:bCs/>
                <w:sz w:val="14"/>
                <w:szCs w:val="14"/>
              </w:rPr>
              <w:t>960 009 748</w:t>
            </w:r>
          </w:p>
        </w:tc>
        <w:tc>
          <w:tcPr>
            <w:tcW w:w="522" w:type="pct"/>
            <w:tcBorders>
              <w:top w:val="single" w:sz="4" w:space="0" w:color="auto"/>
              <w:left w:val="nil"/>
              <w:bottom w:val="single" w:sz="4" w:space="0" w:color="auto"/>
              <w:right w:val="single" w:sz="4" w:space="0" w:color="auto"/>
            </w:tcBorders>
            <w:textDirection w:val="lrTb"/>
            <w:vAlign w:val="bottom"/>
            <w:hideMark/>
          </w:tcPr>
          <w:p w:rsidR="000163CE" w:rsidRPr="00C11F98" w:rsidP="009112FB">
            <w:pPr>
              <w:bidi w:val="0"/>
              <w:jc w:val="right"/>
              <w:rPr>
                <w:rFonts w:ascii="Times New Roman" w:hAnsi="Times New Roman" w:cs="Times New Roman"/>
                <w:b/>
                <w:bCs/>
                <w:sz w:val="14"/>
                <w:szCs w:val="14"/>
              </w:rPr>
            </w:pPr>
            <w:r w:rsidRPr="00C11F98">
              <w:rPr>
                <w:rFonts w:ascii="Times New Roman" w:hAnsi="Times New Roman" w:cs="Times New Roman"/>
                <w:b/>
                <w:bCs/>
                <w:sz w:val="14"/>
                <w:szCs w:val="14"/>
              </w:rPr>
              <w:t>936 286 349</w:t>
            </w:r>
          </w:p>
        </w:tc>
        <w:tc>
          <w:tcPr>
            <w:tcW w:w="523" w:type="pct"/>
            <w:tcBorders>
              <w:top w:val="single" w:sz="4" w:space="0" w:color="auto"/>
              <w:left w:val="nil"/>
              <w:bottom w:val="single" w:sz="4" w:space="0" w:color="auto"/>
              <w:right w:val="single" w:sz="4" w:space="0" w:color="auto"/>
            </w:tcBorders>
            <w:textDirection w:val="lrTb"/>
            <w:vAlign w:val="bottom"/>
            <w:hideMark/>
          </w:tcPr>
          <w:p w:rsidR="000163CE" w:rsidRPr="00C11F98" w:rsidP="009112FB">
            <w:pPr>
              <w:bidi w:val="0"/>
              <w:jc w:val="right"/>
              <w:rPr>
                <w:rFonts w:ascii="Times New Roman" w:hAnsi="Times New Roman" w:cs="Times New Roman"/>
                <w:b/>
                <w:bCs/>
                <w:sz w:val="14"/>
                <w:szCs w:val="14"/>
              </w:rPr>
            </w:pPr>
            <w:r w:rsidRPr="00C11F98">
              <w:rPr>
                <w:rFonts w:ascii="Times New Roman" w:hAnsi="Times New Roman" w:cs="Times New Roman"/>
                <w:b/>
                <w:bCs/>
                <w:sz w:val="14"/>
                <w:szCs w:val="14"/>
              </w:rPr>
              <w:t>967 580 055</w:t>
            </w:r>
          </w:p>
        </w:tc>
      </w:tr>
      <w:tr>
        <w:tblPrEx>
          <w:tblW w:w="5155" w:type="pct"/>
          <w:tblInd w:w="70" w:type="dxa"/>
          <w:tblCellMar>
            <w:left w:w="70" w:type="dxa"/>
            <w:right w:w="70" w:type="dxa"/>
          </w:tblCellMar>
          <w:tblLook w:val="04A0"/>
        </w:tblPrEx>
        <w:trPr>
          <w:trHeight w:val="259"/>
        </w:trPr>
        <w:tc>
          <w:tcPr>
            <w:tcW w:w="1343" w:type="pct"/>
            <w:tcBorders>
              <w:top w:val="single" w:sz="4" w:space="0" w:color="auto"/>
              <w:left w:val="single" w:sz="4" w:space="0" w:color="auto"/>
              <w:bottom w:val="single" w:sz="4" w:space="0" w:color="auto"/>
              <w:right w:val="single" w:sz="4" w:space="0" w:color="auto"/>
            </w:tcBorders>
            <w:noWrap/>
            <w:textDirection w:val="lrTb"/>
            <w:vAlign w:val="bottom"/>
            <w:hideMark/>
          </w:tcPr>
          <w:p w:rsidR="000163CE" w:rsidRPr="00C11F98" w:rsidP="009112FB">
            <w:pPr>
              <w:bidi w:val="0"/>
              <w:rPr>
                <w:rFonts w:ascii="Times New Roman" w:hAnsi="Times New Roman" w:cs="Times New Roman"/>
                <w:bCs/>
                <w:sz w:val="14"/>
                <w:szCs w:val="14"/>
              </w:rPr>
            </w:pPr>
            <w:r w:rsidRPr="00C11F98">
              <w:rPr>
                <w:rFonts w:ascii="Times New Roman" w:hAnsi="Times New Roman" w:cs="Times New Roman"/>
                <w:bCs/>
                <w:sz w:val="14"/>
                <w:szCs w:val="14"/>
              </w:rPr>
              <w:t>Záchranné zložky</w:t>
            </w:r>
          </w:p>
        </w:tc>
        <w:tc>
          <w:tcPr>
            <w:tcW w:w="522" w:type="pct"/>
            <w:tcBorders>
              <w:top w:val="single" w:sz="4" w:space="0" w:color="auto"/>
              <w:left w:val="nil"/>
              <w:bottom w:val="single" w:sz="4" w:space="0" w:color="auto"/>
              <w:right w:val="single" w:sz="4" w:space="0" w:color="auto"/>
            </w:tcBorders>
            <w:textDirection w:val="lrTb"/>
            <w:vAlign w:val="bottom"/>
            <w:hideMark/>
          </w:tcPr>
          <w:p w:rsidR="000163CE" w:rsidRPr="00C11F98" w:rsidP="009112FB">
            <w:pPr>
              <w:bidi w:val="0"/>
              <w:jc w:val="right"/>
              <w:rPr>
                <w:rFonts w:ascii="Times New Roman" w:hAnsi="Times New Roman" w:cs="Times New Roman"/>
                <w:bCs/>
                <w:sz w:val="14"/>
                <w:szCs w:val="14"/>
              </w:rPr>
            </w:pPr>
            <w:r w:rsidRPr="00C11F98">
              <w:rPr>
                <w:rFonts w:ascii="Times New Roman" w:hAnsi="Times New Roman" w:cs="Times New Roman"/>
                <w:bCs/>
                <w:sz w:val="14"/>
                <w:szCs w:val="14"/>
              </w:rPr>
              <w:t xml:space="preserve">154 110 756   </w:t>
            </w:r>
          </w:p>
        </w:tc>
        <w:tc>
          <w:tcPr>
            <w:tcW w:w="522" w:type="pct"/>
            <w:tcBorders>
              <w:top w:val="single" w:sz="4" w:space="0" w:color="auto"/>
              <w:left w:val="nil"/>
              <w:bottom w:val="single" w:sz="4" w:space="0" w:color="auto"/>
              <w:right w:val="single" w:sz="4" w:space="0" w:color="auto"/>
            </w:tcBorders>
            <w:textDirection w:val="lrTb"/>
            <w:vAlign w:val="bottom"/>
            <w:hideMark/>
          </w:tcPr>
          <w:p w:rsidR="000163CE" w:rsidRPr="00C11F98" w:rsidP="009112FB">
            <w:pPr>
              <w:bidi w:val="0"/>
              <w:jc w:val="right"/>
              <w:rPr>
                <w:rFonts w:ascii="Times New Roman" w:hAnsi="Times New Roman" w:cs="Times New Roman"/>
                <w:bCs/>
                <w:sz w:val="14"/>
                <w:szCs w:val="14"/>
              </w:rPr>
            </w:pPr>
            <w:r w:rsidRPr="00C11F98">
              <w:rPr>
                <w:rFonts w:ascii="Times New Roman" w:hAnsi="Times New Roman" w:cs="Times New Roman"/>
                <w:bCs/>
                <w:sz w:val="14"/>
                <w:szCs w:val="14"/>
              </w:rPr>
              <w:t>131 688 920</w:t>
            </w:r>
          </w:p>
        </w:tc>
        <w:tc>
          <w:tcPr>
            <w:tcW w:w="522" w:type="pct"/>
            <w:tcBorders>
              <w:top w:val="single" w:sz="4" w:space="0" w:color="auto"/>
              <w:left w:val="nil"/>
              <w:bottom w:val="single" w:sz="4" w:space="0" w:color="auto"/>
              <w:right w:val="single" w:sz="4" w:space="0" w:color="auto"/>
            </w:tcBorders>
            <w:textDirection w:val="lrTb"/>
            <w:vAlign w:val="bottom"/>
            <w:hideMark/>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 xml:space="preserve">111 689 683        </w:t>
            </w:r>
          </w:p>
        </w:tc>
        <w:tc>
          <w:tcPr>
            <w:tcW w:w="523" w:type="pct"/>
            <w:tcBorders>
              <w:top w:val="single" w:sz="4" w:space="0" w:color="auto"/>
              <w:left w:val="nil"/>
              <w:bottom w:val="single" w:sz="4" w:space="0" w:color="auto"/>
              <w:right w:val="single" w:sz="4" w:space="0" w:color="auto"/>
            </w:tcBorders>
            <w:textDirection w:val="lrTb"/>
            <w:vAlign w:val="bottom"/>
            <w:hideMark/>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114 049 034</w:t>
            </w:r>
          </w:p>
        </w:tc>
        <w:tc>
          <w:tcPr>
            <w:tcW w:w="522" w:type="pct"/>
            <w:tcBorders>
              <w:top w:val="single" w:sz="4" w:space="0" w:color="auto"/>
              <w:left w:val="nil"/>
              <w:bottom w:val="single" w:sz="4" w:space="0" w:color="auto"/>
              <w:right w:val="single" w:sz="4" w:space="0" w:color="auto"/>
            </w:tcBorders>
            <w:textDirection w:val="lrTb"/>
            <w:vAlign w:val="bottom"/>
            <w:hideMark/>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115 098 299</w:t>
            </w:r>
          </w:p>
        </w:tc>
        <w:tc>
          <w:tcPr>
            <w:tcW w:w="522" w:type="pct"/>
            <w:tcBorders>
              <w:top w:val="single" w:sz="4" w:space="0" w:color="auto"/>
              <w:left w:val="nil"/>
              <w:bottom w:val="single" w:sz="4" w:space="0" w:color="auto"/>
              <w:right w:val="single" w:sz="4" w:space="0" w:color="auto"/>
            </w:tcBorders>
            <w:textDirection w:val="lrTb"/>
            <w:vAlign w:val="bottom"/>
            <w:hideMark/>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115 098 300</w:t>
            </w:r>
          </w:p>
        </w:tc>
        <w:tc>
          <w:tcPr>
            <w:tcW w:w="523" w:type="pct"/>
            <w:tcBorders>
              <w:top w:val="single" w:sz="4" w:space="0" w:color="auto"/>
              <w:left w:val="nil"/>
              <w:bottom w:val="single" w:sz="4" w:space="0" w:color="auto"/>
              <w:right w:val="single" w:sz="4" w:space="0" w:color="auto"/>
            </w:tcBorders>
            <w:textDirection w:val="lrTb"/>
            <w:vAlign w:val="bottom"/>
            <w:hideMark/>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115 098 300</w:t>
            </w:r>
          </w:p>
        </w:tc>
      </w:tr>
      <w:tr>
        <w:tblPrEx>
          <w:tblW w:w="5155" w:type="pct"/>
          <w:tblInd w:w="70" w:type="dxa"/>
          <w:tblCellMar>
            <w:left w:w="70" w:type="dxa"/>
            <w:right w:w="70" w:type="dxa"/>
          </w:tblCellMar>
          <w:tblLook w:val="04A0"/>
        </w:tblPrEx>
        <w:trPr>
          <w:trHeight w:val="259"/>
        </w:trPr>
        <w:tc>
          <w:tcPr>
            <w:tcW w:w="1343" w:type="pct"/>
            <w:tcBorders>
              <w:top w:val="single" w:sz="4" w:space="0" w:color="auto"/>
              <w:left w:val="single" w:sz="4" w:space="0" w:color="auto"/>
              <w:bottom w:val="single" w:sz="4" w:space="0" w:color="auto"/>
              <w:right w:val="single" w:sz="4" w:space="0" w:color="auto"/>
            </w:tcBorders>
            <w:noWrap/>
            <w:textDirection w:val="lrTb"/>
            <w:vAlign w:val="bottom"/>
            <w:hideMark/>
          </w:tcPr>
          <w:p w:rsidR="000163CE" w:rsidRPr="00C11F98" w:rsidP="009112FB">
            <w:pPr>
              <w:bidi w:val="0"/>
              <w:rPr>
                <w:rFonts w:ascii="Times New Roman" w:hAnsi="Times New Roman" w:cs="Times New Roman"/>
                <w:bCs/>
                <w:sz w:val="14"/>
                <w:szCs w:val="14"/>
              </w:rPr>
            </w:pPr>
            <w:r w:rsidRPr="00C11F98">
              <w:rPr>
                <w:rFonts w:ascii="Times New Roman" w:hAnsi="Times New Roman" w:cs="Times New Roman"/>
                <w:bCs/>
                <w:sz w:val="14"/>
                <w:szCs w:val="14"/>
              </w:rPr>
              <w:t>Ochrana verejného poriadku a bezpečnosti</w:t>
            </w:r>
          </w:p>
        </w:tc>
        <w:tc>
          <w:tcPr>
            <w:tcW w:w="522" w:type="pct"/>
            <w:tcBorders>
              <w:top w:val="single" w:sz="4" w:space="0" w:color="auto"/>
              <w:left w:val="nil"/>
              <w:bottom w:val="single" w:sz="4" w:space="0" w:color="auto"/>
              <w:right w:val="single" w:sz="4" w:space="0" w:color="auto"/>
            </w:tcBorders>
            <w:noWrap/>
            <w:textDirection w:val="lrTb"/>
            <w:vAlign w:val="bottom"/>
            <w:hideMark/>
          </w:tcPr>
          <w:p w:rsidR="000163CE" w:rsidRPr="00C11F98" w:rsidP="009112FB">
            <w:pPr>
              <w:bidi w:val="0"/>
              <w:jc w:val="right"/>
              <w:rPr>
                <w:rFonts w:ascii="Times New Roman" w:hAnsi="Times New Roman" w:cs="Times New Roman"/>
                <w:bCs/>
                <w:sz w:val="14"/>
                <w:szCs w:val="14"/>
              </w:rPr>
            </w:pPr>
            <w:r w:rsidRPr="00C11F98">
              <w:rPr>
                <w:rFonts w:ascii="Times New Roman" w:hAnsi="Times New Roman" w:cs="Times New Roman"/>
                <w:sz w:val="14"/>
                <w:szCs w:val="14"/>
              </w:rPr>
              <w:t>731 425 809</w:t>
            </w:r>
          </w:p>
        </w:tc>
        <w:tc>
          <w:tcPr>
            <w:tcW w:w="522" w:type="pct"/>
            <w:tcBorders>
              <w:top w:val="single" w:sz="4" w:space="0" w:color="auto"/>
              <w:left w:val="nil"/>
              <w:bottom w:val="single" w:sz="4" w:space="0" w:color="auto"/>
              <w:right w:val="single" w:sz="4" w:space="0" w:color="auto"/>
            </w:tcBorders>
            <w:noWrap/>
            <w:textDirection w:val="lrTb"/>
            <w:vAlign w:val="bottom"/>
            <w:hideMark/>
          </w:tcPr>
          <w:p w:rsidR="000163CE" w:rsidRPr="00C11F98" w:rsidP="009112FB">
            <w:pPr>
              <w:bidi w:val="0"/>
              <w:jc w:val="right"/>
              <w:rPr>
                <w:rFonts w:ascii="Times New Roman" w:hAnsi="Times New Roman" w:cs="Times New Roman"/>
                <w:bCs/>
                <w:sz w:val="14"/>
                <w:szCs w:val="14"/>
              </w:rPr>
            </w:pPr>
            <w:r w:rsidRPr="00C11F98">
              <w:rPr>
                <w:rFonts w:ascii="Times New Roman" w:hAnsi="Times New Roman" w:cs="Times New Roman"/>
                <w:sz w:val="14"/>
                <w:szCs w:val="14"/>
              </w:rPr>
              <w:t>729 256 946</w:t>
            </w:r>
          </w:p>
        </w:tc>
        <w:tc>
          <w:tcPr>
            <w:tcW w:w="522" w:type="pct"/>
            <w:tcBorders>
              <w:top w:val="single" w:sz="4" w:space="0" w:color="auto"/>
              <w:left w:val="nil"/>
              <w:bottom w:val="single" w:sz="4" w:space="0" w:color="auto"/>
              <w:right w:val="single" w:sz="4" w:space="0" w:color="auto"/>
            </w:tcBorders>
            <w:noWrap/>
            <w:textDirection w:val="lrTb"/>
            <w:vAlign w:val="bottom"/>
            <w:hideMark/>
          </w:tcPr>
          <w:p w:rsidR="000163CE" w:rsidRPr="00C11F98" w:rsidP="009112FB">
            <w:pPr>
              <w:bidi w:val="0"/>
              <w:jc w:val="right"/>
              <w:rPr>
                <w:rFonts w:ascii="Times New Roman" w:hAnsi="Times New Roman" w:cs="Times New Roman"/>
                <w:bCs/>
                <w:sz w:val="14"/>
                <w:szCs w:val="14"/>
              </w:rPr>
            </w:pPr>
            <w:r w:rsidRPr="00C11F98">
              <w:rPr>
                <w:rFonts w:ascii="Times New Roman" w:hAnsi="Times New Roman" w:cs="Times New Roman"/>
                <w:bCs/>
                <w:sz w:val="14"/>
                <w:szCs w:val="14"/>
              </w:rPr>
              <w:t>667 463 034</w:t>
            </w:r>
          </w:p>
        </w:tc>
        <w:tc>
          <w:tcPr>
            <w:tcW w:w="523" w:type="pct"/>
            <w:tcBorders>
              <w:top w:val="single" w:sz="4" w:space="0" w:color="auto"/>
              <w:left w:val="nil"/>
              <w:bottom w:val="single" w:sz="4" w:space="0" w:color="auto"/>
              <w:right w:val="single" w:sz="4" w:space="0" w:color="auto"/>
            </w:tcBorders>
            <w:noWrap/>
            <w:textDirection w:val="lrTb"/>
            <w:vAlign w:val="bottom"/>
            <w:hideMark/>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684 036 253</w:t>
            </w:r>
          </w:p>
        </w:tc>
        <w:tc>
          <w:tcPr>
            <w:tcW w:w="522" w:type="pct"/>
            <w:tcBorders>
              <w:top w:val="single" w:sz="4" w:space="0" w:color="auto"/>
              <w:left w:val="nil"/>
              <w:bottom w:val="single" w:sz="4" w:space="0" w:color="auto"/>
              <w:right w:val="single" w:sz="4" w:space="0" w:color="auto"/>
            </w:tcBorders>
            <w:noWrap/>
            <w:textDirection w:val="lrTb"/>
            <w:vAlign w:val="bottom"/>
            <w:hideMark/>
          </w:tcPr>
          <w:p w:rsidR="000163CE" w:rsidRPr="00C11F98" w:rsidP="009112FB">
            <w:pPr>
              <w:bidi w:val="0"/>
              <w:jc w:val="right"/>
              <w:rPr>
                <w:rFonts w:ascii="Times New Roman" w:hAnsi="Times New Roman" w:cs="Times New Roman"/>
                <w:bCs/>
                <w:sz w:val="14"/>
                <w:szCs w:val="14"/>
              </w:rPr>
            </w:pPr>
            <w:r w:rsidRPr="00C11F98">
              <w:rPr>
                <w:rFonts w:ascii="Times New Roman" w:hAnsi="Times New Roman" w:cs="Times New Roman"/>
                <w:bCs/>
                <w:sz w:val="14"/>
                <w:szCs w:val="14"/>
              </w:rPr>
              <w:t>716 052 399</w:t>
            </w:r>
          </w:p>
        </w:tc>
        <w:tc>
          <w:tcPr>
            <w:tcW w:w="522" w:type="pct"/>
            <w:tcBorders>
              <w:top w:val="single" w:sz="4" w:space="0" w:color="auto"/>
              <w:left w:val="nil"/>
              <w:bottom w:val="single" w:sz="4" w:space="0" w:color="auto"/>
              <w:right w:val="single" w:sz="4" w:space="0" w:color="auto"/>
            </w:tcBorders>
            <w:noWrap/>
            <w:textDirection w:val="lrTb"/>
            <w:vAlign w:val="bottom"/>
            <w:hideMark/>
          </w:tcPr>
          <w:p w:rsidR="000163CE" w:rsidRPr="00C11F98" w:rsidP="009112FB">
            <w:pPr>
              <w:bidi w:val="0"/>
              <w:jc w:val="right"/>
              <w:rPr>
                <w:rFonts w:ascii="Times New Roman" w:hAnsi="Times New Roman" w:cs="Times New Roman"/>
                <w:bCs/>
                <w:sz w:val="14"/>
                <w:szCs w:val="14"/>
              </w:rPr>
            </w:pPr>
            <w:r w:rsidRPr="00C11F98">
              <w:rPr>
                <w:rFonts w:ascii="Times New Roman" w:hAnsi="Times New Roman" w:cs="Times New Roman"/>
                <w:bCs/>
                <w:sz w:val="14"/>
                <w:szCs w:val="14"/>
              </w:rPr>
              <w:t>683 204 584</w:t>
            </w:r>
          </w:p>
        </w:tc>
        <w:tc>
          <w:tcPr>
            <w:tcW w:w="523" w:type="pct"/>
            <w:tcBorders>
              <w:top w:val="single" w:sz="4" w:space="0" w:color="auto"/>
              <w:left w:val="nil"/>
              <w:bottom w:val="single" w:sz="4" w:space="0" w:color="auto"/>
              <w:right w:val="single" w:sz="4" w:space="0" w:color="auto"/>
            </w:tcBorders>
            <w:noWrap/>
            <w:textDirection w:val="lrTb"/>
            <w:vAlign w:val="bottom"/>
            <w:hideMark/>
          </w:tcPr>
          <w:p w:rsidR="000163CE" w:rsidRPr="00C11F98" w:rsidP="009112FB">
            <w:pPr>
              <w:bidi w:val="0"/>
              <w:jc w:val="right"/>
              <w:rPr>
                <w:rFonts w:ascii="Times New Roman" w:hAnsi="Times New Roman" w:cs="Times New Roman"/>
                <w:bCs/>
                <w:sz w:val="14"/>
                <w:szCs w:val="14"/>
              </w:rPr>
            </w:pPr>
            <w:r w:rsidRPr="00C11F98">
              <w:rPr>
                <w:rFonts w:ascii="Times New Roman" w:hAnsi="Times New Roman" w:cs="Times New Roman"/>
                <w:bCs/>
                <w:sz w:val="14"/>
                <w:szCs w:val="14"/>
              </w:rPr>
              <w:t>688 631 524</w:t>
            </w:r>
          </w:p>
        </w:tc>
      </w:tr>
      <w:tr>
        <w:tblPrEx>
          <w:tblW w:w="5155" w:type="pct"/>
          <w:tblInd w:w="70" w:type="dxa"/>
          <w:tblCellMar>
            <w:left w:w="70" w:type="dxa"/>
            <w:right w:w="70" w:type="dxa"/>
          </w:tblCellMar>
          <w:tblLook w:val="04A0"/>
        </w:tblPrEx>
        <w:trPr>
          <w:trHeight w:val="259"/>
        </w:trPr>
        <w:tc>
          <w:tcPr>
            <w:tcW w:w="1343" w:type="pct"/>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bCs/>
                <w:sz w:val="14"/>
                <w:szCs w:val="14"/>
              </w:rPr>
            </w:pPr>
            <w:r w:rsidRPr="00C11F98">
              <w:rPr>
                <w:rFonts w:ascii="Times New Roman" w:hAnsi="Times New Roman" w:cs="Times New Roman"/>
                <w:bCs/>
                <w:sz w:val="14"/>
                <w:szCs w:val="14"/>
              </w:rPr>
              <w:t>Verejná správa</w:t>
            </w:r>
          </w:p>
        </w:tc>
        <w:tc>
          <w:tcPr>
            <w:tcW w:w="522" w:type="pct"/>
            <w:tcBorders>
              <w:top w:val="single" w:sz="4" w:space="0" w:color="auto"/>
              <w:left w:val="nil"/>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bCs/>
                <w:sz w:val="14"/>
                <w:szCs w:val="14"/>
              </w:rPr>
            </w:pPr>
            <w:r w:rsidRPr="00C11F98">
              <w:rPr>
                <w:rFonts w:ascii="Times New Roman" w:hAnsi="Times New Roman" w:cs="Times New Roman"/>
                <w:bCs/>
                <w:sz w:val="14"/>
                <w:szCs w:val="14"/>
              </w:rPr>
              <w:t xml:space="preserve">92 250 454   </w:t>
            </w:r>
          </w:p>
        </w:tc>
        <w:tc>
          <w:tcPr>
            <w:tcW w:w="522" w:type="pct"/>
            <w:tcBorders>
              <w:top w:val="single" w:sz="4" w:space="0" w:color="auto"/>
              <w:left w:val="nil"/>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bCs/>
                <w:sz w:val="14"/>
                <w:szCs w:val="14"/>
              </w:rPr>
            </w:pPr>
            <w:r w:rsidRPr="00C11F98">
              <w:rPr>
                <w:rFonts w:ascii="Times New Roman" w:hAnsi="Times New Roman" w:cs="Times New Roman"/>
                <w:bCs/>
                <w:sz w:val="14"/>
                <w:szCs w:val="14"/>
              </w:rPr>
              <w:t>102 391 582</w:t>
            </w:r>
          </w:p>
        </w:tc>
        <w:tc>
          <w:tcPr>
            <w:tcW w:w="522" w:type="pct"/>
            <w:tcBorders>
              <w:top w:val="single" w:sz="4" w:space="0" w:color="auto"/>
              <w:left w:val="nil"/>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54 699 725</w:t>
            </w:r>
          </w:p>
        </w:tc>
        <w:tc>
          <w:tcPr>
            <w:tcW w:w="523" w:type="pct"/>
            <w:tcBorders>
              <w:top w:val="single" w:sz="4" w:space="0" w:color="auto"/>
              <w:left w:val="nil"/>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62 031 537</w:t>
            </w:r>
          </w:p>
        </w:tc>
        <w:tc>
          <w:tcPr>
            <w:tcW w:w="522" w:type="pct"/>
            <w:tcBorders>
              <w:top w:val="single" w:sz="4" w:space="0" w:color="auto"/>
              <w:left w:val="nil"/>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54 129 692</w:t>
            </w:r>
          </w:p>
        </w:tc>
        <w:tc>
          <w:tcPr>
            <w:tcW w:w="522" w:type="pct"/>
            <w:tcBorders>
              <w:top w:val="single" w:sz="4" w:space="0" w:color="auto"/>
              <w:left w:val="nil"/>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62 888 688</w:t>
            </w:r>
          </w:p>
        </w:tc>
        <w:tc>
          <w:tcPr>
            <w:tcW w:w="523" w:type="pct"/>
            <w:tcBorders>
              <w:top w:val="single" w:sz="4" w:space="0" w:color="auto"/>
              <w:left w:val="nil"/>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89 035 866</w:t>
            </w:r>
          </w:p>
        </w:tc>
      </w:tr>
      <w:tr>
        <w:tblPrEx>
          <w:tblW w:w="5155" w:type="pct"/>
          <w:tblInd w:w="70" w:type="dxa"/>
          <w:tblCellMar>
            <w:left w:w="70" w:type="dxa"/>
            <w:right w:w="70" w:type="dxa"/>
          </w:tblCellMar>
          <w:tblLook w:val="04A0"/>
        </w:tblPrEx>
        <w:trPr>
          <w:trHeight w:val="259"/>
        </w:trPr>
        <w:tc>
          <w:tcPr>
            <w:tcW w:w="1343" w:type="pct"/>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bCs/>
                <w:sz w:val="14"/>
                <w:szCs w:val="14"/>
              </w:rPr>
            </w:pPr>
            <w:r w:rsidRPr="00C11F98">
              <w:rPr>
                <w:rFonts w:ascii="Times New Roman" w:hAnsi="Times New Roman" w:cs="Times New Roman"/>
                <w:bCs/>
                <w:sz w:val="14"/>
                <w:szCs w:val="14"/>
              </w:rPr>
              <w:t>Ostatné činnosti</w:t>
            </w:r>
          </w:p>
        </w:tc>
        <w:tc>
          <w:tcPr>
            <w:tcW w:w="522" w:type="pct"/>
            <w:tcBorders>
              <w:top w:val="single" w:sz="4" w:space="0" w:color="auto"/>
              <w:left w:val="nil"/>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36 380 929</w:t>
            </w:r>
          </w:p>
        </w:tc>
        <w:tc>
          <w:tcPr>
            <w:tcW w:w="522" w:type="pct"/>
            <w:tcBorders>
              <w:top w:val="single" w:sz="4" w:space="0" w:color="auto"/>
              <w:left w:val="nil"/>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57 716 434</w:t>
            </w:r>
          </w:p>
        </w:tc>
        <w:tc>
          <w:tcPr>
            <w:tcW w:w="522" w:type="pct"/>
            <w:tcBorders>
              <w:top w:val="single" w:sz="4" w:space="0" w:color="auto"/>
              <w:left w:val="nil"/>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54 505 032</w:t>
            </w:r>
          </w:p>
        </w:tc>
        <w:tc>
          <w:tcPr>
            <w:tcW w:w="523" w:type="pct"/>
            <w:tcBorders>
              <w:top w:val="single" w:sz="4" w:space="0" w:color="auto"/>
              <w:left w:val="nil"/>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81 149 916</w:t>
            </w:r>
          </w:p>
        </w:tc>
        <w:tc>
          <w:tcPr>
            <w:tcW w:w="522" w:type="pct"/>
            <w:tcBorders>
              <w:top w:val="single" w:sz="4" w:space="0" w:color="auto"/>
              <w:left w:val="nil"/>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74 729 359</w:t>
            </w:r>
          </w:p>
        </w:tc>
        <w:tc>
          <w:tcPr>
            <w:tcW w:w="522" w:type="pct"/>
            <w:tcBorders>
              <w:top w:val="single" w:sz="4" w:space="0" w:color="auto"/>
              <w:left w:val="nil"/>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75 094 777</w:t>
            </w:r>
          </w:p>
        </w:tc>
        <w:tc>
          <w:tcPr>
            <w:tcW w:w="523" w:type="pct"/>
            <w:tcBorders>
              <w:top w:val="single" w:sz="4" w:space="0" w:color="auto"/>
              <w:left w:val="nil"/>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74 814 366</w:t>
            </w:r>
          </w:p>
        </w:tc>
      </w:tr>
    </w:tbl>
    <w:p w:rsidR="000163CE" w:rsidRPr="00C11F98" w:rsidP="000163CE">
      <w:pPr>
        <w:bidi w:val="0"/>
        <w:jc w:val="both"/>
        <w:rPr>
          <w:rFonts w:ascii="Times New Roman" w:hAnsi="Times New Roman" w:cs="Times New Roman"/>
        </w:rPr>
      </w:pPr>
    </w:p>
    <w:p w:rsidR="000163CE" w:rsidRPr="00C11F98" w:rsidP="000163CE">
      <w:pPr>
        <w:bidi w:val="0"/>
        <w:ind w:firstLine="708"/>
        <w:jc w:val="both"/>
        <w:rPr>
          <w:rFonts w:ascii="Times New Roman" w:hAnsi="Times New Roman" w:cs="Times New Roman"/>
        </w:rPr>
      </w:pPr>
      <w:r w:rsidRPr="00C11F98">
        <w:rPr>
          <w:rFonts w:ascii="Times New Roman" w:hAnsi="Times New Roman" w:cs="Times New Roman"/>
        </w:rPr>
        <w:t>Celkové výdavky kapitoly v roku 2012 oproti schválenému rozpočtu roka 2011 rastú o 71,6 mil. eur, čo predstavuje nárast o 8,1 %.</w:t>
      </w:r>
      <w:r>
        <w:rPr>
          <w:rFonts w:ascii="Times New Roman" w:hAnsi="Times New Roman" w:cs="Times New Roman"/>
        </w:rPr>
        <w:t xml:space="preserve"> Dôvodom rastu je krytie vplyvu zavedenia superhrubej mzdy u Hasičského a záchranného zboru a u Policajného zboru v celkovej sume 37,7 mil. eur, ako aj opätovné rozpočtovanie transferov na osobitný účet.</w:t>
      </w:r>
    </w:p>
    <w:p w:rsidR="000163CE" w:rsidRPr="00C11F98" w:rsidP="000163CE">
      <w:pPr>
        <w:bidi w:val="0"/>
        <w:jc w:val="both"/>
        <w:rPr>
          <w:rFonts w:ascii="Times New Roman" w:hAnsi="Times New Roman" w:cs="Times New Roman"/>
        </w:rPr>
      </w:pPr>
    </w:p>
    <w:p w:rsidR="000163CE" w:rsidRPr="00C11F98" w:rsidP="000163CE">
      <w:pPr>
        <w:bidi w:val="0"/>
        <w:ind w:firstLine="708"/>
        <w:jc w:val="both"/>
        <w:rPr>
          <w:rFonts w:ascii="Times New Roman" w:hAnsi="Times New Roman" w:cs="Times New Roman"/>
        </w:rPr>
      </w:pPr>
      <w:r w:rsidRPr="00C11F98">
        <w:rPr>
          <w:rFonts w:ascii="Times New Roman" w:hAnsi="Times New Roman" w:cs="Times New Roman"/>
        </w:rPr>
        <w:t>Výdavky na bežné transfery rozpočtované na rok 2012 v sume 50,3 mil. eur sú oproti schválenému rozpočtu roka 2011 vyššie o 26,7 mil. eur, čo predstavuje nárast o 120 %. Ten súvisí najmä s opätovným rozpočtovaním výdavkov na osobitný účet v sume 26,1 mil. eur. Výdavky v rámci bežných transferov súvisia s realizáciou mandatórnych výdavkov, ktorými sú výdavky na prenesený výkon štátnej správy, výdavky na starostlivosť o vojnové hroby, výdavky na nemocenské, odchodné a odstupné, vyrovnávací príspevok a príplatky k dôchodku.</w:t>
      </w:r>
    </w:p>
    <w:p w:rsidR="000163CE" w:rsidRPr="00C11F98" w:rsidP="000163CE">
      <w:pPr>
        <w:bidi w:val="0"/>
        <w:jc w:val="both"/>
        <w:rPr>
          <w:rFonts w:ascii="Times New Roman" w:hAnsi="Times New Roman" w:cs="Times New Roman"/>
        </w:rPr>
      </w:pPr>
    </w:p>
    <w:p w:rsidR="000163CE" w:rsidRPr="00C11F98" w:rsidP="000163CE">
      <w:pPr>
        <w:bidi w:val="0"/>
        <w:jc w:val="both"/>
        <w:rPr>
          <w:rFonts w:ascii="Times New Roman" w:hAnsi="Times New Roman" w:cs="Times New Roman"/>
          <w:b/>
        </w:rPr>
      </w:pPr>
      <w:r w:rsidRPr="00C11F98">
        <w:rPr>
          <w:rFonts w:ascii="Times New Roman" w:hAnsi="Times New Roman" w:cs="Times New Roman"/>
          <w:b/>
        </w:rPr>
        <w:t>Záchranné zložky</w:t>
      </w:r>
    </w:p>
    <w:p w:rsidR="000163CE" w:rsidRPr="00C11F98" w:rsidP="000163CE">
      <w:pPr>
        <w:bidi w:val="0"/>
        <w:jc w:val="both"/>
        <w:rPr>
          <w:rFonts w:ascii="Times New Roman" w:hAnsi="Times New Roman" w:cs="Times New Roman"/>
          <w:b/>
        </w:rPr>
      </w:pPr>
    </w:p>
    <w:tbl>
      <w:tblPr>
        <w:tblStyle w:val="TableNormal"/>
        <w:tblW w:w="4923" w:type="pct"/>
        <w:tblInd w:w="70" w:type="dxa"/>
        <w:tblLayout w:type="fixed"/>
        <w:tblCellMar>
          <w:left w:w="70" w:type="dxa"/>
          <w:right w:w="70" w:type="dxa"/>
        </w:tblCellMar>
        <w:tblLook w:val="04A0"/>
      </w:tblPr>
      <w:tblGrid>
        <w:gridCol w:w="2132"/>
        <w:gridCol w:w="993"/>
        <w:gridCol w:w="993"/>
        <w:gridCol w:w="991"/>
        <w:gridCol w:w="991"/>
        <w:gridCol w:w="990"/>
        <w:gridCol w:w="990"/>
        <w:gridCol w:w="990"/>
      </w:tblGrid>
      <w:tr>
        <w:tblPrEx>
          <w:tblW w:w="4923" w:type="pct"/>
          <w:tblInd w:w="70" w:type="dxa"/>
          <w:tblLayout w:type="fixed"/>
          <w:tblCellMar>
            <w:left w:w="70" w:type="dxa"/>
            <w:right w:w="70" w:type="dxa"/>
          </w:tblCellMar>
          <w:tblLook w:val="04A0"/>
        </w:tblPrEx>
        <w:trPr>
          <w:trHeight w:val="261"/>
        </w:trPr>
        <w:tc>
          <w:tcPr>
            <w:tcW w:w="1175" w:type="pct"/>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b/>
                <w:sz w:val="14"/>
                <w:szCs w:val="14"/>
              </w:rPr>
            </w:pPr>
            <w:r w:rsidRPr="00C11F98">
              <w:rPr>
                <w:rFonts w:ascii="Times New Roman" w:hAnsi="Times New Roman" w:cs="Times New Roman"/>
                <w:b/>
                <w:sz w:val="14"/>
                <w:szCs w:val="14"/>
              </w:rPr>
              <w:t>v eurách </w:t>
            </w:r>
          </w:p>
        </w:tc>
        <w:tc>
          <w:tcPr>
            <w:tcW w:w="547" w:type="pct"/>
            <w:tcBorders>
              <w:top w:val="single" w:sz="4" w:space="0" w:color="auto"/>
              <w:left w:val="nil"/>
              <w:bottom w:val="single" w:sz="4" w:space="0" w:color="auto"/>
              <w:right w:val="single" w:sz="4" w:space="0" w:color="auto"/>
            </w:tcBorders>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2009 S</w:t>
            </w:r>
          </w:p>
        </w:tc>
        <w:tc>
          <w:tcPr>
            <w:tcW w:w="547" w:type="pct"/>
            <w:tcBorders>
              <w:top w:val="single" w:sz="4" w:space="0" w:color="auto"/>
              <w:left w:val="nil"/>
              <w:bottom w:val="single" w:sz="4" w:space="0" w:color="auto"/>
              <w:right w:val="single" w:sz="4" w:space="0" w:color="auto"/>
            </w:tcBorders>
            <w:noWrap/>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2010 S</w:t>
            </w:r>
          </w:p>
        </w:tc>
        <w:tc>
          <w:tcPr>
            <w:tcW w:w="546" w:type="pct"/>
            <w:tcBorders>
              <w:top w:val="single" w:sz="4" w:space="0" w:color="auto"/>
              <w:left w:val="nil"/>
              <w:bottom w:val="single" w:sz="4" w:space="0" w:color="auto"/>
              <w:right w:val="single" w:sz="4" w:space="0" w:color="auto"/>
            </w:tcBorders>
            <w:noWrap/>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2011 R</w:t>
            </w:r>
          </w:p>
        </w:tc>
        <w:tc>
          <w:tcPr>
            <w:tcW w:w="546" w:type="pct"/>
            <w:tcBorders>
              <w:top w:val="single" w:sz="4" w:space="0" w:color="auto"/>
              <w:left w:val="nil"/>
              <w:bottom w:val="single" w:sz="4" w:space="0" w:color="auto"/>
              <w:right w:val="single" w:sz="4" w:space="0" w:color="auto"/>
            </w:tcBorders>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2011 OS</w:t>
            </w:r>
          </w:p>
        </w:tc>
        <w:tc>
          <w:tcPr>
            <w:tcW w:w="546" w:type="pct"/>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2012 N*</w:t>
            </w:r>
          </w:p>
        </w:tc>
        <w:tc>
          <w:tcPr>
            <w:tcW w:w="546" w:type="pct"/>
            <w:tcBorders>
              <w:top w:val="single" w:sz="4" w:space="0" w:color="auto"/>
              <w:left w:val="nil"/>
              <w:bottom w:val="single" w:sz="4" w:space="0" w:color="auto"/>
              <w:right w:val="single" w:sz="4" w:space="0" w:color="auto"/>
            </w:tcBorders>
            <w:noWrap/>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2013 N*</w:t>
            </w:r>
          </w:p>
        </w:tc>
        <w:tc>
          <w:tcPr>
            <w:tcW w:w="546" w:type="pct"/>
            <w:tcBorders>
              <w:top w:val="single" w:sz="4" w:space="0" w:color="auto"/>
              <w:left w:val="nil"/>
              <w:bottom w:val="single" w:sz="4" w:space="0" w:color="auto"/>
              <w:right w:val="single" w:sz="4" w:space="0" w:color="auto"/>
            </w:tcBorders>
            <w:noWrap/>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2014 N*</w:t>
            </w:r>
          </w:p>
        </w:tc>
      </w:tr>
      <w:tr>
        <w:tblPrEx>
          <w:tblW w:w="4923" w:type="pct"/>
          <w:tblInd w:w="70" w:type="dxa"/>
          <w:tblLayout w:type="fixed"/>
          <w:tblCellMar>
            <w:left w:w="70" w:type="dxa"/>
            <w:right w:w="70" w:type="dxa"/>
          </w:tblCellMar>
          <w:tblLook w:val="04A0"/>
        </w:tblPrEx>
        <w:trPr>
          <w:trHeight w:val="261"/>
        </w:trPr>
        <w:tc>
          <w:tcPr>
            <w:tcW w:w="1175" w:type="pct"/>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rPr>
                <w:rFonts w:ascii="Times New Roman" w:hAnsi="Times New Roman" w:cs="Times New Roman"/>
                <w:b/>
                <w:bCs/>
                <w:sz w:val="14"/>
                <w:szCs w:val="14"/>
              </w:rPr>
            </w:pPr>
            <w:r w:rsidRPr="00C11F98">
              <w:rPr>
                <w:rFonts w:ascii="Times New Roman" w:hAnsi="Times New Roman" w:cs="Times New Roman"/>
                <w:b/>
                <w:bCs/>
                <w:sz w:val="14"/>
                <w:szCs w:val="14"/>
              </w:rPr>
              <w:t>Záchranné zložky</w:t>
            </w:r>
          </w:p>
        </w:tc>
        <w:tc>
          <w:tcPr>
            <w:tcW w:w="547" w:type="pct"/>
            <w:tcBorders>
              <w:top w:val="single" w:sz="4" w:space="0" w:color="auto"/>
              <w:left w:val="nil"/>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b/>
                <w:bCs/>
                <w:sz w:val="14"/>
                <w:szCs w:val="14"/>
              </w:rPr>
            </w:pPr>
            <w:r w:rsidRPr="00C11F98">
              <w:rPr>
                <w:rFonts w:ascii="Times New Roman" w:hAnsi="Times New Roman" w:cs="Times New Roman"/>
                <w:b/>
                <w:bCs/>
                <w:sz w:val="14"/>
                <w:szCs w:val="14"/>
              </w:rPr>
              <w:t xml:space="preserve">179 097 727   </w:t>
            </w:r>
          </w:p>
        </w:tc>
        <w:tc>
          <w:tcPr>
            <w:tcW w:w="547" w:type="pct"/>
            <w:tcBorders>
              <w:top w:val="single" w:sz="4" w:space="0" w:color="auto"/>
              <w:left w:val="nil"/>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b/>
                <w:bCs/>
                <w:sz w:val="14"/>
                <w:szCs w:val="14"/>
              </w:rPr>
            </w:pPr>
            <w:r w:rsidRPr="00C11F98">
              <w:rPr>
                <w:rFonts w:ascii="Times New Roman" w:hAnsi="Times New Roman" w:cs="Times New Roman"/>
                <w:b/>
                <w:bCs/>
                <w:sz w:val="14"/>
                <w:szCs w:val="14"/>
              </w:rPr>
              <w:t>131 688 920</w:t>
            </w:r>
          </w:p>
        </w:tc>
        <w:tc>
          <w:tcPr>
            <w:tcW w:w="546" w:type="pct"/>
            <w:tcBorders>
              <w:top w:val="single" w:sz="4" w:space="0" w:color="auto"/>
              <w:left w:val="nil"/>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b/>
                <w:bCs/>
                <w:sz w:val="14"/>
                <w:szCs w:val="14"/>
              </w:rPr>
            </w:pPr>
            <w:r w:rsidRPr="00C11F98">
              <w:rPr>
                <w:rFonts w:ascii="Times New Roman" w:hAnsi="Times New Roman" w:cs="Times New Roman"/>
                <w:b/>
                <w:bCs/>
                <w:sz w:val="14"/>
                <w:szCs w:val="14"/>
              </w:rPr>
              <w:t>111 689 683</w:t>
            </w:r>
          </w:p>
        </w:tc>
        <w:tc>
          <w:tcPr>
            <w:tcW w:w="546" w:type="pct"/>
            <w:tcBorders>
              <w:top w:val="single" w:sz="4" w:space="0" w:color="auto"/>
              <w:left w:val="nil"/>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b/>
                <w:sz w:val="14"/>
                <w:szCs w:val="14"/>
              </w:rPr>
            </w:pPr>
            <w:r w:rsidRPr="00C11F98">
              <w:rPr>
                <w:rFonts w:ascii="Times New Roman" w:hAnsi="Times New Roman" w:cs="Times New Roman"/>
                <w:b/>
                <w:sz w:val="14"/>
                <w:szCs w:val="14"/>
              </w:rPr>
              <w:t>114 049 034</w:t>
            </w:r>
          </w:p>
        </w:tc>
        <w:tc>
          <w:tcPr>
            <w:tcW w:w="546" w:type="pct"/>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b/>
                <w:sz w:val="14"/>
                <w:szCs w:val="14"/>
              </w:rPr>
            </w:pPr>
            <w:r w:rsidRPr="00C11F98">
              <w:rPr>
                <w:rFonts w:ascii="Times New Roman" w:hAnsi="Times New Roman" w:cs="Times New Roman"/>
                <w:b/>
                <w:sz w:val="14"/>
                <w:szCs w:val="14"/>
              </w:rPr>
              <w:t>115 098 299</w:t>
            </w:r>
          </w:p>
        </w:tc>
        <w:tc>
          <w:tcPr>
            <w:tcW w:w="546" w:type="pct"/>
            <w:tcBorders>
              <w:top w:val="single" w:sz="4" w:space="0" w:color="auto"/>
              <w:left w:val="nil"/>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b/>
                <w:sz w:val="14"/>
                <w:szCs w:val="14"/>
              </w:rPr>
            </w:pPr>
            <w:r w:rsidRPr="00C11F98">
              <w:rPr>
                <w:rFonts w:ascii="Times New Roman" w:hAnsi="Times New Roman" w:cs="Times New Roman"/>
                <w:b/>
                <w:sz w:val="14"/>
                <w:szCs w:val="14"/>
              </w:rPr>
              <w:t>115 098 300</w:t>
            </w:r>
          </w:p>
        </w:tc>
        <w:tc>
          <w:tcPr>
            <w:tcW w:w="546" w:type="pct"/>
            <w:tcBorders>
              <w:top w:val="single" w:sz="4" w:space="0" w:color="auto"/>
              <w:left w:val="nil"/>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b/>
                <w:sz w:val="14"/>
                <w:szCs w:val="14"/>
              </w:rPr>
            </w:pPr>
            <w:r w:rsidRPr="00C11F98">
              <w:rPr>
                <w:rFonts w:ascii="Times New Roman" w:hAnsi="Times New Roman" w:cs="Times New Roman"/>
                <w:b/>
                <w:sz w:val="14"/>
                <w:szCs w:val="14"/>
              </w:rPr>
              <w:t>115 098 300</w:t>
            </w:r>
          </w:p>
        </w:tc>
      </w:tr>
      <w:tr>
        <w:tblPrEx>
          <w:tblW w:w="4923" w:type="pct"/>
          <w:tblInd w:w="70" w:type="dxa"/>
          <w:tblLayout w:type="fixed"/>
          <w:tblCellMar>
            <w:left w:w="70" w:type="dxa"/>
            <w:right w:w="70" w:type="dxa"/>
          </w:tblCellMar>
          <w:tblLook w:val="04A0"/>
        </w:tblPrEx>
        <w:trPr>
          <w:trHeight w:val="261"/>
        </w:trPr>
        <w:tc>
          <w:tcPr>
            <w:tcW w:w="1175" w:type="pct"/>
            <w:tcBorders>
              <w:top w:val="nil"/>
              <w:left w:val="single" w:sz="4" w:space="0" w:color="auto"/>
              <w:bottom w:val="single" w:sz="4" w:space="0" w:color="auto"/>
              <w:right w:val="single" w:sz="4" w:space="0" w:color="auto"/>
            </w:tcBorders>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Prezídium HaZZ</w:t>
            </w:r>
          </w:p>
        </w:tc>
        <w:tc>
          <w:tcPr>
            <w:tcW w:w="547" w:type="pct"/>
            <w:tcBorders>
              <w:top w:val="nil"/>
              <w:left w:val="nil"/>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 xml:space="preserve">4 627 789   </w:t>
            </w:r>
          </w:p>
        </w:tc>
        <w:tc>
          <w:tcPr>
            <w:tcW w:w="547" w:type="pct"/>
            <w:tcBorders>
              <w:top w:val="nil"/>
              <w:left w:val="nil"/>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4 141 216</w:t>
            </w:r>
          </w:p>
        </w:tc>
        <w:tc>
          <w:tcPr>
            <w:tcW w:w="546" w:type="pct"/>
            <w:tcBorders>
              <w:top w:val="nil"/>
              <w:left w:val="nil"/>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24 692 340</w:t>
            </w:r>
          </w:p>
        </w:tc>
        <w:tc>
          <w:tcPr>
            <w:tcW w:w="546" w:type="pct"/>
            <w:tcBorders>
              <w:top w:val="single" w:sz="4" w:space="0" w:color="auto"/>
              <w:left w:val="nil"/>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23 374 815</w:t>
            </w:r>
          </w:p>
        </w:tc>
        <w:tc>
          <w:tcPr>
            <w:tcW w:w="546" w:type="pct"/>
            <w:tcBorders>
              <w:top w:val="nil"/>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9 502 245</w:t>
            </w:r>
          </w:p>
        </w:tc>
        <w:tc>
          <w:tcPr>
            <w:tcW w:w="546" w:type="pct"/>
            <w:tcBorders>
              <w:top w:val="nil"/>
              <w:left w:val="nil"/>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9 502 246</w:t>
            </w:r>
          </w:p>
        </w:tc>
        <w:tc>
          <w:tcPr>
            <w:tcW w:w="546" w:type="pct"/>
            <w:tcBorders>
              <w:top w:val="nil"/>
              <w:left w:val="nil"/>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9 502 246</w:t>
            </w:r>
          </w:p>
        </w:tc>
      </w:tr>
      <w:tr>
        <w:tblPrEx>
          <w:tblW w:w="4923" w:type="pct"/>
          <w:tblInd w:w="70" w:type="dxa"/>
          <w:tblLayout w:type="fixed"/>
          <w:tblCellMar>
            <w:left w:w="70" w:type="dxa"/>
            <w:right w:w="70" w:type="dxa"/>
          </w:tblCellMar>
          <w:tblLook w:val="04A0"/>
        </w:tblPrEx>
        <w:trPr>
          <w:trHeight w:val="261"/>
        </w:trPr>
        <w:tc>
          <w:tcPr>
            <w:tcW w:w="1175" w:type="pct"/>
            <w:tcBorders>
              <w:top w:val="nil"/>
              <w:left w:val="single" w:sz="4" w:space="0" w:color="auto"/>
              <w:bottom w:val="single" w:sz="4" w:space="0" w:color="auto"/>
              <w:right w:val="single" w:sz="4" w:space="0" w:color="auto"/>
            </w:tcBorders>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Ochrana pred požiarmi</w:t>
            </w:r>
          </w:p>
        </w:tc>
        <w:tc>
          <w:tcPr>
            <w:tcW w:w="547" w:type="pct"/>
            <w:tcBorders>
              <w:top w:val="nil"/>
              <w:left w:val="nil"/>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 xml:space="preserve">171 312 928   </w:t>
            </w:r>
          </w:p>
        </w:tc>
        <w:tc>
          <w:tcPr>
            <w:tcW w:w="547" w:type="pct"/>
            <w:tcBorders>
              <w:top w:val="nil"/>
              <w:left w:val="nil"/>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124 530 700</w:t>
            </w:r>
          </w:p>
        </w:tc>
        <w:tc>
          <w:tcPr>
            <w:tcW w:w="546" w:type="pct"/>
            <w:tcBorders>
              <w:top w:val="nil"/>
              <w:left w:val="nil"/>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84 270 060</w:t>
            </w:r>
          </w:p>
        </w:tc>
        <w:tc>
          <w:tcPr>
            <w:tcW w:w="546" w:type="pct"/>
            <w:tcBorders>
              <w:top w:val="single" w:sz="4" w:space="0" w:color="auto"/>
              <w:left w:val="nil"/>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87 596 902</w:t>
            </w:r>
          </w:p>
        </w:tc>
        <w:tc>
          <w:tcPr>
            <w:tcW w:w="546" w:type="pct"/>
            <w:tcBorders>
              <w:top w:val="nil"/>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102 742 072</w:t>
            </w:r>
          </w:p>
        </w:tc>
        <w:tc>
          <w:tcPr>
            <w:tcW w:w="546" w:type="pct"/>
            <w:tcBorders>
              <w:top w:val="nil"/>
              <w:left w:val="nil"/>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102 742 072</w:t>
            </w:r>
          </w:p>
        </w:tc>
        <w:tc>
          <w:tcPr>
            <w:tcW w:w="546" w:type="pct"/>
            <w:tcBorders>
              <w:top w:val="nil"/>
              <w:left w:val="nil"/>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102 742 072</w:t>
            </w:r>
          </w:p>
        </w:tc>
      </w:tr>
      <w:tr>
        <w:tblPrEx>
          <w:tblW w:w="4923" w:type="pct"/>
          <w:tblInd w:w="70" w:type="dxa"/>
          <w:tblLayout w:type="fixed"/>
          <w:tblCellMar>
            <w:left w:w="70" w:type="dxa"/>
            <w:right w:w="70" w:type="dxa"/>
          </w:tblCellMar>
          <w:tblLook w:val="04A0"/>
        </w:tblPrEx>
        <w:trPr>
          <w:trHeight w:val="261"/>
        </w:trPr>
        <w:tc>
          <w:tcPr>
            <w:tcW w:w="1175" w:type="pct"/>
            <w:tcBorders>
              <w:top w:val="nil"/>
              <w:left w:val="single" w:sz="4" w:space="0" w:color="auto"/>
              <w:bottom w:val="single" w:sz="4" w:space="0" w:color="auto"/>
              <w:right w:val="single" w:sz="4" w:space="0" w:color="auto"/>
            </w:tcBorders>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Horská záchranná služba</w:t>
            </w:r>
          </w:p>
        </w:tc>
        <w:tc>
          <w:tcPr>
            <w:tcW w:w="547" w:type="pct"/>
            <w:tcBorders>
              <w:top w:val="nil"/>
              <w:left w:val="nil"/>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 xml:space="preserve">3 157 011   </w:t>
            </w:r>
          </w:p>
        </w:tc>
        <w:tc>
          <w:tcPr>
            <w:tcW w:w="547" w:type="pct"/>
            <w:tcBorders>
              <w:top w:val="nil"/>
              <w:left w:val="nil"/>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3 017 005</w:t>
            </w:r>
          </w:p>
        </w:tc>
        <w:tc>
          <w:tcPr>
            <w:tcW w:w="546" w:type="pct"/>
            <w:tcBorders>
              <w:top w:val="nil"/>
              <w:left w:val="nil"/>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2 727 283</w:t>
            </w:r>
          </w:p>
        </w:tc>
        <w:tc>
          <w:tcPr>
            <w:tcW w:w="546" w:type="pct"/>
            <w:tcBorders>
              <w:top w:val="single" w:sz="4" w:space="0" w:color="auto"/>
              <w:left w:val="nil"/>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3 077 317</w:t>
            </w:r>
          </w:p>
        </w:tc>
        <w:tc>
          <w:tcPr>
            <w:tcW w:w="546" w:type="pct"/>
            <w:tcBorders>
              <w:top w:val="nil"/>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2 853 982</w:t>
            </w:r>
          </w:p>
        </w:tc>
        <w:tc>
          <w:tcPr>
            <w:tcW w:w="546" w:type="pct"/>
            <w:tcBorders>
              <w:top w:val="nil"/>
              <w:left w:val="nil"/>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2 853 982</w:t>
            </w:r>
          </w:p>
        </w:tc>
        <w:tc>
          <w:tcPr>
            <w:tcW w:w="546" w:type="pct"/>
            <w:tcBorders>
              <w:top w:val="nil"/>
              <w:left w:val="nil"/>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2 853 982</w:t>
            </w:r>
          </w:p>
        </w:tc>
      </w:tr>
    </w:tbl>
    <w:p w:rsidR="000163CE" w:rsidRPr="00C11F98" w:rsidP="000163CE">
      <w:pPr>
        <w:bidi w:val="0"/>
        <w:jc w:val="both"/>
        <w:rPr>
          <w:rFonts w:ascii="Times New Roman" w:hAnsi="Times New Roman" w:cs="Times New Roman"/>
          <w:sz w:val="16"/>
          <w:szCs w:val="16"/>
        </w:rPr>
      </w:pPr>
      <w:r w:rsidRPr="00C11F98">
        <w:rPr>
          <w:rFonts w:ascii="Times New Roman" w:hAnsi="Times New Roman" w:cs="Times New Roman"/>
          <w:sz w:val="16"/>
          <w:szCs w:val="16"/>
        </w:rPr>
        <w:t>*V rokoch 2012 – 2014 odvod časti poistného 8 % v prostriedkoch na ochranu pred požiarmi a v rokoch 2009 až 2011 je odvod časti poistného aj v Prezídiu HAZZ a Horskej záchrannej službe.</w:t>
      </w:r>
    </w:p>
    <w:p w:rsidR="000163CE" w:rsidRPr="00C11F98" w:rsidP="000163CE">
      <w:pPr>
        <w:bidi w:val="0"/>
        <w:jc w:val="both"/>
        <w:rPr>
          <w:rFonts w:ascii="Times New Roman" w:hAnsi="Times New Roman" w:cs="Times New Roman"/>
          <w:b/>
        </w:rPr>
      </w:pPr>
    </w:p>
    <w:p w:rsidR="000163CE" w:rsidRPr="00C11F98" w:rsidP="000163CE">
      <w:pPr>
        <w:bidi w:val="0"/>
        <w:ind w:firstLine="708"/>
        <w:jc w:val="both"/>
        <w:rPr>
          <w:rFonts w:ascii="Times New Roman" w:hAnsi="Times New Roman" w:cs="Times New Roman"/>
        </w:rPr>
      </w:pPr>
      <w:r w:rsidRPr="00C11F98">
        <w:rPr>
          <w:rFonts w:ascii="Times New Roman" w:hAnsi="Times New Roman" w:cs="Times New Roman"/>
        </w:rPr>
        <w:t>Vo výdavkoch pre Záchranné zložky sú rozpočtované prostriedky na zabezpečenie plnenia základných úloh na úseku ochrany pred požiarmi, pri záchranných prácach pri haváriách a živelných pohromách, na plnenie úloh v oblasti výchovy, vzdelávania a odbornej prípravy na úseku ochrany pred požiarmi. Zároveň sú v rámci záchranných zložiek rozpočtované výdavky pre plnenie úloh Horskej záchrannej služby.</w:t>
      </w:r>
    </w:p>
    <w:p w:rsidR="000163CE" w:rsidRPr="00C11F98" w:rsidP="000163CE">
      <w:pPr>
        <w:bidi w:val="0"/>
        <w:jc w:val="both"/>
        <w:rPr>
          <w:rFonts w:ascii="Times New Roman" w:hAnsi="Times New Roman" w:cs="Times New Roman"/>
        </w:rPr>
      </w:pPr>
    </w:p>
    <w:p w:rsidR="000163CE" w:rsidP="000163CE">
      <w:pPr>
        <w:bidi w:val="0"/>
        <w:ind w:firstLine="708"/>
        <w:jc w:val="both"/>
        <w:rPr>
          <w:rFonts w:ascii="Times New Roman" w:hAnsi="Times New Roman" w:cs="Times New Roman"/>
        </w:rPr>
      </w:pPr>
      <w:r w:rsidRPr="00C11F98">
        <w:rPr>
          <w:rFonts w:ascii="Times New Roman" w:hAnsi="Times New Roman" w:cs="Times New Roman"/>
        </w:rPr>
        <w:t>V rámci uvedeného programu výdavky medziročne rastú o 3,11 %. Osobné výdavky rastú medziročne o 29,7 %. Výdavky na tovary a služby medziročne klesajú o 5,0 %. Výdavky na bežné transfery sú vyššie o 12,1 %, čo predstavuje nárast o 273 tis. eur oproti schválenému rozpočtu roku 2011. Najvyšší nárast je na podpoložkách nemocens</w:t>
      </w:r>
      <w:r>
        <w:rPr>
          <w:rFonts w:ascii="Times New Roman" w:hAnsi="Times New Roman" w:cs="Times New Roman"/>
        </w:rPr>
        <w:t>ké dávky a dávky jednotlivcovi.</w:t>
      </w:r>
    </w:p>
    <w:p w:rsidR="000163CE" w:rsidRPr="00C11F98" w:rsidP="000163CE">
      <w:pPr>
        <w:bidi w:val="0"/>
        <w:ind w:firstLine="708"/>
        <w:jc w:val="both"/>
        <w:rPr>
          <w:rFonts w:ascii="Times New Roman" w:hAnsi="Times New Roman" w:cs="Times New Roman"/>
        </w:rPr>
      </w:pPr>
    </w:p>
    <w:p w:rsidR="000163CE" w:rsidRPr="00C11F98" w:rsidP="000163CE">
      <w:pPr>
        <w:bidi w:val="0"/>
        <w:ind w:firstLine="708"/>
        <w:jc w:val="both"/>
        <w:rPr>
          <w:rFonts w:ascii="Times New Roman" w:hAnsi="Times New Roman" w:cs="Times New Roman"/>
          <w:bCs/>
        </w:rPr>
      </w:pPr>
      <w:r w:rsidRPr="00C11F98">
        <w:rPr>
          <w:rFonts w:ascii="Times New Roman" w:hAnsi="Times New Roman" w:cs="Times New Roman"/>
        </w:rPr>
        <w:t xml:space="preserve">Na zabezpečenie fungovania Integrovaného záchranného systému v oblasti informačno-komunikačných technológií kapitola ako účastník </w:t>
      </w:r>
      <w:r w:rsidRPr="00C11F98">
        <w:rPr>
          <w:rFonts w:ascii="Times New Roman" w:hAnsi="Times New Roman" w:cs="Times New Roman"/>
          <w:bCs/>
        </w:rPr>
        <w:t>medzirezortného programu môže čerpať prostriedky z Operačného programu Informatizácia spoločnosti, rozpočtované v kapitole MF SR, kde sa pripravuje na tento projekt nenávratný finančný príspevok v sume 50 mil. eur.</w:t>
      </w:r>
    </w:p>
    <w:p w:rsidR="000163CE" w:rsidRPr="00C11F98" w:rsidP="000163CE">
      <w:pPr>
        <w:bidi w:val="0"/>
        <w:jc w:val="both"/>
        <w:rPr>
          <w:rFonts w:ascii="Times New Roman" w:hAnsi="Times New Roman" w:cs="Times New Roman"/>
        </w:rPr>
      </w:pPr>
      <w:r w:rsidRPr="00C11F98">
        <w:rPr>
          <w:rFonts w:ascii="Times New Roman" w:hAnsi="Times New Roman" w:cs="Times New Roman"/>
        </w:rPr>
        <w:tab/>
      </w:r>
    </w:p>
    <w:p w:rsidR="000163CE" w:rsidRPr="00C11F98" w:rsidP="000163CE">
      <w:pPr>
        <w:bidi w:val="0"/>
        <w:ind w:firstLine="708"/>
        <w:jc w:val="both"/>
        <w:rPr>
          <w:rFonts w:ascii="Times New Roman" w:hAnsi="Times New Roman" w:cs="Times New Roman"/>
        </w:rPr>
      </w:pPr>
      <w:r w:rsidRPr="00C11F98">
        <w:rPr>
          <w:rFonts w:ascii="Times New Roman" w:hAnsi="Times New Roman" w:cs="Times New Roman"/>
        </w:rPr>
        <w:t>Nad rámec rozpočtovaných zdrojov sa v oblasti bezpečnosti (pre Policajný zbor a Hasičský a záchranný zbor) predpokladá príjem z povinného odvodu vo výške 8 % výberu z povinného zmluvného poistenia motorových vozidiel za predchádzajúci rok.</w:t>
      </w:r>
    </w:p>
    <w:p w:rsidR="000163CE" w:rsidRPr="00C11F98" w:rsidP="000163CE">
      <w:pPr>
        <w:bidi w:val="0"/>
        <w:ind w:firstLine="708"/>
        <w:jc w:val="both"/>
        <w:rPr>
          <w:rFonts w:ascii="Times New Roman" w:hAnsi="Times New Roman" w:cs="Times New Roman"/>
        </w:rPr>
      </w:pPr>
    </w:p>
    <w:p w:rsidR="000163CE" w:rsidRPr="00C11F98" w:rsidP="000163CE">
      <w:pPr>
        <w:bidi w:val="0"/>
        <w:jc w:val="both"/>
        <w:rPr>
          <w:rFonts w:ascii="Times New Roman" w:hAnsi="Times New Roman" w:cs="Times New Roman"/>
          <w:b/>
        </w:rPr>
      </w:pPr>
      <w:r w:rsidRPr="00C11F98">
        <w:rPr>
          <w:rFonts w:ascii="Times New Roman" w:hAnsi="Times New Roman" w:cs="Times New Roman"/>
          <w:b/>
        </w:rPr>
        <w:t>Ochrana verejného poriadku a bezpečnosti</w:t>
      </w:r>
    </w:p>
    <w:p w:rsidR="000163CE" w:rsidRPr="00C11F98" w:rsidP="000163CE">
      <w:pPr>
        <w:bidi w:val="0"/>
        <w:jc w:val="both"/>
        <w:rPr>
          <w:rFonts w:ascii="Times New Roman" w:hAnsi="Times New Roman" w:cs="Times New Roman"/>
          <w:b/>
        </w:rPr>
      </w:pPr>
    </w:p>
    <w:tbl>
      <w:tblPr>
        <w:tblStyle w:val="TableNormal"/>
        <w:tblW w:w="926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2410"/>
        <w:gridCol w:w="978"/>
        <w:gridCol w:w="979"/>
        <w:gridCol w:w="979"/>
        <w:gridCol w:w="979"/>
        <w:gridCol w:w="979"/>
        <w:gridCol w:w="979"/>
        <w:gridCol w:w="979"/>
      </w:tblGrid>
      <w:tr>
        <w:tblPrEx>
          <w:tblW w:w="926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261"/>
        </w:trPr>
        <w:tc>
          <w:tcPr>
            <w:tcW w:w="2410" w:type="dxa"/>
            <w:tcBorders>
              <w:top w:val="single" w:sz="8"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b/>
                <w:sz w:val="14"/>
                <w:szCs w:val="14"/>
              </w:rPr>
            </w:pPr>
            <w:r w:rsidRPr="00C11F98">
              <w:rPr>
                <w:rFonts w:ascii="Times New Roman" w:hAnsi="Times New Roman" w:cs="Times New Roman"/>
                <w:b/>
                <w:sz w:val="14"/>
                <w:szCs w:val="14"/>
              </w:rPr>
              <w:t> v eurách</w:t>
            </w:r>
          </w:p>
        </w:tc>
        <w:tc>
          <w:tcPr>
            <w:tcW w:w="978" w:type="dxa"/>
            <w:tcBorders>
              <w:top w:val="single" w:sz="8"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2009 S</w:t>
            </w:r>
          </w:p>
        </w:tc>
        <w:tc>
          <w:tcPr>
            <w:tcW w:w="979" w:type="dxa"/>
            <w:tcBorders>
              <w:top w:val="single" w:sz="8"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2010 S</w:t>
            </w:r>
          </w:p>
        </w:tc>
        <w:tc>
          <w:tcPr>
            <w:tcW w:w="979" w:type="dxa"/>
            <w:tcBorders>
              <w:top w:val="single" w:sz="8"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2011 R</w:t>
            </w:r>
          </w:p>
        </w:tc>
        <w:tc>
          <w:tcPr>
            <w:tcW w:w="979" w:type="dxa"/>
            <w:tcBorders>
              <w:top w:val="single" w:sz="8"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2011 OS</w:t>
            </w:r>
          </w:p>
        </w:tc>
        <w:tc>
          <w:tcPr>
            <w:tcW w:w="979" w:type="dxa"/>
            <w:tcBorders>
              <w:top w:val="single" w:sz="8"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2012 N</w:t>
            </w:r>
          </w:p>
        </w:tc>
        <w:tc>
          <w:tcPr>
            <w:tcW w:w="979" w:type="dxa"/>
            <w:tcBorders>
              <w:top w:val="single" w:sz="8"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2013 N</w:t>
            </w:r>
          </w:p>
        </w:tc>
        <w:tc>
          <w:tcPr>
            <w:tcW w:w="979" w:type="dxa"/>
            <w:tcBorders>
              <w:top w:val="single" w:sz="8"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2014 N</w:t>
            </w:r>
          </w:p>
        </w:tc>
      </w:tr>
      <w:tr>
        <w:tblPrEx>
          <w:tblW w:w="9262" w:type="dxa"/>
          <w:tblInd w:w="-72" w:type="dxa"/>
          <w:tblLayout w:type="fixed"/>
          <w:tblCellMar>
            <w:left w:w="70" w:type="dxa"/>
            <w:right w:w="70" w:type="dxa"/>
          </w:tblCellMar>
        </w:tblPrEx>
        <w:trPr>
          <w:trHeight w:val="261"/>
        </w:trPr>
        <w:tc>
          <w:tcPr>
            <w:tcW w:w="2410"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b/>
                <w:bCs/>
                <w:sz w:val="14"/>
                <w:szCs w:val="14"/>
              </w:rPr>
            </w:pPr>
            <w:r w:rsidRPr="00C11F98">
              <w:rPr>
                <w:rFonts w:ascii="Times New Roman" w:hAnsi="Times New Roman" w:cs="Times New Roman"/>
                <w:b/>
                <w:bCs/>
                <w:sz w:val="14"/>
                <w:szCs w:val="14"/>
              </w:rPr>
              <w:t>Ochrana verejného poriadku a bezpečnosti</w:t>
            </w:r>
          </w:p>
        </w:tc>
        <w:tc>
          <w:tcPr>
            <w:tcW w:w="978"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b/>
                <w:sz w:val="14"/>
                <w:szCs w:val="14"/>
              </w:rPr>
            </w:pPr>
            <w:r w:rsidRPr="00C11F98">
              <w:rPr>
                <w:rFonts w:ascii="Times New Roman" w:hAnsi="Times New Roman" w:cs="Times New Roman"/>
                <w:b/>
                <w:sz w:val="14"/>
                <w:szCs w:val="14"/>
              </w:rPr>
              <w:t xml:space="preserve">731 425 809 </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b/>
                <w:sz w:val="14"/>
                <w:szCs w:val="14"/>
              </w:rPr>
            </w:pPr>
            <w:r w:rsidRPr="00C11F98">
              <w:rPr>
                <w:rFonts w:ascii="Times New Roman" w:hAnsi="Times New Roman" w:cs="Times New Roman"/>
                <w:b/>
                <w:sz w:val="14"/>
                <w:szCs w:val="14"/>
              </w:rPr>
              <w:t>729 256 946</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b/>
                <w:bCs/>
                <w:sz w:val="14"/>
                <w:szCs w:val="14"/>
              </w:rPr>
            </w:pPr>
            <w:r w:rsidRPr="00C11F98">
              <w:rPr>
                <w:rFonts w:ascii="Times New Roman" w:hAnsi="Times New Roman" w:cs="Times New Roman"/>
                <w:b/>
                <w:bCs/>
                <w:sz w:val="14"/>
                <w:szCs w:val="14"/>
              </w:rPr>
              <w:t>667 463 034</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b/>
                <w:bCs/>
                <w:sz w:val="14"/>
                <w:szCs w:val="14"/>
              </w:rPr>
            </w:pPr>
            <w:r w:rsidRPr="00C11F98">
              <w:rPr>
                <w:rFonts w:ascii="Times New Roman" w:hAnsi="Times New Roman" w:cs="Times New Roman"/>
                <w:b/>
                <w:sz w:val="14"/>
                <w:szCs w:val="14"/>
              </w:rPr>
              <w:t>684 036 253</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b/>
                <w:bCs/>
                <w:sz w:val="14"/>
                <w:szCs w:val="14"/>
              </w:rPr>
            </w:pPr>
            <w:r w:rsidRPr="00C11F98">
              <w:rPr>
                <w:rFonts w:ascii="Times New Roman" w:hAnsi="Times New Roman" w:cs="Times New Roman"/>
                <w:b/>
                <w:bCs/>
                <w:sz w:val="14"/>
                <w:szCs w:val="14"/>
              </w:rPr>
              <w:t>716 052 399</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b/>
                <w:bCs/>
                <w:sz w:val="14"/>
                <w:szCs w:val="14"/>
              </w:rPr>
            </w:pPr>
            <w:r w:rsidRPr="00C11F98">
              <w:rPr>
                <w:rFonts w:ascii="Times New Roman" w:hAnsi="Times New Roman" w:cs="Times New Roman"/>
                <w:b/>
                <w:bCs/>
                <w:sz w:val="14"/>
                <w:szCs w:val="14"/>
              </w:rPr>
              <w:t>683 204 584</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b/>
                <w:bCs/>
                <w:sz w:val="14"/>
                <w:szCs w:val="14"/>
              </w:rPr>
            </w:pPr>
            <w:r w:rsidRPr="00C11F98">
              <w:rPr>
                <w:rFonts w:ascii="Times New Roman" w:hAnsi="Times New Roman" w:cs="Times New Roman"/>
                <w:b/>
                <w:bCs/>
                <w:sz w:val="14"/>
                <w:szCs w:val="14"/>
              </w:rPr>
              <w:t>688 631 524</w:t>
            </w:r>
          </w:p>
        </w:tc>
      </w:tr>
      <w:tr>
        <w:tblPrEx>
          <w:tblW w:w="9262" w:type="dxa"/>
          <w:tblInd w:w="-72" w:type="dxa"/>
          <w:tblLayout w:type="fixed"/>
          <w:tblCellMar>
            <w:left w:w="70" w:type="dxa"/>
            <w:right w:w="70" w:type="dxa"/>
          </w:tblCellMar>
        </w:tblPrEx>
        <w:trPr>
          <w:trHeight w:val="261"/>
        </w:trPr>
        <w:tc>
          <w:tcPr>
            <w:tcW w:w="2410"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z toho:</w:t>
            </w:r>
          </w:p>
        </w:tc>
        <w:tc>
          <w:tcPr>
            <w:tcW w:w="978"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p>
        </w:tc>
        <w:tc>
          <w:tcPr>
            <w:tcW w:w="979"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sz w:val="14"/>
                <w:szCs w:val="14"/>
              </w:rPr>
            </w:pPr>
          </w:p>
        </w:tc>
        <w:tc>
          <w:tcPr>
            <w:tcW w:w="979"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sz w:val="14"/>
                <w:szCs w:val="14"/>
              </w:rPr>
            </w:pP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p>
        </w:tc>
        <w:tc>
          <w:tcPr>
            <w:tcW w:w="979"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sz w:val="14"/>
                <w:szCs w:val="14"/>
              </w:rPr>
            </w:pP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p>
        </w:tc>
        <w:tc>
          <w:tcPr>
            <w:tcW w:w="979"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sz w:val="14"/>
                <w:szCs w:val="14"/>
              </w:rPr>
            </w:pPr>
          </w:p>
        </w:tc>
      </w:tr>
      <w:tr>
        <w:tblPrEx>
          <w:tblW w:w="9262" w:type="dxa"/>
          <w:tblInd w:w="-72" w:type="dxa"/>
          <w:tblLayout w:type="fixed"/>
          <w:tblCellMar>
            <w:left w:w="70" w:type="dxa"/>
            <w:right w:w="70" w:type="dxa"/>
          </w:tblCellMar>
        </w:tblPrEx>
        <w:trPr>
          <w:trHeight w:val="261"/>
        </w:trPr>
        <w:tc>
          <w:tcPr>
            <w:tcW w:w="2410"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Riadiaca, metod. a kontr. činnosť PPZ</w:t>
            </w:r>
          </w:p>
        </w:tc>
        <w:tc>
          <w:tcPr>
            <w:tcW w:w="978"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 xml:space="preserve">19 791 641   </w:t>
            </w:r>
          </w:p>
        </w:tc>
        <w:tc>
          <w:tcPr>
            <w:tcW w:w="979"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21 586 783</w:t>
            </w:r>
          </w:p>
        </w:tc>
        <w:tc>
          <w:tcPr>
            <w:tcW w:w="979"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18 865 814</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20 800 369</w:t>
            </w:r>
          </w:p>
        </w:tc>
        <w:tc>
          <w:tcPr>
            <w:tcW w:w="979"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19 799 848</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19 799 848</w:t>
            </w:r>
          </w:p>
        </w:tc>
        <w:tc>
          <w:tcPr>
            <w:tcW w:w="979"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19 799 848</w:t>
            </w:r>
          </w:p>
        </w:tc>
      </w:tr>
      <w:tr>
        <w:tblPrEx>
          <w:tblW w:w="9262" w:type="dxa"/>
          <w:tblInd w:w="-72" w:type="dxa"/>
          <w:tblLayout w:type="fixed"/>
          <w:tblCellMar>
            <w:left w:w="70" w:type="dxa"/>
            <w:right w:w="70" w:type="dxa"/>
          </w:tblCellMar>
        </w:tblPrEx>
        <w:trPr>
          <w:trHeight w:val="261"/>
        </w:trPr>
        <w:tc>
          <w:tcPr>
            <w:tcW w:w="2410"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Boj s organizovaným zločinom</w:t>
            </w:r>
          </w:p>
        </w:tc>
        <w:tc>
          <w:tcPr>
            <w:tcW w:w="978"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 xml:space="preserve">35 354 283   </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33 399 630</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35 165 790</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39 694 801</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30 763 102</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30 763 102</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30 763 102</w:t>
            </w:r>
          </w:p>
        </w:tc>
      </w:tr>
      <w:tr>
        <w:tblPrEx>
          <w:tblW w:w="9262" w:type="dxa"/>
          <w:tblInd w:w="-72" w:type="dxa"/>
          <w:tblLayout w:type="fixed"/>
          <w:tblCellMar>
            <w:left w:w="70" w:type="dxa"/>
            <w:right w:w="70" w:type="dxa"/>
          </w:tblCellMar>
        </w:tblPrEx>
        <w:trPr>
          <w:trHeight w:val="261"/>
        </w:trPr>
        <w:tc>
          <w:tcPr>
            <w:tcW w:w="2410"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Ochrana verejného poriadku</w:t>
            </w:r>
          </w:p>
        </w:tc>
        <w:tc>
          <w:tcPr>
            <w:tcW w:w="978"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 xml:space="preserve">414 191 051   </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414 004 933</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 xml:space="preserve">377 802 866 </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398 885 446</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387 115 398</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387 115 398</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387 115 398</w:t>
            </w:r>
          </w:p>
        </w:tc>
      </w:tr>
      <w:tr>
        <w:tblPrEx>
          <w:tblW w:w="9262" w:type="dxa"/>
          <w:tblInd w:w="-72" w:type="dxa"/>
          <w:tblLayout w:type="fixed"/>
          <w:tblCellMar>
            <w:left w:w="70" w:type="dxa"/>
            <w:right w:w="70" w:type="dxa"/>
          </w:tblCellMar>
        </w:tblPrEx>
        <w:trPr>
          <w:trHeight w:val="261"/>
        </w:trPr>
        <w:tc>
          <w:tcPr>
            <w:tcW w:w="2410"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Ochrana štátnej hranice</w:t>
            </w:r>
          </w:p>
        </w:tc>
        <w:tc>
          <w:tcPr>
            <w:tcW w:w="978"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 xml:space="preserve">50 724 191   </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46 522 778</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48 418 243</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47 102 430</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53 026 887</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43 026 887</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43 026 887</w:t>
            </w:r>
          </w:p>
        </w:tc>
      </w:tr>
      <w:tr>
        <w:tblPrEx>
          <w:tblW w:w="9262" w:type="dxa"/>
          <w:tblInd w:w="-72" w:type="dxa"/>
          <w:tblLayout w:type="fixed"/>
          <w:tblCellMar>
            <w:left w:w="70" w:type="dxa"/>
            <w:right w:w="70" w:type="dxa"/>
          </w:tblCellMar>
        </w:tblPrEx>
        <w:trPr>
          <w:trHeight w:val="261"/>
        </w:trPr>
        <w:tc>
          <w:tcPr>
            <w:tcW w:w="2410"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Centrálna podpora činnosti MV SR</w:t>
            </w:r>
          </w:p>
        </w:tc>
        <w:tc>
          <w:tcPr>
            <w:tcW w:w="978"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 xml:space="preserve">128 742 330   </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135 334 653</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113 657 177</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122 986 664</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146 936 823</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113 966 823</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113 966 823</w:t>
            </w:r>
          </w:p>
        </w:tc>
      </w:tr>
      <w:tr>
        <w:tblPrEx>
          <w:tblW w:w="9262" w:type="dxa"/>
          <w:tblInd w:w="-72" w:type="dxa"/>
          <w:tblLayout w:type="fixed"/>
          <w:tblCellMar>
            <w:left w:w="70" w:type="dxa"/>
            <w:right w:w="70" w:type="dxa"/>
          </w:tblCellMar>
        </w:tblPrEx>
        <w:trPr>
          <w:trHeight w:val="261"/>
        </w:trPr>
        <w:tc>
          <w:tcPr>
            <w:tcW w:w="2410"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Azylová politika</w:t>
            </w:r>
          </w:p>
        </w:tc>
        <w:tc>
          <w:tcPr>
            <w:tcW w:w="978"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 xml:space="preserve">3 847 078   </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3 169 410</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2 589 412</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2 582 741</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2 515 191</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2 515 191</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2 515 191</w:t>
            </w:r>
          </w:p>
        </w:tc>
      </w:tr>
      <w:tr>
        <w:tblPrEx>
          <w:tblW w:w="9262" w:type="dxa"/>
          <w:tblInd w:w="-72" w:type="dxa"/>
          <w:tblLayout w:type="fixed"/>
          <w:tblCellMar>
            <w:left w:w="70" w:type="dxa"/>
            <w:right w:w="70" w:type="dxa"/>
          </w:tblCellMar>
        </w:tblPrEx>
        <w:trPr>
          <w:trHeight w:val="261"/>
        </w:trPr>
        <w:tc>
          <w:tcPr>
            <w:tcW w:w="2410"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Starostlivosť o ľudské zdroje</w:t>
            </w:r>
          </w:p>
        </w:tc>
        <w:tc>
          <w:tcPr>
            <w:tcW w:w="978"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 xml:space="preserve">29 110 589   </w:t>
            </w:r>
          </w:p>
        </w:tc>
        <w:tc>
          <w:tcPr>
            <w:tcW w:w="979"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28 601 167</w:t>
            </w:r>
          </w:p>
        </w:tc>
        <w:tc>
          <w:tcPr>
            <w:tcW w:w="979"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23 046 169</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25 763 518</w:t>
            </w:r>
          </w:p>
        </w:tc>
        <w:tc>
          <w:tcPr>
            <w:tcW w:w="979"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49 124 700</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56 713 584</w:t>
            </w:r>
          </w:p>
        </w:tc>
        <w:tc>
          <w:tcPr>
            <w:tcW w:w="979"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64 435 219</w:t>
            </w:r>
          </w:p>
        </w:tc>
      </w:tr>
      <w:tr>
        <w:tblPrEx>
          <w:tblW w:w="9262" w:type="dxa"/>
          <w:tblInd w:w="-72" w:type="dxa"/>
          <w:tblLayout w:type="fixed"/>
          <w:tblCellMar>
            <w:left w:w="70" w:type="dxa"/>
            <w:right w:w="70" w:type="dxa"/>
          </w:tblCellMar>
        </w:tblPrEx>
        <w:trPr>
          <w:trHeight w:val="261"/>
        </w:trPr>
        <w:tc>
          <w:tcPr>
            <w:tcW w:w="2410"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Projekty Európskej únie</w:t>
            </w:r>
          </w:p>
        </w:tc>
        <w:tc>
          <w:tcPr>
            <w:tcW w:w="978"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 xml:space="preserve">5 312 544   </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2 120 816</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6 133 914</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5 913 415</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6 896 635</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9 429 936</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7 135 241</w:t>
            </w:r>
          </w:p>
        </w:tc>
      </w:tr>
      <w:tr>
        <w:tblPrEx>
          <w:tblW w:w="9262" w:type="dxa"/>
          <w:tblInd w:w="-72" w:type="dxa"/>
          <w:tblLayout w:type="fixed"/>
          <w:tblCellMar>
            <w:left w:w="70" w:type="dxa"/>
            <w:right w:w="70" w:type="dxa"/>
          </w:tblCellMar>
        </w:tblPrEx>
        <w:trPr>
          <w:trHeight w:val="261"/>
        </w:trPr>
        <w:tc>
          <w:tcPr>
            <w:tcW w:w="2410"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Ochrana a preprava určených osôb</w:t>
            </w:r>
          </w:p>
        </w:tc>
        <w:tc>
          <w:tcPr>
            <w:tcW w:w="978"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 xml:space="preserve">19 834 107   </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19 966 245</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19 479 460</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19 420 013</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19 621 515</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19 621 515</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19 621 515</w:t>
            </w:r>
          </w:p>
        </w:tc>
      </w:tr>
      <w:tr>
        <w:tblPrEx>
          <w:tblW w:w="9262" w:type="dxa"/>
          <w:tblInd w:w="-72" w:type="dxa"/>
          <w:tblLayout w:type="fixed"/>
          <w:tblCellMar>
            <w:left w:w="70" w:type="dxa"/>
            <w:right w:w="70" w:type="dxa"/>
          </w:tblCellMar>
        </w:tblPrEx>
        <w:trPr>
          <w:trHeight w:val="261"/>
        </w:trPr>
        <w:tc>
          <w:tcPr>
            <w:tcW w:w="2410"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 xml:space="preserve">Bezpečnosť dopravy </w:t>
            </w:r>
          </w:p>
        </w:tc>
        <w:tc>
          <w:tcPr>
            <w:tcW w:w="978"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 xml:space="preserve">24 517 995   </w:t>
            </w:r>
          </w:p>
        </w:tc>
        <w:tc>
          <w:tcPr>
            <w:tcW w:w="979"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24 550 531</w:t>
            </w:r>
          </w:p>
        </w:tc>
        <w:tc>
          <w:tcPr>
            <w:tcW w:w="979"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22 304 189</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879 855</w:t>
            </w:r>
          </w:p>
        </w:tc>
        <w:tc>
          <w:tcPr>
            <w:tcW w:w="979"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79"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0</w:t>
            </w:r>
          </w:p>
        </w:tc>
      </w:tr>
      <w:tr>
        <w:tblPrEx>
          <w:tblW w:w="9262" w:type="dxa"/>
          <w:tblInd w:w="-72" w:type="dxa"/>
          <w:tblLayout w:type="fixed"/>
          <w:tblCellMar>
            <w:left w:w="70" w:type="dxa"/>
            <w:right w:w="70" w:type="dxa"/>
          </w:tblCellMar>
        </w:tblPrEx>
        <w:trPr>
          <w:trHeight w:val="261"/>
        </w:trPr>
        <w:tc>
          <w:tcPr>
            <w:tcW w:w="2410"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Boj proti obchodovaniu s ľuďmi</w:t>
            </w:r>
          </w:p>
        </w:tc>
        <w:tc>
          <w:tcPr>
            <w:tcW w:w="978"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79"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79"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79"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252 300</w:t>
            </w:r>
          </w:p>
        </w:tc>
        <w:tc>
          <w:tcPr>
            <w:tcW w:w="979"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 xml:space="preserve">252 300 </w:t>
            </w:r>
          </w:p>
        </w:tc>
        <w:tc>
          <w:tcPr>
            <w:tcW w:w="979"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252 300</w:t>
            </w:r>
          </w:p>
        </w:tc>
      </w:tr>
    </w:tbl>
    <w:p w:rsidR="000163CE" w:rsidRPr="00C11F98" w:rsidP="000163CE">
      <w:pPr>
        <w:bidi w:val="0"/>
        <w:jc w:val="both"/>
        <w:rPr>
          <w:rFonts w:ascii="Times New Roman" w:hAnsi="Times New Roman" w:cs="Times New Roman"/>
        </w:rPr>
      </w:pPr>
    </w:p>
    <w:p w:rsidR="000163CE" w:rsidRPr="00C11F98" w:rsidP="000163CE">
      <w:pPr>
        <w:bidi w:val="0"/>
        <w:ind w:firstLine="708"/>
        <w:jc w:val="both"/>
        <w:rPr>
          <w:rFonts w:ascii="Times New Roman" w:hAnsi="Times New Roman" w:cs="Times New Roman"/>
        </w:rPr>
      </w:pPr>
      <w:r w:rsidRPr="00C11F98">
        <w:rPr>
          <w:rFonts w:ascii="Times New Roman" w:hAnsi="Times New Roman" w:cs="Times New Roman"/>
        </w:rPr>
        <w:t>V rámci uvedeného programu rozpočtové výdavky na rok 2012 oproti schválenému rozpočtu roka 2011 rastú o 48,6 mil. eur, čo predstavuje 7,30% nárast.</w:t>
      </w:r>
    </w:p>
    <w:p w:rsidR="000163CE" w:rsidRPr="00C11F98" w:rsidP="000163CE">
      <w:pPr>
        <w:bidi w:val="0"/>
        <w:jc w:val="both"/>
        <w:rPr>
          <w:rFonts w:ascii="Times New Roman" w:hAnsi="Times New Roman" w:cs="Times New Roman"/>
        </w:rPr>
      </w:pPr>
    </w:p>
    <w:p w:rsidR="000163CE" w:rsidRPr="00C11F98" w:rsidP="000163CE">
      <w:pPr>
        <w:bidi w:val="0"/>
        <w:ind w:firstLine="708"/>
        <w:jc w:val="both"/>
        <w:rPr>
          <w:rFonts w:ascii="Times New Roman" w:hAnsi="Times New Roman" w:cs="Times New Roman"/>
        </w:rPr>
      </w:pPr>
      <w:r w:rsidRPr="00C11F98">
        <w:rPr>
          <w:rFonts w:ascii="Times New Roman" w:hAnsi="Times New Roman" w:cs="Times New Roman"/>
        </w:rPr>
        <w:t>Rozpočtované prostriedky slúžia na zabezpečenie základných úloh na úseku poriadkovej polície, justičnej a kriminálnej polície, dopravnej polície, inšpekčnej služby PZ, Kriminalisticko-expertízneho ústavu PZ, cudzineckej a hraničnej polície, špecializovaných útvarov polície a Migračného úradu Ministerstva vnútra SR. Ďalej sú tu rozpočtované výdavky na zabezpečenie výučby základného policajného vzdelania, prípravu nižších policajných dôstojníkov a špecializovaného vzdelania pre priamy výkon policajnej služby. Túto prípravu zabezpečujú stredné odborné školy PZ. Vyšší stupeň prípravy policajtov a bezpečnostných služieb a ďalšie vzdelávanie, vrátane vedeckého poznania a výchovy zabezpečuje Akadémia PZ.</w:t>
      </w:r>
    </w:p>
    <w:p w:rsidR="000163CE" w:rsidRPr="00C11F98" w:rsidP="000163CE">
      <w:pPr>
        <w:bidi w:val="0"/>
        <w:jc w:val="both"/>
        <w:rPr>
          <w:rFonts w:ascii="Times New Roman" w:hAnsi="Times New Roman" w:cs="Times New Roman"/>
          <w:b/>
        </w:rPr>
      </w:pPr>
    </w:p>
    <w:p w:rsidR="000163CE" w:rsidP="000163CE">
      <w:pPr>
        <w:bidi w:val="0"/>
        <w:ind w:firstLine="708"/>
        <w:jc w:val="both"/>
        <w:rPr>
          <w:rFonts w:ascii="Times New Roman" w:hAnsi="Times New Roman" w:cs="Times New Roman"/>
        </w:rPr>
      </w:pPr>
      <w:r w:rsidRPr="00C11F98">
        <w:rPr>
          <w:rFonts w:ascii="Times New Roman" w:hAnsi="Times New Roman" w:cs="Times New Roman"/>
        </w:rPr>
        <w:t>Od 1. 1. 2008 patria do sociálneho zabezpečenia policajtov a vojakov v súlade so zákonom č. 328/2002 Z. z. o sociálnom zabezpečení policajtov a vojakov aj príslušníci Hasičského záchranného zboru a tiež príslušníci Horskej záchrannej služby. Príspevky do systému od nových účastníkov spôsobili vyrovnanie osobitného účtu, avšak len dočasne. V  dlhodobom horizonte, kedy sa týmto novým účastníkom budú musieť vyplácať aj dávky,  sa hospodárenie systému sociálneho zabezpečenia výrazne zhoršilo. Tento systém je pri súčasných existujúcich parametroch vysoko deficitný a od roku 2012 bude každoročne opäť odčerpávať zo štátneho rozpočtu významnú sumu zdrojov, čím sa znižujú disponibilné zdroje rezortu. Na osobitný účet sa rozpočtujú na rok 2012 výdavky v sume 26,1 mil. eur, čo je oproti schválenému rozpočtu roku 2011 nárast o 25,8 mil. eur.</w:t>
      </w:r>
    </w:p>
    <w:p w:rsidR="00D01F5D" w:rsidP="000163CE">
      <w:pPr>
        <w:bidi w:val="0"/>
        <w:ind w:firstLine="708"/>
        <w:jc w:val="both"/>
        <w:rPr>
          <w:rFonts w:ascii="Times New Roman" w:hAnsi="Times New Roman" w:cs="Times New Roman"/>
        </w:rPr>
      </w:pPr>
    </w:p>
    <w:p w:rsidR="00D01F5D" w:rsidP="000163CE">
      <w:pPr>
        <w:bidi w:val="0"/>
        <w:ind w:firstLine="708"/>
        <w:jc w:val="both"/>
        <w:rPr>
          <w:rFonts w:ascii="Times New Roman" w:hAnsi="Times New Roman" w:cs="Times New Roman"/>
        </w:rPr>
      </w:pPr>
    </w:p>
    <w:p w:rsidR="00D01F5D" w:rsidRPr="00C11F98" w:rsidP="000163CE">
      <w:pPr>
        <w:bidi w:val="0"/>
        <w:ind w:firstLine="708"/>
        <w:jc w:val="both"/>
        <w:rPr>
          <w:rFonts w:ascii="Times New Roman" w:hAnsi="Times New Roman" w:cs="Times New Roman"/>
        </w:rPr>
      </w:pPr>
    </w:p>
    <w:tbl>
      <w:tblPr>
        <w:tblStyle w:val="TableNormal"/>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2129"/>
        <w:gridCol w:w="993"/>
        <w:gridCol w:w="993"/>
        <w:gridCol w:w="992"/>
        <w:gridCol w:w="992"/>
        <w:gridCol w:w="992"/>
        <w:gridCol w:w="992"/>
        <w:gridCol w:w="989"/>
      </w:tblGrid>
      <w:tr>
        <w:tblPrEx>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58"/>
        </w:trPr>
        <w:tc>
          <w:tcPr>
            <w:tcW w:w="1173" w:type="pct"/>
            <w:tcBorders>
              <w:top w:val="single" w:sz="4" w:space="0" w:color="auto"/>
              <w:left w:val="single" w:sz="4" w:space="0" w:color="auto"/>
              <w:bottom w:val="single" w:sz="4" w:space="0" w:color="auto"/>
              <w:right w:val="single" w:sz="4" w:space="0" w:color="auto"/>
            </w:tcBorders>
            <w:textDirection w:val="lrTb"/>
            <w:vAlign w:val="center"/>
          </w:tcPr>
          <w:p w:rsidR="000163CE" w:rsidRPr="00C11F98" w:rsidP="009112FB">
            <w:pPr>
              <w:bidi w:val="0"/>
              <w:rPr>
                <w:rFonts w:ascii="Times New Roman" w:hAnsi="Times New Roman" w:cs="Times New Roman"/>
                <w:b/>
                <w:bCs/>
                <w:sz w:val="14"/>
                <w:szCs w:val="14"/>
              </w:rPr>
            </w:pPr>
            <w:r w:rsidRPr="00C11F98">
              <w:rPr>
                <w:rFonts w:ascii="Times New Roman" w:hAnsi="Times New Roman" w:cs="Times New Roman"/>
                <w:b/>
                <w:bCs/>
                <w:sz w:val="14"/>
                <w:szCs w:val="14"/>
              </w:rPr>
              <w:t>v eurách</w:t>
            </w:r>
          </w:p>
        </w:tc>
        <w:tc>
          <w:tcPr>
            <w:tcW w:w="547" w:type="pct"/>
            <w:tcBorders>
              <w:top w:val="single" w:sz="4" w:space="0" w:color="auto"/>
              <w:left w:val="single" w:sz="4" w:space="0" w:color="auto"/>
              <w:bottom w:val="single" w:sz="4" w:space="0" w:color="auto"/>
              <w:right w:val="single" w:sz="4" w:space="0" w:color="auto"/>
            </w:tcBorders>
            <w:textDirection w:val="lrTb"/>
            <w:vAlign w:val="center"/>
          </w:tcPr>
          <w:p w:rsidR="000163CE" w:rsidRPr="00C11F98" w:rsidP="009112FB">
            <w:pPr>
              <w:bidi w:val="0"/>
              <w:jc w:val="center"/>
              <w:rPr>
                <w:rFonts w:ascii="Times New Roman" w:hAnsi="Times New Roman" w:cs="Times New Roman"/>
                <w:b/>
                <w:bCs/>
                <w:sz w:val="14"/>
                <w:szCs w:val="14"/>
              </w:rPr>
            </w:pPr>
            <w:r w:rsidRPr="00C11F98">
              <w:rPr>
                <w:rFonts w:ascii="Times New Roman" w:hAnsi="Times New Roman" w:cs="Times New Roman"/>
                <w:b/>
                <w:bCs/>
                <w:sz w:val="14"/>
                <w:szCs w:val="14"/>
              </w:rPr>
              <w:t>2009 S</w:t>
            </w:r>
          </w:p>
        </w:tc>
        <w:tc>
          <w:tcPr>
            <w:tcW w:w="547" w:type="pct"/>
            <w:tcBorders>
              <w:top w:val="single" w:sz="4" w:space="0" w:color="auto"/>
              <w:left w:val="single" w:sz="4" w:space="0" w:color="auto"/>
              <w:bottom w:val="single" w:sz="4" w:space="0" w:color="auto"/>
              <w:right w:val="single" w:sz="4" w:space="0" w:color="auto"/>
            </w:tcBorders>
            <w:textDirection w:val="lrTb"/>
            <w:vAlign w:val="center"/>
          </w:tcPr>
          <w:p w:rsidR="000163CE" w:rsidRPr="00C11F98" w:rsidP="009112FB">
            <w:pPr>
              <w:bidi w:val="0"/>
              <w:jc w:val="center"/>
              <w:rPr>
                <w:rFonts w:ascii="Times New Roman" w:hAnsi="Times New Roman" w:cs="Times New Roman"/>
                <w:b/>
                <w:bCs/>
                <w:sz w:val="14"/>
                <w:szCs w:val="14"/>
              </w:rPr>
            </w:pPr>
            <w:r w:rsidRPr="00C11F98">
              <w:rPr>
                <w:rFonts w:ascii="Times New Roman" w:hAnsi="Times New Roman" w:cs="Times New Roman"/>
                <w:b/>
                <w:bCs/>
                <w:sz w:val="14"/>
                <w:szCs w:val="14"/>
              </w:rPr>
              <w:t>2010 S</w:t>
            </w:r>
          </w:p>
        </w:tc>
        <w:tc>
          <w:tcPr>
            <w:tcW w:w="547" w:type="pct"/>
            <w:tcBorders>
              <w:top w:val="single" w:sz="4" w:space="0" w:color="auto"/>
              <w:left w:val="single" w:sz="4" w:space="0" w:color="auto"/>
              <w:bottom w:val="single" w:sz="4" w:space="0" w:color="auto"/>
              <w:right w:val="single" w:sz="4" w:space="0" w:color="auto"/>
            </w:tcBorders>
            <w:textDirection w:val="lrTb"/>
            <w:vAlign w:val="center"/>
          </w:tcPr>
          <w:p w:rsidR="000163CE" w:rsidRPr="00C11F98" w:rsidP="009112FB">
            <w:pPr>
              <w:bidi w:val="0"/>
              <w:jc w:val="center"/>
              <w:rPr>
                <w:rFonts w:ascii="Times New Roman" w:hAnsi="Times New Roman" w:cs="Times New Roman"/>
                <w:b/>
                <w:bCs/>
                <w:sz w:val="14"/>
                <w:szCs w:val="14"/>
              </w:rPr>
            </w:pPr>
            <w:r w:rsidRPr="00C11F98">
              <w:rPr>
                <w:rFonts w:ascii="Times New Roman" w:hAnsi="Times New Roman" w:cs="Times New Roman"/>
                <w:b/>
                <w:bCs/>
                <w:sz w:val="14"/>
                <w:szCs w:val="14"/>
              </w:rPr>
              <w:t>2011 R</w:t>
            </w:r>
          </w:p>
        </w:tc>
        <w:tc>
          <w:tcPr>
            <w:tcW w:w="547" w:type="pct"/>
            <w:tcBorders>
              <w:top w:val="single" w:sz="4" w:space="0" w:color="auto"/>
              <w:left w:val="single" w:sz="4" w:space="0" w:color="auto"/>
              <w:bottom w:val="single" w:sz="4" w:space="0" w:color="auto"/>
              <w:right w:val="single" w:sz="4" w:space="0" w:color="auto"/>
            </w:tcBorders>
            <w:textDirection w:val="lrTb"/>
            <w:vAlign w:val="center"/>
          </w:tcPr>
          <w:p w:rsidR="000163CE" w:rsidRPr="00C11F98" w:rsidP="009112FB">
            <w:pPr>
              <w:bidi w:val="0"/>
              <w:jc w:val="center"/>
              <w:rPr>
                <w:rFonts w:ascii="Times New Roman" w:hAnsi="Times New Roman" w:cs="Times New Roman"/>
                <w:b/>
                <w:bCs/>
                <w:sz w:val="14"/>
                <w:szCs w:val="14"/>
              </w:rPr>
            </w:pPr>
            <w:r w:rsidRPr="00C11F98">
              <w:rPr>
                <w:rFonts w:ascii="Times New Roman" w:hAnsi="Times New Roman" w:cs="Times New Roman"/>
                <w:b/>
                <w:bCs/>
                <w:sz w:val="14"/>
                <w:szCs w:val="14"/>
              </w:rPr>
              <w:t>2011 OS</w:t>
            </w:r>
          </w:p>
        </w:tc>
        <w:tc>
          <w:tcPr>
            <w:tcW w:w="547" w:type="pct"/>
            <w:tcBorders>
              <w:top w:val="single" w:sz="4" w:space="0" w:color="auto"/>
              <w:left w:val="single" w:sz="4" w:space="0" w:color="auto"/>
              <w:bottom w:val="single" w:sz="4" w:space="0" w:color="auto"/>
              <w:right w:val="single" w:sz="4" w:space="0" w:color="auto"/>
            </w:tcBorders>
            <w:textDirection w:val="lrTb"/>
            <w:vAlign w:val="center"/>
          </w:tcPr>
          <w:p w:rsidR="000163CE" w:rsidRPr="00C11F98" w:rsidP="009112FB">
            <w:pPr>
              <w:bidi w:val="0"/>
              <w:jc w:val="center"/>
              <w:rPr>
                <w:rFonts w:ascii="Times New Roman" w:hAnsi="Times New Roman" w:cs="Times New Roman"/>
                <w:b/>
                <w:bCs/>
                <w:sz w:val="14"/>
                <w:szCs w:val="14"/>
              </w:rPr>
            </w:pPr>
            <w:r w:rsidRPr="00C11F98">
              <w:rPr>
                <w:rFonts w:ascii="Times New Roman" w:hAnsi="Times New Roman" w:cs="Times New Roman"/>
                <w:b/>
                <w:bCs/>
                <w:sz w:val="14"/>
                <w:szCs w:val="14"/>
              </w:rPr>
              <w:t>2012 P</w:t>
            </w:r>
          </w:p>
        </w:tc>
        <w:tc>
          <w:tcPr>
            <w:tcW w:w="547" w:type="pct"/>
            <w:tcBorders>
              <w:top w:val="single" w:sz="4" w:space="0" w:color="auto"/>
              <w:left w:val="single" w:sz="4" w:space="0" w:color="auto"/>
              <w:bottom w:val="single" w:sz="4" w:space="0" w:color="auto"/>
              <w:right w:val="single" w:sz="4" w:space="0" w:color="auto"/>
            </w:tcBorders>
            <w:textDirection w:val="lrTb"/>
            <w:vAlign w:val="center"/>
          </w:tcPr>
          <w:p w:rsidR="000163CE" w:rsidRPr="00C11F98" w:rsidP="009112FB">
            <w:pPr>
              <w:bidi w:val="0"/>
              <w:jc w:val="center"/>
              <w:rPr>
                <w:rFonts w:ascii="Times New Roman" w:hAnsi="Times New Roman" w:cs="Times New Roman"/>
                <w:b/>
                <w:bCs/>
                <w:sz w:val="14"/>
                <w:szCs w:val="14"/>
              </w:rPr>
            </w:pPr>
            <w:r w:rsidRPr="00C11F98">
              <w:rPr>
                <w:rFonts w:ascii="Times New Roman" w:hAnsi="Times New Roman" w:cs="Times New Roman"/>
                <w:b/>
                <w:bCs/>
                <w:sz w:val="14"/>
                <w:szCs w:val="14"/>
              </w:rPr>
              <w:t>2013 P</w:t>
            </w:r>
          </w:p>
        </w:tc>
        <w:tc>
          <w:tcPr>
            <w:tcW w:w="545" w:type="pct"/>
            <w:tcBorders>
              <w:top w:val="single" w:sz="4" w:space="0" w:color="auto"/>
              <w:left w:val="single" w:sz="4" w:space="0" w:color="auto"/>
              <w:bottom w:val="single" w:sz="4" w:space="0" w:color="auto"/>
              <w:right w:val="single" w:sz="4" w:space="0" w:color="auto"/>
            </w:tcBorders>
            <w:textDirection w:val="lrTb"/>
            <w:vAlign w:val="center"/>
          </w:tcPr>
          <w:p w:rsidR="000163CE" w:rsidRPr="00C11F98" w:rsidP="009112FB">
            <w:pPr>
              <w:bidi w:val="0"/>
              <w:jc w:val="center"/>
              <w:rPr>
                <w:rFonts w:ascii="Times New Roman" w:hAnsi="Times New Roman" w:cs="Times New Roman"/>
                <w:b/>
                <w:bCs/>
                <w:sz w:val="14"/>
                <w:szCs w:val="14"/>
              </w:rPr>
            </w:pPr>
            <w:r w:rsidRPr="00C11F98">
              <w:rPr>
                <w:rFonts w:ascii="Times New Roman" w:hAnsi="Times New Roman" w:cs="Times New Roman"/>
                <w:b/>
                <w:bCs/>
                <w:sz w:val="14"/>
                <w:szCs w:val="14"/>
              </w:rPr>
              <w:t>2014 P</w:t>
            </w:r>
          </w:p>
        </w:tc>
      </w:tr>
      <w:tr>
        <w:tblPrEx>
          <w:tblW w:w="4924" w:type="pct"/>
          <w:tblInd w:w="70" w:type="dxa"/>
          <w:tblCellMar>
            <w:left w:w="70" w:type="dxa"/>
            <w:right w:w="70" w:type="dxa"/>
          </w:tblCellMar>
        </w:tblPrEx>
        <w:trPr>
          <w:trHeight w:val="258"/>
        </w:trPr>
        <w:tc>
          <w:tcPr>
            <w:tcW w:w="1173" w:type="pct"/>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rPr>
                <w:rFonts w:ascii="Times New Roman" w:hAnsi="Times New Roman" w:cs="Times New Roman"/>
                <w:b/>
                <w:sz w:val="14"/>
                <w:szCs w:val="14"/>
              </w:rPr>
            </w:pPr>
            <w:r w:rsidRPr="00C11F98">
              <w:rPr>
                <w:rFonts w:ascii="Times New Roman" w:hAnsi="Times New Roman" w:cs="Times New Roman"/>
                <w:b/>
                <w:sz w:val="14"/>
                <w:szCs w:val="14"/>
              </w:rPr>
              <w:t>osobitný účet, z toho:</w:t>
            </w:r>
          </w:p>
        </w:tc>
        <w:tc>
          <w:tcPr>
            <w:tcW w:w="547" w:type="pct"/>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b/>
                <w:sz w:val="14"/>
                <w:szCs w:val="14"/>
              </w:rPr>
            </w:pPr>
            <w:r w:rsidRPr="00C11F98">
              <w:rPr>
                <w:rFonts w:ascii="Times New Roman" w:hAnsi="Times New Roman" w:cs="Times New Roman"/>
                <w:b/>
                <w:sz w:val="14"/>
                <w:szCs w:val="14"/>
              </w:rPr>
              <w:t>218 076</w:t>
            </w:r>
          </w:p>
        </w:tc>
        <w:tc>
          <w:tcPr>
            <w:tcW w:w="547" w:type="pct"/>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b/>
                <w:sz w:val="14"/>
                <w:szCs w:val="14"/>
              </w:rPr>
            </w:pPr>
            <w:r w:rsidRPr="00C11F98">
              <w:rPr>
                <w:rFonts w:ascii="Times New Roman" w:hAnsi="Times New Roman" w:cs="Times New Roman"/>
                <w:b/>
                <w:sz w:val="14"/>
                <w:szCs w:val="14"/>
              </w:rPr>
              <w:t>215 526</w:t>
            </w:r>
          </w:p>
        </w:tc>
        <w:tc>
          <w:tcPr>
            <w:tcW w:w="547" w:type="pct"/>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b/>
                <w:sz w:val="14"/>
                <w:szCs w:val="14"/>
              </w:rPr>
            </w:pPr>
            <w:r w:rsidRPr="00C11F98">
              <w:rPr>
                <w:rFonts w:ascii="Times New Roman" w:hAnsi="Times New Roman" w:cs="Times New Roman"/>
                <w:b/>
                <w:sz w:val="14"/>
                <w:szCs w:val="14"/>
              </w:rPr>
              <w:t>265 500</w:t>
            </w:r>
          </w:p>
        </w:tc>
        <w:tc>
          <w:tcPr>
            <w:tcW w:w="547" w:type="pct"/>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b/>
                <w:sz w:val="14"/>
                <w:szCs w:val="14"/>
              </w:rPr>
            </w:pPr>
            <w:r w:rsidRPr="00C11F98">
              <w:rPr>
                <w:rFonts w:ascii="Times New Roman" w:hAnsi="Times New Roman" w:cs="Times New Roman"/>
                <w:b/>
                <w:sz w:val="14"/>
                <w:szCs w:val="14"/>
              </w:rPr>
              <w:t>265 500</w:t>
            </w:r>
          </w:p>
        </w:tc>
        <w:tc>
          <w:tcPr>
            <w:tcW w:w="547" w:type="pct"/>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b/>
                <w:sz w:val="14"/>
                <w:szCs w:val="14"/>
              </w:rPr>
            </w:pPr>
            <w:r w:rsidRPr="00C11F98">
              <w:rPr>
                <w:rFonts w:ascii="Times New Roman" w:hAnsi="Times New Roman" w:cs="Times New Roman"/>
                <w:b/>
                <w:sz w:val="14"/>
                <w:szCs w:val="14"/>
              </w:rPr>
              <w:t>26 143 665</w:t>
            </w:r>
          </w:p>
        </w:tc>
        <w:tc>
          <w:tcPr>
            <w:tcW w:w="547" w:type="pct"/>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b/>
                <w:sz w:val="14"/>
                <w:szCs w:val="14"/>
              </w:rPr>
            </w:pPr>
            <w:r w:rsidRPr="00C11F98">
              <w:rPr>
                <w:rFonts w:ascii="Times New Roman" w:hAnsi="Times New Roman" w:cs="Times New Roman"/>
                <w:b/>
                <w:sz w:val="14"/>
                <w:szCs w:val="14"/>
              </w:rPr>
              <w:t>33 732 549</w:t>
            </w:r>
          </w:p>
        </w:tc>
        <w:tc>
          <w:tcPr>
            <w:tcW w:w="545" w:type="pct"/>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b/>
                <w:sz w:val="14"/>
                <w:szCs w:val="14"/>
              </w:rPr>
            </w:pPr>
            <w:r w:rsidRPr="00C11F98">
              <w:rPr>
                <w:rFonts w:ascii="Times New Roman" w:hAnsi="Times New Roman" w:cs="Times New Roman"/>
                <w:b/>
                <w:sz w:val="14"/>
                <w:szCs w:val="14"/>
              </w:rPr>
              <w:t>41 454 184</w:t>
            </w:r>
          </w:p>
        </w:tc>
      </w:tr>
      <w:tr>
        <w:tblPrEx>
          <w:tblW w:w="4924" w:type="pct"/>
          <w:tblInd w:w="70" w:type="dxa"/>
          <w:tblCellMar>
            <w:left w:w="70" w:type="dxa"/>
            <w:right w:w="70" w:type="dxa"/>
          </w:tblCellMar>
        </w:tblPrEx>
        <w:trPr>
          <w:trHeight w:val="258"/>
        </w:trPr>
        <w:tc>
          <w:tcPr>
            <w:tcW w:w="1173" w:type="pct"/>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 xml:space="preserve">     úrad soc. zabezpečenia</w:t>
            </w:r>
          </w:p>
        </w:tc>
        <w:tc>
          <w:tcPr>
            <w:tcW w:w="547" w:type="pct"/>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218 076</w:t>
            </w:r>
          </w:p>
        </w:tc>
        <w:tc>
          <w:tcPr>
            <w:tcW w:w="547" w:type="pct"/>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215 526</w:t>
            </w:r>
          </w:p>
        </w:tc>
        <w:tc>
          <w:tcPr>
            <w:tcW w:w="547" w:type="pct"/>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265 500</w:t>
            </w:r>
          </w:p>
        </w:tc>
        <w:tc>
          <w:tcPr>
            <w:tcW w:w="547" w:type="pct"/>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265 500</w:t>
            </w:r>
          </w:p>
        </w:tc>
        <w:tc>
          <w:tcPr>
            <w:tcW w:w="547" w:type="pct"/>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265 500</w:t>
            </w:r>
          </w:p>
        </w:tc>
        <w:tc>
          <w:tcPr>
            <w:tcW w:w="547" w:type="pct"/>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265 500</w:t>
            </w:r>
          </w:p>
        </w:tc>
        <w:tc>
          <w:tcPr>
            <w:tcW w:w="545" w:type="pct"/>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 xml:space="preserve"> 265 500</w:t>
            </w:r>
          </w:p>
        </w:tc>
      </w:tr>
      <w:tr>
        <w:tblPrEx>
          <w:tblW w:w="4924" w:type="pct"/>
          <w:tblInd w:w="70" w:type="dxa"/>
          <w:tblCellMar>
            <w:left w:w="70" w:type="dxa"/>
            <w:right w:w="70" w:type="dxa"/>
          </w:tblCellMar>
        </w:tblPrEx>
        <w:trPr>
          <w:trHeight w:val="258"/>
        </w:trPr>
        <w:tc>
          <w:tcPr>
            <w:tcW w:w="1173" w:type="pct"/>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 xml:space="preserve">     transfer osobitnému účtu</w:t>
            </w:r>
          </w:p>
        </w:tc>
        <w:tc>
          <w:tcPr>
            <w:tcW w:w="547" w:type="pct"/>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547" w:type="pct"/>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547" w:type="pct"/>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547" w:type="pct"/>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547" w:type="pct"/>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25 878 165</w:t>
            </w:r>
          </w:p>
        </w:tc>
        <w:tc>
          <w:tcPr>
            <w:tcW w:w="547" w:type="pct"/>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33 467 049</w:t>
            </w:r>
          </w:p>
        </w:tc>
        <w:tc>
          <w:tcPr>
            <w:tcW w:w="545" w:type="pct"/>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41 886 684</w:t>
            </w:r>
          </w:p>
        </w:tc>
      </w:tr>
    </w:tbl>
    <w:p w:rsidR="000163CE" w:rsidRPr="00C11F98" w:rsidP="000163CE">
      <w:pPr>
        <w:bidi w:val="0"/>
        <w:jc w:val="both"/>
        <w:rPr>
          <w:rFonts w:ascii="Times New Roman" w:hAnsi="Times New Roman" w:cs="Times New Roman"/>
          <w:bCs/>
        </w:rPr>
      </w:pPr>
    </w:p>
    <w:p w:rsidR="000163CE" w:rsidRPr="00C11F98" w:rsidP="000163CE">
      <w:pPr>
        <w:bidi w:val="0"/>
        <w:jc w:val="both"/>
        <w:rPr>
          <w:rFonts w:ascii="Times New Roman" w:hAnsi="Times New Roman" w:cs="Times New Roman"/>
          <w:b/>
          <w:bCs/>
        </w:rPr>
      </w:pPr>
      <w:r w:rsidRPr="00C11F98">
        <w:rPr>
          <w:rFonts w:ascii="Times New Roman" w:hAnsi="Times New Roman" w:cs="Times New Roman"/>
          <w:b/>
          <w:bCs/>
        </w:rPr>
        <w:t>Verejná správa</w:t>
      </w:r>
    </w:p>
    <w:p w:rsidR="000163CE" w:rsidRPr="00C11F98" w:rsidP="000163CE">
      <w:pPr>
        <w:bidi w:val="0"/>
        <w:jc w:val="both"/>
        <w:rPr>
          <w:rFonts w:ascii="Times New Roman" w:hAnsi="Times New Roman" w:cs="Times New Roman"/>
          <w:b/>
          <w:bCs/>
        </w:rPr>
      </w:pPr>
    </w:p>
    <w:tbl>
      <w:tblPr>
        <w:tblStyle w:val="TableNormal"/>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2268"/>
        <w:gridCol w:w="972"/>
        <w:gridCol w:w="972"/>
        <w:gridCol w:w="972"/>
        <w:gridCol w:w="972"/>
        <w:gridCol w:w="972"/>
        <w:gridCol w:w="972"/>
        <w:gridCol w:w="972"/>
      </w:tblGrid>
      <w:tr>
        <w:tblPrEx>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263"/>
        </w:trPr>
        <w:tc>
          <w:tcPr>
            <w:tcW w:w="2268"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b/>
                <w:bCs/>
                <w:sz w:val="14"/>
                <w:szCs w:val="14"/>
              </w:rPr>
            </w:pPr>
            <w:r w:rsidRPr="00C11F98">
              <w:rPr>
                <w:rFonts w:ascii="Times New Roman" w:hAnsi="Times New Roman" w:cs="Times New Roman"/>
                <w:b/>
                <w:bCs/>
                <w:sz w:val="14"/>
                <w:szCs w:val="14"/>
              </w:rPr>
              <w:t> v eurách</w:t>
            </w:r>
          </w:p>
        </w:tc>
        <w:tc>
          <w:tcPr>
            <w:tcW w:w="97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center"/>
              <w:rPr>
                <w:rFonts w:ascii="Times New Roman" w:hAnsi="Times New Roman" w:cs="Times New Roman"/>
                <w:b/>
                <w:bCs/>
                <w:sz w:val="14"/>
                <w:szCs w:val="14"/>
              </w:rPr>
            </w:pPr>
            <w:r w:rsidRPr="00C11F98">
              <w:rPr>
                <w:rFonts w:ascii="Times New Roman" w:hAnsi="Times New Roman" w:cs="Times New Roman"/>
                <w:b/>
                <w:bCs/>
                <w:sz w:val="14"/>
                <w:szCs w:val="14"/>
              </w:rPr>
              <w:t>2009 S</w:t>
            </w:r>
          </w:p>
        </w:tc>
        <w:tc>
          <w:tcPr>
            <w:tcW w:w="97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center"/>
              <w:rPr>
                <w:rFonts w:ascii="Times New Roman" w:hAnsi="Times New Roman" w:cs="Times New Roman"/>
                <w:b/>
                <w:bCs/>
                <w:sz w:val="14"/>
                <w:szCs w:val="14"/>
              </w:rPr>
            </w:pPr>
            <w:r w:rsidRPr="00C11F98">
              <w:rPr>
                <w:rFonts w:ascii="Times New Roman" w:hAnsi="Times New Roman" w:cs="Times New Roman"/>
                <w:b/>
                <w:bCs/>
                <w:sz w:val="14"/>
                <w:szCs w:val="14"/>
              </w:rPr>
              <w:t>2010 S</w:t>
            </w:r>
          </w:p>
        </w:tc>
        <w:tc>
          <w:tcPr>
            <w:tcW w:w="97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center"/>
              <w:rPr>
                <w:rFonts w:ascii="Times New Roman" w:hAnsi="Times New Roman" w:cs="Times New Roman"/>
                <w:b/>
                <w:bCs/>
                <w:sz w:val="14"/>
                <w:szCs w:val="14"/>
              </w:rPr>
            </w:pPr>
            <w:r w:rsidRPr="00C11F98">
              <w:rPr>
                <w:rFonts w:ascii="Times New Roman" w:hAnsi="Times New Roman" w:cs="Times New Roman"/>
                <w:b/>
                <w:bCs/>
                <w:sz w:val="14"/>
                <w:szCs w:val="14"/>
              </w:rPr>
              <w:t>2011 R</w:t>
            </w:r>
          </w:p>
        </w:tc>
        <w:tc>
          <w:tcPr>
            <w:tcW w:w="97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center"/>
              <w:rPr>
                <w:rFonts w:ascii="Times New Roman" w:hAnsi="Times New Roman" w:cs="Times New Roman"/>
                <w:b/>
                <w:bCs/>
                <w:sz w:val="14"/>
                <w:szCs w:val="14"/>
              </w:rPr>
            </w:pPr>
            <w:r w:rsidRPr="00C11F98">
              <w:rPr>
                <w:rFonts w:ascii="Times New Roman" w:hAnsi="Times New Roman" w:cs="Times New Roman"/>
                <w:b/>
                <w:bCs/>
                <w:sz w:val="14"/>
                <w:szCs w:val="14"/>
              </w:rPr>
              <w:t>2011 OS</w:t>
            </w:r>
          </w:p>
        </w:tc>
        <w:tc>
          <w:tcPr>
            <w:tcW w:w="97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center"/>
              <w:rPr>
                <w:rFonts w:ascii="Times New Roman" w:hAnsi="Times New Roman" w:cs="Times New Roman"/>
                <w:b/>
                <w:bCs/>
                <w:sz w:val="14"/>
                <w:szCs w:val="14"/>
              </w:rPr>
            </w:pPr>
            <w:r w:rsidRPr="00C11F98">
              <w:rPr>
                <w:rFonts w:ascii="Times New Roman" w:hAnsi="Times New Roman" w:cs="Times New Roman"/>
                <w:b/>
                <w:bCs/>
                <w:sz w:val="14"/>
                <w:szCs w:val="14"/>
              </w:rPr>
              <w:t>2012 N</w:t>
            </w:r>
          </w:p>
        </w:tc>
        <w:tc>
          <w:tcPr>
            <w:tcW w:w="97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center"/>
              <w:rPr>
                <w:rFonts w:ascii="Times New Roman" w:hAnsi="Times New Roman" w:cs="Times New Roman"/>
                <w:b/>
                <w:bCs/>
                <w:sz w:val="14"/>
                <w:szCs w:val="14"/>
              </w:rPr>
            </w:pPr>
            <w:r w:rsidRPr="00C11F98">
              <w:rPr>
                <w:rFonts w:ascii="Times New Roman" w:hAnsi="Times New Roman" w:cs="Times New Roman"/>
                <w:b/>
                <w:bCs/>
                <w:sz w:val="14"/>
                <w:szCs w:val="14"/>
              </w:rPr>
              <w:t>2013 N</w:t>
            </w:r>
          </w:p>
        </w:tc>
        <w:tc>
          <w:tcPr>
            <w:tcW w:w="97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center"/>
              <w:rPr>
                <w:rFonts w:ascii="Times New Roman" w:hAnsi="Times New Roman" w:cs="Times New Roman"/>
                <w:b/>
                <w:bCs/>
                <w:sz w:val="14"/>
                <w:szCs w:val="14"/>
              </w:rPr>
            </w:pPr>
            <w:r w:rsidRPr="00C11F98">
              <w:rPr>
                <w:rFonts w:ascii="Times New Roman" w:hAnsi="Times New Roman" w:cs="Times New Roman"/>
                <w:b/>
                <w:bCs/>
                <w:sz w:val="14"/>
                <w:szCs w:val="14"/>
              </w:rPr>
              <w:t>2014 N</w:t>
            </w:r>
          </w:p>
        </w:tc>
      </w:tr>
      <w:tr>
        <w:tblPrEx>
          <w:tblW w:w="9072" w:type="dxa"/>
          <w:tblInd w:w="70" w:type="dxa"/>
          <w:tblLayout w:type="fixed"/>
          <w:tblCellMar>
            <w:left w:w="70" w:type="dxa"/>
            <w:right w:w="70" w:type="dxa"/>
          </w:tblCellMar>
        </w:tblPrEx>
        <w:trPr>
          <w:trHeight w:val="263"/>
        </w:trPr>
        <w:tc>
          <w:tcPr>
            <w:tcW w:w="2268"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b/>
                <w:bCs/>
                <w:sz w:val="14"/>
                <w:szCs w:val="14"/>
              </w:rPr>
            </w:pPr>
            <w:r w:rsidRPr="00C11F98">
              <w:rPr>
                <w:rFonts w:ascii="Times New Roman" w:hAnsi="Times New Roman" w:cs="Times New Roman"/>
                <w:b/>
                <w:bCs/>
                <w:sz w:val="14"/>
                <w:szCs w:val="14"/>
              </w:rPr>
              <w:t>Verejná správa</w:t>
            </w:r>
          </w:p>
        </w:tc>
        <w:tc>
          <w:tcPr>
            <w:tcW w:w="97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b/>
                <w:bCs/>
                <w:sz w:val="14"/>
                <w:szCs w:val="14"/>
              </w:rPr>
            </w:pPr>
            <w:r w:rsidRPr="00C11F98">
              <w:rPr>
                <w:rFonts w:ascii="Times New Roman" w:hAnsi="Times New Roman" w:cs="Times New Roman"/>
                <w:b/>
                <w:bCs/>
                <w:sz w:val="14"/>
                <w:szCs w:val="14"/>
              </w:rPr>
              <w:t xml:space="preserve">92 250 454   </w:t>
            </w:r>
          </w:p>
        </w:tc>
        <w:tc>
          <w:tcPr>
            <w:tcW w:w="97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b/>
                <w:bCs/>
                <w:sz w:val="14"/>
                <w:szCs w:val="14"/>
              </w:rPr>
            </w:pPr>
            <w:r w:rsidRPr="00C11F98">
              <w:rPr>
                <w:rFonts w:ascii="Times New Roman" w:hAnsi="Times New Roman" w:cs="Times New Roman"/>
                <w:b/>
                <w:bCs/>
                <w:sz w:val="14"/>
                <w:szCs w:val="14"/>
              </w:rPr>
              <w:t>102 391 582</w:t>
            </w:r>
          </w:p>
        </w:tc>
        <w:tc>
          <w:tcPr>
            <w:tcW w:w="97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b/>
                <w:sz w:val="14"/>
                <w:szCs w:val="14"/>
              </w:rPr>
            </w:pPr>
            <w:r w:rsidRPr="00C11F98">
              <w:rPr>
                <w:rFonts w:ascii="Times New Roman" w:hAnsi="Times New Roman" w:cs="Times New Roman"/>
                <w:b/>
                <w:sz w:val="14"/>
                <w:szCs w:val="14"/>
              </w:rPr>
              <w:t>54 699 725</w:t>
            </w:r>
          </w:p>
        </w:tc>
        <w:tc>
          <w:tcPr>
            <w:tcW w:w="97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b/>
                <w:sz w:val="14"/>
                <w:szCs w:val="14"/>
              </w:rPr>
            </w:pPr>
            <w:r w:rsidRPr="00C11F98">
              <w:rPr>
                <w:rFonts w:ascii="Times New Roman" w:hAnsi="Times New Roman" w:cs="Times New Roman"/>
                <w:b/>
                <w:sz w:val="14"/>
                <w:szCs w:val="14"/>
              </w:rPr>
              <w:t>62 031 537</w:t>
            </w:r>
          </w:p>
        </w:tc>
        <w:tc>
          <w:tcPr>
            <w:tcW w:w="97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b/>
                <w:sz w:val="14"/>
                <w:szCs w:val="14"/>
              </w:rPr>
            </w:pPr>
            <w:r w:rsidRPr="00C11F98">
              <w:rPr>
                <w:rFonts w:ascii="Times New Roman" w:hAnsi="Times New Roman" w:cs="Times New Roman"/>
                <w:b/>
                <w:sz w:val="14"/>
                <w:szCs w:val="14"/>
              </w:rPr>
              <w:t>54 129 692</w:t>
            </w:r>
          </w:p>
        </w:tc>
        <w:tc>
          <w:tcPr>
            <w:tcW w:w="97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b/>
                <w:sz w:val="14"/>
                <w:szCs w:val="14"/>
              </w:rPr>
            </w:pPr>
            <w:r w:rsidRPr="00C11F98">
              <w:rPr>
                <w:rFonts w:ascii="Times New Roman" w:hAnsi="Times New Roman" w:cs="Times New Roman"/>
                <w:b/>
                <w:sz w:val="14"/>
                <w:szCs w:val="14"/>
              </w:rPr>
              <w:t>62 888 688</w:t>
            </w:r>
          </w:p>
        </w:tc>
        <w:tc>
          <w:tcPr>
            <w:tcW w:w="97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b/>
                <w:sz w:val="14"/>
                <w:szCs w:val="14"/>
              </w:rPr>
            </w:pPr>
            <w:r w:rsidRPr="00C11F98">
              <w:rPr>
                <w:rFonts w:ascii="Times New Roman" w:hAnsi="Times New Roman" w:cs="Times New Roman"/>
                <w:b/>
                <w:sz w:val="14"/>
                <w:szCs w:val="14"/>
              </w:rPr>
              <w:t>89 035 866</w:t>
            </w:r>
          </w:p>
        </w:tc>
      </w:tr>
      <w:tr>
        <w:tblPrEx>
          <w:tblW w:w="9072" w:type="dxa"/>
          <w:tblInd w:w="70" w:type="dxa"/>
          <w:tblLayout w:type="fixed"/>
          <w:tblCellMar>
            <w:left w:w="70" w:type="dxa"/>
            <w:right w:w="70" w:type="dxa"/>
          </w:tblCellMar>
        </w:tblPrEx>
        <w:trPr>
          <w:trHeight w:val="263"/>
        </w:trPr>
        <w:tc>
          <w:tcPr>
            <w:tcW w:w="2268"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Riadenie a výkon obvodných úradov</w:t>
            </w:r>
          </w:p>
        </w:tc>
        <w:tc>
          <w:tcPr>
            <w:tcW w:w="97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 xml:space="preserve">53 650 009   </w:t>
            </w:r>
          </w:p>
        </w:tc>
        <w:tc>
          <w:tcPr>
            <w:tcW w:w="97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65 986 048</w:t>
            </w:r>
          </w:p>
        </w:tc>
        <w:tc>
          <w:tcPr>
            <w:tcW w:w="97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39 590 373</w:t>
            </w:r>
          </w:p>
        </w:tc>
        <w:tc>
          <w:tcPr>
            <w:tcW w:w="97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46 533 941</w:t>
            </w:r>
          </w:p>
        </w:tc>
        <w:tc>
          <w:tcPr>
            <w:tcW w:w="97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39 430 504</w:t>
            </w:r>
          </w:p>
        </w:tc>
        <w:tc>
          <w:tcPr>
            <w:tcW w:w="97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39 430 504</w:t>
            </w:r>
          </w:p>
        </w:tc>
        <w:tc>
          <w:tcPr>
            <w:tcW w:w="97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39 430 504</w:t>
            </w:r>
          </w:p>
        </w:tc>
      </w:tr>
      <w:tr>
        <w:tblPrEx>
          <w:tblW w:w="9072" w:type="dxa"/>
          <w:tblInd w:w="70" w:type="dxa"/>
          <w:tblLayout w:type="fixed"/>
          <w:tblCellMar>
            <w:left w:w="70" w:type="dxa"/>
            <w:right w:w="70" w:type="dxa"/>
          </w:tblCellMar>
        </w:tblPrEx>
        <w:trPr>
          <w:trHeight w:val="263"/>
        </w:trPr>
        <w:tc>
          <w:tcPr>
            <w:tcW w:w="2268"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Prenesený výkon ŠS</w:t>
            </w:r>
          </w:p>
        </w:tc>
        <w:tc>
          <w:tcPr>
            <w:tcW w:w="97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7 313 616</w:t>
            </w:r>
          </w:p>
        </w:tc>
        <w:tc>
          <w:tcPr>
            <w:tcW w:w="97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7 351 424</w:t>
            </w:r>
          </w:p>
        </w:tc>
        <w:tc>
          <w:tcPr>
            <w:tcW w:w="97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7 639 320</w:t>
            </w:r>
          </w:p>
        </w:tc>
        <w:tc>
          <w:tcPr>
            <w:tcW w:w="97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7 639 320</w:t>
            </w:r>
          </w:p>
        </w:tc>
        <w:tc>
          <w:tcPr>
            <w:tcW w:w="97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7 639 320</w:t>
            </w:r>
          </w:p>
        </w:tc>
        <w:tc>
          <w:tcPr>
            <w:tcW w:w="97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7 639 320</w:t>
            </w:r>
          </w:p>
        </w:tc>
        <w:tc>
          <w:tcPr>
            <w:tcW w:w="97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7 639 320</w:t>
            </w:r>
          </w:p>
        </w:tc>
      </w:tr>
      <w:tr>
        <w:tblPrEx>
          <w:tblW w:w="9072" w:type="dxa"/>
          <w:tblInd w:w="70" w:type="dxa"/>
          <w:tblLayout w:type="fixed"/>
          <w:tblCellMar>
            <w:left w:w="70" w:type="dxa"/>
            <w:right w:w="70" w:type="dxa"/>
          </w:tblCellMar>
        </w:tblPrEx>
        <w:trPr>
          <w:trHeight w:val="263"/>
        </w:trPr>
        <w:tc>
          <w:tcPr>
            <w:tcW w:w="2268"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Archívnictvo</w:t>
            </w:r>
          </w:p>
        </w:tc>
        <w:tc>
          <w:tcPr>
            <w:tcW w:w="97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 xml:space="preserve">8 019 587   </w:t>
            </w:r>
          </w:p>
        </w:tc>
        <w:tc>
          <w:tcPr>
            <w:tcW w:w="97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7 567 197</w:t>
            </w:r>
          </w:p>
        </w:tc>
        <w:tc>
          <w:tcPr>
            <w:tcW w:w="97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6 699 946</w:t>
            </w:r>
          </w:p>
        </w:tc>
        <w:tc>
          <w:tcPr>
            <w:tcW w:w="97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7 088 190</w:t>
            </w:r>
          </w:p>
        </w:tc>
        <w:tc>
          <w:tcPr>
            <w:tcW w:w="97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6 595 168</w:t>
            </w:r>
          </w:p>
        </w:tc>
        <w:tc>
          <w:tcPr>
            <w:tcW w:w="97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6 595 168</w:t>
            </w:r>
          </w:p>
        </w:tc>
        <w:tc>
          <w:tcPr>
            <w:tcW w:w="97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6 595 168</w:t>
            </w:r>
          </w:p>
        </w:tc>
      </w:tr>
      <w:tr>
        <w:tblPrEx>
          <w:tblW w:w="9072" w:type="dxa"/>
          <w:tblInd w:w="70" w:type="dxa"/>
          <w:tblLayout w:type="fixed"/>
          <w:tblCellMar>
            <w:left w:w="70" w:type="dxa"/>
            <w:right w:w="70" w:type="dxa"/>
          </w:tblCellMar>
        </w:tblPrEx>
        <w:trPr>
          <w:trHeight w:val="263"/>
        </w:trPr>
        <w:tc>
          <w:tcPr>
            <w:tcW w:w="2268"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Voľby</w:t>
            </w:r>
          </w:p>
        </w:tc>
        <w:tc>
          <w:tcPr>
            <w:tcW w:w="97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 xml:space="preserve">23 267 242   </w:t>
            </w:r>
          </w:p>
        </w:tc>
        <w:tc>
          <w:tcPr>
            <w:tcW w:w="97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18 344 800</w:t>
            </w:r>
          </w:p>
        </w:tc>
        <w:tc>
          <w:tcPr>
            <w:tcW w:w="97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770 086</w:t>
            </w:r>
          </w:p>
        </w:tc>
        <w:tc>
          <w:tcPr>
            <w:tcW w:w="97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770 086</w:t>
            </w:r>
          </w:p>
        </w:tc>
        <w:tc>
          <w:tcPr>
            <w:tcW w:w="97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464 700</w:t>
            </w:r>
          </w:p>
        </w:tc>
        <w:tc>
          <w:tcPr>
            <w:tcW w:w="97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9 223 696</w:t>
            </w:r>
          </w:p>
        </w:tc>
        <w:tc>
          <w:tcPr>
            <w:tcW w:w="97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35 370 874</w:t>
            </w:r>
          </w:p>
        </w:tc>
      </w:tr>
      <w:tr>
        <w:tblPrEx>
          <w:tblW w:w="9072" w:type="dxa"/>
          <w:tblInd w:w="70" w:type="dxa"/>
          <w:tblLayout w:type="fixed"/>
          <w:tblCellMar>
            <w:left w:w="70" w:type="dxa"/>
            <w:right w:w="70" w:type="dxa"/>
          </w:tblCellMar>
        </w:tblPrEx>
        <w:trPr>
          <w:trHeight w:val="263"/>
        </w:trPr>
        <w:tc>
          <w:tcPr>
            <w:tcW w:w="2268"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Územný rozvoj</w:t>
            </w:r>
          </w:p>
        </w:tc>
        <w:tc>
          <w:tcPr>
            <w:tcW w:w="97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7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3 142 113</w:t>
            </w:r>
          </w:p>
        </w:tc>
        <w:tc>
          <w:tcPr>
            <w:tcW w:w="97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7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7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7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7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0</w:t>
            </w:r>
          </w:p>
        </w:tc>
      </w:tr>
    </w:tbl>
    <w:p w:rsidR="000163CE" w:rsidRPr="00C11F98" w:rsidP="000163CE">
      <w:pPr>
        <w:bidi w:val="0"/>
        <w:jc w:val="both"/>
        <w:rPr>
          <w:rFonts w:ascii="Times New Roman" w:hAnsi="Times New Roman" w:cs="Times New Roman"/>
        </w:rPr>
      </w:pPr>
    </w:p>
    <w:p w:rsidR="000163CE" w:rsidRPr="00C11F98" w:rsidP="000163CE">
      <w:pPr>
        <w:bidi w:val="0"/>
        <w:ind w:firstLine="708"/>
        <w:jc w:val="both"/>
        <w:rPr>
          <w:rFonts w:ascii="Times New Roman" w:hAnsi="Times New Roman" w:cs="Times New Roman"/>
        </w:rPr>
      </w:pPr>
      <w:r w:rsidRPr="00C11F98">
        <w:rPr>
          <w:rFonts w:ascii="Times New Roman" w:hAnsi="Times New Roman" w:cs="Times New Roman"/>
        </w:rPr>
        <w:t>V rámci uvedenej oblasti je potrebné celkové výdavky pre objektívne porovnávanie upraviť v oboch rokoch o výdavky na voľby. Potom celkové výdavky v roku 2012 oproti schválenému rozpočtu roka 2011 klesajú o 264 tis. eur, čo je 0,49% zníženie.</w:t>
      </w:r>
    </w:p>
    <w:p w:rsidR="000163CE" w:rsidRPr="00C11F98" w:rsidP="000163CE">
      <w:pPr>
        <w:bidi w:val="0"/>
        <w:jc w:val="both"/>
        <w:rPr>
          <w:rFonts w:ascii="Times New Roman" w:hAnsi="Times New Roman" w:cs="Times New Roman"/>
        </w:rPr>
      </w:pPr>
    </w:p>
    <w:p w:rsidR="000163CE" w:rsidRPr="00C11F98" w:rsidP="000163CE">
      <w:pPr>
        <w:bidi w:val="0"/>
        <w:ind w:firstLine="708"/>
        <w:jc w:val="both"/>
        <w:rPr>
          <w:rFonts w:ascii="Times New Roman" w:hAnsi="Times New Roman" w:cs="Times New Roman"/>
        </w:rPr>
      </w:pPr>
      <w:r w:rsidRPr="00C11F98">
        <w:rPr>
          <w:rFonts w:ascii="Times New Roman" w:hAnsi="Times New Roman" w:cs="Times New Roman"/>
        </w:rPr>
        <w:t xml:space="preserve">Rozpočtované výdavky na rok 2012 určené na riadenie a výkon obvodných úradov klesajú oproti schválenému rozpočtu roka 2011 o 159 tis. eur, čo je 0,40 % pokles. </w:t>
      </w:r>
      <w:r w:rsidRPr="00C11F98">
        <w:rPr>
          <w:rFonts w:ascii="Times New Roman" w:hAnsi="Times New Roman" w:cs="Times New Roman"/>
          <w:bCs/>
        </w:rPr>
        <w:t>Obvodné úrady</w:t>
      </w:r>
      <w:r w:rsidRPr="00C11F98">
        <w:rPr>
          <w:rFonts w:ascii="Times New Roman" w:hAnsi="Times New Roman" w:cs="Times New Roman"/>
        </w:rPr>
        <w:t xml:space="preserve"> zabezpečujú najmä plnenie úloh v oblasti všeobecnej vnútornej správy, živnostenského podnikania a civilnej ochrany a krízového manažmentu. V rámci všeobecnej vnútornej správy sa plnia úlohy na úseku priestupkov, matrík, na úseku územného a správneho usporiadania, štátnych symbolov, verejných zbierok a sčítania obyvateľov, na úseku volieb a referenda, na úseku hlásenia pobytu občanov a registra obyvateľov, na úseku registrácie, na úseku vydávania osobitných označení vozidiel a preukazov osobitných označení vozidiel a na úseku štátneho občianstva.</w:t>
      </w:r>
    </w:p>
    <w:p w:rsidR="000163CE" w:rsidRPr="00C11F98" w:rsidP="000163CE">
      <w:pPr>
        <w:bidi w:val="0"/>
        <w:jc w:val="both"/>
        <w:rPr>
          <w:rFonts w:ascii="Times New Roman" w:hAnsi="Times New Roman" w:cs="Times New Roman"/>
        </w:rPr>
      </w:pPr>
    </w:p>
    <w:p w:rsidR="000163CE" w:rsidRPr="00C11F98" w:rsidP="000163CE">
      <w:pPr>
        <w:bidi w:val="0"/>
        <w:ind w:firstLine="708"/>
        <w:jc w:val="both"/>
        <w:rPr>
          <w:rFonts w:ascii="Times New Roman" w:hAnsi="Times New Roman" w:cs="Times New Roman"/>
        </w:rPr>
      </w:pPr>
      <w:r w:rsidRPr="00C11F98">
        <w:rPr>
          <w:rFonts w:ascii="Times New Roman" w:hAnsi="Times New Roman" w:cs="Times New Roman"/>
        </w:rPr>
        <w:t>Na prenesený výkon štátnej správy sa rozpočtujú výdavky na úseku matrík v sume 5,84 mil. eur a na úseku hlásenia pobytu občanov a registra obyvateľov v sume 1,80 mil. eur. Výdavky na prenesený výkon štátnej správy sa v roku 2012 rozpočtujú v sume 7,64 mil. eur, čo predstavuje úroveň roka 2011.</w:t>
      </w:r>
    </w:p>
    <w:p w:rsidR="000163CE" w:rsidRPr="00C11F98" w:rsidP="000163CE">
      <w:pPr>
        <w:bidi w:val="0"/>
        <w:jc w:val="both"/>
        <w:rPr>
          <w:rFonts w:ascii="Times New Roman" w:hAnsi="Times New Roman" w:cs="Times New Roman"/>
        </w:rPr>
      </w:pPr>
    </w:p>
    <w:p w:rsidR="000163CE" w:rsidRPr="00C11F98" w:rsidP="000163CE">
      <w:pPr>
        <w:bidi w:val="0"/>
        <w:ind w:firstLine="708"/>
        <w:jc w:val="both"/>
        <w:rPr>
          <w:rFonts w:ascii="Times New Roman" w:hAnsi="Times New Roman" w:cs="Times New Roman"/>
        </w:rPr>
      </w:pPr>
      <w:r w:rsidRPr="00C11F98">
        <w:rPr>
          <w:rFonts w:ascii="Times New Roman" w:hAnsi="Times New Roman" w:cs="Times New Roman"/>
        </w:rPr>
        <w:t xml:space="preserve">Na plnenie úloh štátnej správy </w:t>
      </w:r>
      <w:r w:rsidRPr="00C11F98">
        <w:rPr>
          <w:rFonts w:ascii="Times New Roman" w:hAnsi="Times New Roman" w:cs="Times New Roman"/>
          <w:bCs/>
        </w:rPr>
        <w:t>na úseku archívov a registratúr</w:t>
      </w:r>
      <w:r w:rsidRPr="00C11F98">
        <w:rPr>
          <w:rFonts w:ascii="Times New Roman" w:hAnsi="Times New Roman" w:cs="Times New Roman"/>
        </w:rPr>
        <w:t xml:space="preserve"> sú v pôsobnosti rezortu vnútra zriadené 2 štátne ústredné archívy a 8 štátnych archívov s územnou regionálnou pôsobnosťou, ktoré zabezpečujú starostlivosť o archívne dokumenty, ich odborné a vedecké spracovanie a sprístupnenie, ako aj využívanie na vedecké a iné účely.</w:t>
      </w:r>
    </w:p>
    <w:p w:rsidR="000163CE" w:rsidRPr="00C11F98" w:rsidP="000163CE">
      <w:pPr>
        <w:bidi w:val="0"/>
        <w:rPr>
          <w:rFonts w:ascii="Times New Roman" w:hAnsi="Times New Roman" w:cs="Times New Roman"/>
        </w:rPr>
      </w:pPr>
    </w:p>
    <w:tbl>
      <w:tblPr>
        <w:tblStyle w:val="TableNormal"/>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2142"/>
        <w:gridCol w:w="992"/>
        <w:gridCol w:w="992"/>
        <w:gridCol w:w="992"/>
        <w:gridCol w:w="992"/>
        <w:gridCol w:w="992"/>
        <w:gridCol w:w="992"/>
        <w:gridCol w:w="993"/>
      </w:tblGrid>
      <w:tr>
        <w:tblPrEx>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241"/>
        </w:trPr>
        <w:tc>
          <w:tcPr>
            <w:tcW w:w="214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b/>
                <w:sz w:val="14"/>
                <w:szCs w:val="14"/>
              </w:rPr>
            </w:pPr>
            <w:r w:rsidRPr="00C11F98">
              <w:rPr>
                <w:rFonts w:ascii="Times New Roman" w:hAnsi="Times New Roman" w:cs="Times New Roman"/>
                <w:b/>
                <w:sz w:val="14"/>
                <w:szCs w:val="14"/>
              </w:rPr>
              <w:br w:type="page"/>
              <w:t> v eurách</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2009 S</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2010 S</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2011 R</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2011 OS</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2012 N</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2013</w:t>
            </w:r>
          </w:p>
        </w:tc>
        <w:tc>
          <w:tcPr>
            <w:tcW w:w="993"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2014</w:t>
            </w:r>
          </w:p>
        </w:tc>
      </w:tr>
      <w:tr>
        <w:tblPrEx>
          <w:tblW w:w="9087" w:type="dxa"/>
          <w:tblInd w:w="55" w:type="dxa"/>
          <w:tblLayout w:type="fixed"/>
          <w:tblCellMar>
            <w:left w:w="70" w:type="dxa"/>
            <w:right w:w="70" w:type="dxa"/>
          </w:tblCellMar>
        </w:tblPrEx>
        <w:trPr>
          <w:trHeight w:val="241"/>
        </w:trPr>
        <w:tc>
          <w:tcPr>
            <w:tcW w:w="214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b/>
                <w:bCs/>
                <w:sz w:val="14"/>
                <w:szCs w:val="14"/>
              </w:rPr>
            </w:pPr>
            <w:r w:rsidRPr="00C11F98">
              <w:rPr>
                <w:rFonts w:ascii="Times New Roman" w:hAnsi="Times New Roman" w:cs="Times New Roman"/>
                <w:b/>
                <w:bCs/>
                <w:sz w:val="14"/>
                <w:szCs w:val="14"/>
              </w:rPr>
              <w:t>Spolu</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b/>
                <w:sz w:val="14"/>
                <w:szCs w:val="14"/>
              </w:rPr>
            </w:pPr>
            <w:r w:rsidRPr="00C11F98">
              <w:rPr>
                <w:rFonts w:ascii="Times New Roman" w:hAnsi="Times New Roman" w:cs="Times New Roman"/>
                <w:b/>
                <w:sz w:val="14"/>
                <w:szCs w:val="14"/>
              </w:rPr>
              <w:t>23 267 242</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b/>
                <w:sz w:val="14"/>
                <w:szCs w:val="14"/>
              </w:rPr>
            </w:pPr>
            <w:r w:rsidRPr="00C11F98">
              <w:rPr>
                <w:rFonts w:ascii="Times New Roman" w:hAnsi="Times New Roman" w:cs="Times New Roman"/>
                <w:b/>
                <w:sz w:val="14"/>
                <w:szCs w:val="14"/>
              </w:rPr>
              <w:t>18 344 800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b/>
                <w:sz w:val="14"/>
                <w:szCs w:val="14"/>
              </w:rPr>
            </w:pPr>
            <w:r w:rsidRPr="00C11F98">
              <w:rPr>
                <w:rFonts w:ascii="Times New Roman" w:hAnsi="Times New Roman" w:cs="Times New Roman"/>
                <w:b/>
                <w:sz w:val="14"/>
                <w:szCs w:val="14"/>
              </w:rPr>
              <w:t>770 086</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b/>
                <w:sz w:val="14"/>
                <w:szCs w:val="14"/>
              </w:rPr>
            </w:pPr>
            <w:r w:rsidRPr="00C11F98">
              <w:rPr>
                <w:rFonts w:ascii="Times New Roman" w:hAnsi="Times New Roman" w:cs="Times New Roman"/>
                <w:b/>
                <w:sz w:val="14"/>
                <w:szCs w:val="14"/>
              </w:rPr>
              <w:t>770 086</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b/>
                <w:sz w:val="14"/>
                <w:szCs w:val="14"/>
              </w:rPr>
            </w:pPr>
            <w:r w:rsidRPr="00C11F98">
              <w:rPr>
                <w:rFonts w:ascii="Times New Roman" w:hAnsi="Times New Roman" w:cs="Times New Roman"/>
                <w:b/>
                <w:sz w:val="14"/>
                <w:szCs w:val="14"/>
              </w:rPr>
              <w:t>464 700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b/>
                <w:sz w:val="14"/>
                <w:szCs w:val="14"/>
              </w:rPr>
            </w:pPr>
            <w:r w:rsidRPr="00C11F98">
              <w:rPr>
                <w:rFonts w:ascii="Times New Roman" w:hAnsi="Times New Roman" w:cs="Times New Roman"/>
                <w:b/>
                <w:sz w:val="14"/>
                <w:szCs w:val="14"/>
              </w:rPr>
              <w:t>9 223 696</w:t>
            </w:r>
          </w:p>
        </w:tc>
        <w:tc>
          <w:tcPr>
            <w:tcW w:w="993"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b/>
                <w:sz w:val="14"/>
                <w:szCs w:val="14"/>
              </w:rPr>
            </w:pPr>
            <w:r w:rsidRPr="00C11F98">
              <w:rPr>
                <w:rFonts w:ascii="Times New Roman" w:hAnsi="Times New Roman" w:cs="Times New Roman"/>
                <w:b/>
                <w:sz w:val="14"/>
                <w:szCs w:val="14"/>
              </w:rPr>
              <w:t>35 370 874</w:t>
            </w:r>
          </w:p>
        </w:tc>
      </w:tr>
      <w:tr>
        <w:tblPrEx>
          <w:tblW w:w="9087" w:type="dxa"/>
          <w:tblInd w:w="55" w:type="dxa"/>
          <w:tblLayout w:type="fixed"/>
          <w:tblCellMar>
            <w:left w:w="70" w:type="dxa"/>
            <w:right w:w="70" w:type="dxa"/>
          </w:tblCellMar>
        </w:tblPrEx>
        <w:trPr>
          <w:trHeight w:val="241"/>
        </w:trPr>
        <w:tc>
          <w:tcPr>
            <w:tcW w:w="214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color w:val="000000"/>
                <w:sz w:val="14"/>
                <w:szCs w:val="14"/>
              </w:rPr>
              <w:t>VÚC</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7 355 972</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8 740 690</w:t>
            </w:r>
          </w:p>
        </w:tc>
        <w:tc>
          <w:tcPr>
            <w:tcW w:w="993"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345 220</w:t>
            </w:r>
          </w:p>
        </w:tc>
      </w:tr>
      <w:tr>
        <w:tblPrEx>
          <w:tblW w:w="9087" w:type="dxa"/>
          <w:tblInd w:w="55" w:type="dxa"/>
          <w:tblLayout w:type="fixed"/>
          <w:tblCellMar>
            <w:left w:w="70" w:type="dxa"/>
            <w:right w:w="70" w:type="dxa"/>
          </w:tblCellMar>
        </w:tblPrEx>
        <w:trPr>
          <w:trHeight w:val="241"/>
        </w:trPr>
        <w:tc>
          <w:tcPr>
            <w:tcW w:w="214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color w:val="000000"/>
                <w:sz w:val="14"/>
                <w:szCs w:val="14"/>
              </w:rPr>
            </w:pPr>
            <w:r w:rsidRPr="00C11F98">
              <w:rPr>
                <w:rFonts w:ascii="Times New Roman" w:hAnsi="Times New Roman" w:cs="Times New Roman"/>
                <w:color w:val="000000"/>
                <w:sz w:val="14"/>
                <w:szCs w:val="14"/>
              </w:rPr>
              <w:t>Nové voľby - samospráva kraje</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219 074</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219 074</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232 350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241 503</w:t>
            </w:r>
          </w:p>
        </w:tc>
        <w:tc>
          <w:tcPr>
            <w:tcW w:w="993"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251 022</w:t>
            </w:r>
          </w:p>
        </w:tc>
      </w:tr>
      <w:tr>
        <w:tblPrEx>
          <w:tblW w:w="9087" w:type="dxa"/>
          <w:tblInd w:w="55" w:type="dxa"/>
          <w:tblLayout w:type="fixed"/>
          <w:tblCellMar>
            <w:left w:w="70" w:type="dxa"/>
            <w:right w:w="70" w:type="dxa"/>
          </w:tblCellMar>
        </w:tblPrEx>
        <w:trPr>
          <w:trHeight w:val="241"/>
        </w:trPr>
        <w:tc>
          <w:tcPr>
            <w:tcW w:w="214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color w:val="000000"/>
                <w:sz w:val="14"/>
                <w:szCs w:val="14"/>
              </w:rPr>
            </w:pPr>
            <w:r w:rsidRPr="00C11F98">
              <w:rPr>
                <w:rFonts w:ascii="Times New Roman" w:hAnsi="Times New Roman" w:cs="Times New Roman"/>
                <w:color w:val="000000"/>
                <w:sz w:val="14"/>
                <w:szCs w:val="14"/>
              </w:rPr>
              <w:t>Voľby prezidenta</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9 610 354</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93"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9 860 885</w:t>
            </w:r>
          </w:p>
        </w:tc>
      </w:tr>
      <w:tr>
        <w:tblPrEx>
          <w:tblW w:w="9087" w:type="dxa"/>
          <w:tblInd w:w="55" w:type="dxa"/>
          <w:tblLayout w:type="fixed"/>
          <w:tblCellMar>
            <w:left w:w="70" w:type="dxa"/>
            <w:right w:w="70" w:type="dxa"/>
          </w:tblCellMar>
        </w:tblPrEx>
        <w:trPr>
          <w:trHeight w:val="241"/>
        </w:trPr>
        <w:tc>
          <w:tcPr>
            <w:tcW w:w="214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color w:val="000000"/>
                <w:sz w:val="14"/>
                <w:szCs w:val="14"/>
              </w:rPr>
            </w:pPr>
            <w:r w:rsidRPr="00C11F98">
              <w:rPr>
                <w:rFonts w:ascii="Times New Roman" w:hAnsi="Times New Roman" w:cs="Times New Roman"/>
                <w:color w:val="000000"/>
                <w:sz w:val="14"/>
                <w:szCs w:val="14"/>
              </w:rPr>
              <w:t>Európsky parlament</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6 256 766</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93"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7 775 290</w:t>
            </w:r>
          </w:p>
        </w:tc>
      </w:tr>
      <w:tr>
        <w:tblPrEx>
          <w:tblW w:w="9087" w:type="dxa"/>
          <w:tblInd w:w="55" w:type="dxa"/>
          <w:tblLayout w:type="fixed"/>
          <w:tblCellMar>
            <w:left w:w="70" w:type="dxa"/>
            <w:right w:w="70" w:type="dxa"/>
          </w:tblCellMar>
        </w:tblPrEx>
        <w:trPr>
          <w:trHeight w:val="241"/>
        </w:trPr>
        <w:tc>
          <w:tcPr>
            <w:tcW w:w="214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color w:val="000000"/>
                <w:sz w:val="14"/>
                <w:szCs w:val="14"/>
              </w:rPr>
            </w:pPr>
            <w:r w:rsidRPr="00C11F98">
              <w:rPr>
                <w:rFonts w:ascii="Times New Roman" w:hAnsi="Times New Roman" w:cs="Times New Roman"/>
                <w:color w:val="000000"/>
                <w:sz w:val="14"/>
                <w:szCs w:val="14"/>
              </w:rPr>
              <w:t>Obce</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6 022 829</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331 939</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331 939</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93"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8 270 926</w:t>
            </w:r>
          </w:p>
        </w:tc>
      </w:tr>
      <w:tr>
        <w:tblPrEx>
          <w:tblW w:w="9087" w:type="dxa"/>
          <w:tblInd w:w="55" w:type="dxa"/>
          <w:tblLayout w:type="fixed"/>
          <w:tblCellMar>
            <w:left w:w="70" w:type="dxa"/>
            <w:right w:w="70" w:type="dxa"/>
          </w:tblCellMar>
        </w:tblPrEx>
        <w:trPr>
          <w:trHeight w:val="241"/>
        </w:trPr>
        <w:tc>
          <w:tcPr>
            <w:tcW w:w="214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color w:val="000000"/>
                <w:sz w:val="14"/>
                <w:szCs w:val="14"/>
              </w:rPr>
            </w:pPr>
            <w:r w:rsidRPr="00C11F98">
              <w:rPr>
                <w:rFonts w:ascii="Times New Roman" w:hAnsi="Times New Roman" w:cs="Times New Roman"/>
                <w:color w:val="000000"/>
                <w:sz w:val="14"/>
                <w:szCs w:val="14"/>
              </w:rPr>
              <w:t>Nové voľby - samospráva obce</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44 150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53 392</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219 073</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219 073</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232 350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241 503</w:t>
            </w:r>
          </w:p>
        </w:tc>
        <w:tc>
          <w:tcPr>
            <w:tcW w:w="993"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251 022</w:t>
            </w:r>
          </w:p>
        </w:tc>
      </w:tr>
      <w:tr>
        <w:tblPrEx>
          <w:tblW w:w="9087" w:type="dxa"/>
          <w:tblInd w:w="55" w:type="dxa"/>
          <w:tblLayout w:type="fixed"/>
          <w:tblCellMar>
            <w:left w:w="70" w:type="dxa"/>
            <w:right w:w="70" w:type="dxa"/>
          </w:tblCellMar>
        </w:tblPrEx>
        <w:trPr>
          <w:trHeight w:val="241"/>
        </w:trPr>
        <w:tc>
          <w:tcPr>
            <w:tcW w:w="214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color w:val="000000"/>
                <w:sz w:val="14"/>
                <w:szCs w:val="14"/>
              </w:rPr>
            </w:pPr>
            <w:r w:rsidRPr="00C11F98">
              <w:rPr>
                <w:rFonts w:ascii="Times New Roman" w:hAnsi="Times New Roman" w:cs="Times New Roman"/>
                <w:color w:val="000000"/>
                <w:sz w:val="14"/>
                <w:szCs w:val="14"/>
              </w:rPr>
              <w:t>NR SR</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8 525 018</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93"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8 616 509</w:t>
            </w:r>
          </w:p>
        </w:tc>
      </w:tr>
      <w:tr>
        <w:tblPrEx>
          <w:tblW w:w="9087" w:type="dxa"/>
          <w:tblInd w:w="55" w:type="dxa"/>
          <w:tblLayout w:type="fixed"/>
          <w:tblCellMar>
            <w:left w:w="70" w:type="dxa"/>
            <w:right w:w="70" w:type="dxa"/>
          </w:tblCellMar>
        </w:tblPrEx>
        <w:trPr>
          <w:trHeight w:val="241"/>
        </w:trPr>
        <w:tc>
          <w:tcPr>
            <w:tcW w:w="214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color w:val="000000"/>
                <w:sz w:val="14"/>
                <w:szCs w:val="14"/>
              </w:rPr>
            </w:pPr>
            <w:r w:rsidRPr="00C11F98">
              <w:rPr>
                <w:rFonts w:ascii="Times New Roman" w:hAnsi="Times New Roman" w:cs="Times New Roman"/>
                <w:color w:val="000000"/>
                <w:sz w:val="14"/>
                <w:szCs w:val="14"/>
              </w:rPr>
              <w:t>Referendum</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3 743 562</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93"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r>
    </w:tbl>
    <w:p w:rsidR="000163CE" w:rsidRPr="00C11F98" w:rsidP="000163CE">
      <w:pPr>
        <w:bidi w:val="0"/>
        <w:jc w:val="both"/>
        <w:rPr>
          <w:rFonts w:ascii="Times New Roman" w:hAnsi="Times New Roman" w:cs="Times New Roman"/>
        </w:rPr>
      </w:pPr>
    </w:p>
    <w:p w:rsidR="000163CE" w:rsidRPr="00C11F98" w:rsidP="000163CE">
      <w:pPr>
        <w:bidi w:val="0"/>
        <w:ind w:firstLine="708"/>
        <w:jc w:val="both"/>
        <w:rPr>
          <w:rFonts w:ascii="Times New Roman" w:hAnsi="Times New Roman" w:cs="Times New Roman"/>
        </w:rPr>
      </w:pPr>
      <w:r w:rsidRPr="00C11F98">
        <w:rPr>
          <w:rFonts w:ascii="Times New Roman" w:hAnsi="Times New Roman" w:cs="Times New Roman"/>
        </w:rPr>
        <w:t>Na zabezpečenie doplňujúcich volieb do orgánov samosprávy obcí a krajov sa v roku 2012 rozpočtujú výdavky v sume 903 tis. eur. V roku 2013 sa uskutočnia voľby do orgánov samosprávy krajov a v roku 2014 sa uskutočnia voľby do NR SR, prezidentské voľby, voľby do európskeho parlamentu a voľby do orgánov samosprávy obcí a krajov. Na bežné výdavky sa rozpočtuje suma 35,1 mil. eur a na kapitálové výdavky suma 306 tis. eur, na nákup kopírovacích strojov.</w:t>
      </w:r>
    </w:p>
    <w:p w:rsidR="000163CE" w:rsidRPr="00C11F98" w:rsidP="000163CE">
      <w:pPr>
        <w:bidi w:val="0"/>
        <w:jc w:val="both"/>
        <w:rPr>
          <w:rFonts w:ascii="Times New Roman" w:hAnsi="Times New Roman" w:cs="Times New Roman"/>
          <w:bCs/>
        </w:rPr>
      </w:pPr>
    </w:p>
    <w:p w:rsidR="000163CE" w:rsidRPr="00C11F98" w:rsidP="000163CE">
      <w:pPr>
        <w:bidi w:val="0"/>
        <w:jc w:val="both"/>
        <w:rPr>
          <w:rFonts w:ascii="Times New Roman" w:hAnsi="Times New Roman" w:cs="Times New Roman"/>
          <w:b/>
          <w:bCs/>
        </w:rPr>
      </w:pPr>
      <w:r w:rsidRPr="00C11F98">
        <w:rPr>
          <w:rFonts w:ascii="Times New Roman" w:hAnsi="Times New Roman" w:cs="Times New Roman"/>
          <w:b/>
          <w:bCs/>
        </w:rPr>
        <w:t>Administratívne a iné činnosti</w:t>
      </w:r>
    </w:p>
    <w:p w:rsidR="000163CE" w:rsidRPr="00C11F98" w:rsidP="000163CE">
      <w:pPr>
        <w:bidi w:val="0"/>
        <w:jc w:val="both"/>
        <w:rPr>
          <w:rFonts w:ascii="Times New Roman" w:hAnsi="Times New Roman" w:cs="Times New Roman"/>
          <w:b/>
        </w:rPr>
      </w:pPr>
    </w:p>
    <w:p w:rsidR="000163CE" w:rsidRPr="00C11F98" w:rsidP="000163CE">
      <w:pPr>
        <w:bidi w:val="0"/>
        <w:ind w:firstLine="708"/>
        <w:jc w:val="both"/>
        <w:rPr>
          <w:rFonts w:ascii="Times New Roman" w:hAnsi="Times New Roman" w:cs="Times New Roman"/>
        </w:rPr>
      </w:pPr>
      <w:r w:rsidRPr="00C11F98">
        <w:rPr>
          <w:rFonts w:ascii="Times New Roman" w:hAnsi="Times New Roman" w:cs="Times New Roman"/>
        </w:rPr>
        <w:t>V danej oblasti sú rozpočtované výdavky na aparát, výdavky pre príspevkovú organizáciu Inštitútu verejnej správy Bratislava a výdavky na medzirezortné programy. Medziročne dochádza k rastu rozpočtovaných výdavkov o 37,1 %, o sumu 20,2 mil. eur.</w:t>
      </w:r>
    </w:p>
    <w:p w:rsidR="000163CE" w:rsidRPr="00C11F98" w:rsidP="000163CE">
      <w:pPr>
        <w:bidi w:val="0"/>
        <w:jc w:val="both"/>
        <w:rPr>
          <w:rFonts w:ascii="Times New Roman" w:hAnsi="Times New Roman" w:cs="Times New Roman"/>
        </w:rPr>
      </w:pPr>
    </w:p>
    <w:tbl>
      <w:tblPr>
        <w:tblStyle w:val="TableNormal"/>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2425"/>
        <w:gridCol w:w="951"/>
        <w:gridCol w:w="952"/>
        <w:gridCol w:w="952"/>
        <w:gridCol w:w="951"/>
        <w:gridCol w:w="952"/>
        <w:gridCol w:w="952"/>
        <w:gridCol w:w="952"/>
      </w:tblGrid>
      <w:tr>
        <w:tblPrEx>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266"/>
        </w:trPr>
        <w:tc>
          <w:tcPr>
            <w:tcW w:w="2425"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b/>
                <w:sz w:val="14"/>
                <w:szCs w:val="14"/>
              </w:rPr>
            </w:pPr>
            <w:r w:rsidRPr="00C11F98">
              <w:rPr>
                <w:rFonts w:ascii="Times New Roman" w:hAnsi="Times New Roman" w:cs="Times New Roman"/>
                <w:b/>
                <w:sz w:val="14"/>
                <w:szCs w:val="14"/>
              </w:rPr>
              <w:br w:type="page"/>
              <w:t> v eurách</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2009 S</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2010 S</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2011 R</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2011 OS</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2012 N</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2013 N</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2014 N</w:t>
            </w:r>
          </w:p>
        </w:tc>
      </w:tr>
      <w:tr>
        <w:tblPrEx>
          <w:tblW w:w="9087" w:type="dxa"/>
          <w:tblInd w:w="55" w:type="dxa"/>
          <w:tblLayout w:type="fixed"/>
          <w:tblCellMar>
            <w:left w:w="70" w:type="dxa"/>
            <w:right w:w="70" w:type="dxa"/>
          </w:tblCellMar>
        </w:tblPrEx>
        <w:trPr>
          <w:trHeight w:val="266"/>
        </w:trPr>
        <w:tc>
          <w:tcPr>
            <w:tcW w:w="2425"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b/>
                <w:bCs/>
                <w:sz w:val="14"/>
                <w:szCs w:val="14"/>
              </w:rPr>
            </w:pPr>
            <w:r w:rsidRPr="00C11F98">
              <w:rPr>
                <w:rFonts w:ascii="Times New Roman" w:hAnsi="Times New Roman" w:cs="Times New Roman"/>
                <w:b/>
                <w:bCs/>
                <w:sz w:val="14"/>
                <w:szCs w:val="14"/>
              </w:rPr>
              <w:t>Ostatné činnosti</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b/>
                <w:sz w:val="14"/>
                <w:szCs w:val="14"/>
              </w:rPr>
            </w:pPr>
            <w:r w:rsidRPr="00C11F98">
              <w:rPr>
                <w:rFonts w:ascii="Times New Roman" w:hAnsi="Times New Roman" w:cs="Times New Roman"/>
                <w:b/>
                <w:sz w:val="14"/>
                <w:szCs w:val="14"/>
              </w:rPr>
              <w:t>36 380 929</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b/>
                <w:sz w:val="14"/>
                <w:szCs w:val="14"/>
              </w:rPr>
            </w:pPr>
            <w:r w:rsidRPr="00C11F98">
              <w:rPr>
                <w:rFonts w:ascii="Times New Roman" w:hAnsi="Times New Roman" w:cs="Times New Roman"/>
                <w:b/>
                <w:sz w:val="14"/>
                <w:szCs w:val="14"/>
              </w:rPr>
              <w:t>57 716 434</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b/>
                <w:sz w:val="14"/>
                <w:szCs w:val="14"/>
              </w:rPr>
            </w:pPr>
            <w:r w:rsidRPr="00C11F98">
              <w:rPr>
                <w:rFonts w:ascii="Times New Roman" w:hAnsi="Times New Roman" w:cs="Times New Roman"/>
                <w:b/>
                <w:sz w:val="14"/>
                <w:szCs w:val="14"/>
              </w:rPr>
              <w:t>54 505 032</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b/>
                <w:sz w:val="14"/>
                <w:szCs w:val="14"/>
              </w:rPr>
            </w:pPr>
            <w:r w:rsidRPr="00C11F98">
              <w:rPr>
                <w:rFonts w:ascii="Times New Roman" w:hAnsi="Times New Roman" w:cs="Times New Roman"/>
                <w:b/>
                <w:sz w:val="14"/>
                <w:szCs w:val="14"/>
              </w:rPr>
              <w:t>81 149 916</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b/>
                <w:sz w:val="14"/>
                <w:szCs w:val="14"/>
              </w:rPr>
            </w:pPr>
            <w:r w:rsidRPr="00C11F98">
              <w:rPr>
                <w:rFonts w:ascii="Times New Roman" w:hAnsi="Times New Roman" w:cs="Times New Roman"/>
                <w:b/>
                <w:sz w:val="14"/>
                <w:szCs w:val="14"/>
              </w:rPr>
              <w:t>74 729 359</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b/>
                <w:sz w:val="14"/>
                <w:szCs w:val="14"/>
              </w:rPr>
            </w:pPr>
            <w:r w:rsidRPr="00C11F98">
              <w:rPr>
                <w:rFonts w:ascii="Times New Roman" w:hAnsi="Times New Roman" w:cs="Times New Roman"/>
                <w:b/>
                <w:sz w:val="14"/>
                <w:szCs w:val="14"/>
              </w:rPr>
              <w:t>75 094 777</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b/>
                <w:sz w:val="14"/>
                <w:szCs w:val="14"/>
              </w:rPr>
            </w:pPr>
            <w:r w:rsidRPr="00C11F98">
              <w:rPr>
                <w:rFonts w:ascii="Times New Roman" w:hAnsi="Times New Roman" w:cs="Times New Roman"/>
                <w:b/>
                <w:sz w:val="14"/>
                <w:szCs w:val="14"/>
              </w:rPr>
              <w:t>74 814 366</w:t>
            </w:r>
          </w:p>
        </w:tc>
      </w:tr>
      <w:tr>
        <w:tblPrEx>
          <w:tblW w:w="9087" w:type="dxa"/>
          <w:tblInd w:w="55" w:type="dxa"/>
          <w:tblLayout w:type="fixed"/>
          <w:tblCellMar>
            <w:left w:w="70" w:type="dxa"/>
            <w:right w:w="70" w:type="dxa"/>
          </w:tblCellMar>
        </w:tblPrEx>
        <w:trPr>
          <w:trHeight w:val="266"/>
        </w:trPr>
        <w:tc>
          <w:tcPr>
            <w:tcW w:w="2425"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Riadiaca a kontrolná činnosť MV SR</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 xml:space="preserve">35 330 297   </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39 463 656</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36 791 273</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50 935 493</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74 353 158</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74 718 576</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74 438 165</w:t>
            </w:r>
          </w:p>
        </w:tc>
      </w:tr>
      <w:tr>
        <w:tblPrEx>
          <w:tblW w:w="9087" w:type="dxa"/>
          <w:tblInd w:w="55" w:type="dxa"/>
          <w:tblLayout w:type="fixed"/>
          <w:tblCellMar>
            <w:left w:w="70" w:type="dxa"/>
            <w:right w:w="70" w:type="dxa"/>
          </w:tblCellMar>
        </w:tblPrEx>
        <w:trPr>
          <w:trHeight w:val="266"/>
        </w:trPr>
        <w:tc>
          <w:tcPr>
            <w:tcW w:w="2425"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Civilné núdzové plánovanie</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13 207</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18 576</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10 000</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10 000</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7 500</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7 500</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7 500</w:t>
            </w:r>
          </w:p>
        </w:tc>
      </w:tr>
      <w:tr>
        <w:tblPrEx>
          <w:tblW w:w="9087" w:type="dxa"/>
          <w:tblInd w:w="55" w:type="dxa"/>
          <w:tblLayout w:type="fixed"/>
          <w:tblCellMar>
            <w:left w:w="70" w:type="dxa"/>
            <w:right w:w="70" w:type="dxa"/>
          </w:tblCellMar>
        </w:tblPrEx>
        <w:trPr>
          <w:trHeight w:val="266"/>
        </w:trPr>
        <w:tc>
          <w:tcPr>
            <w:tcW w:w="2425"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Oficiálna human. pomoc do zahr.</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254 020</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77 358</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65 000</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65 000</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55 000</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55 000</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55 000</w:t>
            </w:r>
          </w:p>
        </w:tc>
      </w:tr>
      <w:tr>
        <w:tblPrEx>
          <w:tblW w:w="9087" w:type="dxa"/>
          <w:tblInd w:w="55" w:type="dxa"/>
          <w:tblLayout w:type="fixed"/>
          <w:tblCellMar>
            <w:left w:w="70" w:type="dxa"/>
            <w:right w:w="70" w:type="dxa"/>
          </w:tblCellMar>
        </w:tblPrEx>
        <w:trPr>
          <w:trHeight w:val="266"/>
        </w:trPr>
        <w:tc>
          <w:tcPr>
            <w:tcW w:w="2425"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Hospodárska mobilizácia</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123 536</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57 875</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52 016</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52 016</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48 485</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48 485</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48 485</w:t>
            </w:r>
          </w:p>
        </w:tc>
      </w:tr>
      <w:tr>
        <w:tblPrEx>
          <w:tblW w:w="9087" w:type="dxa"/>
          <w:tblInd w:w="55" w:type="dxa"/>
          <w:tblLayout w:type="fixed"/>
          <w:tblCellMar>
            <w:left w:w="70" w:type="dxa"/>
            <w:right w:w="70" w:type="dxa"/>
          </w:tblCellMar>
        </w:tblPrEx>
        <w:trPr>
          <w:trHeight w:val="266"/>
        </w:trPr>
        <w:tc>
          <w:tcPr>
            <w:tcW w:w="2425"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Príspevky do MO</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434 324</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220 452</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271 543</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271 543</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238 200</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238 200</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238 200</w:t>
            </w:r>
          </w:p>
        </w:tc>
      </w:tr>
      <w:tr>
        <w:tblPrEx>
          <w:tblW w:w="9087" w:type="dxa"/>
          <w:tblInd w:w="55" w:type="dxa"/>
          <w:tblLayout w:type="fixed"/>
          <w:tblCellMar>
            <w:left w:w="70" w:type="dxa"/>
            <w:right w:w="70" w:type="dxa"/>
          </w:tblCellMar>
        </w:tblPrEx>
        <w:trPr>
          <w:trHeight w:val="266"/>
        </w:trPr>
        <w:tc>
          <w:tcPr>
            <w:tcW w:w="2425"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Protidrogová politika</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5 200</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5 200</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4 516</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4 516</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4 516</w:t>
            </w:r>
          </w:p>
        </w:tc>
      </w:tr>
      <w:tr>
        <w:tblPrEx>
          <w:tblW w:w="9087" w:type="dxa"/>
          <w:tblInd w:w="55" w:type="dxa"/>
          <w:tblLayout w:type="fixed"/>
          <w:tblCellMar>
            <w:left w:w="70" w:type="dxa"/>
            <w:right w:w="70" w:type="dxa"/>
          </w:tblCellMar>
        </w:tblPrEx>
        <w:trPr>
          <w:trHeight w:val="266"/>
        </w:trPr>
        <w:tc>
          <w:tcPr>
            <w:tcW w:w="2425"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Ochrana kritickej infraštruktúry</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10 000</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10 000</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7 500</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7 500</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7 500</w:t>
            </w:r>
          </w:p>
        </w:tc>
      </w:tr>
      <w:tr>
        <w:tblPrEx>
          <w:tblW w:w="9087" w:type="dxa"/>
          <w:tblInd w:w="55" w:type="dxa"/>
          <w:tblLayout w:type="fixed"/>
          <w:tblCellMar>
            <w:left w:w="70" w:type="dxa"/>
            <w:right w:w="70" w:type="dxa"/>
          </w:tblCellMar>
        </w:tblPrEx>
        <w:trPr>
          <w:trHeight w:val="295"/>
        </w:trPr>
        <w:tc>
          <w:tcPr>
            <w:tcW w:w="2425"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Ďalší rozvoj ochrany obyvateľov SR proti chem. zbraniam</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66 187</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15 000</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15 000</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15 000</w:t>
            </w:r>
          </w:p>
        </w:tc>
      </w:tr>
      <w:tr>
        <w:tblPrEx>
          <w:tblW w:w="9087" w:type="dxa"/>
          <w:tblInd w:w="55" w:type="dxa"/>
          <w:tblLayout w:type="fixed"/>
          <w:tblCellMar>
            <w:left w:w="70" w:type="dxa"/>
            <w:right w:w="70" w:type="dxa"/>
          </w:tblCellMar>
        </w:tblPrEx>
        <w:trPr>
          <w:trHeight w:val="295"/>
        </w:trPr>
        <w:tc>
          <w:tcPr>
            <w:tcW w:w="2425"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 xml:space="preserve"> Aktívna politika trhu práce</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57 736</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7 095</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0</w:t>
            </w:r>
          </w:p>
        </w:tc>
      </w:tr>
      <w:tr>
        <w:tblPrEx>
          <w:tblW w:w="9087" w:type="dxa"/>
          <w:tblInd w:w="55" w:type="dxa"/>
          <w:tblLayout w:type="fixed"/>
          <w:tblCellMar>
            <w:left w:w="70" w:type="dxa"/>
            <w:right w:w="70" w:type="dxa"/>
          </w:tblCellMar>
        </w:tblPrEx>
        <w:trPr>
          <w:trHeight w:val="295"/>
        </w:trPr>
        <w:tc>
          <w:tcPr>
            <w:tcW w:w="2425"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Podpora obrany</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101 622</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0</w:t>
            </w:r>
          </w:p>
        </w:tc>
      </w:tr>
      <w:tr>
        <w:tblPrEx>
          <w:tblW w:w="9087" w:type="dxa"/>
          <w:tblInd w:w="55" w:type="dxa"/>
          <w:tblLayout w:type="fixed"/>
          <w:tblCellMar>
            <w:left w:w="70" w:type="dxa"/>
            <w:right w:w="70" w:type="dxa"/>
          </w:tblCellMar>
        </w:tblPrEx>
        <w:trPr>
          <w:trHeight w:val="295"/>
        </w:trPr>
        <w:tc>
          <w:tcPr>
            <w:tcW w:w="2425"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OPIS</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17 871 422</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17 300 000</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29 800 663</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5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0</w:t>
            </w:r>
          </w:p>
        </w:tc>
      </w:tr>
    </w:tbl>
    <w:p w:rsidR="000163CE" w:rsidRPr="00C11F98" w:rsidP="000163CE">
      <w:pPr>
        <w:bidi w:val="0"/>
        <w:jc w:val="both"/>
        <w:rPr>
          <w:rFonts w:ascii="Times New Roman" w:hAnsi="Times New Roman" w:cs="Times New Roman"/>
        </w:rPr>
      </w:pPr>
    </w:p>
    <w:p w:rsidR="000163CE" w:rsidRPr="00C11F98" w:rsidP="000163CE">
      <w:pPr>
        <w:bidi w:val="0"/>
        <w:ind w:firstLine="708"/>
        <w:jc w:val="both"/>
        <w:rPr>
          <w:rFonts w:ascii="Times New Roman" w:hAnsi="Times New Roman" w:cs="Times New Roman"/>
        </w:rPr>
      </w:pPr>
      <w:r w:rsidRPr="00C11F98">
        <w:rPr>
          <w:rFonts w:ascii="Times New Roman" w:hAnsi="Times New Roman" w:cs="Times New Roman"/>
        </w:rPr>
        <w:t xml:space="preserve">Výdavky na riadiacu a kontrolnú činnosť ministerstva vnútra (aparát) rastú v roku 2012 oproti schválenému rozpočtu roka 2011 o 37,5 mil. eur, čo je 102,1% nárast, pričom osobné výdavky v sume 62,9 mil. eur rastú o 124,1 %, prevádzkové výdavky v sume </w:t>
        <w:br/>
        <w:t>7,33 mil. eur rastú o 69,3 %, bežné transfery v sume 11 tis. eur rastú o 0,29 % a kapitálové výdavky sa nerozpočtujú. Rast prevádzkových výdavkov je spôsobený najmä rozpočtovaním prostriedkov zo Švajčiarskeho finančného mechanizmu (suma 2,94 mil. eur). MV SR má jednu rozpočtovú organizáciu a dve príspevkové organizácie, ktoré sú financované z výdavkov na Riadiacu a kontrolnú činnosť.</w:t>
      </w:r>
    </w:p>
    <w:p w:rsidR="000163CE" w:rsidRPr="00C11F98" w:rsidP="000163CE">
      <w:pPr>
        <w:bidi w:val="0"/>
        <w:jc w:val="both"/>
        <w:rPr>
          <w:rFonts w:ascii="Times New Roman" w:hAnsi="Times New Roman" w:cs="Times New Roman"/>
          <w:b/>
          <w:u w:val="single"/>
        </w:rPr>
      </w:pPr>
    </w:p>
    <w:tbl>
      <w:tblPr>
        <w:tblStyle w:val="TableNormal"/>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2567"/>
        <w:gridCol w:w="931"/>
        <w:gridCol w:w="931"/>
        <w:gridCol w:w="932"/>
        <w:gridCol w:w="931"/>
        <w:gridCol w:w="932"/>
        <w:gridCol w:w="931"/>
        <w:gridCol w:w="932"/>
      </w:tblGrid>
      <w:tr>
        <w:tblPrEx>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256"/>
        </w:trPr>
        <w:tc>
          <w:tcPr>
            <w:tcW w:w="2567"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b/>
                <w:sz w:val="14"/>
                <w:szCs w:val="14"/>
              </w:rPr>
            </w:pPr>
            <w:r w:rsidRPr="00C11F98">
              <w:rPr>
                <w:rFonts w:ascii="Times New Roman" w:hAnsi="Times New Roman" w:cs="Times New Roman"/>
                <w:b/>
                <w:sz w:val="14"/>
                <w:szCs w:val="14"/>
              </w:rPr>
              <w:br w:type="page"/>
              <w:t> v eurách</w:t>
            </w:r>
          </w:p>
        </w:tc>
        <w:tc>
          <w:tcPr>
            <w:tcW w:w="93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2009 S</w:t>
            </w:r>
          </w:p>
        </w:tc>
        <w:tc>
          <w:tcPr>
            <w:tcW w:w="931"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2010 S</w:t>
            </w:r>
          </w:p>
        </w:tc>
        <w:tc>
          <w:tcPr>
            <w:tcW w:w="93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2011 R</w:t>
            </w:r>
          </w:p>
        </w:tc>
        <w:tc>
          <w:tcPr>
            <w:tcW w:w="93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2011 OS</w:t>
            </w:r>
          </w:p>
        </w:tc>
        <w:tc>
          <w:tcPr>
            <w:tcW w:w="93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2012 N</w:t>
            </w:r>
          </w:p>
        </w:tc>
        <w:tc>
          <w:tcPr>
            <w:tcW w:w="93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2013 N</w:t>
            </w:r>
          </w:p>
        </w:tc>
        <w:tc>
          <w:tcPr>
            <w:tcW w:w="93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center"/>
              <w:rPr>
                <w:rFonts w:ascii="Times New Roman" w:hAnsi="Times New Roman" w:cs="Times New Roman"/>
                <w:b/>
                <w:sz w:val="14"/>
                <w:szCs w:val="14"/>
              </w:rPr>
            </w:pPr>
            <w:r w:rsidRPr="00C11F98">
              <w:rPr>
                <w:rFonts w:ascii="Times New Roman" w:hAnsi="Times New Roman" w:cs="Times New Roman"/>
                <w:b/>
                <w:sz w:val="14"/>
                <w:szCs w:val="14"/>
              </w:rPr>
              <w:t>2014 N</w:t>
            </w:r>
          </w:p>
        </w:tc>
      </w:tr>
      <w:tr>
        <w:tblPrEx>
          <w:tblW w:w="0" w:type="auto"/>
          <w:tblInd w:w="55" w:type="dxa"/>
          <w:tblLayout w:type="fixed"/>
          <w:tblCellMar>
            <w:left w:w="70" w:type="dxa"/>
            <w:right w:w="70" w:type="dxa"/>
          </w:tblCellMar>
        </w:tblPrEx>
        <w:trPr>
          <w:trHeight w:val="256"/>
        </w:trPr>
        <w:tc>
          <w:tcPr>
            <w:tcW w:w="2567"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b/>
                <w:bCs/>
                <w:sz w:val="14"/>
                <w:szCs w:val="14"/>
              </w:rPr>
            </w:pPr>
            <w:r w:rsidRPr="00C11F98">
              <w:rPr>
                <w:rFonts w:ascii="Times New Roman" w:hAnsi="Times New Roman" w:cs="Times New Roman"/>
                <w:b/>
                <w:bCs/>
                <w:sz w:val="14"/>
                <w:szCs w:val="14"/>
              </w:rPr>
              <w:t>Spolu</w:t>
            </w:r>
          </w:p>
        </w:tc>
        <w:tc>
          <w:tcPr>
            <w:tcW w:w="93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b/>
                <w:sz w:val="14"/>
                <w:szCs w:val="14"/>
              </w:rPr>
            </w:pPr>
            <w:r w:rsidRPr="00C11F98">
              <w:rPr>
                <w:rFonts w:ascii="Times New Roman" w:hAnsi="Times New Roman" w:cs="Times New Roman"/>
                <w:b/>
                <w:sz w:val="14"/>
                <w:szCs w:val="14"/>
              </w:rPr>
              <w:t xml:space="preserve">35 330 297   </w:t>
            </w:r>
          </w:p>
        </w:tc>
        <w:tc>
          <w:tcPr>
            <w:tcW w:w="93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b/>
                <w:sz w:val="14"/>
                <w:szCs w:val="14"/>
              </w:rPr>
            </w:pPr>
            <w:r w:rsidRPr="00C11F98">
              <w:rPr>
                <w:rFonts w:ascii="Times New Roman" w:hAnsi="Times New Roman" w:cs="Times New Roman"/>
                <w:b/>
                <w:sz w:val="14"/>
                <w:szCs w:val="14"/>
              </w:rPr>
              <w:t>39 463 656</w:t>
            </w:r>
          </w:p>
        </w:tc>
        <w:tc>
          <w:tcPr>
            <w:tcW w:w="93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b/>
                <w:sz w:val="14"/>
                <w:szCs w:val="14"/>
              </w:rPr>
            </w:pPr>
            <w:r w:rsidRPr="00C11F98">
              <w:rPr>
                <w:rFonts w:ascii="Times New Roman" w:hAnsi="Times New Roman" w:cs="Times New Roman"/>
                <w:b/>
                <w:sz w:val="14"/>
                <w:szCs w:val="14"/>
              </w:rPr>
              <w:t>36 791 273</w:t>
            </w:r>
          </w:p>
        </w:tc>
        <w:tc>
          <w:tcPr>
            <w:tcW w:w="93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b/>
                <w:sz w:val="14"/>
                <w:szCs w:val="14"/>
              </w:rPr>
            </w:pPr>
            <w:r w:rsidRPr="00C11F98">
              <w:rPr>
                <w:rFonts w:ascii="Times New Roman" w:hAnsi="Times New Roman" w:cs="Times New Roman"/>
                <w:b/>
                <w:sz w:val="14"/>
                <w:szCs w:val="14"/>
              </w:rPr>
              <w:t>50 935 493</w:t>
            </w:r>
          </w:p>
        </w:tc>
        <w:tc>
          <w:tcPr>
            <w:tcW w:w="93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b/>
                <w:sz w:val="14"/>
                <w:szCs w:val="14"/>
              </w:rPr>
            </w:pPr>
            <w:r w:rsidRPr="00C11F98">
              <w:rPr>
                <w:rFonts w:ascii="Times New Roman" w:hAnsi="Times New Roman" w:cs="Times New Roman"/>
                <w:b/>
                <w:sz w:val="14"/>
                <w:szCs w:val="14"/>
              </w:rPr>
              <w:t>74 353 158</w:t>
            </w:r>
          </w:p>
        </w:tc>
        <w:tc>
          <w:tcPr>
            <w:tcW w:w="93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b/>
                <w:sz w:val="14"/>
                <w:szCs w:val="14"/>
              </w:rPr>
            </w:pPr>
            <w:r w:rsidRPr="00C11F98">
              <w:rPr>
                <w:rFonts w:ascii="Times New Roman" w:hAnsi="Times New Roman" w:cs="Times New Roman"/>
                <w:b/>
                <w:sz w:val="14"/>
                <w:szCs w:val="14"/>
              </w:rPr>
              <w:t>74 718 576</w:t>
            </w:r>
          </w:p>
        </w:tc>
        <w:tc>
          <w:tcPr>
            <w:tcW w:w="93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b/>
                <w:sz w:val="14"/>
                <w:szCs w:val="14"/>
              </w:rPr>
            </w:pPr>
            <w:r w:rsidRPr="00C11F98">
              <w:rPr>
                <w:rFonts w:ascii="Times New Roman" w:hAnsi="Times New Roman" w:cs="Times New Roman"/>
                <w:b/>
                <w:sz w:val="14"/>
                <w:szCs w:val="14"/>
              </w:rPr>
              <w:t>74 438 165</w:t>
            </w:r>
          </w:p>
        </w:tc>
      </w:tr>
      <w:tr>
        <w:tblPrEx>
          <w:tblW w:w="0" w:type="auto"/>
          <w:tblInd w:w="55" w:type="dxa"/>
          <w:tblLayout w:type="fixed"/>
          <w:tblCellMar>
            <w:left w:w="70" w:type="dxa"/>
            <w:right w:w="70" w:type="dxa"/>
          </w:tblCellMar>
        </w:tblPrEx>
        <w:trPr>
          <w:trHeight w:val="256"/>
        </w:trPr>
        <w:tc>
          <w:tcPr>
            <w:tcW w:w="2567"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z toho RO:</w:t>
            </w:r>
          </w:p>
        </w:tc>
        <w:tc>
          <w:tcPr>
            <w:tcW w:w="93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p>
        </w:tc>
        <w:tc>
          <w:tcPr>
            <w:tcW w:w="931"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sz w:val="14"/>
                <w:szCs w:val="14"/>
              </w:rPr>
            </w:pPr>
          </w:p>
        </w:tc>
        <w:tc>
          <w:tcPr>
            <w:tcW w:w="93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sz w:val="14"/>
                <w:szCs w:val="14"/>
              </w:rPr>
            </w:pPr>
          </w:p>
        </w:tc>
        <w:tc>
          <w:tcPr>
            <w:tcW w:w="93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p>
        </w:tc>
        <w:tc>
          <w:tcPr>
            <w:tcW w:w="93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sz w:val="14"/>
                <w:szCs w:val="14"/>
              </w:rPr>
            </w:pPr>
          </w:p>
        </w:tc>
        <w:tc>
          <w:tcPr>
            <w:tcW w:w="93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p>
        </w:tc>
        <w:tc>
          <w:tcPr>
            <w:tcW w:w="93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sz w:val="14"/>
                <w:szCs w:val="14"/>
              </w:rPr>
            </w:pPr>
          </w:p>
        </w:tc>
      </w:tr>
      <w:tr>
        <w:tblPrEx>
          <w:tblW w:w="0" w:type="auto"/>
          <w:tblInd w:w="55" w:type="dxa"/>
          <w:tblLayout w:type="fixed"/>
          <w:tblCellMar>
            <w:left w:w="70" w:type="dxa"/>
            <w:right w:w="70" w:type="dxa"/>
          </w:tblCellMar>
        </w:tblPrEx>
        <w:trPr>
          <w:trHeight w:val="256"/>
        </w:trPr>
        <w:tc>
          <w:tcPr>
            <w:tcW w:w="2567"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 xml:space="preserve">1. Úrad MV SR </w:t>
            </w:r>
          </w:p>
        </w:tc>
        <w:tc>
          <w:tcPr>
            <w:tcW w:w="93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 xml:space="preserve">34 154 110   </w:t>
            </w:r>
          </w:p>
        </w:tc>
        <w:tc>
          <w:tcPr>
            <w:tcW w:w="931"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38 991 320</w:t>
            </w:r>
          </w:p>
        </w:tc>
        <w:tc>
          <w:tcPr>
            <w:tcW w:w="93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36 459 333</w:t>
            </w:r>
          </w:p>
        </w:tc>
        <w:tc>
          <w:tcPr>
            <w:tcW w:w="93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50 603 553</w:t>
            </w:r>
          </w:p>
        </w:tc>
        <w:tc>
          <w:tcPr>
            <w:tcW w:w="93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74 037 815</w:t>
            </w:r>
          </w:p>
        </w:tc>
        <w:tc>
          <w:tcPr>
            <w:tcW w:w="93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74 403 233</w:t>
            </w:r>
          </w:p>
        </w:tc>
        <w:tc>
          <w:tcPr>
            <w:tcW w:w="93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74 122 822</w:t>
            </w:r>
          </w:p>
        </w:tc>
      </w:tr>
      <w:tr>
        <w:tblPrEx>
          <w:tblW w:w="0" w:type="auto"/>
          <w:tblInd w:w="55" w:type="dxa"/>
          <w:tblLayout w:type="fixed"/>
          <w:tblCellMar>
            <w:left w:w="70" w:type="dxa"/>
            <w:right w:w="70" w:type="dxa"/>
          </w:tblCellMar>
        </w:tblPrEx>
        <w:trPr>
          <w:trHeight w:val="256"/>
        </w:trPr>
        <w:tc>
          <w:tcPr>
            <w:tcW w:w="2567"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z toho PO:</w:t>
            </w:r>
          </w:p>
        </w:tc>
        <w:tc>
          <w:tcPr>
            <w:tcW w:w="93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p>
        </w:tc>
        <w:tc>
          <w:tcPr>
            <w:tcW w:w="93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p>
        </w:tc>
        <w:tc>
          <w:tcPr>
            <w:tcW w:w="93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p>
        </w:tc>
        <w:tc>
          <w:tcPr>
            <w:tcW w:w="93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p>
        </w:tc>
        <w:tc>
          <w:tcPr>
            <w:tcW w:w="93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p>
        </w:tc>
        <w:tc>
          <w:tcPr>
            <w:tcW w:w="93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p>
        </w:tc>
        <w:tc>
          <w:tcPr>
            <w:tcW w:w="93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p>
        </w:tc>
      </w:tr>
      <w:tr>
        <w:tblPrEx>
          <w:tblW w:w="0" w:type="auto"/>
          <w:tblInd w:w="55" w:type="dxa"/>
          <w:tblLayout w:type="fixed"/>
          <w:tblCellMar>
            <w:left w:w="70" w:type="dxa"/>
            <w:right w:w="70" w:type="dxa"/>
          </w:tblCellMar>
        </w:tblPrEx>
        <w:trPr>
          <w:trHeight w:val="256"/>
        </w:trPr>
        <w:tc>
          <w:tcPr>
            <w:tcW w:w="2567"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1. Inštitút pre verejnú správu</w:t>
            </w:r>
          </w:p>
        </w:tc>
        <w:tc>
          <w:tcPr>
            <w:tcW w:w="93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629 209</w:t>
            </w:r>
          </w:p>
        </w:tc>
        <w:tc>
          <w:tcPr>
            <w:tcW w:w="93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472 336</w:t>
            </w:r>
          </w:p>
        </w:tc>
        <w:tc>
          <w:tcPr>
            <w:tcW w:w="93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331 940</w:t>
            </w:r>
          </w:p>
        </w:tc>
        <w:tc>
          <w:tcPr>
            <w:tcW w:w="93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331 940</w:t>
            </w:r>
          </w:p>
        </w:tc>
        <w:tc>
          <w:tcPr>
            <w:tcW w:w="93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315 343</w:t>
            </w:r>
          </w:p>
        </w:tc>
        <w:tc>
          <w:tcPr>
            <w:tcW w:w="93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315 343</w:t>
            </w:r>
          </w:p>
        </w:tc>
        <w:tc>
          <w:tcPr>
            <w:tcW w:w="932"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315 343</w:t>
            </w:r>
          </w:p>
        </w:tc>
      </w:tr>
      <w:tr>
        <w:tblPrEx>
          <w:tblW w:w="0" w:type="auto"/>
          <w:tblInd w:w="55" w:type="dxa"/>
          <w:tblLayout w:type="fixed"/>
          <w:tblCellMar>
            <w:left w:w="70" w:type="dxa"/>
            <w:right w:w="70" w:type="dxa"/>
          </w:tblCellMar>
        </w:tblPrEx>
        <w:trPr>
          <w:trHeight w:val="256"/>
        </w:trPr>
        <w:tc>
          <w:tcPr>
            <w:tcW w:w="2567"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rPr>
                <w:rFonts w:ascii="Times New Roman" w:hAnsi="Times New Roman" w:cs="Times New Roman"/>
                <w:sz w:val="14"/>
                <w:szCs w:val="14"/>
              </w:rPr>
            </w:pPr>
            <w:r w:rsidRPr="00C11F98">
              <w:rPr>
                <w:rFonts w:ascii="Times New Roman" w:hAnsi="Times New Roman" w:cs="Times New Roman"/>
                <w:sz w:val="14"/>
                <w:szCs w:val="14"/>
              </w:rPr>
              <w:t>2.IVES</w:t>
            </w:r>
          </w:p>
        </w:tc>
        <w:tc>
          <w:tcPr>
            <w:tcW w:w="93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bidi w:val="0"/>
              <w:jc w:val="right"/>
              <w:rPr>
                <w:rFonts w:ascii="Times New Roman" w:hAnsi="Times New Roman" w:cs="Times New Roman"/>
                <w:sz w:val="14"/>
                <w:szCs w:val="14"/>
              </w:rPr>
            </w:pPr>
            <w:r w:rsidRPr="00C11F98">
              <w:rPr>
                <w:rFonts w:ascii="Times New Roman" w:hAnsi="Times New Roman" w:cs="Times New Roman"/>
                <w:sz w:val="14"/>
                <w:szCs w:val="14"/>
              </w:rPr>
              <w:t>546 978</w:t>
            </w:r>
          </w:p>
        </w:tc>
        <w:tc>
          <w:tcPr>
            <w:tcW w:w="931"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bidi w:val="0"/>
              <w:jc w:val="right"/>
              <w:rPr>
                <w:rFonts w:ascii="Times New Roman" w:hAnsi="Times New Roman" w:cs="Times New Roman"/>
                <w:sz w:val="14"/>
                <w:szCs w:val="14"/>
              </w:rPr>
            </w:pPr>
          </w:p>
        </w:tc>
        <w:tc>
          <w:tcPr>
            <w:tcW w:w="93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3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p>
        </w:tc>
        <w:tc>
          <w:tcPr>
            <w:tcW w:w="93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31" w:type="dxa"/>
            <w:tcBorders>
              <w:top w:val="single" w:sz="4" w:space="0" w:color="auto"/>
              <w:left w:val="single" w:sz="4" w:space="0" w:color="auto"/>
              <w:bottom w:val="single" w:sz="4" w:space="0" w:color="auto"/>
              <w:right w:val="single" w:sz="4" w:space="0" w:color="auto"/>
            </w:tcBorders>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0</w:t>
            </w:r>
          </w:p>
        </w:tc>
        <w:tc>
          <w:tcPr>
            <w:tcW w:w="932" w:type="dxa"/>
            <w:tcBorders>
              <w:top w:val="single" w:sz="4" w:space="0" w:color="auto"/>
              <w:left w:val="single" w:sz="4" w:space="0" w:color="auto"/>
              <w:bottom w:val="single" w:sz="4" w:space="0" w:color="auto"/>
              <w:right w:val="single" w:sz="4" w:space="0" w:color="auto"/>
            </w:tcBorders>
            <w:noWrap/>
            <w:textDirection w:val="lrTb"/>
            <w:vAlign w:val="bottom"/>
          </w:tcPr>
          <w:p w:rsidR="000163CE" w:rsidRPr="00C11F98" w:rsidP="009112FB">
            <w:pPr>
              <w:autoSpaceDE w:val="0"/>
              <w:autoSpaceDN w:val="0"/>
              <w:bidi w:val="0"/>
              <w:adjustRightInd w:val="0"/>
              <w:jc w:val="right"/>
              <w:rPr>
                <w:rFonts w:ascii="Times New Roman" w:hAnsi="Times New Roman" w:cs="Times New Roman"/>
                <w:sz w:val="14"/>
                <w:szCs w:val="14"/>
              </w:rPr>
            </w:pPr>
            <w:r w:rsidRPr="00C11F98">
              <w:rPr>
                <w:rFonts w:ascii="Times New Roman" w:hAnsi="Times New Roman" w:cs="Times New Roman"/>
                <w:sz w:val="14"/>
                <w:szCs w:val="14"/>
              </w:rPr>
              <w:t>0</w:t>
            </w:r>
          </w:p>
        </w:tc>
      </w:tr>
    </w:tbl>
    <w:p w:rsidR="000163CE" w:rsidRPr="00C11F98" w:rsidP="000163CE">
      <w:pPr>
        <w:bidi w:val="0"/>
        <w:jc w:val="both"/>
        <w:rPr>
          <w:rFonts w:ascii="Times New Roman" w:hAnsi="Times New Roman" w:cs="Times New Roman"/>
          <w:b/>
          <w:u w:val="single"/>
        </w:rPr>
      </w:pPr>
    </w:p>
    <w:p w:rsidR="000163CE" w:rsidRPr="00C11F98" w:rsidP="000163CE">
      <w:pPr>
        <w:bidi w:val="0"/>
        <w:ind w:firstLine="708"/>
        <w:jc w:val="both"/>
        <w:rPr>
          <w:rFonts w:ascii="Times New Roman" w:hAnsi="Times New Roman" w:cs="Times New Roman"/>
        </w:rPr>
      </w:pPr>
      <w:r w:rsidRPr="00C11F98">
        <w:rPr>
          <w:rFonts w:ascii="Times New Roman" w:hAnsi="Times New Roman" w:cs="Times New Roman"/>
        </w:rPr>
        <w:t>Ministerstvo vnútra SR je gestorom troch medzirezortných programov, ktorými sú Civilné núdzové plánovanie, Ochrana kritickej infraštruktúry a Ďalší rozvoj ochrany obyvateľov SR proti chemickým zbraniam.</w:t>
      </w:r>
    </w:p>
    <w:p w:rsidR="000163CE" w:rsidRPr="00C11F98" w:rsidP="000163CE">
      <w:pPr>
        <w:bidi w:val="0"/>
        <w:ind w:firstLine="708"/>
        <w:jc w:val="both"/>
        <w:rPr>
          <w:rFonts w:ascii="Times New Roman" w:hAnsi="Times New Roman" w:cs="Times New Roman"/>
        </w:rPr>
      </w:pPr>
    </w:p>
    <w:p w:rsidR="000163CE" w:rsidRPr="00C11F98" w:rsidP="000163CE">
      <w:pPr>
        <w:bidi w:val="0"/>
        <w:ind w:firstLine="708"/>
        <w:jc w:val="both"/>
        <w:rPr>
          <w:rFonts w:ascii="Times New Roman" w:hAnsi="Times New Roman" w:cs="Times New Roman"/>
        </w:rPr>
      </w:pPr>
      <w:r w:rsidRPr="00C11F98">
        <w:rPr>
          <w:rFonts w:ascii="Times New Roman" w:hAnsi="Times New Roman" w:cs="Times New Roman"/>
        </w:rPr>
        <w:t>Medzirezortný program Civilné núdzové plánovanie je systém komplexného zabezpečenia zdrojov, síl a prostriedkov nevyhnutných na zvládnutie nevojenských krízových javov a civilnú podporu ozbrojených síl a vojenských operácií. Zabezpečuje prípravu a koordináciu opatrení  uskutočňovaných orgánmi verejnej moci na zaistenie vnútorného poriadku v štáte,  ochrany obyvateľstva, hospodárstva štátu, kultúrnych hodnôt a trvalej funkčnosti štátnej správy počas krízových situácií.</w:t>
      </w:r>
    </w:p>
    <w:p w:rsidR="000163CE" w:rsidRPr="00C11F98" w:rsidP="000163CE">
      <w:pPr>
        <w:bidi w:val="0"/>
        <w:jc w:val="both"/>
        <w:rPr>
          <w:rFonts w:ascii="Times New Roman" w:hAnsi="Times New Roman" w:cs="Times New Roman"/>
        </w:rPr>
      </w:pPr>
    </w:p>
    <w:p w:rsidR="000163CE" w:rsidRPr="00C11F98" w:rsidP="000163CE">
      <w:pPr>
        <w:bidi w:val="0"/>
        <w:ind w:firstLine="708"/>
        <w:jc w:val="both"/>
        <w:rPr>
          <w:rFonts w:ascii="Times New Roman" w:hAnsi="Times New Roman" w:cs="Times New Roman"/>
        </w:rPr>
      </w:pPr>
      <w:r w:rsidRPr="00C11F98">
        <w:rPr>
          <w:rFonts w:ascii="Times New Roman" w:hAnsi="Times New Roman" w:cs="Times New Roman"/>
        </w:rPr>
        <w:t>Medzirezortný program Ochrana kritickej infraštruktúry je v súlade so zákonom č. 45/2011 Z. z. o kritickej infraštruktúre zameraný na organizáciu a pôsobnosť orgánov štátnej správy na úseku kritickej infraštruktúry. Súčasťou kritickej infraštruktúry je aj obranná infraštruktúra.</w:t>
      </w:r>
    </w:p>
    <w:p w:rsidR="000163CE" w:rsidRPr="00C11F98" w:rsidP="000163CE">
      <w:pPr>
        <w:bidi w:val="0"/>
        <w:jc w:val="both"/>
        <w:rPr>
          <w:rFonts w:ascii="Times New Roman" w:hAnsi="Times New Roman" w:cs="Times New Roman"/>
        </w:rPr>
      </w:pPr>
    </w:p>
    <w:p w:rsidR="000163CE" w:rsidRPr="00C11F98" w:rsidP="000163CE">
      <w:pPr>
        <w:bidi w:val="0"/>
        <w:ind w:firstLine="708"/>
        <w:jc w:val="both"/>
        <w:rPr>
          <w:rFonts w:ascii="Times New Roman" w:hAnsi="Times New Roman" w:cs="Times New Roman"/>
        </w:rPr>
      </w:pPr>
      <w:r w:rsidRPr="00C11F98">
        <w:rPr>
          <w:rFonts w:ascii="Times New Roman" w:hAnsi="Times New Roman" w:cs="Times New Roman"/>
        </w:rPr>
        <w:t>Ďalší rozvoj ochrany obyvateľov Slovenskej republiky proti chemickým zbraniam je medzirezortný program v gescii Ministerstva vnútra SR od roku 2004. Je zameraný na úlohy v oblasti prevencie, detekcie, výstražného systému a monitorovania, individuálnej a kolektívnej ochrany, vykonania zásahu pri použití chemických zbraní a medzinárodnej spolupráce.</w:t>
      </w:r>
    </w:p>
    <w:p w:rsidR="000163CE" w:rsidRPr="00C11F98" w:rsidP="000163CE">
      <w:pPr>
        <w:bidi w:val="0"/>
        <w:ind w:firstLine="708"/>
        <w:jc w:val="both"/>
        <w:rPr>
          <w:rFonts w:ascii="Times New Roman" w:hAnsi="Times New Roman" w:cs="Times New Roman"/>
          <w:color w:val="FF0000"/>
        </w:rPr>
      </w:pPr>
    </w:p>
    <w:p w:rsidR="000163CE" w:rsidRPr="00C11F98" w:rsidP="000163CE">
      <w:pPr>
        <w:bidi w:val="0"/>
        <w:ind w:firstLine="708"/>
        <w:jc w:val="both"/>
        <w:rPr>
          <w:rFonts w:ascii="Times New Roman" w:hAnsi="Times New Roman" w:cs="Times New Roman"/>
        </w:rPr>
      </w:pPr>
      <w:r w:rsidRPr="00C11F98">
        <w:rPr>
          <w:rFonts w:ascii="Times New Roman" w:hAnsi="Times New Roman" w:cs="Times New Roman"/>
        </w:rPr>
        <w:t xml:space="preserve">Od roku 2009 bol schválený nový spôsob financovania protidrogovej politiky vytvorením medzirezortného programu Protidrogová politika ako súčasť štátneho rozpočtu s gestorstvom Úradu vlády SR a s účastníkmi programu, ktorými sú jednotlivé ministerstvá. </w:t>
      </w:r>
    </w:p>
    <w:p w:rsidR="000163CE" w:rsidRPr="00C11F98" w:rsidP="000163CE">
      <w:pPr>
        <w:bidi w:val="0"/>
        <w:ind w:firstLine="708"/>
        <w:jc w:val="both"/>
        <w:rPr>
          <w:rFonts w:ascii="Times New Roman" w:hAnsi="Times New Roman" w:cs="Times New Roman"/>
        </w:rPr>
      </w:pPr>
    </w:p>
    <w:p w:rsidR="000163CE" w:rsidRPr="00C11F98" w:rsidP="000163CE">
      <w:pPr>
        <w:bidi w:val="0"/>
        <w:ind w:firstLine="708"/>
        <w:jc w:val="both"/>
        <w:rPr>
          <w:rFonts w:ascii="Times New Roman" w:hAnsi="Times New Roman" w:cs="Times New Roman"/>
        </w:rPr>
      </w:pPr>
      <w:r w:rsidRPr="00C11F98">
        <w:rPr>
          <w:rFonts w:ascii="Times New Roman" w:hAnsi="Times New Roman" w:cs="Times New Roman"/>
        </w:rPr>
        <w:t xml:space="preserve">Medzirezortný program Oficiálna rozvojová pomoc je zameraný na pomoc Slovenska rozvojovým krajinám.  </w:t>
      </w:r>
    </w:p>
    <w:p w:rsidR="000163CE" w:rsidRPr="00C11F98" w:rsidP="000163CE">
      <w:pPr>
        <w:bidi w:val="0"/>
        <w:ind w:firstLine="708"/>
        <w:jc w:val="both"/>
        <w:rPr>
          <w:rFonts w:ascii="Times New Roman" w:hAnsi="Times New Roman" w:cs="Times New Roman"/>
        </w:rPr>
      </w:pPr>
    </w:p>
    <w:p w:rsidR="000163CE" w:rsidRPr="00C11F98" w:rsidP="000163CE">
      <w:pPr>
        <w:bidi w:val="0"/>
        <w:ind w:firstLine="708"/>
        <w:jc w:val="both"/>
        <w:rPr>
          <w:rFonts w:ascii="Times New Roman" w:hAnsi="Times New Roman" w:cs="Times New Roman"/>
        </w:rPr>
      </w:pPr>
      <w:r w:rsidRPr="00C11F98">
        <w:rPr>
          <w:rFonts w:ascii="Times New Roman" w:hAnsi="Times New Roman" w:cs="Times New Roman"/>
        </w:rPr>
        <w:t>Medzirezortný program Hospodárska mobilizácia je zameraný na vytváranie predpokladov na zabezpečenie potrieb nevyhnutných na prežitie obyvateľstva a na zabezpečenie činnosti ozbrojených síl, ozbrojených bezpečnostných zborov a ostatných zložiek počas krízovej situácie.</w:t>
      </w:r>
    </w:p>
    <w:p w:rsidR="000163CE" w:rsidRPr="00C11F98" w:rsidP="000163CE">
      <w:pPr>
        <w:bidi w:val="0"/>
        <w:ind w:firstLine="708"/>
        <w:jc w:val="both"/>
        <w:rPr>
          <w:rFonts w:ascii="Times New Roman" w:hAnsi="Times New Roman" w:cs="Times New Roman"/>
        </w:rPr>
      </w:pPr>
    </w:p>
    <w:p w:rsidR="000163CE" w:rsidP="00872969">
      <w:pPr>
        <w:bidi w:val="0"/>
        <w:ind w:firstLine="708"/>
        <w:jc w:val="both"/>
      </w:pPr>
      <w:r w:rsidRPr="00C11F98">
        <w:rPr>
          <w:rFonts w:ascii="Times New Roman" w:hAnsi="Times New Roman" w:cs="Times New Roman"/>
        </w:rPr>
        <w:t>Príspevky do medzinárodných organizácií sa rozpočtujú v sume 213 tis. eur na Interpol a v sume 25 tis. eur na ION – Medzinárodná organizácia pre migráciu.</w:t>
      </w:r>
    </w:p>
    <w:p w:rsidR="00CB350B" w:rsidRPr="00432A91" w:rsidP="00CB350B">
      <w:pPr>
        <w:bidi w:val="0"/>
        <w:rPr>
          <w:rFonts w:ascii="Times New Roman" w:hAnsi="Times New Roman" w:cs="Times New Roman"/>
          <w:b/>
          <w:bCs/>
        </w:rPr>
      </w:pPr>
    </w:p>
    <w:p w:rsidR="00CB350B" w:rsidRPr="00BE40B7" w:rsidP="00CB350B">
      <w:pPr>
        <w:pBdr>
          <w:bottom w:val="single" w:sz="4" w:space="1" w:color="000000"/>
        </w:pBdr>
        <w:bidi w:val="0"/>
        <w:jc w:val="both"/>
        <w:rPr>
          <w:rFonts w:ascii="Times New Roman" w:hAnsi="Times New Roman" w:cs="Times New Roman"/>
          <w:lang w:eastAsia="sk-SK"/>
        </w:rPr>
      </w:pPr>
      <w:r w:rsidRPr="00BE40B7">
        <w:rPr>
          <w:rFonts w:ascii="Times New Roman" w:hAnsi="Times New Roman" w:cs="Times New Roman"/>
          <w:b/>
          <w:bCs/>
          <w:lang w:eastAsia="sk-SK"/>
        </w:rPr>
        <w:t>Ministerstvo obrany SR</w:t>
      </w:r>
    </w:p>
    <w:p w:rsidR="00081478" w:rsidRPr="00BE40B7" w:rsidP="00081478">
      <w:pPr>
        <w:bidi w:val="0"/>
        <w:jc w:val="both"/>
        <w:rPr>
          <w:rFonts w:ascii="Times New Roman" w:hAnsi="Times New Roman" w:cs="Times New Roman"/>
          <w:lang w:eastAsia="sk-SK"/>
        </w:rPr>
      </w:pPr>
      <w:r w:rsidRPr="00BE40B7" w:rsidR="00CB350B">
        <w:rPr>
          <w:rFonts w:ascii="Times New Roman" w:hAnsi="Times New Roman" w:cs="Times New Roman"/>
          <w:lang w:eastAsia="sk-SK"/>
        </w:rPr>
        <w:t> </w:t>
      </w:r>
    </w:p>
    <w:tbl>
      <w:tblPr>
        <w:tblStyle w:val="TableNormal"/>
        <w:tblW w:w="0" w:type="auto"/>
        <w:tblCellMar>
          <w:left w:w="0" w:type="dxa"/>
          <w:right w:w="0" w:type="dxa"/>
        </w:tblCellMar>
        <w:tblLook w:val="04A0"/>
      </w:tblPr>
      <w:tblGrid>
        <w:gridCol w:w="2153"/>
        <w:gridCol w:w="990"/>
        <w:gridCol w:w="990"/>
        <w:gridCol w:w="991"/>
        <w:gridCol w:w="990"/>
        <w:gridCol w:w="991"/>
        <w:gridCol w:w="990"/>
        <w:gridCol w:w="991"/>
      </w:tblGrid>
      <w:tr>
        <w:tblPrEx>
          <w:tblW w:w="0" w:type="auto"/>
          <w:tblCellMar>
            <w:left w:w="0" w:type="dxa"/>
            <w:right w:w="0" w:type="dxa"/>
          </w:tblCellMar>
          <w:tblLook w:val="04A0"/>
        </w:tblPrEx>
        <w:trPr>
          <w:trHeight w:val="261"/>
        </w:trPr>
        <w:tc>
          <w:tcPr>
            <w:tcW w:w="21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v eurách</w:t>
            </w:r>
          </w:p>
        </w:tc>
        <w:tc>
          <w:tcPr>
            <w:tcW w:w="99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2009 S</w:t>
            </w:r>
          </w:p>
        </w:tc>
        <w:tc>
          <w:tcPr>
            <w:tcW w:w="99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2010S</w:t>
            </w:r>
          </w:p>
        </w:tc>
        <w:tc>
          <w:tcPr>
            <w:tcW w:w="99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2011 R</w:t>
            </w:r>
          </w:p>
        </w:tc>
        <w:tc>
          <w:tcPr>
            <w:tcW w:w="99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2011 OS</w:t>
            </w:r>
          </w:p>
        </w:tc>
        <w:tc>
          <w:tcPr>
            <w:tcW w:w="99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2012 N</w:t>
            </w:r>
          </w:p>
        </w:tc>
        <w:tc>
          <w:tcPr>
            <w:tcW w:w="99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2013 N</w:t>
            </w:r>
          </w:p>
        </w:tc>
        <w:tc>
          <w:tcPr>
            <w:tcW w:w="99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2014 N</w:t>
            </w:r>
          </w:p>
        </w:tc>
      </w:tr>
      <w:tr>
        <w:tblPrEx>
          <w:tblW w:w="0" w:type="auto"/>
          <w:tblCellMar>
            <w:left w:w="0" w:type="dxa"/>
            <w:right w:w="0" w:type="dxa"/>
          </w:tblCellMar>
          <w:tblLook w:val="04A0"/>
        </w:tblPrEx>
        <w:trPr>
          <w:trHeight w:val="261"/>
        </w:trPr>
        <w:tc>
          <w:tcPr>
            <w:tcW w:w="2153"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Zdroje príslušnej kapitoly</w:t>
            </w:r>
          </w:p>
        </w:tc>
        <w:tc>
          <w:tcPr>
            <w:tcW w:w="99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486C43" w:rsidP="009112FB">
            <w:pPr>
              <w:bidi w:val="0"/>
              <w:jc w:val="right"/>
              <w:rPr>
                <w:rFonts w:ascii="Times New Roman" w:hAnsi="Times New Roman" w:cs="Times New Roman"/>
                <w:b/>
                <w:lang w:eastAsia="sk-SK"/>
              </w:rPr>
            </w:pPr>
            <w:r w:rsidRPr="00486C43">
              <w:rPr>
                <w:rFonts w:ascii="Times New Roman" w:hAnsi="Times New Roman" w:cs="Times New Roman"/>
                <w:b/>
                <w:color w:val="000000"/>
                <w:sz w:val="14"/>
                <w:szCs w:val="14"/>
                <w:lang w:eastAsia="sk-SK"/>
              </w:rPr>
              <w:t>966 617 163</w:t>
            </w:r>
          </w:p>
        </w:tc>
        <w:tc>
          <w:tcPr>
            <w:tcW w:w="99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486C43" w:rsidP="009112FB">
            <w:pPr>
              <w:bidi w:val="0"/>
              <w:jc w:val="right"/>
              <w:rPr>
                <w:rFonts w:ascii="Times New Roman" w:hAnsi="Times New Roman" w:cs="Times New Roman"/>
                <w:b/>
                <w:lang w:eastAsia="sk-SK"/>
              </w:rPr>
            </w:pPr>
            <w:r w:rsidRPr="00486C43">
              <w:rPr>
                <w:rFonts w:ascii="Times New Roman" w:hAnsi="Times New Roman" w:cs="Times New Roman"/>
                <w:b/>
                <w:color w:val="000000"/>
                <w:sz w:val="14"/>
                <w:szCs w:val="14"/>
                <w:lang w:eastAsia="sk-SK"/>
              </w:rPr>
              <w:t>853 342 974</w:t>
            </w:r>
          </w:p>
        </w:tc>
        <w:tc>
          <w:tcPr>
            <w:tcW w:w="99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486C43" w:rsidP="009112FB">
            <w:pPr>
              <w:bidi w:val="0"/>
              <w:jc w:val="right"/>
              <w:rPr>
                <w:rFonts w:ascii="Times New Roman" w:hAnsi="Times New Roman" w:cs="Times New Roman"/>
                <w:b/>
                <w:lang w:eastAsia="sk-SK"/>
              </w:rPr>
            </w:pPr>
            <w:r w:rsidRPr="00486C43">
              <w:rPr>
                <w:rFonts w:ascii="Times New Roman" w:hAnsi="Times New Roman" w:cs="Times New Roman"/>
                <w:b/>
                <w:color w:val="000000"/>
                <w:sz w:val="14"/>
                <w:szCs w:val="14"/>
                <w:lang w:eastAsia="sk-SK"/>
              </w:rPr>
              <w:t>759 774 575</w:t>
            </w:r>
          </w:p>
        </w:tc>
        <w:tc>
          <w:tcPr>
            <w:tcW w:w="99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486C43" w:rsidP="009112FB">
            <w:pPr>
              <w:bidi w:val="0"/>
              <w:jc w:val="right"/>
              <w:rPr>
                <w:rFonts w:ascii="Times New Roman" w:hAnsi="Times New Roman" w:cs="Times New Roman"/>
                <w:b/>
                <w:lang w:eastAsia="sk-SK"/>
              </w:rPr>
            </w:pPr>
            <w:r w:rsidRPr="00486C43">
              <w:rPr>
                <w:rFonts w:ascii="Times New Roman" w:hAnsi="Times New Roman" w:cs="Times New Roman"/>
                <w:b/>
                <w:color w:val="000000"/>
                <w:sz w:val="14"/>
                <w:szCs w:val="14"/>
                <w:lang w:eastAsia="sk-SK"/>
              </w:rPr>
              <w:t>762 986 681</w:t>
            </w:r>
          </w:p>
        </w:tc>
        <w:tc>
          <w:tcPr>
            <w:tcW w:w="99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2D45A9" w:rsidP="009112FB">
            <w:pPr>
              <w:bidi w:val="0"/>
              <w:jc w:val="right"/>
              <w:rPr>
                <w:rFonts w:ascii="Times New Roman" w:hAnsi="Times New Roman" w:cs="Times New Roman"/>
                <w:b/>
                <w:color w:val="000000"/>
                <w:sz w:val="14"/>
                <w:szCs w:val="14"/>
                <w:highlight w:val="yellow"/>
              </w:rPr>
            </w:pPr>
            <w:r w:rsidRPr="002D45A9">
              <w:rPr>
                <w:rFonts w:ascii="Times New Roman" w:hAnsi="Times New Roman" w:cs="Times New Roman"/>
                <w:b/>
                <w:color w:val="000000"/>
                <w:sz w:val="14"/>
                <w:szCs w:val="14"/>
              </w:rPr>
              <w:t>818 775 538</w:t>
            </w:r>
          </w:p>
        </w:tc>
        <w:tc>
          <w:tcPr>
            <w:tcW w:w="99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486C43" w:rsidP="009112FB">
            <w:pPr>
              <w:bidi w:val="0"/>
              <w:jc w:val="right"/>
              <w:rPr>
                <w:rFonts w:ascii="Times New Roman" w:hAnsi="Times New Roman" w:cs="Times New Roman"/>
                <w:b/>
                <w:lang w:eastAsia="sk-SK"/>
              </w:rPr>
            </w:pPr>
            <w:r w:rsidRPr="00486C43">
              <w:rPr>
                <w:rFonts w:ascii="Times New Roman" w:hAnsi="Times New Roman" w:cs="Times New Roman"/>
                <w:b/>
                <w:color w:val="000000"/>
                <w:sz w:val="14"/>
                <w:szCs w:val="14"/>
                <w:lang w:eastAsia="sk-SK"/>
              </w:rPr>
              <w:t>826 202 856</w:t>
            </w:r>
          </w:p>
        </w:tc>
        <w:tc>
          <w:tcPr>
            <w:tcW w:w="99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486C43" w:rsidP="009112FB">
            <w:pPr>
              <w:bidi w:val="0"/>
              <w:jc w:val="right"/>
              <w:rPr>
                <w:rFonts w:ascii="Times New Roman" w:hAnsi="Times New Roman" w:cs="Times New Roman"/>
                <w:b/>
                <w:lang w:eastAsia="sk-SK"/>
              </w:rPr>
            </w:pPr>
            <w:r w:rsidRPr="00486C43">
              <w:rPr>
                <w:rFonts w:ascii="Times New Roman" w:hAnsi="Times New Roman" w:cs="Times New Roman"/>
                <w:b/>
                <w:color w:val="000000"/>
                <w:sz w:val="14"/>
                <w:szCs w:val="14"/>
                <w:lang w:eastAsia="sk-SK"/>
              </w:rPr>
              <w:t>882 711 213</w:t>
            </w:r>
          </w:p>
        </w:tc>
      </w:tr>
      <w:tr>
        <w:tblPrEx>
          <w:tblW w:w="0" w:type="auto"/>
          <w:tblCellMar>
            <w:left w:w="0" w:type="dxa"/>
            <w:right w:w="0" w:type="dxa"/>
          </w:tblCellMar>
          <w:tblLook w:val="04A0"/>
        </w:tblPrEx>
        <w:trPr>
          <w:trHeight w:val="261"/>
        </w:trPr>
        <w:tc>
          <w:tcPr>
            <w:tcW w:w="2153"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sz w:val="14"/>
                <w:szCs w:val="14"/>
                <w:lang w:eastAsia="sk-SK"/>
              </w:rPr>
              <w:t>Rozvoj obrany</w:t>
            </w:r>
          </w:p>
        </w:tc>
        <w:tc>
          <w:tcPr>
            <w:tcW w:w="99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191 425 995</w:t>
            </w:r>
          </w:p>
        </w:tc>
        <w:tc>
          <w:tcPr>
            <w:tcW w:w="99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126 714 732</w:t>
            </w:r>
          </w:p>
        </w:tc>
        <w:tc>
          <w:tcPr>
            <w:tcW w:w="99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61 608 203</w:t>
            </w:r>
          </w:p>
        </w:tc>
        <w:tc>
          <w:tcPr>
            <w:tcW w:w="99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51 321 438</w:t>
            </w:r>
          </w:p>
        </w:tc>
        <w:tc>
          <w:tcPr>
            <w:tcW w:w="99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61 978 606</w:t>
            </w:r>
          </w:p>
        </w:tc>
        <w:tc>
          <w:tcPr>
            <w:tcW w:w="99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108 618 584</w:t>
            </w:r>
          </w:p>
        </w:tc>
        <w:tc>
          <w:tcPr>
            <w:tcW w:w="99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164 971 472</w:t>
            </w:r>
          </w:p>
        </w:tc>
      </w:tr>
      <w:tr>
        <w:tblPrEx>
          <w:tblW w:w="0" w:type="auto"/>
          <w:tblCellMar>
            <w:left w:w="0" w:type="dxa"/>
            <w:right w:w="0" w:type="dxa"/>
          </w:tblCellMar>
          <w:tblLook w:val="04A0"/>
        </w:tblPrEx>
        <w:trPr>
          <w:trHeight w:val="261"/>
        </w:trPr>
        <w:tc>
          <w:tcPr>
            <w:tcW w:w="2153"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color w:val="000000"/>
                <w:sz w:val="14"/>
                <w:szCs w:val="14"/>
                <w:lang w:eastAsia="sk-SK"/>
              </w:rPr>
              <w:t>Obrana</w:t>
            </w:r>
          </w:p>
        </w:tc>
        <w:tc>
          <w:tcPr>
            <w:tcW w:w="99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769 641 182</w:t>
            </w:r>
          </w:p>
        </w:tc>
        <w:tc>
          <w:tcPr>
            <w:tcW w:w="99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726 022 922</w:t>
            </w:r>
          </w:p>
        </w:tc>
        <w:tc>
          <w:tcPr>
            <w:tcW w:w="99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695 888 372</w:t>
            </w:r>
          </w:p>
        </w:tc>
        <w:tc>
          <w:tcPr>
            <w:tcW w:w="99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709 387 243</w:t>
            </w:r>
          </w:p>
        </w:tc>
        <w:tc>
          <w:tcPr>
            <w:tcW w:w="99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647D2B" w:rsidP="009112FB">
            <w:pPr>
              <w:bidi w:val="0"/>
              <w:jc w:val="right"/>
              <w:rPr>
                <w:rFonts w:ascii="Times New Roman" w:hAnsi="Times New Roman" w:cs="Times New Roman"/>
                <w:color w:val="000000"/>
                <w:sz w:val="14"/>
                <w:szCs w:val="14"/>
                <w:highlight w:val="yellow"/>
              </w:rPr>
            </w:pPr>
            <w:r w:rsidRPr="007E5C61">
              <w:rPr>
                <w:rFonts w:ascii="Times New Roman" w:hAnsi="Times New Roman" w:cs="Times New Roman"/>
                <w:color w:val="000000"/>
                <w:sz w:val="14"/>
                <w:szCs w:val="14"/>
              </w:rPr>
              <w:t>754 864 657</w:t>
            </w:r>
          </w:p>
        </w:tc>
        <w:tc>
          <w:tcPr>
            <w:tcW w:w="99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715 306 272</w:t>
            </w:r>
          </w:p>
        </w:tc>
        <w:tc>
          <w:tcPr>
            <w:tcW w:w="99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715 461 741</w:t>
            </w:r>
          </w:p>
        </w:tc>
      </w:tr>
      <w:tr>
        <w:tblPrEx>
          <w:tblW w:w="0" w:type="auto"/>
          <w:tblCellMar>
            <w:left w:w="0" w:type="dxa"/>
            <w:right w:w="0" w:type="dxa"/>
          </w:tblCellMar>
          <w:tblLook w:val="04A0"/>
        </w:tblPrEx>
        <w:trPr>
          <w:trHeight w:val="261"/>
        </w:trPr>
        <w:tc>
          <w:tcPr>
            <w:tcW w:w="2153"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color w:val="000000"/>
                <w:sz w:val="14"/>
                <w:szCs w:val="14"/>
                <w:lang w:eastAsia="sk-SK"/>
              </w:rPr>
              <w:t>Podpora obrany (MO SR)</w:t>
            </w:r>
          </w:p>
        </w:tc>
        <w:tc>
          <w:tcPr>
            <w:tcW w:w="99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3 782 467</w:t>
            </w:r>
          </w:p>
        </w:tc>
        <w:tc>
          <w:tcPr>
            <w:tcW w:w="99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72 395</w:t>
            </w:r>
          </w:p>
        </w:tc>
        <w:tc>
          <w:tcPr>
            <w:tcW w:w="99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1 176 000</w:t>
            </w:r>
          </w:p>
        </w:tc>
        <w:tc>
          <w:tcPr>
            <w:tcW w:w="99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1 176 000</w:t>
            </w:r>
          </w:p>
        </w:tc>
        <w:tc>
          <w:tcPr>
            <w:tcW w:w="99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830 275</w:t>
            </w:r>
          </w:p>
        </w:tc>
        <w:tc>
          <w:tcPr>
            <w:tcW w:w="99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1 176 000</w:t>
            </w:r>
          </w:p>
        </w:tc>
        <w:tc>
          <w:tcPr>
            <w:tcW w:w="99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1 176 000</w:t>
            </w:r>
          </w:p>
        </w:tc>
      </w:tr>
      <w:tr>
        <w:tblPrEx>
          <w:tblW w:w="0" w:type="auto"/>
          <w:tblCellMar>
            <w:left w:w="0" w:type="dxa"/>
            <w:right w:w="0" w:type="dxa"/>
          </w:tblCellMar>
          <w:tblLook w:val="04A0"/>
        </w:tblPrEx>
        <w:trPr>
          <w:trHeight w:val="261"/>
        </w:trPr>
        <w:tc>
          <w:tcPr>
            <w:tcW w:w="2153"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color w:val="000000"/>
                <w:sz w:val="14"/>
                <w:szCs w:val="14"/>
                <w:lang w:eastAsia="sk-SK"/>
              </w:rPr>
              <w:t>Hospodárska mobilizácia (MO SR)</w:t>
            </w:r>
          </w:p>
        </w:tc>
        <w:tc>
          <w:tcPr>
            <w:tcW w:w="99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1 767 519</w:t>
            </w:r>
          </w:p>
        </w:tc>
        <w:tc>
          <w:tcPr>
            <w:tcW w:w="99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532 925</w:t>
            </w:r>
          </w:p>
        </w:tc>
        <w:tc>
          <w:tcPr>
            <w:tcW w:w="99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1 102 000</w:t>
            </w:r>
          </w:p>
        </w:tc>
        <w:tc>
          <w:tcPr>
            <w:tcW w:w="99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1 102 000</w:t>
            </w:r>
          </w:p>
        </w:tc>
        <w:tc>
          <w:tcPr>
            <w:tcW w:w="99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1 102 000</w:t>
            </w:r>
          </w:p>
        </w:tc>
        <w:tc>
          <w:tcPr>
            <w:tcW w:w="99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1 102 000</w:t>
            </w:r>
          </w:p>
        </w:tc>
        <w:tc>
          <w:tcPr>
            <w:tcW w:w="99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1 102 000</w:t>
            </w:r>
          </w:p>
        </w:tc>
      </w:tr>
    </w:tbl>
    <w:p w:rsidR="00081478" w:rsidRPr="00BE40B7" w:rsidP="00081478">
      <w:pPr>
        <w:bidi w:val="0"/>
        <w:jc w:val="both"/>
        <w:rPr>
          <w:rFonts w:ascii="Times New Roman" w:hAnsi="Times New Roman" w:cs="Times New Roman"/>
          <w:lang w:eastAsia="sk-SK"/>
        </w:rPr>
      </w:pPr>
      <w:r w:rsidRPr="00BE40B7">
        <w:rPr>
          <w:rFonts w:ascii="Times New Roman" w:hAnsi="Times New Roman" w:cs="Times New Roman"/>
          <w:lang w:eastAsia="sk-SK"/>
        </w:rPr>
        <w:t> </w:t>
      </w:r>
    </w:p>
    <w:p w:rsidR="00081478" w:rsidRPr="00BE40B7" w:rsidP="00081478">
      <w:pPr>
        <w:bidi w:val="0"/>
        <w:ind w:firstLine="708"/>
        <w:jc w:val="both"/>
        <w:rPr>
          <w:rFonts w:ascii="Times New Roman" w:hAnsi="Times New Roman" w:cs="Times New Roman"/>
          <w:lang w:eastAsia="sk-SK"/>
        </w:rPr>
      </w:pPr>
      <w:r w:rsidRPr="00BE40B7">
        <w:rPr>
          <w:rFonts w:ascii="Times New Roman" w:hAnsi="Times New Roman" w:cs="Times New Roman"/>
          <w:lang w:eastAsia="sk-SK"/>
        </w:rPr>
        <w:t>Objem zdrojov kapitol</w:t>
      </w:r>
      <w:r>
        <w:rPr>
          <w:rFonts w:ascii="Times New Roman" w:hAnsi="Times New Roman" w:cs="Times New Roman"/>
          <w:lang w:eastAsia="sk-SK"/>
        </w:rPr>
        <w:t xml:space="preserve">y na rok 2012 </w:t>
      </w:r>
      <w:r w:rsidRPr="007E5C61">
        <w:rPr>
          <w:rFonts w:ascii="Times New Roman" w:hAnsi="Times New Roman" w:cs="Times New Roman"/>
          <w:lang w:eastAsia="sk-SK"/>
        </w:rPr>
        <w:t>predstavuje 819</w:t>
      </w:r>
      <w:r>
        <w:rPr>
          <w:rFonts w:ascii="Times New Roman" w:hAnsi="Times New Roman" w:cs="Times New Roman"/>
          <w:lang w:eastAsia="sk-SK"/>
        </w:rPr>
        <w:t xml:space="preserve"> </w:t>
      </w:r>
      <w:r w:rsidRPr="00BE40B7">
        <w:rPr>
          <w:rFonts w:ascii="Times New Roman" w:hAnsi="Times New Roman" w:cs="Times New Roman"/>
          <w:lang w:eastAsia="sk-SK"/>
        </w:rPr>
        <w:t xml:space="preserve">mil. eur, </w:t>
      </w:r>
      <w:r>
        <w:rPr>
          <w:rFonts w:ascii="Times New Roman" w:hAnsi="Times New Roman" w:cs="Times New Roman"/>
          <w:lang w:eastAsia="sk-SK"/>
        </w:rPr>
        <w:t>čo predstavuje medziročný nárast</w:t>
      </w:r>
      <w:r w:rsidRPr="00BE40B7">
        <w:rPr>
          <w:rFonts w:ascii="Times New Roman" w:hAnsi="Times New Roman" w:cs="Times New Roman"/>
          <w:lang w:eastAsia="sk-SK"/>
        </w:rPr>
        <w:t xml:space="preserve"> o </w:t>
      </w:r>
      <w:r w:rsidRPr="007E5C61">
        <w:rPr>
          <w:rFonts w:ascii="Times New Roman" w:hAnsi="Times New Roman" w:cs="Times New Roman"/>
          <w:lang w:eastAsia="sk-SK"/>
        </w:rPr>
        <w:t>5</w:t>
      </w:r>
      <w:r>
        <w:rPr>
          <w:rFonts w:ascii="Times New Roman" w:hAnsi="Times New Roman" w:cs="Times New Roman"/>
          <w:lang w:eastAsia="sk-SK"/>
        </w:rPr>
        <w:t xml:space="preserve">9 mil. eur, čiže </w:t>
      </w:r>
      <w:r w:rsidRPr="007E5C61">
        <w:rPr>
          <w:rFonts w:ascii="Times New Roman" w:hAnsi="Times New Roman" w:cs="Times New Roman"/>
          <w:lang w:eastAsia="sk-SK"/>
        </w:rPr>
        <w:t>7,77 %</w:t>
      </w:r>
      <w:r>
        <w:rPr>
          <w:rFonts w:ascii="Times New Roman" w:hAnsi="Times New Roman" w:cs="Times New Roman"/>
          <w:lang w:eastAsia="sk-SK"/>
        </w:rPr>
        <w:t xml:space="preserve"> zvýšenie</w:t>
      </w:r>
      <w:r w:rsidRPr="00BE40B7">
        <w:rPr>
          <w:rFonts w:ascii="Times New Roman" w:hAnsi="Times New Roman" w:cs="Times New Roman"/>
          <w:lang w:eastAsia="sk-SK"/>
        </w:rPr>
        <w:t xml:space="preserve">. </w:t>
      </w:r>
      <w:r>
        <w:rPr>
          <w:rFonts w:ascii="Times New Roman" w:hAnsi="Times New Roman" w:cs="Times New Roman"/>
          <w:lang w:eastAsia="sk-SK"/>
        </w:rPr>
        <w:t>Nárast predstavuje hlavne krytie vplyvu zavedenia superhrubej mzdy v sume 21,5 mil. eur na rok 2012 u ozbrojených zložiek.</w:t>
      </w:r>
    </w:p>
    <w:p w:rsidR="00081478" w:rsidRPr="00BE40B7" w:rsidP="00081478">
      <w:pPr>
        <w:bidi w:val="0"/>
        <w:jc w:val="both"/>
        <w:rPr>
          <w:rFonts w:ascii="Times New Roman" w:hAnsi="Times New Roman" w:cs="Times New Roman"/>
          <w:lang w:eastAsia="sk-SK"/>
        </w:rPr>
      </w:pPr>
      <w:r w:rsidRPr="00BE40B7">
        <w:rPr>
          <w:rFonts w:ascii="Times New Roman" w:hAnsi="Times New Roman" w:cs="Times New Roman"/>
          <w:lang w:eastAsia="sk-SK"/>
        </w:rPr>
        <w:t> </w:t>
      </w:r>
    </w:p>
    <w:p w:rsidR="00D34351" w:rsidP="00081478">
      <w:pPr>
        <w:bidi w:val="0"/>
        <w:ind w:firstLine="708"/>
        <w:jc w:val="both"/>
        <w:rPr>
          <w:rFonts w:ascii="Times New Roman" w:hAnsi="Times New Roman" w:cs="Times New Roman"/>
          <w:lang w:eastAsia="sk-SK"/>
        </w:rPr>
      </w:pPr>
    </w:p>
    <w:p w:rsidR="00D34351" w:rsidP="00081478">
      <w:pPr>
        <w:bidi w:val="0"/>
        <w:ind w:firstLine="708"/>
        <w:jc w:val="both"/>
        <w:rPr>
          <w:rFonts w:ascii="Times New Roman" w:hAnsi="Times New Roman" w:cs="Times New Roman"/>
          <w:lang w:eastAsia="sk-SK"/>
        </w:rPr>
      </w:pPr>
    </w:p>
    <w:p w:rsidR="00D34351" w:rsidP="00081478">
      <w:pPr>
        <w:bidi w:val="0"/>
        <w:ind w:firstLine="708"/>
        <w:jc w:val="both"/>
        <w:rPr>
          <w:rFonts w:ascii="Times New Roman" w:hAnsi="Times New Roman" w:cs="Times New Roman"/>
          <w:lang w:eastAsia="sk-SK"/>
        </w:rPr>
      </w:pPr>
    </w:p>
    <w:p w:rsidR="00D34351" w:rsidP="00081478">
      <w:pPr>
        <w:bidi w:val="0"/>
        <w:ind w:firstLine="708"/>
        <w:jc w:val="both"/>
        <w:rPr>
          <w:rFonts w:ascii="Times New Roman" w:hAnsi="Times New Roman" w:cs="Times New Roman"/>
          <w:lang w:eastAsia="sk-SK"/>
        </w:rPr>
      </w:pPr>
    </w:p>
    <w:p w:rsidR="00D34351" w:rsidP="00081478">
      <w:pPr>
        <w:bidi w:val="0"/>
        <w:ind w:firstLine="708"/>
        <w:jc w:val="both"/>
        <w:rPr>
          <w:rFonts w:ascii="Times New Roman" w:hAnsi="Times New Roman" w:cs="Times New Roman"/>
          <w:lang w:eastAsia="sk-SK"/>
        </w:rPr>
      </w:pPr>
    </w:p>
    <w:p w:rsidR="00D34351" w:rsidP="00081478">
      <w:pPr>
        <w:bidi w:val="0"/>
        <w:ind w:firstLine="708"/>
        <w:jc w:val="both"/>
        <w:rPr>
          <w:rFonts w:ascii="Times New Roman" w:hAnsi="Times New Roman" w:cs="Times New Roman"/>
          <w:lang w:eastAsia="sk-SK"/>
        </w:rPr>
      </w:pPr>
    </w:p>
    <w:p w:rsidR="00D34351" w:rsidP="00081478">
      <w:pPr>
        <w:bidi w:val="0"/>
        <w:ind w:firstLine="708"/>
        <w:jc w:val="both"/>
        <w:rPr>
          <w:rFonts w:ascii="Times New Roman" w:hAnsi="Times New Roman" w:cs="Times New Roman"/>
          <w:lang w:eastAsia="sk-SK"/>
        </w:rPr>
      </w:pPr>
    </w:p>
    <w:p w:rsidR="00081478" w:rsidRPr="00BE40B7" w:rsidP="00081478">
      <w:pPr>
        <w:bidi w:val="0"/>
        <w:ind w:firstLine="708"/>
        <w:jc w:val="both"/>
        <w:rPr>
          <w:rFonts w:ascii="Times New Roman" w:hAnsi="Times New Roman" w:cs="Times New Roman"/>
          <w:lang w:eastAsia="sk-SK"/>
        </w:rPr>
      </w:pPr>
      <w:r w:rsidRPr="00BE40B7">
        <w:rPr>
          <w:rFonts w:ascii="Times New Roman" w:hAnsi="Times New Roman" w:cs="Times New Roman"/>
          <w:lang w:eastAsia="sk-SK"/>
        </w:rPr>
        <w:t>Rozpočet ministerstva obrany sa skladá z nasledovných oblastí.</w:t>
      </w:r>
    </w:p>
    <w:p w:rsidR="00D01F5D" w:rsidRPr="00D34351" w:rsidP="00081478">
      <w:pPr>
        <w:bidi w:val="0"/>
        <w:jc w:val="both"/>
        <w:rPr>
          <w:rFonts w:ascii="Times New Roman" w:hAnsi="Times New Roman" w:cs="Times New Roman"/>
          <w:lang w:eastAsia="sk-SK"/>
        </w:rPr>
      </w:pPr>
      <w:r w:rsidRPr="00BE40B7" w:rsidR="00081478">
        <w:rPr>
          <w:rFonts w:ascii="Times New Roman" w:hAnsi="Times New Roman" w:cs="Times New Roman"/>
          <w:i/>
          <w:iCs/>
          <w:lang w:eastAsia="sk-SK"/>
        </w:rPr>
        <w:t> </w:t>
      </w:r>
    </w:p>
    <w:p w:rsidR="00081478" w:rsidRPr="00BE40B7" w:rsidP="00081478">
      <w:pPr>
        <w:bidi w:val="0"/>
        <w:jc w:val="both"/>
        <w:rPr>
          <w:rFonts w:ascii="Times New Roman" w:hAnsi="Times New Roman" w:cs="Times New Roman"/>
          <w:lang w:eastAsia="sk-SK"/>
        </w:rPr>
      </w:pPr>
      <w:r w:rsidRPr="00BE40B7">
        <w:rPr>
          <w:rFonts w:ascii="Times New Roman" w:hAnsi="Times New Roman" w:cs="Times New Roman"/>
          <w:i/>
          <w:iCs/>
          <w:u w:val="single"/>
          <w:lang w:eastAsia="sk-SK"/>
        </w:rPr>
        <w:t>Rozvoj obrany</w:t>
      </w:r>
    </w:p>
    <w:p w:rsidR="00081478" w:rsidRPr="00BE40B7" w:rsidP="00081478">
      <w:pPr>
        <w:bidi w:val="0"/>
        <w:jc w:val="both"/>
        <w:rPr>
          <w:rFonts w:ascii="Times New Roman" w:hAnsi="Times New Roman" w:cs="Times New Roman"/>
          <w:lang w:eastAsia="sk-SK"/>
        </w:rPr>
      </w:pPr>
      <w:r w:rsidRPr="00BE40B7">
        <w:rPr>
          <w:rFonts w:ascii="Times New Roman" w:hAnsi="Times New Roman" w:cs="Times New Roman"/>
          <w:i/>
          <w:iCs/>
          <w:lang w:eastAsia="sk-SK"/>
        </w:rPr>
        <w:t> </w:t>
      </w:r>
    </w:p>
    <w:tbl>
      <w:tblPr>
        <w:tblStyle w:val="TableNormal"/>
        <w:tblW w:w="0" w:type="auto"/>
        <w:tblCellMar>
          <w:left w:w="0" w:type="dxa"/>
          <w:right w:w="0" w:type="dxa"/>
        </w:tblCellMar>
        <w:tblLook w:val="04A0"/>
      </w:tblPr>
      <w:tblGrid>
        <w:gridCol w:w="2022"/>
        <w:gridCol w:w="1009"/>
        <w:gridCol w:w="1009"/>
        <w:gridCol w:w="1009"/>
        <w:gridCol w:w="1009"/>
        <w:gridCol w:w="1009"/>
        <w:gridCol w:w="1009"/>
        <w:gridCol w:w="1010"/>
      </w:tblGrid>
      <w:tr>
        <w:tblPrEx>
          <w:tblW w:w="0" w:type="auto"/>
          <w:tblCellMar>
            <w:left w:w="0" w:type="dxa"/>
            <w:right w:w="0" w:type="dxa"/>
          </w:tblCellMar>
          <w:tblLook w:val="04A0"/>
        </w:tblPrEx>
        <w:trPr>
          <w:trHeight w:val="261"/>
        </w:trPr>
        <w:tc>
          <w:tcPr>
            <w:tcW w:w="20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b/>
                <w:bCs/>
                <w:sz w:val="14"/>
                <w:szCs w:val="14"/>
                <w:lang w:eastAsia="sk-SK"/>
              </w:rPr>
              <w:t>v eurách</w:t>
            </w:r>
          </w:p>
        </w:tc>
        <w:tc>
          <w:tcPr>
            <w:tcW w:w="100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2009 S</w:t>
            </w:r>
          </w:p>
        </w:tc>
        <w:tc>
          <w:tcPr>
            <w:tcW w:w="100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2010 S</w:t>
            </w:r>
          </w:p>
        </w:tc>
        <w:tc>
          <w:tcPr>
            <w:tcW w:w="100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2011 R</w:t>
            </w:r>
          </w:p>
        </w:tc>
        <w:tc>
          <w:tcPr>
            <w:tcW w:w="100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 xml:space="preserve">2011 OS </w:t>
            </w:r>
          </w:p>
        </w:tc>
        <w:tc>
          <w:tcPr>
            <w:tcW w:w="100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2012 N</w:t>
            </w:r>
          </w:p>
        </w:tc>
        <w:tc>
          <w:tcPr>
            <w:tcW w:w="100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2013 N</w:t>
            </w:r>
          </w:p>
        </w:tc>
        <w:tc>
          <w:tcPr>
            <w:tcW w:w="101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2014 N</w:t>
            </w:r>
          </w:p>
        </w:tc>
      </w:tr>
      <w:tr>
        <w:tblPrEx>
          <w:tblW w:w="0" w:type="auto"/>
          <w:tblCellMar>
            <w:left w:w="0" w:type="dxa"/>
            <w:right w:w="0" w:type="dxa"/>
          </w:tblCellMar>
          <w:tblLook w:val="04A0"/>
        </w:tblPrEx>
        <w:trPr>
          <w:trHeight w:val="261"/>
        </w:trPr>
        <w:tc>
          <w:tcPr>
            <w:tcW w:w="202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b/>
                <w:bCs/>
                <w:sz w:val="14"/>
                <w:szCs w:val="14"/>
                <w:lang w:eastAsia="sk-SK"/>
              </w:rPr>
              <w:t>Rozvoj obrany</w:t>
            </w:r>
          </w:p>
        </w:tc>
        <w:tc>
          <w:tcPr>
            <w:tcW w:w="10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191 425 995</w:t>
            </w:r>
          </w:p>
        </w:tc>
        <w:tc>
          <w:tcPr>
            <w:tcW w:w="10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126 714 732</w:t>
            </w:r>
          </w:p>
        </w:tc>
        <w:tc>
          <w:tcPr>
            <w:tcW w:w="10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61 608 203</w:t>
            </w:r>
          </w:p>
        </w:tc>
        <w:tc>
          <w:tcPr>
            <w:tcW w:w="10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51 321 438</w:t>
            </w:r>
          </w:p>
        </w:tc>
        <w:tc>
          <w:tcPr>
            <w:tcW w:w="10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61 978 606</w:t>
            </w:r>
          </w:p>
        </w:tc>
        <w:tc>
          <w:tcPr>
            <w:tcW w:w="10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108 618 584</w:t>
            </w:r>
          </w:p>
        </w:tc>
        <w:tc>
          <w:tcPr>
            <w:tcW w:w="101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164 971 472</w:t>
            </w:r>
          </w:p>
        </w:tc>
      </w:tr>
      <w:tr>
        <w:tblPrEx>
          <w:tblW w:w="0" w:type="auto"/>
          <w:tblCellMar>
            <w:left w:w="0" w:type="dxa"/>
            <w:right w:w="0" w:type="dxa"/>
          </w:tblCellMar>
          <w:tblLook w:val="04A0"/>
        </w:tblPrEx>
        <w:trPr>
          <w:trHeight w:val="261"/>
        </w:trPr>
        <w:tc>
          <w:tcPr>
            <w:tcW w:w="202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sz w:val="14"/>
                <w:szCs w:val="14"/>
                <w:lang w:eastAsia="sk-SK"/>
              </w:rPr>
              <w:t>Rozvoj infraštruktúry</w:t>
            </w:r>
          </w:p>
        </w:tc>
        <w:tc>
          <w:tcPr>
            <w:tcW w:w="10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49 696 648</w:t>
            </w:r>
          </w:p>
        </w:tc>
        <w:tc>
          <w:tcPr>
            <w:tcW w:w="10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33 121 404</w:t>
            </w:r>
          </w:p>
        </w:tc>
        <w:tc>
          <w:tcPr>
            <w:tcW w:w="10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7 822 000</w:t>
            </w:r>
          </w:p>
        </w:tc>
        <w:tc>
          <w:tcPr>
            <w:tcW w:w="10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16 469 175</w:t>
            </w:r>
          </w:p>
        </w:tc>
        <w:tc>
          <w:tcPr>
            <w:tcW w:w="10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4 658 000</w:t>
            </w:r>
          </w:p>
        </w:tc>
        <w:tc>
          <w:tcPr>
            <w:tcW w:w="10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5 406 000</w:t>
            </w:r>
          </w:p>
        </w:tc>
        <w:tc>
          <w:tcPr>
            <w:tcW w:w="101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9 939 000</w:t>
            </w:r>
          </w:p>
        </w:tc>
      </w:tr>
      <w:tr>
        <w:tblPrEx>
          <w:tblW w:w="0" w:type="auto"/>
          <w:tblCellMar>
            <w:left w:w="0" w:type="dxa"/>
            <w:right w:w="0" w:type="dxa"/>
          </w:tblCellMar>
          <w:tblLook w:val="04A0"/>
        </w:tblPrEx>
        <w:trPr>
          <w:trHeight w:val="261"/>
        </w:trPr>
        <w:tc>
          <w:tcPr>
            <w:tcW w:w="202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sz w:val="14"/>
                <w:szCs w:val="14"/>
                <w:lang w:eastAsia="sk-SK"/>
              </w:rPr>
              <w:t>Rozvoj výzbroje, techniky a mat.</w:t>
            </w:r>
          </w:p>
        </w:tc>
        <w:tc>
          <w:tcPr>
            <w:tcW w:w="10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56 554 052</w:t>
            </w:r>
          </w:p>
        </w:tc>
        <w:tc>
          <w:tcPr>
            <w:tcW w:w="10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52 345 406</w:t>
            </w:r>
          </w:p>
        </w:tc>
        <w:tc>
          <w:tcPr>
            <w:tcW w:w="10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15 878 453</w:t>
            </w:r>
          </w:p>
        </w:tc>
        <w:tc>
          <w:tcPr>
            <w:tcW w:w="10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9 609 764</w:t>
            </w:r>
          </w:p>
        </w:tc>
        <w:tc>
          <w:tcPr>
            <w:tcW w:w="10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17 535 257</w:t>
            </w:r>
          </w:p>
        </w:tc>
        <w:tc>
          <w:tcPr>
            <w:tcW w:w="10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56 412 032</w:t>
            </w:r>
          </w:p>
        </w:tc>
        <w:tc>
          <w:tcPr>
            <w:tcW w:w="101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103 859 790</w:t>
            </w:r>
          </w:p>
        </w:tc>
      </w:tr>
      <w:tr>
        <w:tblPrEx>
          <w:tblW w:w="0" w:type="auto"/>
          <w:tblCellMar>
            <w:left w:w="0" w:type="dxa"/>
            <w:right w:w="0" w:type="dxa"/>
          </w:tblCellMar>
          <w:tblLook w:val="04A0"/>
        </w:tblPrEx>
        <w:trPr>
          <w:trHeight w:val="261"/>
        </w:trPr>
        <w:tc>
          <w:tcPr>
            <w:tcW w:w="202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sz w:val="14"/>
                <w:szCs w:val="14"/>
                <w:lang w:eastAsia="sk-SK"/>
              </w:rPr>
              <w:t>Rozvoj kom. a inf. systémov</w:t>
            </w:r>
          </w:p>
        </w:tc>
        <w:tc>
          <w:tcPr>
            <w:tcW w:w="10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85 175 295</w:t>
            </w:r>
          </w:p>
        </w:tc>
        <w:tc>
          <w:tcPr>
            <w:tcW w:w="10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41 247 922</w:t>
            </w:r>
          </w:p>
        </w:tc>
        <w:tc>
          <w:tcPr>
            <w:tcW w:w="10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37 907 750</w:t>
            </w:r>
          </w:p>
        </w:tc>
        <w:tc>
          <w:tcPr>
            <w:tcW w:w="10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25 242 499</w:t>
            </w:r>
          </w:p>
        </w:tc>
        <w:tc>
          <w:tcPr>
            <w:tcW w:w="10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39 785 349</w:t>
            </w:r>
          </w:p>
        </w:tc>
        <w:tc>
          <w:tcPr>
            <w:tcW w:w="10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46 800 552</w:t>
            </w:r>
          </w:p>
        </w:tc>
        <w:tc>
          <w:tcPr>
            <w:tcW w:w="101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51 172 682</w:t>
            </w:r>
          </w:p>
        </w:tc>
      </w:tr>
    </w:tbl>
    <w:p w:rsidR="00081478" w:rsidRPr="00BE40B7" w:rsidP="00081478">
      <w:pPr>
        <w:bidi w:val="0"/>
        <w:jc w:val="both"/>
        <w:rPr>
          <w:rFonts w:ascii="Times New Roman" w:hAnsi="Times New Roman" w:cs="Times New Roman"/>
          <w:lang w:eastAsia="sk-SK"/>
        </w:rPr>
      </w:pPr>
      <w:r w:rsidRPr="00BE40B7">
        <w:rPr>
          <w:rFonts w:ascii="Times New Roman" w:hAnsi="Times New Roman" w:cs="Times New Roman"/>
          <w:i/>
          <w:iCs/>
          <w:lang w:eastAsia="sk-SK"/>
        </w:rPr>
        <w:t> </w:t>
      </w:r>
    </w:p>
    <w:p w:rsidR="00081478" w:rsidRPr="00BE40B7" w:rsidP="00081478">
      <w:pPr>
        <w:bidi w:val="0"/>
        <w:ind w:firstLine="708"/>
        <w:jc w:val="both"/>
        <w:rPr>
          <w:rFonts w:ascii="Times New Roman" w:hAnsi="Times New Roman" w:cs="Times New Roman"/>
          <w:lang w:eastAsia="sk-SK"/>
        </w:rPr>
      </w:pPr>
      <w:r w:rsidRPr="00BE40B7">
        <w:rPr>
          <w:rFonts w:ascii="Times New Roman" w:hAnsi="Times New Roman" w:cs="Times New Roman"/>
          <w:lang w:eastAsia="sk-SK"/>
        </w:rPr>
        <w:t>V rámci rozvoja obrany sú na rok 2012 vyčlenené prostriedky rozpočtované na rozvojové aktivity rezortu, a to najmä na zabezpečenie realizácie budovania komunikačných a informačných systémov, nákupu terénnej automobilovej techniky a modernizácie leteckej techniky. Ide hlavne o výdavky na výzbroj, techniku a špeciálny materiál.</w:t>
      </w:r>
    </w:p>
    <w:p w:rsidR="00081478" w:rsidRPr="00BE40B7" w:rsidP="00081478">
      <w:pPr>
        <w:bidi w:val="0"/>
        <w:jc w:val="both"/>
        <w:rPr>
          <w:rFonts w:ascii="Times New Roman" w:hAnsi="Times New Roman" w:cs="Times New Roman"/>
          <w:lang w:eastAsia="sk-SK"/>
        </w:rPr>
      </w:pPr>
      <w:r w:rsidRPr="00BE40B7">
        <w:rPr>
          <w:rFonts w:ascii="Times New Roman" w:hAnsi="Times New Roman" w:cs="Times New Roman"/>
          <w:lang w:eastAsia="sk-SK"/>
        </w:rPr>
        <w:t> </w:t>
      </w:r>
    </w:p>
    <w:p w:rsidR="00081478" w:rsidRPr="00BE40B7" w:rsidP="00081478">
      <w:pPr>
        <w:bidi w:val="0"/>
        <w:ind w:firstLine="708"/>
        <w:jc w:val="both"/>
        <w:rPr>
          <w:rFonts w:ascii="Times New Roman" w:hAnsi="Times New Roman" w:cs="Times New Roman"/>
          <w:lang w:eastAsia="sk-SK"/>
        </w:rPr>
      </w:pPr>
      <w:r w:rsidRPr="00BE40B7">
        <w:rPr>
          <w:rFonts w:ascii="Times New Roman" w:hAnsi="Times New Roman" w:cs="Times New Roman"/>
          <w:lang w:eastAsia="sk-SK"/>
        </w:rPr>
        <w:t xml:space="preserve">Nárast výdavkov v roku 2012 oproti schválenému rozpočtu roka 2011 predstavuje </w:t>
      </w:r>
      <w:r>
        <w:rPr>
          <w:rFonts w:ascii="Times New Roman" w:hAnsi="Times New Roman" w:cs="Times New Roman"/>
          <w:lang w:eastAsia="sk-SK"/>
        </w:rPr>
        <w:br/>
      </w:r>
      <w:r w:rsidRPr="00BE40B7">
        <w:rPr>
          <w:rFonts w:ascii="Times New Roman" w:hAnsi="Times New Roman" w:cs="Times New Roman"/>
          <w:lang w:eastAsia="sk-SK"/>
        </w:rPr>
        <w:t>370 tis. eur, čo je zvýšenie o 0,60 %</w:t>
      </w:r>
      <w:r w:rsidRPr="00BE40B7">
        <w:rPr>
          <w:rFonts w:ascii="Times New Roman" w:hAnsi="Times New Roman" w:cs="Times New Roman"/>
          <w:color w:val="00B0F0"/>
          <w:lang w:eastAsia="sk-SK"/>
        </w:rPr>
        <w:t>.</w:t>
      </w:r>
      <w:r w:rsidRPr="00BE40B7">
        <w:rPr>
          <w:rFonts w:ascii="Times New Roman" w:hAnsi="Times New Roman" w:cs="Times New Roman"/>
          <w:lang w:eastAsia="sk-SK"/>
        </w:rPr>
        <w:t xml:space="preserve"> Nárast zaznamenáva oblasť rozvoja výzbroje, techniky a materiálu, ako aj oblasť rozvoja komunikačných a informačných systémov. </w:t>
      </w:r>
    </w:p>
    <w:p w:rsidR="00081478" w:rsidRPr="00BE40B7" w:rsidP="00081478">
      <w:pPr>
        <w:bidi w:val="0"/>
        <w:jc w:val="both"/>
        <w:rPr>
          <w:rFonts w:ascii="Times New Roman" w:hAnsi="Times New Roman" w:cs="Times New Roman"/>
          <w:lang w:eastAsia="sk-SK"/>
        </w:rPr>
      </w:pPr>
      <w:r w:rsidRPr="00BE40B7">
        <w:rPr>
          <w:rFonts w:ascii="Times New Roman" w:hAnsi="Times New Roman" w:cs="Times New Roman"/>
          <w:i/>
          <w:iCs/>
          <w:lang w:eastAsia="sk-SK"/>
        </w:rPr>
        <w:t> </w:t>
      </w:r>
    </w:p>
    <w:p w:rsidR="00081478" w:rsidRPr="00BE40B7" w:rsidP="00081478">
      <w:pPr>
        <w:bidi w:val="0"/>
        <w:jc w:val="both"/>
        <w:rPr>
          <w:rFonts w:ascii="Times New Roman" w:hAnsi="Times New Roman" w:cs="Times New Roman"/>
          <w:lang w:eastAsia="sk-SK"/>
        </w:rPr>
      </w:pPr>
      <w:r w:rsidRPr="00BE40B7">
        <w:rPr>
          <w:rFonts w:ascii="Times New Roman" w:hAnsi="Times New Roman" w:cs="Times New Roman"/>
          <w:i/>
          <w:iCs/>
          <w:u w:val="single"/>
          <w:lang w:eastAsia="sk-SK"/>
        </w:rPr>
        <w:t>Obrana</w:t>
      </w:r>
    </w:p>
    <w:p w:rsidR="00081478" w:rsidRPr="00BE40B7" w:rsidP="00081478">
      <w:pPr>
        <w:bidi w:val="0"/>
        <w:jc w:val="both"/>
        <w:rPr>
          <w:rFonts w:ascii="Times New Roman" w:hAnsi="Times New Roman" w:cs="Times New Roman"/>
          <w:lang w:eastAsia="sk-SK"/>
        </w:rPr>
      </w:pPr>
      <w:r w:rsidRPr="00BE40B7">
        <w:rPr>
          <w:rFonts w:ascii="Times New Roman" w:hAnsi="Times New Roman" w:cs="Times New Roman"/>
          <w:lang w:eastAsia="sk-SK"/>
        </w:rPr>
        <w:t> </w:t>
      </w:r>
    </w:p>
    <w:tbl>
      <w:tblPr>
        <w:tblStyle w:val="TableNormal"/>
        <w:tblW w:w="0" w:type="auto"/>
        <w:tblCellMar>
          <w:left w:w="0" w:type="dxa"/>
          <w:right w:w="0" w:type="dxa"/>
        </w:tblCellMar>
        <w:tblLook w:val="04A0"/>
      </w:tblPr>
      <w:tblGrid>
        <w:gridCol w:w="2397"/>
        <w:gridCol w:w="955"/>
        <w:gridCol w:w="956"/>
        <w:gridCol w:w="955"/>
        <w:gridCol w:w="956"/>
        <w:gridCol w:w="955"/>
        <w:gridCol w:w="956"/>
        <w:gridCol w:w="956"/>
      </w:tblGrid>
      <w:tr>
        <w:tblPrEx>
          <w:tblW w:w="0" w:type="auto"/>
          <w:tblCellMar>
            <w:left w:w="0" w:type="dxa"/>
            <w:right w:w="0" w:type="dxa"/>
          </w:tblCellMar>
          <w:tblLook w:val="04A0"/>
        </w:tblPrEx>
        <w:trPr>
          <w:trHeight w:val="261"/>
        </w:trPr>
        <w:tc>
          <w:tcPr>
            <w:tcW w:w="2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b/>
                <w:bCs/>
                <w:sz w:val="14"/>
                <w:szCs w:val="14"/>
                <w:lang w:eastAsia="sk-SK"/>
              </w:rPr>
              <w:t>v eurách</w:t>
            </w:r>
          </w:p>
        </w:tc>
        <w:tc>
          <w:tcPr>
            <w:tcW w:w="955"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2009 S</w:t>
            </w:r>
          </w:p>
        </w:tc>
        <w:tc>
          <w:tcPr>
            <w:tcW w:w="956"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2010 S</w:t>
            </w:r>
          </w:p>
        </w:tc>
        <w:tc>
          <w:tcPr>
            <w:tcW w:w="955"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2011 R</w:t>
            </w:r>
          </w:p>
        </w:tc>
        <w:tc>
          <w:tcPr>
            <w:tcW w:w="956"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 xml:space="preserve">2011 OS </w:t>
            </w:r>
          </w:p>
        </w:tc>
        <w:tc>
          <w:tcPr>
            <w:tcW w:w="955"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2012 N</w:t>
            </w:r>
          </w:p>
        </w:tc>
        <w:tc>
          <w:tcPr>
            <w:tcW w:w="956"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2013 N</w:t>
            </w:r>
          </w:p>
        </w:tc>
        <w:tc>
          <w:tcPr>
            <w:tcW w:w="956"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2014 N</w:t>
            </w:r>
          </w:p>
        </w:tc>
      </w:tr>
      <w:tr>
        <w:tblPrEx>
          <w:tblW w:w="0" w:type="auto"/>
          <w:tblCellMar>
            <w:left w:w="0" w:type="dxa"/>
            <w:right w:w="0" w:type="dxa"/>
          </w:tblCellMar>
          <w:tblLook w:val="04A0"/>
        </w:tblPrEx>
        <w:trPr>
          <w:trHeight w:val="261"/>
        </w:trPr>
        <w:tc>
          <w:tcPr>
            <w:tcW w:w="239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b/>
                <w:bCs/>
                <w:sz w:val="14"/>
                <w:szCs w:val="14"/>
                <w:lang w:eastAsia="sk-SK"/>
              </w:rPr>
              <w:t>Obrana</w:t>
            </w:r>
          </w:p>
        </w:tc>
        <w:tc>
          <w:tcPr>
            <w:tcW w:w="95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769 641 182</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726 022 922</w:t>
            </w:r>
          </w:p>
        </w:tc>
        <w:tc>
          <w:tcPr>
            <w:tcW w:w="95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695 888 372</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709 387 243</w:t>
            </w:r>
          </w:p>
        </w:tc>
        <w:tc>
          <w:tcPr>
            <w:tcW w:w="95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647D2B" w:rsidP="009112FB">
            <w:pPr>
              <w:bidi w:val="0"/>
              <w:jc w:val="right"/>
              <w:rPr>
                <w:rFonts w:ascii="Times New Roman" w:hAnsi="Times New Roman" w:cs="Times New Roman"/>
                <w:b/>
                <w:bCs/>
                <w:sz w:val="14"/>
                <w:szCs w:val="14"/>
                <w:highlight w:val="yellow"/>
              </w:rPr>
            </w:pPr>
            <w:r w:rsidRPr="007E5C61">
              <w:rPr>
                <w:rFonts w:ascii="Times New Roman" w:hAnsi="Times New Roman" w:cs="Times New Roman"/>
                <w:b/>
                <w:bCs/>
                <w:sz w:val="14"/>
                <w:szCs w:val="14"/>
              </w:rPr>
              <w:t>754 864  657</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7C2C56" w:rsidP="009112FB">
            <w:pPr>
              <w:bidi w:val="0"/>
              <w:jc w:val="right"/>
              <w:rPr>
                <w:rFonts w:ascii="Times New Roman" w:hAnsi="Times New Roman" w:cs="Times New Roman"/>
                <w:b/>
                <w:lang w:eastAsia="sk-SK"/>
              </w:rPr>
            </w:pPr>
            <w:r w:rsidRPr="007C2C56">
              <w:rPr>
                <w:rFonts w:ascii="Times New Roman" w:hAnsi="Times New Roman" w:cs="Times New Roman"/>
                <w:b/>
                <w:color w:val="000000"/>
                <w:sz w:val="14"/>
                <w:szCs w:val="14"/>
                <w:lang w:eastAsia="sk-SK"/>
              </w:rPr>
              <w:t>715 306 272</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7C2C56" w:rsidP="009112FB">
            <w:pPr>
              <w:bidi w:val="0"/>
              <w:jc w:val="right"/>
              <w:rPr>
                <w:rFonts w:ascii="Times New Roman" w:hAnsi="Times New Roman" w:cs="Times New Roman"/>
                <w:b/>
                <w:lang w:eastAsia="sk-SK"/>
              </w:rPr>
            </w:pPr>
            <w:r w:rsidRPr="007C2C56">
              <w:rPr>
                <w:rFonts w:ascii="Times New Roman" w:hAnsi="Times New Roman" w:cs="Times New Roman"/>
                <w:b/>
                <w:color w:val="000000"/>
                <w:sz w:val="14"/>
                <w:szCs w:val="14"/>
                <w:lang w:eastAsia="sk-SK"/>
              </w:rPr>
              <w:t>715 461 741</w:t>
            </w:r>
          </w:p>
        </w:tc>
      </w:tr>
      <w:tr>
        <w:tblPrEx>
          <w:tblW w:w="0" w:type="auto"/>
          <w:tblCellMar>
            <w:left w:w="0" w:type="dxa"/>
            <w:right w:w="0" w:type="dxa"/>
          </w:tblCellMar>
          <w:tblLook w:val="04A0"/>
        </w:tblPrEx>
        <w:trPr>
          <w:trHeight w:val="261"/>
        </w:trPr>
        <w:tc>
          <w:tcPr>
            <w:tcW w:w="239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b/>
                <w:bCs/>
                <w:sz w:val="14"/>
                <w:szCs w:val="14"/>
                <w:lang w:eastAsia="sk-SK"/>
              </w:rPr>
              <w:t>Riadenie a podpora obrany</w:t>
            </w:r>
          </w:p>
        </w:tc>
        <w:tc>
          <w:tcPr>
            <w:tcW w:w="95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219 013 343</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191 178 828</w:t>
            </w:r>
          </w:p>
        </w:tc>
        <w:tc>
          <w:tcPr>
            <w:tcW w:w="95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201 886 591</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195 369 870</w:t>
            </w:r>
          </w:p>
        </w:tc>
        <w:tc>
          <w:tcPr>
            <w:tcW w:w="95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Pr>
                <w:rFonts w:ascii="Times New Roman" w:hAnsi="Times New Roman" w:cs="Times New Roman"/>
                <w:b/>
                <w:bCs/>
                <w:sz w:val="14"/>
                <w:szCs w:val="14"/>
                <w:lang w:eastAsia="sk-SK"/>
              </w:rPr>
              <w:t>198 340 866</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Pr>
                <w:rFonts w:ascii="Times New Roman" w:hAnsi="Times New Roman" w:cs="Times New Roman"/>
                <w:b/>
                <w:bCs/>
                <w:sz w:val="14"/>
                <w:szCs w:val="14"/>
                <w:lang w:eastAsia="sk-SK"/>
              </w:rPr>
              <w:t>199 284 480</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Pr>
                <w:rFonts w:ascii="Times New Roman" w:hAnsi="Times New Roman" w:cs="Times New Roman"/>
                <w:b/>
                <w:bCs/>
                <w:sz w:val="14"/>
                <w:szCs w:val="14"/>
                <w:lang w:eastAsia="sk-SK"/>
              </w:rPr>
              <w:t>199 437 701</w:t>
            </w:r>
          </w:p>
        </w:tc>
      </w:tr>
      <w:tr>
        <w:tblPrEx>
          <w:tblW w:w="0" w:type="auto"/>
          <w:tblCellMar>
            <w:left w:w="0" w:type="dxa"/>
            <w:right w:w="0" w:type="dxa"/>
          </w:tblCellMar>
          <w:tblLook w:val="04A0"/>
        </w:tblPrEx>
        <w:trPr>
          <w:trHeight w:val="261"/>
        </w:trPr>
        <w:tc>
          <w:tcPr>
            <w:tcW w:w="2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sz w:val="14"/>
                <w:szCs w:val="14"/>
                <w:lang w:eastAsia="sk-SK"/>
              </w:rPr>
              <w:t xml:space="preserve">Príspevok na bývanie </w:t>
            </w:r>
          </w:p>
        </w:tc>
        <w:tc>
          <w:tcPr>
            <w:tcW w:w="95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3 522 328</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3 401 200</w:t>
            </w:r>
          </w:p>
        </w:tc>
        <w:tc>
          <w:tcPr>
            <w:tcW w:w="95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3 788 220</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3 760 602</w:t>
            </w:r>
          </w:p>
        </w:tc>
        <w:tc>
          <w:tcPr>
            <w:tcW w:w="95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3 759 370</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3 754 250</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3 764 870</w:t>
            </w:r>
          </w:p>
        </w:tc>
      </w:tr>
      <w:tr>
        <w:tblPrEx>
          <w:tblW w:w="0" w:type="auto"/>
          <w:tblCellMar>
            <w:left w:w="0" w:type="dxa"/>
            <w:right w:w="0" w:type="dxa"/>
          </w:tblCellMar>
          <w:tblLook w:val="04A0"/>
        </w:tblPrEx>
        <w:trPr>
          <w:trHeight w:val="261"/>
        </w:trPr>
        <w:tc>
          <w:tcPr>
            <w:tcW w:w="239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sz w:val="14"/>
                <w:szCs w:val="14"/>
                <w:lang w:eastAsia="sk-SK"/>
              </w:rPr>
              <w:t>Ost. riadenie a podpora obrany</w:t>
            </w:r>
          </w:p>
        </w:tc>
        <w:tc>
          <w:tcPr>
            <w:tcW w:w="95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215 491 015</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187 777 628</w:t>
            </w:r>
          </w:p>
        </w:tc>
        <w:tc>
          <w:tcPr>
            <w:tcW w:w="95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198 098 371</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191 609 268</w:t>
            </w:r>
          </w:p>
        </w:tc>
        <w:tc>
          <w:tcPr>
            <w:tcW w:w="95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Pr>
                <w:rFonts w:ascii="Times New Roman" w:hAnsi="Times New Roman" w:cs="Times New Roman"/>
                <w:sz w:val="14"/>
                <w:szCs w:val="14"/>
                <w:lang w:eastAsia="sk-SK"/>
              </w:rPr>
              <w:t>194 581 496</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Pr>
                <w:rFonts w:ascii="Times New Roman" w:hAnsi="Times New Roman" w:cs="Times New Roman"/>
                <w:sz w:val="14"/>
                <w:szCs w:val="14"/>
                <w:lang w:eastAsia="sk-SK"/>
              </w:rPr>
              <w:t>195 530 230</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Pr>
                <w:rFonts w:ascii="Times New Roman" w:hAnsi="Times New Roman" w:cs="Times New Roman"/>
                <w:sz w:val="14"/>
                <w:szCs w:val="14"/>
                <w:lang w:eastAsia="sk-SK"/>
              </w:rPr>
              <w:t>195 672 831</w:t>
            </w:r>
          </w:p>
        </w:tc>
      </w:tr>
      <w:tr>
        <w:tblPrEx>
          <w:tblW w:w="0" w:type="auto"/>
          <w:tblCellMar>
            <w:left w:w="0" w:type="dxa"/>
            <w:right w:w="0" w:type="dxa"/>
          </w:tblCellMar>
          <w:tblLook w:val="04A0"/>
        </w:tblPrEx>
        <w:trPr>
          <w:trHeight w:val="261"/>
        </w:trPr>
        <w:tc>
          <w:tcPr>
            <w:tcW w:w="239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Velenie a zaručovanie obrany</w:t>
            </w:r>
          </w:p>
        </w:tc>
        <w:tc>
          <w:tcPr>
            <w:tcW w:w="95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550 627 839</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534 844 094</w:t>
            </w:r>
          </w:p>
        </w:tc>
        <w:tc>
          <w:tcPr>
            <w:tcW w:w="95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494 001 781</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514 017 373</w:t>
            </w:r>
          </w:p>
        </w:tc>
        <w:tc>
          <w:tcPr>
            <w:tcW w:w="95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647D2B" w:rsidP="009112FB">
            <w:pPr>
              <w:bidi w:val="0"/>
              <w:jc w:val="right"/>
              <w:rPr>
                <w:rFonts w:ascii="Times New Roman" w:hAnsi="Times New Roman" w:cs="Times New Roman"/>
                <w:b/>
                <w:bCs/>
                <w:sz w:val="14"/>
                <w:szCs w:val="14"/>
                <w:highlight w:val="yellow"/>
              </w:rPr>
            </w:pPr>
            <w:r w:rsidRPr="007E5C61">
              <w:rPr>
                <w:rFonts w:ascii="Times New Roman" w:hAnsi="Times New Roman" w:cs="Times New Roman"/>
                <w:b/>
                <w:bCs/>
                <w:sz w:val="14"/>
                <w:szCs w:val="14"/>
              </w:rPr>
              <w:t>556 523 791</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7207E8" w:rsidP="009112FB">
            <w:pPr>
              <w:pStyle w:val="NoSpacing"/>
              <w:bidi w:val="0"/>
              <w:jc w:val="right"/>
              <w:rPr>
                <w:rFonts w:ascii="Times New Roman" w:hAnsi="Times New Roman" w:cs="Times New Roman"/>
                <w:b/>
                <w:sz w:val="14"/>
                <w:szCs w:val="14"/>
              </w:rPr>
            </w:pPr>
            <w:r w:rsidRPr="007207E8">
              <w:rPr>
                <w:rFonts w:ascii="Times New Roman" w:hAnsi="Times New Roman" w:cs="Times New Roman"/>
                <w:b/>
                <w:sz w:val="14"/>
                <w:szCs w:val="14"/>
              </w:rPr>
              <w:t>516 021 792</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7207E8" w:rsidP="009112FB">
            <w:pPr>
              <w:pStyle w:val="NoSpacing"/>
              <w:bidi w:val="0"/>
              <w:jc w:val="right"/>
              <w:rPr>
                <w:rFonts w:ascii="Times New Roman" w:hAnsi="Times New Roman" w:cs="Times New Roman"/>
                <w:b/>
                <w:sz w:val="14"/>
                <w:szCs w:val="14"/>
              </w:rPr>
            </w:pPr>
            <w:r w:rsidRPr="007207E8">
              <w:rPr>
                <w:rFonts w:ascii="Times New Roman" w:hAnsi="Times New Roman" w:cs="Times New Roman"/>
                <w:b/>
                <w:sz w:val="14"/>
                <w:szCs w:val="14"/>
              </w:rPr>
              <w:t>516 024 040</w:t>
            </w:r>
          </w:p>
        </w:tc>
      </w:tr>
      <w:tr>
        <w:tblPrEx>
          <w:tblW w:w="0" w:type="auto"/>
          <w:tblCellMar>
            <w:left w:w="0" w:type="dxa"/>
            <w:right w:w="0" w:type="dxa"/>
          </w:tblCellMar>
          <w:tblLook w:val="04A0"/>
        </w:tblPrEx>
        <w:trPr>
          <w:trHeight w:val="261"/>
        </w:trPr>
        <w:tc>
          <w:tcPr>
            <w:tcW w:w="239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sz w:val="14"/>
                <w:szCs w:val="14"/>
                <w:lang w:eastAsia="sk-SK"/>
              </w:rPr>
              <w:t xml:space="preserve">Transfer na osobitný účet </w:t>
            </w:r>
          </w:p>
        </w:tc>
        <w:tc>
          <w:tcPr>
            <w:tcW w:w="95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78 257 515</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93 372 572</w:t>
            </w:r>
          </w:p>
        </w:tc>
        <w:tc>
          <w:tcPr>
            <w:tcW w:w="95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95 589 000</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93 787 900</w:t>
            </w:r>
          </w:p>
        </w:tc>
        <w:tc>
          <w:tcPr>
            <w:tcW w:w="95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Pr>
                <w:rFonts w:ascii="Times New Roman" w:hAnsi="Times New Roman" w:cs="Times New Roman"/>
                <w:sz w:val="14"/>
                <w:szCs w:val="14"/>
                <w:lang w:eastAsia="sk-SK"/>
              </w:rPr>
              <w:t>97 745 158</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Pr>
                <w:rFonts w:ascii="Times New Roman" w:hAnsi="Times New Roman" w:cs="Times New Roman"/>
                <w:sz w:val="14"/>
                <w:szCs w:val="14"/>
                <w:lang w:eastAsia="sk-SK"/>
              </w:rPr>
              <w:t>99 719 799</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Pr>
                <w:rFonts w:ascii="Times New Roman" w:hAnsi="Times New Roman" w:cs="Times New Roman"/>
                <w:sz w:val="14"/>
                <w:szCs w:val="14"/>
                <w:lang w:eastAsia="sk-SK"/>
              </w:rPr>
              <w:t>101 738 947</w:t>
            </w:r>
          </w:p>
        </w:tc>
      </w:tr>
      <w:tr>
        <w:tblPrEx>
          <w:tblW w:w="0" w:type="auto"/>
          <w:tblCellMar>
            <w:left w:w="0" w:type="dxa"/>
            <w:right w:w="0" w:type="dxa"/>
          </w:tblCellMar>
          <w:tblLook w:val="04A0"/>
        </w:tblPrEx>
        <w:trPr>
          <w:trHeight w:val="261"/>
        </w:trPr>
        <w:tc>
          <w:tcPr>
            <w:tcW w:w="239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sz w:val="14"/>
                <w:szCs w:val="14"/>
                <w:lang w:eastAsia="sk-SK"/>
              </w:rPr>
              <w:t xml:space="preserve">Príspevok na bývanie </w:t>
            </w:r>
          </w:p>
        </w:tc>
        <w:tc>
          <w:tcPr>
            <w:tcW w:w="95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36 519 423</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35 504 312</w:t>
            </w:r>
          </w:p>
        </w:tc>
        <w:tc>
          <w:tcPr>
            <w:tcW w:w="95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35 721 836</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35 685 917</w:t>
            </w:r>
          </w:p>
        </w:tc>
        <w:tc>
          <w:tcPr>
            <w:tcW w:w="95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35 879 871</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34 994 557</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35 884 857</w:t>
            </w:r>
          </w:p>
        </w:tc>
      </w:tr>
      <w:tr>
        <w:tblPrEx>
          <w:tblW w:w="0" w:type="auto"/>
          <w:tblCellMar>
            <w:left w:w="0" w:type="dxa"/>
            <w:right w:w="0" w:type="dxa"/>
          </w:tblCellMar>
          <w:tblLook w:val="04A0"/>
        </w:tblPrEx>
        <w:trPr>
          <w:trHeight w:val="261"/>
        </w:trPr>
        <w:tc>
          <w:tcPr>
            <w:tcW w:w="239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sz w:val="14"/>
                <w:szCs w:val="14"/>
                <w:lang w:eastAsia="sk-SK"/>
              </w:rPr>
              <w:t>Operácie mimo územia štátu</w:t>
            </w:r>
          </w:p>
        </w:tc>
        <w:tc>
          <w:tcPr>
            <w:tcW w:w="95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40 465 313</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45 019 951</w:t>
            </w:r>
          </w:p>
        </w:tc>
        <w:tc>
          <w:tcPr>
            <w:tcW w:w="95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40 501 404</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51 129 653</w:t>
            </w:r>
          </w:p>
        </w:tc>
        <w:tc>
          <w:tcPr>
            <w:tcW w:w="95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647D2B" w:rsidP="009112FB">
            <w:pPr>
              <w:bidi w:val="0"/>
              <w:jc w:val="right"/>
              <w:rPr>
                <w:rFonts w:ascii="Times New Roman" w:hAnsi="Times New Roman" w:cs="Times New Roman"/>
                <w:sz w:val="14"/>
                <w:szCs w:val="14"/>
                <w:highlight w:val="yellow"/>
              </w:rPr>
            </w:pPr>
            <w:r w:rsidRPr="007E5C61">
              <w:rPr>
                <w:rFonts w:ascii="Times New Roman" w:hAnsi="Times New Roman" w:cs="Times New Roman"/>
                <w:sz w:val="14"/>
                <w:szCs w:val="14"/>
              </w:rPr>
              <w:t>49 977 388</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22 841 778</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22 841 778</w:t>
            </w:r>
          </w:p>
        </w:tc>
      </w:tr>
      <w:tr>
        <w:tblPrEx>
          <w:tblW w:w="0" w:type="auto"/>
          <w:tblCellMar>
            <w:left w:w="0" w:type="dxa"/>
            <w:right w:w="0" w:type="dxa"/>
          </w:tblCellMar>
          <w:tblLook w:val="04A0"/>
        </w:tblPrEx>
        <w:trPr>
          <w:trHeight w:val="261"/>
        </w:trPr>
        <w:tc>
          <w:tcPr>
            <w:tcW w:w="239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sz w:val="14"/>
                <w:szCs w:val="14"/>
                <w:lang w:eastAsia="sk-SK"/>
              </w:rPr>
              <w:t>Ost. velenie a zaručovanie obrany</w:t>
            </w:r>
          </w:p>
        </w:tc>
        <w:tc>
          <w:tcPr>
            <w:tcW w:w="95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395 385 588</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360 947 259</w:t>
            </w:r>
          </w:p>
        </w:tc>
        <w:tc>
          <w:tcPr>
            <w:tcW w:w="95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322 189 541</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333 413 903</w:t>
            </w:r>
          </w:p>
        </w:tc>
        <w:tc>
          <w:tcPr>
            <w:tcW w:w="95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647D2B" w:rsidP="009112FB">
            <w:pPr>
              <w:bidi w:val="0"/>
              <w:jc w:val="right"/>
              <w:rPr>
                <w:rFonts w:ascii="Times New Roman" w:hAnsi="Times New Roman" w:cs="Times New Roman"/>
                <w:sz w:val="14"/>
                <w:szCs w:val="14"/>
                <w:highlight w:val="yellow"/>
              </w:rPr>
            </w:pPr>
            <w:r w:rsidRPr="007E5C61">
              <w:rPr>
                <w:rFonts w:ascii="Times New Roman" w:hAnsi="Times New Roman" w:cs="Times New Roman"/>
                <w:sz w:val="14"/>
                <w:szCs w:val="14"/>
              </w:rPr>
              <w:t>372 921 374</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7207E8" w:rsidP="009112FB">
            <w:pPr>
              <w:pStyle w:val="NoSpacing"/>
              <w:bidi w:val="0"/>
              <w:jc w:val="right"/>
              <w:rPr>
                <w:rFonts w:ascii="Times New Roman" w:hAnsi="Times New Roman" w:cs="Times New Roman"/>
                <w:sz w:val="14"/>
                <w:szCs w:val="14"/>
              </w:rPr>
            </w:pPr>
            <w:r w:rsidRPr="007207E8">
              <w:rPr>
                <w:rFonts w:ascii="Times New Roman" w:hAnsi="Times New Roman" w:cs="Times New Roman"/>
                <w:sz w:val="14"/>
                <w:szCs w:val="14"/>
              </w:rPr>
              <w:t>358 465 658</w:t>
            </w:r>
          </w:p>
        </w:tc>
        <w:tc>
          <w:tcPr>
            <w:tcW w:w="95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7207E8" w:rsidP="009112FB">
            <w:pPr>
              <w:pStyle w:val="NoSpacing"/>
              <w:bidi w:val="0"/>
              <w:jc w:val="right"/>
              <w:rPr>
                <w:rFonts w:ascii="Times New Roman" w:hAnsi="Times New Roman" w:cs="Times New Roman"/>
                <w:sz w:val="14"/>
                <w:szCs w:val="14"/>
              </w:rPr>
            </w:pPr>
            <w:r w:rsidRPr="007207E8">
              <w:rPr>
                <w:rFonts w:ascii="Times New Roman" w:hAnsi="Times New Roman" w:cs="Times New Roman"/>
                <w:sz w:val="14"/>
                <w:szCs w:val="14"/>
              </w:rPr>
              <w:t>355 558 458</w:t>
            </w:r>
          </w:p>
        </w:tc>
      </w:tr>
    </w:tbl>
    <w:p w:rsidR="00081478" w:rsidRPr="00BE40B7" w:rsidP="00081478">
      <w:pPr>
        <w:bidi w:val="0"/>
        <w:jc w:val="both"/>
        <w:rPr>
          <w:rFonts w:ascii="Times New Roman" w:hAnsi="Times New Roman" w:cs="Times New Roman"/>
          <w:lang w:eastAsia="sk-SK"/>
        </w:rPr>
      </w:pPr>
      <w:r w:rsidRPr="00BE40B7">
        <w:rPr>
          <w:rFonts w:ascii="Times New Roman" w:hAnsi="Times New Roman" w:cs="Times New Roman"/>
          <w:i/>
          <w:iCs/>
          <w:lang w:eastAsia="sk-SK"/>
        </w:rPr>
        <w:t> </w:t>
      </w:r>
    </w:p>
    <w:p w:rsidR="00081478" w:rsidRPr="00BE40B7" w:rsidP="00081478">
      <w:pPr>
        <w:bidi w:val="0"/>
        <w:ind w:firstLine="708"/>
        <w:jc w:val="both"/>
        <w:rPr>
          <w:rFonts w:ascii="Times New Roman" w:hAnsi="Times New Roman" w:cs="Times New Roman"/>
          <w:lang w:eastAsia="sk-SK"/>
        </w:rPr>
      </w:pPr>
      <w:r w:rsidRPr="00BE40B7">
        <w:rPr>
          <w:rFonts w:ascii="Times New Roman" w:hAnsi="Times New Roman" w:cs="Times New Roman"/>
          <w:lang w:eastAsia="sk-SK"/>
        </w:rPr>
        <w:t>V rámci programu Obrana sa zabezpečuje financovanie bežnej prevádzky rezortu, a</w:t>
      </w:r>
      <w:r>
        <w:rPr>
          <w:rFonts w:ascii="Times New Roman" w:hAnsi="Times New Roman" w:cs="Times New Roman"/>
          <w:lang w:eastAsia="sk-SK"/>
        </w:rPr>
        <w:t xml:space="preserve"> to</w:t>
      </w:r>
      <w:r w:rsidRPr="00BE40B7">
        <w:rPr>
          <w:rFonts w:ascii="Times New Roman" w:hAnsi="Times New Roman" w:cs="Times New Roman"/>
          <w:lang w:eastAsia="sk-SK"/>
        </w:rPr>
        <w:t xml:space="preserve"> najmä riadenie, velenie a podpora obrany, vzdelávanie v rámci Akadémie ozbrojených síl M. R. Štefánika v Liptovskom Mikuláši, správa majetku, ako aj operácie medzinárodného krízového manažmentu. Rozpočtujú sa tu výdavky na vojenskú políciu, vojenskú prokuratúru, činnosť spravodajských služieb, Vojenského archívu v Trnave, Úradu hlavného lekára, Úradu špeciálneho zdravotníctva a výcviku Lešť, výdavky na územné vojenské správy, Vojenského technického a skúšobného ústavu Záhorie, Vojenského úradu sociálneho zabezpečenia, úlohy Ordinariátu Ozbrojených síl, Vojenského historického ústavu, Úradu pre obrannú štandardizáciu, Vojenského športového centra Dukla Banská Bystrica.</w:t>
      </w:r>
    </w:p>
    <w:p w:rsidR="00081478" w:rsidP="00081478">
      <w:pPr>
        <w:bidi w:val="0"/>
        <w:jc w:val="both"/>
        <w:rPr>
          <w:rFonts w:ascii="Times New Roman" w:hAnsi="Times New Roman" w:cs="Times New Roman"/>
          <w:lang w:eastAsia="sk-SK"/>
        </w:rPr>
      </w:pPr>
      <w:r w:rsidRPr="00BE40B7">
        <w:rPr>
          <w:rFonts w:ascii="Times New Roman" w:hAnsi="Times New Roman" w:cs="Times New Roman"/>
          <w:lang w:eastAsia="sk-SK"/>
        </w:rPr>
        <w:t> </w:t>
      </w:r>
    </w:p>
    <w:p w:rsidR="00D01F5D" w:rsidP="00081478">
      <w:pPr>
        <w:bidi w:val="0"/>
        <w:jc w:val="both"/>
        <w:rPr>
          <w:rFonts w:ascii="Times New Roman" w:hAnsi="Times New Roman" w:cs="Times New Roman"/>
          <w:lang w:eastAsia="sk-SK"/>
        </w:rPr>
      </w:pPr>
    </w:p>
    <w:p w:rsidR="00D01F5D" w:rsidP="00081478">
      <w:pPr>
        <w:bidi w:val="0"/>
        <w:jc w:val="both"/>
        <w:rPr>
          <w:rFonts w:ascii="Times New Roman" w:hAnsi="Times New Roman" w:cs="Times New Roman"/>
          <w:lang w:eastAsia="sk-SK"/>
        </w:rPr>
      </w:pPr>
    </w:p>
    <w:p w:rsidR="00D01F5D" w:rsidP="00081478">
      <w:pPr>
        <w:bidi w:val="0"/>
        <w:jc w:val="both"/>
        <w:rPr>
          <w:rFonts w:ascii="Times New Roman" w:hAnsi="Times New Roman" w:cs="Times New Roman"/>
          <w:lang w:eastAsia="sk-SK"/>
        </w:rPr>
      </w:pPr>
    </w:p>
    <w:p w:rsidR="00D01F5D" w:rsidP="00081478">
      <w:pPr>
        <w:bidi w:val="0"/>
        <w:jc w:val="both"/>
        <w:rPr>
          <w:rFonts w:ascii="Times New Roman" w:hAnsi="Times New Roman" w:cs="Times New Roman"/>
          <w:lang w:eastAsia="sk-SK"/>
        </w:rPr>
      </w:pPr>
    </w:p>
    <w:p w:rsidR="00D01F5D" w:rsidP="00081478">
      <w:pPr>
        <w:bidi w:val="0"/>
        <w:jc w:val="both"/>
        <w:rPr>
          <w:rFonts w:ascii="Times New Roman" w:hAnsi="Times New Roman" w:cs="Times New Roman"/>
          <w:lang w:eastAsia="sk-SK"/>
        </w:rPr>
      </w:pPr>
    </w:p>
    <w:p w:rsidR="00D01F5D" w:rsidP="00081478">
      <w:pPr>
        <w:bidi w:val="0"/>
        <w:jc w:val="both"/>
        <w:rPr>
          <w:rFonts w:ascii="Times New Roman" w:hAnsi="Times New Roman" w:cs="Times New Roman"/>
          <w:lang w:eastAsia="sk-SK"/>
        </w:rPr>
      </w:pPr>
    </w:p>
    <w:p w:rsidR="00D01F5D" w:rsidP="00081478">
      <w:pPr>
        <w:bidi w:val="0"/>
        <w:jc w:val="both"/>
        <w:rPr>
          <w:rFonts w:ascii="Times New Roman" w:hAnsi="Times New Roman" w:cs="Times New Roman"/>
          <w:lang w:eastAsia="sk-SK"/>
        </w:rPr>
      </w:pPr>
    </w:p>
    <w:p w:rsidR="00D01F5D" w:rsidP="00081478">
      <w:pPr>
        <w:bidi w:val="0"/>
        <w:jc w:val="both"/>
        <w:rPr>
          <w:rFonts w:ascii="Times New Roman" w:hAnsi="Times New Roman" w:cs="Times New Roman"/>
          <w:lang w:eastAsia="sk-SK"/>
        </w:rPr>
      </w:pPr>
    </w:p>
    <w:p w:rsidR="00081478" w:rsidRPr="00BE40B7" w:rsidP="00081478">
      <w:pPr>
        <w:bidi w:val="0"/>
        <w:ind w:firstLine="708"/>
        <w:jc w:val="both"/>
        <w:rPr>
          <w:rFonts w:ascii="Times New Roman" w:hAnsi="Times New Roman" w:cs="Times New Roman"/>
          <w:lang w:eastAsia="sk-SK"/>
        </w:rPr>
      </w:pPr>
      <w:r w:rsidRPr="00BE40B7">
        <w:rPr>
          <w:rFonts w:ascii="Times New Roman" w:hAnsi="Times New Roman" w:cs="Times New Roman"/>
          <w:lang w:eastAsia="sk-SK"/>
        </w:rPr>
        <w:t>Príspevkové a rozpočtové organizácie spadajúce pod Ministerstvo obrany SR.</w:t>
      </w:r>
    </w:p>
    <w:p w:rsidR="00081478" w:rsidRPr="00BE40B7" w:rsidP="00081478">
      <w:pPr>
        <w:bidi w:val="0"/>
        <w:jc w:val="both"/>
        <w:rPr>
          <w:rFonts w:ascii="Times New Roman" w:hAnsi="Times New Roman" w:cs="Times New Roman"/>
          <w:lang w:eastAsia="sk-SK"/>
        </w:rPr>
      </w:pPr>
      <w:r w:rsidRPr="00BE40B7">
        <w:rPr>
          <w:rFonts w:ascii="Times New Roman" w:hAnsi="Times New Roman" w:cs="Times New Roman"/>
          <w:lang w:eastAsia="sk-SK"/>
        </w:rPr>
        <w:t> </w:t>
      </w:r>
    </w:p>
    <w:tbl>
      <w:tblPr>
        <w:tblStyle w:val="TableNormal"/>
        <w:tblW w:w="0" w:type="auto"/>
        <w:tblCellMar>
          <w:left w:w="0" w:type="dxa"/>
          <w:right w:w="0" w:type="dxa"/>
        </w:tblCellMar>
        <w:tblLook w:val="04A0"/>
      </w:tblPr>
      <w:tblGrid>
        <w:gridCol w:w="2751"/>
        <w:gridCol w:w="913"/>
        <w:gridCol w:w="913"/>
        <w:gridCol w:w="913"/>
        <w:gridCol w:w="913"/>
        <w:gridCol w:w="913"/>
        <w:gridCol w:w="913"/>
        <w:gridCol w:w="913"/>
      </w:tblGrid>
      <w:tr>
        <w:tblPrEx>
          <w:tblW w:w="0" w:type="auto"/>
          <w:tblCellMar>
            <w:left w:w="0" w:type="dxa"/>
            <w:right w:w="0" w:type="dxa"/>
          </w:tblCellMar>
          <w:tblLook w:val="04A0"/>
        </w:tblPrEx>
        <w:trPr>
          <w:trHeight w:val="261"/>
        </w:trPr>
        <w:tc>
          <w:tcPr>
            <w:tcW w:w="27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 v eurách</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2009 S</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2010 S</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2011 R</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 xml:space="preserve">2011 OS </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2012 N</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2013 N</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2014 N</w:t>
            </w:r>
          </w:p>
        </w:tc>
      </w:tr>
      <w:tr>
        <w:tblPrEx>
          <w:tblW w:w="0" w:type="auto"/>
          <w:tblCellMar>
            <w:left w:w="0" w:type="dxa"/>
            <w:right w:w="0" w:type="dxa"/>
          </w:tblCellMar>
          <w:tblLook w:val="04A0"/>
        </w:tblPrEx>
        <w:trPr>
          <w:trHeight w:val="261"/>
        </w:trPr>
        <w:tc>
          <w:tcPr>
            <w:tcW w:w="27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PO + RO spolu</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 xml:space="preserve">769 641 182   </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 xml:space="preserve">726 022 922   </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 xml:space="preserve">695 888 372   </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 xml:space="preserve">709 387 243   </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AC0729" w:rsidP="009112FB">
            <w:pPr>
              <w:bidi w:val="0"/>
              <w:jc w:val="center"/>
              <w:rPr>
                <w:rFonts w:ascii="Times New Roman" w:hAnsi="Times New Roman" w:cs="Times New Roman"/>
                <w:b/>
                <w:bCs/>
                <w:sz w:val="14"/>
                <w:szCs w:val="14"/>
                <w:highlight w:val="yellow"/>
              </w:rPr>
            </w:pPr>
            <w:r w:rsidRPr="007E5C61">
              <w:rPr>
                <w:rFonts w:ascii="Times New Roman" w:hAnsi="Times New Roman" w:cs="Times New Roman"/>
                <w:b/>
                <w:bCs/>
                <w:sz w:val="14"/>
                <w:szCs w:val="14"/>
              </w:rPr>
              <w:t>754 864 657</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F19D9" w:rsidP="009112FB">
            <w:pPr>
              <w:pStyle w:val="NoSpacing"/>
              <w:bidi w:val="0"/>
              <w:jc w:val="right"/>
              <w:rPr>
                <w:rFonts w:ascii="Times New Roman" w:hAnsi="Times New Roman" w:cs="Times New Roman"/>
                <w:b/>
                <w:sz w:val="14"/>
                <w:szCs w:val="14"/>
              </w:rPr>
            </w:pPr>
            <w:r w:rsidRPr="00BF19D9">
              <w:rPr>
                <w:rFonts w:ascii="Times New Roman" w:hAnsi="Times New Roman" w:cs="Times New Roman"/>
                <w:b/>
                <w:sz w:val="14"/>
                <w:szCs w:val="14"/>
              </w:rPr>
              <w:t xml:space="preserve">715 306 272  </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F19D9" w:rsidP="009112FB">
            <w:pPr>
              <w:pStyle w:val="NoSpacing"/>
              <w:bidi w:val="0"/>
              <w:jc w:val="right"/>
              <w:rPr>
                <w:rFonts w:ascii="Times New Roman" w:hAnsi="Times New Roman" w:cs="Times New Roman"/>
                <w:b/>
                <w:sz w:val="14"/>
                <w:szCs w:val="14"/>
              </w:rPr>
            </w:pPr>
            <w:r w:rsidRPr="00BF19D9">
              <w:rPr>
                <w:rFonts w:ascii="Times New Roman" w:hAnsi="Times New Roman" w:cs="Times New Roman"/>
                <w:b/>
                <w:sz w:val="14"/>
                <w:szCs w:val="14"/>
              </w:rPr>
              <w:t xml:space="preserve">715 461 741  </w:t>
            </w:r>
          </w:p>
        </w:tc>
      </w:tr>
      <w:tr>
        <w:tblPrEx>
          <w:tblW w:w="0" w:type="auto"/>
          <w:tblCellMar>
            <w:left w:w="0" w:type="dxa"/>
            <w:right w:w="0" w:type="dxa"/>
          </w:tblCellMar>
          <w:tblLook w:val="04A0"/>
        </w:tblPrEx>
        <w:trPr>
          <w:trHeight w:val="261"/>
        </w:trPr>
        <w:tc>
          <w:tcPr>
            <w:tcW w:w="27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Príspevkové organizácie</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 xml:space="preserve">13 277 568   </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 xml:space="preserve">10 411 621   </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 xml:space="preserve">2 319 392   </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 xml:space="preserve">2 319 392   </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 xml:space="preserve">2 319 392   </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 xml:space="preserve">2 319 392   </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 xml:space="preserve">2 319 392   </w:t>
            </w:r>
          </w:p>
        </w:tc>
      </w:tr>
      <w:tr>
        <w:tblPrEx>
          <w:tblW w:w="0" w:type="auto"/>
          <w:tblCellMar>
            <w:left w:w="0" w:type="dxa"/>
            <w:right w:w="0" w:type="dxa"/>
          </w:tblCellMar>
          <w:tblLook w:val="04A0"/>
        </w:tblPrEx>
        <w:trPr>
          <w:trHeight w:val="261"/>
        </w:trPr>
        <w:tc>
          <w:tcPr>
            <w:tcW w:w="27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color w:val="000000"/>
                <w:sz w:val="14"/>
                <w:szCs w:val="14"/>
                <w:lang w:eastAsia="sk-SK"/>
              </w:rPr>
              <w:t>ÚVN SNP Ružomberok</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 xml:space="preserve">13 277 568   </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 xml:space="preserve">10 411 621   </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 xml:space="preserve">2 319 392   </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 xml:space="preserve">2 319 392   </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2 319 392***</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2 319 392***</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2 319 392***</w:t>
            </w:r>
          </w:p>
        </w:tc>
      </w:tr>
      <w:tr>
        <w:tblPrEx>
          <w:tblW w:w="0" w:type="auto"/>
          <w:tblCellMar>
            <w:left w:w="0" w:type="dxa"/>
            <w:right w:w="0" w:type="dxa"/>
          </w:tblCellMar>
          <w:tblLook w:val="04A0"/>
        </w:tblPrEx>
        <w:trPr>
          <w:trHeight w:val="261"/>
        </w:trPr>
        <w:tc>
          <w:tcPr>
            <w:tcW w:w="27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color w:val="000000"/>
                <w:sz w:val="14"/>
                <w:szCs w:val="14"/>
                <w:lang w:eastAsia="sk-SK"/>
              </w:rPr>
              <w:t>Bytová agentúra rezortu MO Trenčín</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0</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0</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0</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0</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0</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0</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0</w:t>
            </w:r>
          </w:p>
        </w:tc>
      </w:tr>
      <w:tr>
        <w:tblPrEx>
          <w:tblW w:w="0" w:type="auto"/>
          <w:tblCellMar>
            <w:left w:w="0" w:type="dxa"/>
            <w:right w:w="0" w:type="dxa"/>
          </w:tblCellMar>
          <w:tblLook w:val="04A0"/>
        </w:tblPrEx>
        <w:trPr>
          <w:trHeight w:val="261"/>
        </w:trPr>
        <w:tc>
          <w:tcPr>
            <w:tcW w:w="27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Rozpočtové organizácie</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 xml:space="preserve">756 363 614   </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 xml:space="preserve">715 611 301   </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 xml:space="preserve">693 568 980   </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 xml:space="preserve">707 067 851   </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AC0729" w:rsidP="009112FB">
            <w:pPr>
              <w:bidi w:val="0"/>
              <w:jc w:val="center"/>
              <w:rPr>
                <w:rFonts w:ascii="Times New Roman" w:hAnsi="Times New Roman" w:cs="Times New Roman"/>
                <w:b/>
                <w:bCs/>
                <w:sz w:val="14"/>
                <w:szCs w:val="14"/>
                <w:highlight w:val="yellow"/>
              </w:rPr>
            </w:pPr>
            <w:r w:rsidRPr="007E5C61">
              <w:rPr>
                <w:rFonts w:ascii="Times New Roman" w:hAnsi="Times New Roman" w:cs="Times New Roman"/>
                <w:b/>
                <w:bCs/>
                <w:sz w:val="14"/>
                <w:szCs w:val="14"/>
              </w:rPr>
              <w:t>752 545 265</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b/>
                <w:sz w:val="14"/>
                <w:szCs w:val="14"/>
              </w:rPr>
            </w:pPr>
            <w:r w:rsidRPr="00982ABB">
              <w:rPr>
                <w:rFonts w:ascii="Times New Roman" w:hAnsi="Times New Roman" w:cs="Times New Roman"/>
                <w:b/>
                <w:sz w:val="14"/>
                <w:szCs w:val="14"/>
              </w:rPr>
              <w:t xml:space="preserve">712 986 880  </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b/>
                <w:sz w:val="14"/>
                <w:szCs w:val="14"/>
              </w:rPr>
            </w:pPr>
            <w:r w:rsidRPr="00982ABB">
              <w:rPr>
                <w:rFonts w:ascii="Times New Roman" w:hAnsi="Times New Roman" w:cs="Times New Roman"/>
                <w:b/>
                <w:sz w:val="14"/>
                <w:szCs w:val="14"/>
              </w:rPr>
              <w:t xml:space="preserve">713 142 349  </w:t>
            </w:r>
          </w:p>
        </w:tc>
      </w:tr>
      <w:tr>
        <w:tblPrEx>
          <w:tblW w:w="0" w:type="auto"/>
          <w:tblCellMar>
            <w:left w:w="0" w:type="dxa"/>
            <w:right w:w="0" w:type="dxa"/>
          </w:tblCellMar>
          <w:tblLook w:val="04A0"/>
        </w:tblPrEx>
        <w:trPr>
          <w:trHeight w:val="261"/>
        </w:trPr>
        <w:tc>
          <w:tcPr>
            <w:tcW w:w="27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color w:val="000000"/>
                <w:sz w:val="14"/>
                <w:szCs w:val="14"/>
                <w:lang w:eastAsia="sk-SK"/>
              </w:rPr>
              <w:t>Vojenské športové centrum Dukla BB</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4 992 330</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4 984 708</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3 842 282</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4 045 809</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4 211 431</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4 201 431</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4 206 431</w:t>
            </w:r>
          </w:p>
        </w:tc>
      </w:tr>
      <w:tr>
        <w:tblPrEx>
          <w:tblW w:w="0" w:type="auto"/>
          <w:tblCellMar>
            <w:left w:w="0" w:type="dxa"/>
            <w:right w:w="0" w:type="dxa"/>
          </w:tblCellMar>
          <w:tblLook w:val="04A0"/>
        </w:tblPrEx>
        <w:trPr>
          <w:trHeight w:val="261"/>
        </w:trPr>
        <w:tc>
          <w:tcPr>
            <w:tcW w:w="27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color w:val="000000"/>
                <w:sz w:val="14"/>
                <w:szCs w:val="14"/>
                <w:lang w:eastAsia="sk-SK"/>
              </w:rPr>
              <w:t>Vojenský tech. a skúšobný ústav Záhorie</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2 460 202</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2 121 217</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1 950 917</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2 146 778</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2 184 853</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2 184 853</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2 184 853</w:t>
            </w:r>
          </w:p>
        </w:tc>
      </w:tr>
      <w:tr>
        <w:tblPrEx>
          <w:tblW w:w="0" w:type="auto"/>
          <w:tblCellMar>
            <w:left w:w="0" w:type="dxa"/>
            <w:right w:w="0" w:type="dxa"/>
          </w:tblCellMar>
          <w:tblLook w:val="04A0"/>
        </w:tblPrEx>
        <w:trPr>
          <w:trHeight w:val="261"/>
        </w:trPr>
        <w:tc>
          <w:tcPr>
            <w:tcW w:w="27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color w:val="000000"/>
                <w:sz w:val="14"/>
                <w:szCs w:val="14"/>
                <w:lang w:eastAsia="sk-SK"/>
              </w:rPr>
              <w:t>Územná vojenská správa Trenčín</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170 528</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239 395</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227 596</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242 600</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255 547</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255 691</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255 998</w:t>
            </w:r>
          </w:p>
        </w:tc>
      </w:tr>
      <w:tr>
        <w:tblPrEx>
          <w:tblW w:w="0" w:type="auto"/>
          <w:tblCellMar>
            <w:left w:w="0" w:type="dxa"/>
            <w:right w:w="0" w:type="dxa"/>
          </w:tblCellMar>
          <w:tblLook w:val="04A0"/>
        </w:tblPrEx>
        <w:trPr>
          <w:trHeight w:val="261"/>
        </w:trPr>
        <w:tc>
          <w:tcPr>
            <w:tcW w:w="27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color w:val="000000"/>
                <w:sz w:val="14"/>
                <w:szCs w:val="14"/>
                <w:lang w:eastAsia="sk-SK"/>
              </w:rPr>
              <w:t>Územná vojenská správa Trnava</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183 479</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245 470</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229 568</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241 700</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248 860</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247 628</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247 581</w:t>
            </w:r>
          </w:p>
        </w:tc>
      </w:tr>
      <w:tr>
        <w:tblPrEx>
          <w:tblW w:w="0" w:type="auto"/>
          <w:tblCellMar>
            <w:left w:w="0" w:type="dxa"/>
            <w:right w:w="0" w:type="dxa"/>
          </w:tblCellMar>
          <w:tblLook w:val="04A0"/>
        </w:tblPrEx>
        <w:trPr>
          <w:trHeight w:val="261"/>
        </w:trPr>
        <w:tc>
          <w:tcPr>
            <w:tcW w:w="27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color w:val="000000"/>
                <w:sz w:val="14"/>
                <w:szCs w:val="14"/>
                <w:lang w:eastAsia="sk-SK"/>
              </w:rPr>
              <w:t>Územná vojenská správa Nitra</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200 281</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234 111</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230 080</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244 360</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249 416</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248 546</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249 646</w:t>
            </w:r>
          </w:p>
        </w:tc>
      </w:tr>
      <w:tr>
        <w:tblPrEx>
          <w:tblW w:w="0" w:type="auto"/>
          <w:tblCellMar>
            <w:left w:w="0" w:type="dxa"/>
            <w:right w:w="0" w:type="dxa"/>
          </w:tblCellMar>
          <w:tblLook w:val="04A0"/>
        </w:tblPrEx>
        <w:trPr>
          <w:trHeight w:val="261"/>
        </w:trPr>
        <w:tc>
          <w:tcPr>
            <w:tcW w:w="27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color w:val="000000"/>
                <w:sz w:val="14"/>
                <w:szCs w:val="14"/>
                <w:lang w:eastAsia="sk-SK"/>
              </w:rPr>
              <w:t>Územná vojenská správa BB</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183 521</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236 265</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231 268</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255 650</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259 692</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262 238</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259 963</w:t>
            </w:r>
          </w:p>
        </w:tc>
      </w:tr>
      <w:tr>
        <w:tblPrEx>
          <w:tblW w:w="0" w:type="auto"/>
          <w:tblCellMar>
            <w:left w:w="0" w:type="dxa"/>
            <w:right w:w="0" w:type="dxa"/>
          </w:tblCellMar>
          <w:tblLook w:val="04A0"/>
        </w:tblPrEx>
        <w:trPr>
          <w:trHeight w:val="261"/>
        </w:trPr>
        <w:tc>
          <w:tcPr>
            <w:tcW w:w="27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color w:val="000000"/>
                <w:sz w:val="14"/>
                <w:szCs w:val="14"/>
                <w:lang w:eastAsia="sk-SK"/>
              </w:rPr>
              <w:t>Územná vojenská správa Žilina</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214 300</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291 949</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231 327</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251 660</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258 346</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258 346</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258 346</w:t>
            </w:r>
          </w:p>
        </w:tc>
      </w:tr>
      <w:tr>
        <w:tblPrEx>
          <w:tblW w:w="0" w:type="auto"/>
          <w:tblCellMar>
            <w:left w:w="0" w:type="dxa"/>
            <w:right w:w="0" w:type="dxa"/>
          </w:tblCellMar>
          <w:tblLook w:val="04A0"/>
        </w:tblPrEx>
        <w:trPr>
          <w:trHeight w:val="261"/>
        </w:trPr>
        <w:tc>
          <w:tcPr>
            <w:tcW w:w="27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color w:val="000000"/>
                <w:sz w:val="14"/>
                <w:szCs w:val="14"/>
                <w:lang w:eastAsia="sk-SK"/>
              </w:rPr>
              <w:t>Územná vojenská správa Prešov</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170 620</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228 059</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226 286</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243 030</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255 885</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255 894</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255 485</w:t>
            </w:r>
          </w:p>
        </w:tc>
      </w:tr>
      <w:tr>
        <w:tblPrEx>
          <w:tblW w:w="0" w:type="auto"/>
          <w:tblCellMar>
            <w:left w:w="0" w:type="dxa"/>
            <w:right w:w="0" w:type="dxa"/>
          </w:tblCellMar>
          <w:tblLook w:val="04A0"/>
        </w:tblPrEx>
        <w:trPr>
          <w:trHeight w:val="261"/>
        </w:trPr>
        <w:tc>
          <w:tcPr>
            <w:tcW w:w="27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color w:val="000000"/>
                <w:sz w:val="14"/>
                <w:szCs w:val="14"/>
                <w:lang w:eastAsia="sk-SK"/>
              </w:rPr>
              <w:t>Vojenský úrad sociálneho zabezpečenia</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3 113 956</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3 484 691</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2 486 379</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2 918 584</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3 176 727</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3 176 727</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3 176 936</w:t>
            </w:r>
          </w:p>
        </w:tc>
      </w:tr>
      <w:tr>
        <w:tblPrEx>
          <w:tblW w:w="0" w:type="auto"/>
          <w:tblCellMar>
            <w:left w:w="0" w:type="dxa"/>
            <w:right w:w="0" w:type="dxa"/>
          </w:tblCellMar>
          <w:tblLook w:val="04A0"/>
        </w:tblPrEx>
        <w:trPr>
          <w:trHeight w:val="261"/>
        </w:trPr>
        <w:tc>
          <w:tcPr>
            <w:tcW w:w="27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color w:val="000000"/>
                <w:sz w:val="14"/>
                <w:szCs w:val="14"/>
                <w:lang w:eastAsia="sk-SK"/>
              </w:rPr>
              <w:t>Vojenský historický ústav</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1 672 912</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1 584 069</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1 184 977</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1 385 100</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1 375 189</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1 379 949</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1 329 575</w:t>
            </w:r>
          </w:p>
        </w:tc>
      </w:tr>
      <w:tr>
        <w:tblPrEx>
          <w:tblW w:w="0" w:type="auto"/>
          <w:tblCellMar>
            <w:left w:w="0" w:type="dxa"/>
            <w:right w:w="0" w:type="dxa"/>
          </w:tblCellMar>
          <w:tblLook w:val="04A0"/>
        </w:tblPrEx>
        <w:trPr>
          <w:trHeight w:val="261"/>
        </w:trPr>
        <w:tc>
          <w:tcPr>
            <w:tcW w:w="27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color w:val="000000"/>
                <w:sz w:val="14"/>
                <w:szCs w:val="14"/>
                <w:lang w:eastAsia="sk-SK"/>
              </w:rPr>
              <w:t>Územná vojenská správa Bratislava</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161 242</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240 830</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224 188</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238 400</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245 499</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243 841</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245 887</w:t>
            </w:r>
          </w:p>
        </w:tc>
      </w:tr>
      <w:tr>
        <w:tblPrEx>
          <w:tblW w:w="0" w:type="auto"/>
          <w:tblCellMar>
            <w:left w:w="0" w:type="dxa"/>
            <w:right w:w="0" w:type="dxa"/>
          </w:tblCellMar>
          <w:tblLook w:val="04A0"/>
        </w:tblPrEx>
        <w:trPr>
          <w:trHeight w:val="261"/>
        </w:trPr>
        <w:tc>
          <w:tcPr>
            <w:tcW w:w="27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color w:val="000000"/>
                <w:sz w:val="14"/>
                <w:szCs w:val="14"/>
                <w:lang w:eastAsia="sk-SK"/>
              </w:rPr>
              <w:t>Územná vojenská správa Košice</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177 184</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240 872</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228 003</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249 950</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257 270</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257 270</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260 250</w:t>
            </w:r>
          </w:p>
        </w:tc>
      </w:tr>
      <w:tr>
        <w:tblPrEx>
          <w:tblW w:w="0" w:type="auto"/>
          <w:tblCellMar>
            <w:left w:w="0" w:type="dxa"/>
            <w:right w:w="0" w:type="dxa"/>
          </w:tblCellMar>
          <w:tblLook w:val="04A0"/>
        </w:tblPrEx>
        <w:trPr>
          <w:trHeight w:val="261"/>
        </w:trPr>
        <w:tc>
          <w:tcPr>
            <w:tcW w:w="27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color w:val="000000"/>
                <w:sz w:val="14"/>
                <w:szCs w:val="14"/>
                <w:lang w:eastAsia="sk-SK"/>
              </w:rPr>
              <w:t>Ústav špec. zdrav. a výcviku</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8 321 755</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8 062 851</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6 793 013</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7 312 286</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7 441 146</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7 297 646</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7 310 946</w:t>
            </w:r>
          </w:p>
        </w:tc>
      </w:tr>
      <w:tr>
        <w:tblPrEx>
          <w:tblW w:w="0" w:type="auto"/>
          <w:tblCellMar>
            <w:left w:w="0" w:type="dxa"/>
            <w:right w:w="0" w:type="dxa"/>
          </w:tblCellMar>
          <w:tblLook w:val="04A0"/>
        </w:tblPrEx>
        <w:trPr>
          <w:trHeight w:val="261"/>
        </w:trPr>
        <w:tc>
          <w:tcPr>
            <w:tcW w:w="27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color w:val="000000"/>
                <w:sz w:val="14"/>
                <w:szCs w:val="14"/>
                <w:lang w:eastAsia="sk-SK"/>
              </w:rPr>
              <w:t>Úrad MO SR*</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720 481 301</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681 111 427</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664 502 138</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675 915 582</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AC0729" w:rsidP="009112FB">
            <w:pPr>
              <w:bidi w:val="0"/>
              <w:jc w:val="right"/>
              <w:rPr>
                <w:rFonts w:ascii="Times New Roman" w:hAnsi="Times New Roman" w:cs="Times New Roman"/>
                <w:color w:val="000000"/>
                <w:sz w:val="14"/>
                <w:szCs w:val="14"/>
                <w:highlight w:val="yellow"/>
              </w:rPr>
            </w:pPr>
            <w:r w:rsidRPr="007E5C61">
              <w:rPr>
                <w:rFonts w:ascii="Times New Roman" w:hAnsi="Times New Roman" w:cs="Times New Roman"/>
                <w:color w:val="000000"/>
                <w:sz w:val="14"/>
                <w:szCs w:val="14"/>
              </w:rPr>
              <w:t>721 519 887</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682 111 303</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682 294 935</w:t>
            </w:r>
          </w:p>
        </w:tc>
      </w:tr>
      <w:tr>
        <w:tblPrEx>
          <w:tblW w:w="0" w:type="auto"/>
          <w:tblCellMar>
            <w:left w:w="0" w:type="dxa"/>
            <w:right w:w="0" w:type="dxa"/>
          </w:tblCellMar>
          <w:tblLook w:val="04A0"/>
        </w:tblPrEx>
        <w:trPr>
          <w:trHeight w:val="261"/>
        </w:trPr>
        <w:tc>
          <w:tcPr>
            <w:tcW w:w="27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color w:val="000000"/>
                <w:sz w:val="14"/>
                <w:szCs w:val="14"/>
                <w:lang w:eastAsia="sk-SK"/>
              </w:rPr>
              <w:t>Ústredie ekum. a pastor. služ. v OS a OZ SR</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171 055</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150 901</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150 515</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154 800</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159 724</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159 724</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159 724</w:t>
            </w:r>
          </w:p>
        </w:tc>
      </w:tr>
      <w:tr>
        <w:tblPrEx>
          <w:tblW w:w="0" w:type="auto"/>
          <w:tblCellMar>
            <w:left w:w="0" w:type="dxa"/>
            <w:right w:w="0" w:type="dxa"/>
          </w:tblCellMar>
          <w:tblLook w:val="04A0"/>
        </w:tblPrEx>
        <w:trPr>
          <w:trHeight w:val="261"/>
        </w:trPr>
        <w:tc>
          <w:tcPr>
            <w:tcW w:w="27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color w:val="000000"/>
                <w:sz w:val="14"/>
                <w:szCs w:val="14"/>
                <w:lang w:eastAsia="sk-SK"/>
              </w:rPr>
              <w:t>Ordinariát OS a OZ SR</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326 236</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324 269</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294 138</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298 832</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309 348</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309 348</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309 348</w:t>
            </w:r>
          </w:p>
        </w:tc>
      </w:tr>
      <w:tr>
        <w:tblPrEx>
          <w:tblW w:w="0" w:type="auto"/>
          <w:tblCellMar>
            <w:left w:w="0" w:type="dxa"/>
            <w:right w:w="0" w:type="dxa"/>
          </w:tblCellMar>
          <w:tblLook w:val="04A0"/>
        </w:tblPrEx>
        <w:trPr>
          <w:trHeight w:val="261"/>
        </w:trPr>
        <w:tc>
          <w:tcPr>
            <w:tcW w:w="2751" w:type="dxa"/>
            <w:tcBorders>
              <w:top w:val="none" w:sz="0" w:space="0" w:color="auto"/>
              <w:left w:val="single" w:sz="4" w:space="0" w:color="000000"/>
              <w:bottom w:val="none" w:sz="0" w:space="0" w:color="auto"/>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color w:val="000000"/>
                <w:sz w:val="14"/>
                <w:szCs w:val="14"/>
                <w:lang w:eastAsia="sk-SK"/>
              </w:rPr>
              <w:t>Akadémia ozbrojených síl LM</w:t>
            </w:r>
          </w:p>
        </w:tc>
        <w:tc>
          <w:tcPr>
            <w:tcW w:w="913" w:type="dxa"/>
            <w:tcBorders>
              <w:top w:val="none" w:sz="0" w:space="0" w:color="auto"/>
              <w:left w:val="none" w:sz="0" w:space="0" w:color="auto"/>
              <w:bottom w:val="none" w:sz="0" w:space="0" w:color="auto"/>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11 423 636</w:t>
            </w:r>
          </w:p>
        </w:tc>
        <w:tc>
          <w:tcPr>
            <w:tcW w:w="913" w:type="dxa"/>
            <w:tcBorders>
              <w:top w:val="none" w:sz="0" w:space="0" w:color="auto"/>
              <w:left w:val="none" w:sz="0" w:space="0" w:color="auto"/>
              <w:bottom w:val="none" w:sz="0" w:space="0" w:color="auto"/>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10 222 816</w:t>
            </w:r>
          </w:p>
        </w:tc>
        <w:tc>
          <w:tcPr>
            <w:tcW w:w="913" w:type="dxa"/>
            <w:tcBorders>
              <w:top w:val="none" w:sz="0" w:space="0" w:color="auto"/>
              <w:left w:val="none" w:sz="0" w:space="0" w:color="auto"/>
              <w:bottom w:val="none" w:sz="0" w:space="0" w:color="auto"/>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9 259 942</w:t>
            </w:r>
          </w:p>
        </w:tc>
        <w:tc>
          <w:tcPr>
            <w:tcW w:w="913" w:type="dxa"/>
            <w:tcBorders>
              <w:top w:val="none" w:sz="0" w:space="0" w:color="auto"/>
              <w:left w:val="none" w:sz="0" w:space="0" w:color="auto"/>
              <w:bottom w:val="none" w:sz="0" w:space="0" w:color="auto"/>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9 528 331</w:t>
            </w:r>
          </w:p>
        </w:tc>
        <w:tc>
          <w:tcPr>
            <w:tcW w:w="913" w:type="dxa"/>
            <w:tcBorders>
              <w:top w:val="none" w:sz="0" w:space="0" w:color="auto"/>
              <w:left w:val="none" w:sz="0" w:space="0" w:color="auto"/>
              <w:bottom w:val="none" w:sz="0" w:space="0" w:color="auto"/>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9 317 345</w:t>
            </w:r>
          </w:p>
        </w:tc>
        <w:tc>
          <w:tcPr>
            <w:tcW w:w="913" w:type="dxa"/>
            <w:tcBorders>
              <w:top w:val="none" w:sz="0" w:space="0" w:color="auto"/>
              <w:left w:val="none" w:sz="0" w:space="0" w:color="auto"/>
              <w:bottom w:val="none" w:sz="0" w:space="0" w:color="auto"/>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9 317 345</w:t>
            </w:r>
          </w:p>
        </w:tc>
        <w:tc>
          <w:tcPr>
            <w:tcW w:w="913" w:type="dxa"/>
            <w:tcBorders>
              <w:top w:val="none" w:sz="0" w:space="0" w:color="auto"/>
              <w:left w:val="none" w:sz="0" w:space="0" w:color="auto"/>
              <w:bottom w:val="none" w:sz="0" w:space="0" w:color="auto"/>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9 317 345</w:t>
            </w:r>
          </w:p>
        </w:tc>
      </w:tr>
      <w:tr>
        <w:tblPrEx>
          <w:tblW w:w="0" w:type="auto"/>
          <w:tblCellMar>
            <w:left w:w="0" w:type="dxa"/>
            <w:right w:w="0" w:type="dxa"/>
          </w:tblCellMar>
          <w:tblLook w:val="04A0"/>
        </w:tblPrEx>
        <w:trPr>
          <w:trHeight w:val="261"/>
        </w:trPr>
        <w:tc>
          <w:tcPr>
            <w:tcW w:w="27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color w:val="000000"/>
                <w:sz w:val="14"/>
                <w:szCs w:val="14"/>
                <w:lang w:eastAsia="sk-SK"/>
              </w:rPr>
              <w:t>Úrad pre obrannú štand.,kodif. a št. over. TN</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1 281 593</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942 985</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739 726</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819 100</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819 100</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819 100</w:t>
            </w:r>
          </w:p>
        </w:tc>
        <w:tc>
          <w:tcPr>
            <w:tcW w:w="9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819 100</w:t>
            </w:r>
          </w:p>
        </w:tc>
      </w:tr>
      <w:tr>
        <w:tblPrEx>
          <w:tblW w:w="0" w:type="auto"/>
          <w:tblCellMar>
            <w:left w:w="0" w:type="dxa"/>
            <w:right w:w="0" w:type="dxa"/>
          </w:tblCellMar>
          <w:tblLook w:val="04A0"/>
        </w:tblPrEx>
        <w:trPr>
          <w:trHeight w:val="261"/>
        </w:trPr>
        <w:tc>
          <w:tcPr>
            <w:tcW w:w="27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color w:val="000000"/>
                <w:sz w:val="14"/>
                <w:szCs w:val="14"/>
                <w:lang w:eastAsia="sk-SK"/>
              </w:rPr>
              <w:t>Vojenský folklórny súbor Jánošík**</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657 482</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664 417</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536 637</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575 300</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w:t>
            </w:r>
          </w:p>
        </w:tc>
        <w:tc>
          <w:tcPr>
            <w:tcW w:w="9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081478" w:rsidRPr="00982ABB" w:rsidP="009112FB">
            <w:pPr>
              <w:pStyle w:val="NoSpacing"/>
              <w:bidi w:val="0"/>
              <w:jc w:val="right"/>
              <w:rPr>
                <w:rFonts w:ascii="Times New Roman" w:hAnsi="Times New Roman" w:cs="Times New Roman"/>
                <w:color w:val="000000"/>
                <w:sz w:val="14"/>
                <w:szCs w:val="14"/>
              </w:rPr>
            </w:pPr>
            <w:r w:rsidRPr="00982ABB">
              <w:rPr>
                <w:rFonts w:ascii="Times New Roman" w:hAnsi="Times New Roman" w:cs="Times New Roman"/>
                <w:color w:val="000000"/>
                <w:sz w:val="14"/>
                <w:szCs w:val="14"/>
              </w:rPr>
              <w:t>-</w:t>
            </w:r>
          </w:p>
        </w:tc>
      </w:tr>
    </w:tbl>
    <w:p w:rsidR="00081478" w:rsidRPr="00BE40B7" w:rsidP="00081478">
      <w:pPr>
        <w:bidi w:val="0"/>
        <w:jc w:val="both"/>
        <w:rPr>
          <w:rFonts w:ascii="Times New Roman" w:hAnsi="Times New Roman" w:cs="Times New Roman"/>
          <w:lang w:eastAsia="sk-SK"/>
        </w:rPr>
      </w:pPr>
      <w:r w:rsidRPr="00BE40B7">
        <w:rPr>
          <w:rFonts w:ascii="Times New Roman" w:hAnsi="Times New Roman" w:cs="Times New Roman"/>
          <w:color w:val="000000"/>
          <w:sz w:val="14"/>
          <w:szCs w:val="14"/>
          <w:lang w:eastAsia="sk-SK"/>
        </w:rPr>
        <w:t>* výdavky Úradu MO SR sú uvedené v tabuľke len za oblasť Obrana po odpočítaní transferu pre príspevkovú organizáciu ÚVN SNP Ružomberok</w:t>
      </w:r>
    </w:p>
    <w:p w:rsidR="00081478" w:rsidRPr="00BE40B7" w:rsidP="00081478">
      <w:pPr>
        <w:bidi w:val="0"/>
        <w:jc w:val="both"/>
        <w:rPr>
          <w:rFonts w:ascii="Times New Roman" w:hAnsi="Times New Roman" w:cs="Times New Roman"/>
          <w:lang w:eastAsia="sk-SK"/>
        </w:rPr>
      </w:pPr>
      <w:r w:rsidRPr="00BE40B7">
        <w:rPr>
          <w:rFonts w:ascii="Times New Roman" w:hAnsi="Times New Roman" w:cs="Times New Roman"/>
          <w:color w:val="000000"/>
          <w:sz w:val="14"/>
          <w:szCs w:val="14"/>
          <w:lang w:eastAsia="sk-SK"/>
        </w:rPr>
        <w:t>** zrušená RO od 1.1.2012</w:t>
      </w:r>
    </w:p>
    <w:p w:rsidR="00081478" w:rsidRPr="00BE40B7" w:rsidP="00081478">
      <w:pPr>
        <w:bidi w:val="0"/>
        <w:jc w:val="both"/>
        <w:rPr>
          <w:rFonts w:ascii="Times New Roman" w:hAnsi="Times New Roman" w:cs="Times New Roman"/>
          <w:lang w:eastAsia="sk-SK"/>
        </w:rPr>
      </w:pPr>
      <w:r w:rsidRPr="00BE40B7">
        <w:rPr>
          <w:rFonts w:ascii="Times New Roman" w:hAnsi="Times New Roman" w:cs="Times New Roman"/>
          <w:sz w:val="14"/>
          <w:szCs w:val="14"/>
          <w:lang w:eastAsia="sk-SK"/>
        </w:rPr>
        <w:t xml:space="preserve">*** v súlade so zákonom č. 578/2004 Z. z. bude organizácia do 30.6.2012 transformovaná na akciovú spoločnosť. Po tomto termíne nebudú tejto organizácii poskytované a ani plánované žiadne finančné prostriedky. </w:t>
      </w:r>
    </w:p>
    <w:p w:rsidR="00081478" w:rsidRPr="00BE40B7" w:rsidP="00081478">
      <w:pPr>
        <w:bidi w:val="0"/>
        <w:jc w:val="both"/>
        <w:rPr>
          <w:rFonts w:ascii="Times New Roman" w:hAnsi="Times New Roman" w:cs="Times New Roman"/>
          <w:lang w:eastAsia="sk-SK"/>
        </w:rPr>
      </w:pPr>
      <w:r w:rsidRPr="00BE40B7">
        <w:rPr>
          <w:rFonts w:ascii="Times New Roman" w:hAnsi="Times New Roman" w:cs="Times New Roman"/>
          <w:lang w:eastAsia="sk-SK"/>
        </w:rPr>
        <w:t> </w:t>
      </w:r>
    </w:p>
    <w:tbl>
      <w:tblPr>
        <w:tblStyle w:val="TableNormal"/>
        <w:tblW w:w="0" w:type="auto"/>
        <w:tblCellMar>
          <w:left w:w="0" w:type="dxa"/>
          <w:right w:w="0" w:type="dxa"/>
        </w:tblCellMar>
        <w:tblLook w:val="04A0"/>
      </w:tblPr>
      <w:tblGrid>
        <w:gridCol w:w="2991"/>
        <w:gridCol w:w="870"/>
        <w:gridCol w:w="871"/>
        <w:gridCol w:w="871"/>
        <w:gridCol w:w="870"/>
        <w:gridCol w:w="871"/>
        <w:gridCol w:w="871"/>
        <w:gridCol w:w="871"/>
      </w:tblGrid>
      <w:tr>
        <w:tblPrEx>
          <w:tblW w:w="0" w:type="auto"/>
          <w:tblCellMar>
            <w:left w:w="0" w:type="dxa"/>
            <w:right w:w="0" w:type="dxa"/>
          </w:tblCellMar>
          <w:tblLook w:val="04A0"/>
        </w:tblPrEx>
        <w:trPr>
          <w:trHeight w:val="261"/>
        </w:trPr>
        <w:tc>
          <w:tcPr>
            <w:tcW w:w="29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b/>
                <w:bCs/>
                <w:sz w:val="14"/>
                <w:szCs w:val="14"/>
                <w:lang w:eastAsia="sk-SK"/>
              </w:rPr>
              <w:t> </w:t>
            </w:r>
          </w:p>
        </w:tc>
        <w:tc>
          <w:tcPr>
            <w:tcW w:w="87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2009 S</w:t>
            </w:r>
          </w:p>
        </w:tc>
        <w:tc>
          <w:tcPr>
            <w:tcW w:w="87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2010 S</w:t>
            </w:r>
          </w:p>
        </w:tc>
        <w:tc>
          <w:tcPr>
            <w:tcW w:w="87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2011 R</w:t>
            </w:r>
          </w:p>
        </w:tc>
        <w:tc>
          <w:tcPr>
            <w:tcW w:w="87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 xml:space="preserve">2011 OS </w:t>
            </w:r>
          </w:p>
        </w:tc>
        <w:tc>
          <w:tcPr>
            <w:tcW w:w="87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2012 N</w:t>
            </w:r>
          </w:p>
        </w:tc>
        <w:tc>
          <w:tcPr>
            <w:tcW w:w="87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2013 N</w:t>
            </w:r>
          </w:p>
        </w:tc>
        <w:tc>
          <w:tcPr>
            <w:tcW w:w="87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2014 N</w:t>
            </w:r>
          </w:p>
        </w:tc>
      </w:tr>
      <w:tr>
        <w:tblPrEx>
          <w:tblW w:w="0" w:type="auto"/>
          <w:tblCellMar>
            <w:left w:w="0" w:type="dxa"/>
            <w:right w:w="0" w:type="dxa"/>
          </w:tblCellMar>
          <w:tblLook w:val="04A0"/>
        </w:tblPrEx>
        <w:trPr>
          <w:trHeight w:val="261"/>
        </w:trPr>
        <w:tc>
          <w:tcPr>
            <w:tcW w:w="299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Priem. ročný výsluhový dôch. na 1 dôchodcu</w:t>
            </w:r>
          </w:p>
        </w:tc>
        <w:tc>
          <w:tcPr>
            <w:tcW w:w="87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643AF4" w:rsidP="009112FB">
            <w:pPr>
              <w:pStyle w:val="NoSpacing"/>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r w:rsidRPr="00643AF4">
              <w:rPr>
                <w:rFonts w:ascii="Times New Roman" w:hAnsi="Times New Roman" w:cs="Times New Roman"/>
                <w:sz w:val="14"/>
                <w:szCs w:val="14"/>
                <w:lang w:eastAsia="sk-SK"/>
              </w:rPr>
              <w:t xml:space="preserve">   8 940   </w:t>
            </w:r>
          </w:p>
        </w:tc>
        <w:tc>
          <w:tcPr>
            <w:tcW w:w="87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643AF4" w:rsidP="009112FB">
            <w:pPr>
              <w:pStyle w:val="NoSpacing"/>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r w:rsidRPr="00643AF4">
              <w:rPr>
                <w:rFonts w:ascii="Times New Roman" w:hAnsi="Times New Roman" w:cs="Times New Roman"/>
                <w:sz w:val="14"/>
                <w:szCs w:val="14"/>
                <w:lang w:eastAsia="sk-SK"/>
              </w:rPr>
              <w:t xml:space="preserve">    9 503   </w:t>
            </w:r>
          </w:p>
        </w:tc>
        <w:tc>
          <w:tcPr>
            <w:tcW w:w="87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643AF4" w:rsidP="009112FB">
            <w:pPr>
              <w:pStyle w:val="NoSpacing"/>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r w:rsidRPr="00643AF4">
              <w:rPr>
                <w:rFonts w:ascii="Times New Roman" w:hAnsi="Times New Roman" w:cs="Times New Roman"/>
                <w:sz w:val="14"/>
                <w:szCs w:val="14"/>
                <w:lang w:eastAsia="sk-SK"/>
              </w:rPr>
              <w:t xml:space="preserve">      9 668   </w:t>
            </w:r>
          </w:p>
        </w:tc>
        <w:tc>
          <w:tcPr>
            <w:tcW w:w="87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643AF4" w:rsidP="009112FB">
            <w:pPr>
              <w:pStyle w:val="NoSpacing"/>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r w:rsidRPr="00643AF4">
              <w:rPr>
                <w:rFonts w:ascii="Times New Roman" w:hAnsi="Times New Roman" w:cs="Times New Roman"/>
                <w:sz w:val="14"/>
                <w:szCs w:val="14"/>
                <w:lang w:eastAsia="sk-SK"/>
              </w:rPr>
              <w:t xml:space="preserve">   9 668   </w:t>
            </w:r>
          </w:p>
        </w:tc>
        <w:tc>
          <w:tcPr>
            <w:tcW w:w="87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643AF4" w:rsidP="009112FB">
            <w:pPr>
              <w:pStyle w:val="NoSpacing"/>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r w:rsidRPr="00643AF4">
              <w:rPr>
                <w:rFonts w:ascii="Times New Roman" w:hAnsi="Times New Roman" w:cs="Times New Roman"/>
                <w:sz w:val="14"/>
                <w:szCs w:val="14"/>
                <w:lang w:eastAsia="sk-SK"/>
              </w:rPr>
              <w:t xml:space="preserve">    9 668   </w:t>
            </w:r>
          </w:p>
        </w:tc>
        <w:tc>
          <w:tcPr>
            <w:tcW w:w="87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643AF4" w:rsidP="009112FB">
            <w:pPr>
              <w:pStyle w:val="NoSpacing"/>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r w:rsidRPr="00643AF4">
              <w:rPr>
                <w:rFonts w:ascii="Times New Roman" w:hAnsi="Times New Roman" w:cs="Times New Roman"/>
                <w:sz w:val="14"/>
                <w:szCs w:val="14"/>
                <w:lang w:eastAsia="sk-SK"/>
              </w:rPr>
              <w:t xml:space="preserve">    9 668   </w:t>
            </w:r>
          </w:p>
        </w:tc>
        <w:tc>
          <w:tcPr>
            <w:tcW w:w="87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643AF4" w:rsidP="009112FB">
            <w:pPr>
              <w:pStyle w:val="NoSpacing"/>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r w:rsidRPr="00643AF4">
              <w:rPr>
                <w:rFonts w:ascii="Times New Roman" w:hAnsi="Times New Roman" w:cs="Times New Roman"/>
                <w:sz w:val="14"/>
                <w:szCs w:val="14"/>
                <w:lang w:eastAsia="sk-SK"/>
              </w:rPr>
              <w:t xml:space="preserve">     9 668   </w:t>
            </w:r>
          </w:p>
        </w:tc>
      </w:tr>
      <w:tr>
        <w:tblPrEx>
          <w:tblW w:w="0" w:type="auto"/>
          <w:tblCellMar>
            <w:left w:w="0" w:type="dxa"/>
            <w:right w:w="0" w:type="dxa"/>
          </w:tblCellMar>
          <w:tblLook w:val="04A0"/>
        </w:tblPrEx>
        <w:trPr>
          <w:trHeight w:val="261"/>
        </w:trPr>
        <w:tc>
          <w:tcPr>
            <w:tcW w:w="2991" w:type="dxa"/>
            <w:tcBorders>
              <w:top w:val="none" w:sz="0" w:space="0" w:color="auto"/>
              <w:left w:val="single" w:sz="4" w:space="0" w:color="000000"/>
              <w:bottom w:val="none" w:sz="0" w:space="0" w:color="auto"/>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Priem. mes. výsluhový dôch. na 1 dôchodcu*</w:t>
            </w:r>
          </w:p>
        </w:tc>
        <w:tc>
          <w:tcPr>
            <w:tcW w:w="87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Pr>
                <w:rFonts w:ascii="Times New Roman" w:hAnsi="Times New Roman" w:cs="Times New Roman"/>
                <w:b/>
                <w:bCs/>
                <w:color w:val="000000"/>
                <w:sz w:val="14"/>
                <w:szCs w:val="14"/>
                <w:lang w:eastAsia="sk-SK"/>
              </w:rPr>
              <w:t>    </w:t>
            </w:r>
            <w:r w:rsidRPr="00BE40B7">
              <w:rPr>
                <w:rFonts w:ascii="Times New Roman" w:hAnsi="Times New Roman" w:cs="Times New Roman"/>
                <w:b/>
                <w:bCs/>
                <w:color w:val="000000"/>
                <w:sz w:val="14"/>
                <w:szCs w:val="14"/>
                <w:lang w:eastAsia="sk-SK"/>
              </w:rPr>
              <w:t xml:space="preserve">        745   </w:t>
            </w:r>
          </w:p>
        </w:tc>
        <w:tc>
          <w:tcPr>
            <w:tcW w:w="87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 xml:space="preserve">            792   </w:t>
            </w:r>
          </w:p>
        </w:tc>
        <w:tc>
          <w:tcPr>
            <w:tcW w:w="87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 xml:space="preserve">            806   </w:t>
            </w:r>
          </w:p>
        </w:tc>
        <w:tc>
          <w:tcPr>
            <w:tcW w:w="87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 xml:space="preserve">            806   </w:t>
            </w:r>
          </w:p>
        </w:tc>
        <w:tc>
          <w:tcPr>
            <w:tcW w:w="87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Pr>
                <w:rFonts w:ascii="Times New Roman" w:hAnsi="Times New Roman" w:cs="Times New Roman"/>
                <w:b/>
                <w:bCs/>
                <w:color w:val="000000"/>
                <w:sz w:val="14"/>
                <w:szCs w:val="14"/>
                <w:lang w:eastAsia="sk-SK"/>
              </w:rPr>
              <w:t> </w:t>
            </w:r>
            <w:r w:rsidRPr="00BE40B7">
              <w:rPr>
                <w:rFonts w:ascii="Times New Roman" w:hAnsi="Times New Roman" w:cs="Times New Roman"/>
                <w:b/>
                <w:bCs/>
                <w:color w:val="000000"/>
                <w:sz w:val="14"/>
                <w:szCs w:val="14"/>
                <w:lang w:eastAsia="sk-SK"/>
              </w:rPr>
              <w:t xml:space="preserve">           806   </w:t>
            </w:r>
          </w:p>
        </w:tc>
        <w:tc>
          <w:tcPr>
            <w:tcW w:w="87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 xml:space="preserve">            806   </w:t>
            </w:r>
          </w:p>
        </w:tc>
        <w:tc>
          <w:tcPr>
            <w:tcW w:w="87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Pr>
                <w:rFonts w:ascii="Times New Roman" w:hAnsi="Times New Roman" w:cs="Times New Roman"/>
                <w:b/>
                <w:bCs/>
                <w:color w:val="000000"/>
                <w:sz w:val="14"/>
                <w:szCs w:val="14"/>
                <w:lang w:eastAsia="sk-SK"/>
              </w:rPr>
              <w:t>  </w:t>
            </w:r>
            <w:r w:rsidRPr="00BE40B7">
              <w:rPr>
                <w:rFonts w:ascii="Times New Roman" w:hAnsi="Times New Roman" w:cs="Times New Roman"/>
                <w:b/>
                <w:bCs/>
                <w:color w:val="000000"/>
                <w:sz w:val="14"/>
                <w:szCs w:val="14"/>
                <w:lang w:eastAsia="sk-SK"/>
              </w:rPr>
              <w:t xml:space="preserve">         806   </w:t>
            </w:r>
          </w:p>
        </w:tc>
      </w:tr>
      <w:tr>
        <w:tblPrEx>
          <w:tblW w:w="0" w:type="auto"/>
          <w:tblCellMar>
            <w:left w:w="0" w:type="dxa"/>
            <w:right w:w="0" w:type="dxa"/>
          </w:tblCellMar>
          <w:tblLook w:val="04A0"/>
        </w:tblPrEx>
        <w:trPr>
          <w:trHeight w:val="261"/>
        </w:trPr>
        <w:tc>
          <w:tcPr>
            <w:tcW w:w="29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color w:val="000000"/>
                <w:sz w:val="14"/>
                <w:szCs w:val="14"/>
                <w:lang w:eastAsia="sk-SK"/>
              </w:rPr>
              <w:t>počet vojakov</w:t>
            </w:r>
          </w:p>
        </w:tc>
        <w:tc>
          <w:tcPr>
            <w:tcW w:w="87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 xml:space="preserve">     17 979   </w:t>
            </w:r>
          </w:p>
        </w:tc>
        <w:tc>
          <w:tcPr>
            <w:tcW w:w="87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 xml:space="preserve">     14 823   </w:t>
            </w:r>
          </w:p>
        </w:tc>
        <w:tc>
          <w:tcPr>
            <w:tcW w:w="87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   </w:t>
            </w:r>
            <w:r w:rsidRPr="00BE40B7">
              <w:rPr>
                <w:rFonts w:ascii="Times New Roman" w:hAnsi="Times New Roman" w:cs="Times New Roman"/>
                <w:color w:val="000000"/>
                <w:sz w:val="14"/>
                <w:szCs w:val="14"/>
                <w:lang w:eastAsia="sk-SK"/>
              </w:rPr>
              <w:t xml:space="preserve">    14 763   </w:t>
            </w:r>
          </w:p>
        </w:tc>
        <w:tc>
          <w:tcPr>
            <w:tcW w:w="87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    </w:t>
            </w:r>
            <w:r w:rsidRPr="00BE40B7">
              <w:rPr>
                <w:rFonts w:ascii="Times New Roman" w:hAnsi="Times New Roman" w:cs="Times New Roman"/>
                <w:color w:val="000000"/>
                <w:sz w:val="14"/>
                <w:szCs w:val="14"/>
                <w:lang w:eastAsia="sk-SK"/>
              </w:rPr>
              <w:t xml:space="preserve">   14 763   </w:t>
            </w:r>
          </w:p>
        </w:tc>
        <w:tc>
          <w:tcPr>
            <w:tcW w:w="87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   </w:t>
            </w:r>
            <w:r w:rsidRPr="00BE40B7">
              <w:rPr>
                <w:rFonts w:ascii="Times New Roman" w:hAnsi="Times New Roman" w:cs="Times New Roman"/>
                <w:color w:val="000000"/>
                <w:sz w:val="14"/>
                <w:szCs w:val="14"/>
                <w:lang w:eastAsia="sk-SK"/>
              </w:rPr>
              <w:t xml:space="preserve">    14 716   </w:t>
            </w:r>
          </w:p>
        </w:tc>
        <w:tc>
          <w:tcPr>
            <w:tcW w:w="87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 xml:space="preserve">     14 716   </w:t>
            </w:r>
          </w:p>
        </w:tc>
        <w:tc>
          <w:tcPr>
            <w:tcW w:w="87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 xml:space="preserve">      14 176   </w:t>
            </w:r>
          </w:p>
        </w:tc>
      </w:tr>
    </w:tbl>
    <w:p w:rsidR="00081478" w:rsidRPr="00BE40B7" w:rsidP="00081478">
      <w:pPr>
        <w:bidi w:val="0"/>
        <w:jc w:val="both"/>
        <w:rPr>
          <w:rFonts w:ascii="Times New Roman" w:hAnsi="Times New Roman" w:cs="Times New Roman"/>
          <w:lang w:eastAsia="sk-SK"/>
        </w:rPr>
      </w:pPr>
      <w:r w:rsidRPr="00BE40B7">
        <w:rPr>
          <w:rFonts w:ascii="Times New Roman" w:hAnsi="Times New Roman" w:cs="Times New Roman"/>
          <w:color w:val="000000"/>
          <w:sz w:val="14"/>
          <w:szCs w:val="14"/>
          <w:lang w:eastAsia="sk-SK"/>
        </w:rPr>
        <w:t>*zdroj MO SR</w:t>
      </w:r>
    </w:p>
    <w:p w:rsidR="00081478" w:rsidRPr="00BE40B7" w:rsidP="00081478">
      <w:pPr>
        <w:bidi w:val="0"/>
        <w:jc w:val="both"/>
        <w:rPr>
          <w:rFonts w:ascii="Times New Roman" w:hAnsi="Times New Roman" w:cs="Times New Roman"/>
          <w:lang w:eastAsia="sk-SK"/>
        </w:rPr>
      </w:pPr>
      <w:r w:rsidRPr="00BE40B7">
        <w:rPr>
          <w:rFonts w:ascii="Times New Roman" w:hAnsi="Times New Roman" w:cs="Times New Roman"/>
          <w:lang w:eastAsia="sk-SK"/>
        </w:rPr>
        <w:t> </w:t>
      </w:r>
    </w:p>
    <w:p w:rsidR="00081478" w:rsidP="00081478">
      <w:pPr>
        <w:bidi w:val="0"/>
        <w:ind w:firstLine="708"/>
        <w:jc w:val="both"/>
        <w:rPr>
          <w:rFonts w:ascii="Times New Roman" w:hAnsi="Times New Roman" w:cs="Times New Roman"/>
          <w:lang w:eastAsia="sk-SK"/>
        </w:rPr>
      </w:pPr>
      <w:r w:rsidRPr="00BE40B7">
        <w:rPr>
          <w:rFonts w:ascii="Times New Roman" w:hAnsi="Times New Roman" w:cs="Times New Roman"/>
          <w:lang w:eastAsia="sk-SK"/>
        </w:rPr>
        <w:t>Systém sociálneho zabezpečenia definovaný v zákone č. 328/2002 Z. z. o sociálnom zabezpečení policajtov a vojakov je pri súčasných existujúcich parametroch vysoko deficitný. Vzhľadom na úroveň sociálnych benefitov a vývoj počtu prispievateľov a prijímateľov v rámci systému sociálneho zabezpečenia sa tak každoročne odčerpáva zo štátneho rozpočtu významná suma zdrojov, ktorá tak znižuje disponibilné zdroje rezortu. Prostriedky určené na osobitný účet v roku 2012 oproti schválenému rozpočtu na rok 2011 rastú o</w:t>
      </w:r>
      <w:r>
        <w:rPr>
          <w:rFonts w:ascii="Times New Roman" w:hAnsi="Times New Roman" w:cs="Times New Roman"/>
          <w:lang w:eastAsia="sk-SK"/>
        </w:rPr>
        <w:t> 2,16</w:t>
      </w:r>
      <w:r w:rsidRPr="00BE40B7">
        <w:rPr>
          <w:rFonts w:ascii="Times New Roman" w:hAnsi="Times New Roman" w:cs="Times New Roman"/>
          <w:lang w:eastAsia="sk-SK"/>
        </w:rPr>
        <w:t xml:space="preserve"> mil. eur (</w:t>
      </w:r>
      <w:r>
        <w:rPr>
          <w:rFonts w:ascii="Times New Roman" w:hAnsi="Times New Roman" w:cs="Times New Roman"/>
          <w:lang w:eastAsia="sk-SK"/>
        </w:rPr>
        <w:t xml:space="preserve">2,26 </w:t>
      </w:r>
      <w:r w:rsidRPr="00BE40B7">
        <w:rPr>
          <w:rFonts w:ascii="Times New Roman" w:hAnsi="Times New Roman" w:cs="Times New Roman"/>
          <w:lang w:eastAsia="sk-SK"/>
        </w:rPr>
        <w:t xml:space="preserve">%). Priemerný výsluhový dôchodok na jedného dôchodcu sa rozpočtuje na úrovni schváleného rozpočtu roku 2011. </w:t>
      </w:r>
    </w:p>
    <w:p w:rsidR="00081478" w:rsidRPr="00BE40B7" w:rsidP="00081478">
      <w:pPr>
        <w:bidi w:val="0"/>
        <w:ind w:firstLine="708"/>
        <w:jc w:val="both"/>
        <w:rPr>
          <w:rFonts w:ascii="Times New Roman" w:hAnsi="Times New Roman" w:cs="Times New Roman"/>
          <w:lang w:eastAsia="sk-SK"/>
        </w:rPr>
      </w:pPr>
      <w:r w:rsidRPr="00BE40B7">
        <w:rPr>
          <w:rFonts w:ascii="Times New Roman" w:hAnsi="Times New Roman" w:cs="Times New Roman"/>
          <w:lang w:eastAsia="sk-SK"/>
        </w:rPr>
        <w:t> </w:t>
      </w:r>
    </w:p>
    <w:tbl>
      <w:tblPr>
        <w:tblStyle w:val="TableNormal"/>
        <w:tblW w:w="0" w:type="auto"/>
        <w:tblCellMar>
          <w:left w:w="0" w:type="dxa"/>
          <w:right w:w="0" w:type="dxa"/>
        </w:tblCellMar>
        <w:tblLook w:val="04A0"/>
      </w:tblPr>
      <w:tblGrid>
        <w:gridCol w:w="2657"/>
        <w:gridCol w:w="918"/>
        <w:gridCol w:w="918"/>
        <w:gridCol w:w="919"/>
        <w:gridCol w:w="918"/>
        <w:gridCol w:w="919"/>
        <w:gridCol w:w="918"/>
        <w:gridCol w:w="919"/>
      </w:tblGrid>
      <w:tr>
        <w:tblPrEx>
          <w:tblW w:w="0" w:type="auto"/>
          <w:tblCellMar>
            <w:left w:w="0" w:type="dxa"/>
            <w:right w:w="0" w:type="dxa"/>
          </w:tblCellMar>
          <w:tblLook w:val="04A0"/>
        </w:tblPrEx>
        <w:trPr>
          <w:trHeight w:val="261"/>
        </w:trPr>
        <w:tc>
          <w:tcPr>
            <w:tcW w:w="26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b/>
                <w:bCs/>
                <w:sz w:val="14"/>
                <w:szCs w:val="14"/>
                <w:lang w:eastAsia="sk-SK"/>
              </w:rPr>
              <w:t> </w:t>
            </w:r>
          </w:p>
        </w:tc>
        <w:tc>
          <w:tcPr>
            <w:tcW w:w="91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2009 S</w:t>
            </w:r>
          </w:p>
        </w:tc>
        <w:tc>
          <w:tcPr>
            <w:tcW w:w="91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2010 S</w:t>
            </w:r>
          </w:p>
        </w:tc>
        <w:tc>
          <w:tcPr>
            <w:tcW w:w="91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2011 R</w:t>
            </w:r>
          </w:p>
        </w:tc>
        <w:tc>
          <w:tcPr>
            <w:tcW w:w="91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 xml:space="preserve">2011 OS </w:t>
            </w:r>
          </w:p>
        </w:tc>
        <w:tc>
          <w:tcPr>
            <w:tcW w:w="91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2012 N</w:t>
            </w:r>
          </w:p>
        </w:tc>
        <w:tc>
          <w:tcPr>
            <w:tcW w:w="91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2013 N</w:t>
            </w:r>
          </w:p>
        </w:tc>
        <w:tc>
          <w:tcPr>
            <w:tcW w:w="91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2014 N</w:t>
            </w:r>
          </w:p>
        </w:tc>
      </w:tr>
      <w:tr>
        <w:tblPrEx>
          <w:tblW w:w="0" w:type="auto"/>
          <w:tblCellMar>
            <w:left w:w="0" w:type="dxa"/>
            <w:right w:w="0" w:type="dxa"/>
          </w:tblCellMar>
          <w:tblLook w:val="04A0"/>
        </w:tblPrEx>
        <w:trPr>
          <w:trHeight w:val="261"/>
        </w:trPr>
        <w:tc>
          <w:tcPr>
            <w:tcW w:w="265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Priem. príspevok na bývanie na 1 vojaka</w:t>
            </w:r>
          </w:p>
        </w:tc>
        <w:tc>
          <w:tcPr>
            <w:tcW w:w="9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E05873" w:rsidP="009112FB">
            <w:pPr>
              <w:pStyle w:val="NoSpacing"/>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r w:rsidRPr="00E05873">
              <w:rPr>
                <w:rFonts w:ascii="Times New Roman" w:hAnsi="Times New Roman" w:cs="Times New Roman"/>
                <w:sz w:val="14"/>
                <w:szCs w:val="14"/>
                <w:lang w:eastAsia="sk-SK"/>
              </w:rPr>
              <w:t xml:space="preserve"> 2 227   </w:t>
            </w:r>
          </w:p>
        </w:tc>
        <w:tc>
          <w:tcPr>
            <w:tcW w:w="9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E05873" w:rsidP="009112FB">
            <w:pPr>
              <w:pStyle w:val="NoSpacing"/>
              <w:bidi w:val="0"/>
              <w:rPr>
                <w:rFonts w:ascii="Times New Roman" w:hAnsi="Times New Roman" w:cs="Times New Roman"/>
                <w:sz w:val="14"/>
                <w:szCs w:val="14"/>
                <w:lang w:eastAsia="sk-SK"/>
              </w:rPr>
            </w:pPr>
            <w:r w:rsidRPr="00E05873">
              <w:rPr>
                <w:rFonts w:ascii="Times New Roman" w:hAnsi="Times New Roman" w:cs="Times New Roman"/>
                <w:sz w:val="14"/>
                <w:szCs w:val="14"/>
                <w:lang w:eastAsia="sk-SK"/>
              </w:rPr>
              <w:t xml:space="preserve">          2 625   </w:t>
            </w:r>
          </w:p>
        </w:tc>
        <w:tc>
          <w:tcPr>
            <w:tcW w:w="91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E05873" w:rsidP="009112FB">
            <w:pPr>
              <w:pStyle w:val="NoSpacing"/>
              <w:bidi w:val="0"/>
              <w:rPr>
                <w:rFonts w:ascii="Times New Roman" w:hAnsi="Times New Roman" w:cs="Times New Roman"/>
                <w:sz w:val="14"/>
                <w:szCs w:val="14"/>
                <w:lang w:eastAsia="sk-SK"/>
              </w:rPr>
            </w:pPr>
            <w:r w:rsidRPr="00E05873">
              <w:rPr>
                <w:rFonts w:ascii="Times New Roman" w:hAnsi="Times New Roman" w:cs="Times New Roman"/>
                <w:sz w:val="14"/>
                <w:szCs w:val="14"/>
                <w:lang w:eastAsia="sk-SK"/>
              </w:rPr>
              <w:t xml:space="preserve">          2 676   </w:t>
            </w:r>
          </w:p>
        </w:tc>
        <w:tc>
          <w:tcPr>
            <w:tcW w:w="9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E05873" w:rsidP="009112FB">
            <w:pPr>
              <w:pStyle w:val="NoSpacing"/>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r w:rsidRPr="00E05873">
              <w:rPr>
                <w:rFonts w:ascii="Times New Roman" w:hAnsi="Times New Roman" w:cs="Times New Roman"/>
                <w:sz w:val="14"/>
                <w:szCs w:val="14"/>
                <w:lang w:eastAsia="sk-SK"/>
              </w:rPr>
              <w:t xml:space="preserve">  2 672   </w:t>
            </w:r>
          </w:p>
        </w:tc>
        <w:tc>
          <w:tcPr>
            <w:tcW w:w="91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E05873" w:rsidP="009112FB">
            <w:pPr>
              <w:pStyle w:val="NoSpacing"/>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r w:rsidRPr="00E05873">
              <w:rPr>
                <w:rFonts w:ascii="Times New Roman" w:hAnsi="Times New Roman" w:cs="Times New Roman"/>
                <w:sz w:val="14"/>
                <w:szCs w:val="14"/>
                <w:lang w:eastAsia="sk-SK"/>
              </w:rPr>
              <w:t xml:space="preserve"> 2 694   </w:t>
            </w:r>
          </w:p>
        </w:tc>
        <w:tc>
          <w:tcPr>
            <w:tcW w:w="9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E05873" w:rsidP="009112FB">
            <w:pPr>
              <w:pStyle w:val="NoSpacing"/>
              <w:bidi w:val="0"/>
              <w:rPr>
                <w:rFonts w:ascii="Times New Roman" w:hAnsi="Times New Roman" w:cs="Times New Roman"/>
                <w:sz w:val="14"/>
                <w:szCs w:val="14"/>
                <w:lang w:eastAsia="sk-SK"/>
              </w:rPr>
            </w:pPr>
            <w:r>
              <w:rPr>
                <w:rFonts w:ascii="Times New Roman" w:hAnsi="Times New Roman" w:cs="Times New Roman"/>
                <w:sz w:val="14"/>
                <w:szCs w:val="14"/>
                <w:lang w:eastAsia="sk-SK"/>
              </w:rPr>
              <w:t>        </w:t>
            </w:r>
            <w:r w:rsidRPr="00E05873">
              <w:rPr>
                <w:rFonts w:ascii="Times New Roman" w:hAnsi="Times New Roman" w:cs="Times New Roman"/>
                <w:sz w:val="14"/>
                <w:szCs w:val="14"/>
                <w:lang w:eastAsia="sk-SK"/>
              </w:rPr>
              <w:t xml:space="preserve">   2 633   </w:t>
            </w:r>
          </w:p>
        </w:tc>
        <w:tc>
          <w:tcPr>
            <w:tcW w:w="91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E05873" w:rsidP="009112FB">
            <w:pPr>
              <w:pStyle w:val="NoSpacing"/>
              <w:bidi w:val="0"/>
              <w:rPr>
                <w:rFonts w:ascii="Times New Roman" w:hAnsi="Times New Roman" w:cs="Times New Roman"/>
                <w:sz w:val="14"/>
                <w:szCs w:val="14"/>
                <w:lang w:eastAsia="sk-SK"/>
              </w:rPr>
            </w:pPr>
            <w:r w:rsidRPr="00E05873">
              <w:rPr>
                <w:rFonts w:ascii="Times New Roman" w:hAnsi="Times New Roman" w:cs="Times New Roman"/>
                <w:sz w:val="14"/>
                <w:szCs w:val="14"/>
                <w:lang w:eastAsia="sk-SK"/>
              </w:rPr>
              <w:t xml:space="preserve">           2 797   </w:t>
            </w:r>
          </w:p>
        </w:tc>
      </w:tr>
      <w:tr>
        <w:tblPrEx>
          <w:tblW w:w="0" w:type="auto"/>
          <w:tblCellMar>
            <w:left w:w="0" w:type="dxa"/>
            <w:right w:w="0" w:type="dxa"/>
          </w:tblCellMar>
          <w:tblLook w:val="04A0"/>
        </w:tblPrEx>
        <w:trPr>
          <w:trHeight w:val="261"/>
        </w:trPr>
        <w:tc>
          <w:tcPr>
            <w:tcW w:w="265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Priem. mes. prísp. na býv. na 1 vojaka*</w:t>
            </w:r>
          </w:p>
        </w:tc>
        <w:tc>
          <w:tcPr>
            <w:tcW w:w="9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Pr>
                <w:rFonts w:ascii="Times New Roman" w:hAnsi="Times New Roman" w:cs="Times New Roman"/>
                <w:b/>
                <w:bCs/>
                <w:color w:val="000000"/>
                <w:sz w:val="14"/>
                <w:szCs w:val="14"/>
                <w:lang w:eastAsia="sk-SK"/>
              </w:rPr>
              <w:t>      </w:t>
            </w:r>
            <w:r w:rsidRPr="00BE40B7">
              <w:rPr>
                <w:rFonts w:ascii="Times New Roman" w:hAnsi="Times New Roman" w:cs="Times New Roman"/>
                <w:b/>
                <w:bCs/>
                <w:color w:val="000000"/>
                <w:sz w:val="14"/>
                <w:szCs w:val="14"/>
                <w:lang w:eastAsia="sk-SK"/>
              </w:rPr>
              <w:t xml:space="preserve">       188   </w:t>
            </w:r>
          </w:p>
        </w:tc>
        <w:tc>
          <w:tcPr>
            <w:tcW w:w="9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 xml:space="preserve">            190   </w:t>
            </w:r>
          </w:p>
        </w:tc>
        <w:tc>
          <w:tcPr>
            <w:tcW w:w="91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 xml:space="preserve">            190   </w:t>
            </w:r>
          </w:p>
        </w:tc>
        <w:tc>
          <w:tcPr>
            <w:tcW w:w="9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Pr>
                <w:rFonts w:ascii="Times New Roman" w:hAnsi="Times New Roman" w:cs="Times New Roman"/>
                <w:b/>
                <w:bCs/>
                <w:color w:val="000000"/>
                <w:sz w:val="14"/>
                <w:szCs w:val="14"/>
                <w:lang w:eastAsia="sk-SK"/>
              </w:rPr>
              <w:t>       </w:t>
            </w:r>
            <w:r w:rsidRPr="00BE40B7">
              <w:rPr>
                <w:rFonts w:ascii="Times New Roman" w:hAnsi="Times New Roman" w:cs="Times New Roman"/>
                <w:b/>
                <w:bCs/>
                <w:color w:val="000000"/>
                <w:sz w:val="14"/>
                <w:szCs w:val="14"/>
                <w:lang w:eastAsia="sk-SK"/>
              </w:rPr>
              <w:t xml:space="preserve">      190   </w:t>
            </w:r>
          </w:p>
        </w:tc>
        <w:tc>
          <w:tcPr>
            <w:tcW w:w="91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Pr>
                <w:rFonts w:ascii="Times New Roman" w:hAnsi="Times New Roman" w:cs="Times New Roman"/>
                <w:b/>
                <w:bCs/>
                <w:color w:val="000000"/>
                <w:sz w:val="14"/>
                <w:szCs w:val="14"/>
                <w:lang w:eastAsia="sk-SK"/>
              </w:rPr>
              <w:t>        </w:t>
            </w:r>
            <w:r w:rsidRPr="00BE40B7">
              <w:rPr>
                <w:rFonts w:ascii="Times New Roman" w:hAnsi="Times New Roman" w:cs="Times New Roman"/>
                <w:b/>
                <w:bCs/>
                <w:color w:val="000000"/>
                <w:sz w:val="14"/>
                <w:szCs w:val="14"/>
                <w:lang w:eastAsia="sk-SK"/>
              </w:rPr>
              <w:t xml:space="preserve">      190   </w:t>
            </w:r>
          </w:p>
        </w:tc>
        <w:tc>
          <w:tcPr>
            <w:tcW w:w="9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Pr>
                <w:rFonts w:ascii="Times New Roman" w:hAnsi="Times New Roman" w:cs="Times New Roman"/>
                <w:b/>
                <w:bCs/>
                <w:color w:val="000000"/>
                <w:sz w:val="14"/>
                <w:szCs w:val="14"/>
                <w:lang w:eastAsia="sk-SK"/>
              </w:rPr>
              <w:t>   </w:t>
            </w:r>
            <w:r w:rsidRPr="00BE40B7">
              <w:rPr>
                <w:rFonts w:ascii="Times New Roman" w:hAnsi="Times New Roman" w:cs="Times New Roman"/>
                <w:b/>
                <w:bCs/>
                <w:color w:val="000000"/>
                <w:sz w:val="14"/>
                <w:szCs w:val="14"/>
                <w:lang w:eastAsia="sk-SK"/>
              </w:rPr>
              <w:t xml:space="preserve">           190   </w:t>
            </w:r>
          </w:p>
        </w:tc>
        <w:tc>
          <w:tcPr>
            <w:tcW w:w="91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 xml:space="preserve">             190   </w:t>
            </w:r>
          </w:p>
        </w:tc>
      </w:tr>
      <w:tr>
        <w:tblPrEx>
          <w:tblW w:w="0" w:type="auto"/>
          <w:tblCellMar>
            <w:left w:w="0" w:type="dxa"/>
            <w:right w:w="0" w:type="dxa"/>
          </w:tblCellMar>
          <w:tblLook w:val="04A0"/>
        </w:tblPrEx>
        <w:trPr>
          <w:trHeight w:val="261"/>
        </w:trPr>
        <w:tc>
          <w:tcPr>
            <w:tcW w:w="265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color w:val="000000"/>
                <w:sz w:val="14"/>
                <w:szCs w:val="14"/>
                <w:lang w:eastAsia="sk-SK"/>
              </w:rPr>
              <w:t>príspevok na bývanie</w:t>
            </w:r>
          </w:p>
        </w:tc>
        <w:tc>
          <w:tcPr>
            <w:tcW w:w="9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40 041 751</w:t>
            </w:r>
          </w:p>
        </w:tc>
        <w:tc>
          <w:tcPr>
            <w:tcW w:w="9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38 905 512</w:t>
            </w:r>
          </w:p>
        </w:tc>
        <w:tc>
          <w:tcPr>
            <w:tcW w:w="91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39 510 056</w:t>
            </w:r>
          </w:p>
        </w:tc>
        <w:tc>
          <w:tcPr>
            <w:tcW w:w="9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39 446 519</w:t>
            </w:r>
          </w:p>
        </w:tc>
        <w:tc>
          <w:tcPr>
            <w:tcW w:w="91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39 639 241</w:t>
            </w:r>
          </w:p>
        </w:tc>
        <w:tc>
          <w:tcPr>
            <w:tcW w:w="9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38 748 807</w:t>
            </w:r>
          </w:p>
        </w:tc>
        <w:tc>
          <w:tcPr>
            <w:tcW w:w="91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39 649 727</w:t>
            </w:r>
          </w:p>
        </w:tc>
      </w:tr>
      <w:tr>
        <w:tblPrEx>
          <w:tblW w:w="0" w:type="auto"/>
          <w:tblCellMar>
            <w:left w:w="0" w:type="dxa"/>
            <w:right w:w="0" w:type="dxa"/>
          </w:tblCellMar>
          <w:tblLook w:val="04A0"/>
        </w:tblPrEx>
        <w:trPr>
          <w:trHeight w:val="261"/>
        </w:trPr>
        <w:tc>
          <w:tcPr>
            <w:tcW w:w="265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color w:val="000000"/>
                <w:sz w:val="14"/>
                <w:szCs w:val="14"/>
                <w:lang w:eastAsia="sk-SK"/>
              </w:rPr>
              <w:t>počet vojakov</w:t>
            </w:r>
          </w:p>
        </w:tc>
        <w:tc>
          <w:tcPr>
            <w:tcW w:w="9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    </w:t>
            </w:r>
            <w:r w:rsidRPr="00BE40B7">
              <w:rPr>
                <w:rFonts w:ascii="Times New Roman" w:hAnsi="Times New Roman" w:cs="Times New Roman"/>
                <w:color w:val="000000"/>
                <w:sz w:val="14"/>
                <w:szCs w:val="14"/>
                <w:lang w:eastAsia="sk-SK"/>
              </w:rPr>
              <w:t xml:space="preserve">     17 979   </w:t>
            </w:r>
          </w:p>
        </w:tc>
        <w:tc>
          <w:tcPr>
            <w:tcW w:w="9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 xml:space="preserve">        14 823   </w:t>
            </w:r>
          </w:p>
        </w:tc>
        <w:tc>
          <w:tcPr>
            <w:tcW w:w="91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 xml:space="preserve">        14 763   </w:t>
            </w:r>
          </w:p>
        </w:tc>
        <w:tc>
          <w:tcPr>
            <w:tcW w:w="9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 </w:t>
            </w:r>
            <w:r w:rsidRPr="00BE40B7">
              <w:rPr>
                <w:rFonts w:ascii="Times New Roman" w:hAnsi="Times New Roman" w:cs="Times New Roman"/>
                <w:color w:val="000000"/>
                <w:sz w:val="14"/>
                <w:szCs w:val="14"/>
                <w:lang w:eastAsia="sk-SK"/>
              </w:rPr>
              <w:t xml:space="preserve">        14 763   </w:t>
            </w:r>
          </w:p>
        </w:tc>
        <w:tc>
          <w:tcPr>
            <w:tcW w:w="91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      </w:t>
            </w:r>
            <w:r w:rsidRPr="00BE40B7">
              <w:rPr>
                <w:rFonts w:ascii="Times New Roman" w:hAnsi="Times New Roman" w:cs="Times New Roman"/>
                <w:color w:val="000000"/>
                <w:sz w:val="14"/>
                <w:szCs w:val="14"/>
                <w:lang w:eastAsia="sk-SK"/>
              </w:rPr>
              <w:t xml:space="preserve">   14 716   </w:t>
            </w:r>
          </w:p>
        </w:tc>
        <w:tc>
          <w:tcPr>
            <w:tcW w:w="9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     </w:t>
            </w:r>
            <w:r w:rsidRPr="00BE40B7">
              <w:rPr>
                <w:rFonts w:ascii="Times New Roman" w:hAnsi="Times New Roman" w:cs="Times New Roman"/>
                <w:color w:val="000000"/>
                <w:sz w:val="14"/>
                <w:szCs w:val="14"/>
                <w:lang w:eastAsia="sk-SK"/>
              </w:rPr>
              <w:t xml:space="preserve">    14 716   </w:t>
            </w:r>
          </w:p>
        </w:tc>
        <w:tc>
          <w:tcPr>
            <w:tcW w:w="91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 xml:space="preserve">         14 176   </w:t>
            </w:r>
          </w:p>
        </w:tc>
      </w:tr>
    </w:tbl>
    <w:p w:rsidR="00081478" w:rsidRPr="00BE40B7" w:rsidP="00081478">
      <w:pPr>
        <w:bidi w:val="0"/>
        <w:jc w:val="both"/>
        <w:rPr>
          <w:rFonts w:ascii="Times New Roman" w:hAnsi="Times New Roman" w:cs="Times New Roman"/>
          <w:lang w:eastAsia="sk-SK"/>
        </w:rPr>
      </w:pPr>
      <w:r w:rsidRPr="00BE40B7">
        <w:rPr>
          <w:rFonts w:ascii="Times New Roman" w:hAnsi="Times New Roman" w:cs="Times New Roman"/>
          <w:color w:val="000000"/>
          <w:sz w:val="14"/>
          <w:szCs w:val="14"/>
          <w:lang w:eastAsia="sk-SK"/>
        </w:rPr>
        <w:t>*zdroj: MO SR</w:t>
      </w:r>
    </w:p>
    <w:p w:rsidR="00081478" w:rsidRPr="00BE40B7" w:rsidP="00D01F5D">
      <w:pPr>
        <w:bidi w:val="0"/>
        <w:jc w:val="both"/>
        <w:rPr>
          <w:rFonts w:ascii="Times New Roman" w:hAnsi="Times New Roman" w:cs="Times New Roman"/>
          <w:lang w:eastAsia="sk-SK"/>
        </w:rPr>
      </w:pPr>
      <w:r w:rsidRPr="00BE40B7">
        <w:rPr>
          <w:rFonts w:ascii="Times New Roman" w:hAnsi="Times New Roman" w:cs="Times New Roman"/>
          <w:lang w:eastAsia="sk-SK"/>
        </w:rPr>
        <w:t> </w:t>
      </w:r>
      <w:r w:rsidR="00D01F5D">
        <w:rPr>
          <w:rFonts w:ascii="Times New Roman" w:hAnsi="Times New Roman" w:cs="Times New Roman"/>
          <w:lang w:eastAsia="sk-SK"/>
        </w:rPr>
        <w:tab/>
      </w:r>
      <w:r w:rsidRPr="00BE40B7">
        <w:rPr>
          <w:rFonts w:ascii="Times New Roman" w:hAnsi="Times New Roman" w:cs="Times New Roman"/>
          <w:lang w:eastAsia="sk-SK"/>
        </w:rPr>
        <w:t>Mandatórnou dávkou poskytovanou vojakom je aj príspevok na bývanie, ktorý sa vypláca v zmysle  zákona č. 346/2005 Z. z. o štátnej službe profesionálnych vojakov ozbrojených síl Slovenskej republiky. Výška príspevku na bývanie ostala v roku 2012 približne na úrovni schváleného rozpočtu roku 2011. Priemerný príspevok na bývanie na 1 vojaka sa v roku 2012 zvýšil oproti schválenému rozpo</w:t>
      </w:r>
      <w:r>
        <w:rPr>
          <w:rFonts w:ascii="Times New Roman" w:hAnsi="Times New Roman" w:cs="Times New Roman"/>
          <w:lang w:eastAsia="sk-SK"/>
        </w:rPr>
        <w:t>čtu roku 2011 o 18 eur (0,67 %).</w:t>
      </w:r>
    </w:p>
    <w:p w:rsidR="00081478" w:rsidRPr="00BE40B7" w:rsidP="00081478">
      <w:pPr>
        <w:bidi w:val="0"/>
        <w:jc w:val="both"/>
        <w:rPr>
          <w:rFonts w:ascii="Times New Roman" w:hAnsi="Times New Roman" w:cs="Times New Roman"/>
          <w:lang w:eastAsia="sk-SK"/>
        </w:rPr>
      </w:pPr>
      <w:r w:rsidRPr="00BE40B7">
        <w:rPr>
          <w:rFonts w:ascii="Times New Roman" w:hAnsi="Times New Roman" w:cs="Times New Roman"/>
          <w:lang w:eastAsia="sk-SK"/>
        </w:rPr>
        <w:t> </w:t>
      </w:r>
    </w:p>
    <w:tbl>
      <w:tblPr>
        <w:tblStyle w:val="TableNormal"/>
        <w:tblW w:w="4924" w:type="pct"/>
        <w:tblCellMar>
          <w:left w:w="0" w:type="dxa"/>
          <w:right w:w="0" w:type="dxa"/>
        </w:tblCellMar>
        <w:tblLook w:val="04A0"/>
      </w:tblPr>
      <w:tblGrid>
        <w:gridCol w:w="2035"/>
        <w:gridCol w:w="1009"/>
        <w:gridCol w:w="1009"/>
        <w:gridCol w:w="1007"/>
        <w:gridCol w:w="1007"/>
        <w:gridCol w:w="1007"/>
        <w:gridCol w:w="1007"/>
        <w:gridCol w:w="991"/>
      </w:tblGrid>
      <w:tr>
        <w:tblPrEx>
          <w:tblW w:w="4924" w:type="pct"/>
          <w:tblCellMar>
            <w:left w:w="0" w:type="dxa"/>
            <w:right w:w="0" w:type="dxa"/>
          </w:tblCellMar>
          <w:tblLook w:val="04A0"/>
        </w:tblPrEx>
        <w:trPr>
          <w:trHeight w:val="261"/>
        </w:trPr>
        <w:tc>
          <w:tcPr>
            <w:tcW w:w="1122"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b/>
                <w:bCs/>
                <w:sz w:val="14"/>
                <w:szCs w:val="14"/>
                <w:lang w:eastAsia="sk-SK"/>
              </w:rPr>
              <w:t>v eurách</w:t>
            </w:r>
          </w:p>
        </w:tc>
        <w:tc>
          <w:tcPr>
            <w:tcW w:w="556"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2009 S</w:t>
            </w:r>
          </w:p>
        </w:tc>
        <w:tc>
          <w:tcPr>
            <w:tcW w:w="556"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2010 S</w:t>
            </w:r>
          </w:p>
        </w:tc>
        <w:tc>
          <w:tcPr>
            <w:tcW w:w="555"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2011 R</w:t>
            </w:r>
          </w:p>
        </w:tc>
        <w:tc>
          <w:tcPr>
            <w:tcW w:w="555"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2011 OS</w:t>
            </w:r>
          </w:p>
        </w:tc>
        <w:tc>
          <w:tcPr>
            <w:tcW w:w="555"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2012 N</w:t>
            </w:r>
          </w:p>
        </w:tc>
        <w:tc>
          <w:tcPr>
            <w:tcW w:w="555"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2013 N</w:t>
            </w:r>
          </w:p>
        </w:tc>
        <w:tc>
          <w:tcPr>
            <w:tcW w:w="546"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2014 N</w:t>
            </w:r>
          </w:p>
        </w:tc>
      </w:tr>
      <w:tr>
        <w:tblPrEx>
          <w:tblW w:w="4924" w:type="pct"/>
          <w:tblCellMar>
            <w:left w:w="0" w:type="dxa"/>
            <w:right w:w="0" w:type="dxa"/>
          </w:tblCellMar>
          <w:tblLook w:val="04A0"/>
        </w:tblPrEx>
        <w:trPr>
          <w:trHeight w:val="261"/>
        </w:trPr>
        <w:tc>
          <w:tcPr>
            <w:tcW w:w="1122"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Operácie mimo územia štátu</w:t>
            </w:r>
          </w:p>
        </w:tc>
        <w:tc>
          <w:tcPr>
            <w:tcW w:w="55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40 465 313</w:t>
            </w:r>
          </w:p>
        </w:tc>
        <w:tc>
          <w:tcPr>
            <w:tcW w:w="55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45 019 950</w:t>
            </w:r>
          </w:p>
        </w:tc>
        <w:tc>
          <w:tcPr>
            <w:tcW w:w="55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40 501 404</w:t>
            </w:r>
          </w:p>
        </w:tc>
        <w:tc>
          <w:tcPr>
            <w:tcW w:w="55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51 129 653</w:t>
            </w:r>
          </w:p>
        </w:tc>
        <w:tc>
          <w:tcPr>
            <w:tcW w:w="55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4F3AD8" w:rsidP="009112FB">
            <w:pPr>
              <w:bidi w:val="0"/>
              <w:jc w:val="right"/>
              <w:rPr>
                <w:rFonts w:ascii="Times New Roman" w:hAnsi="Times New Roman" w:cs="Times New Roman"/>
                <w:b/>
                <w:bCs/>
                <w:color w:val="000000"/>
                <w:sz w:val="14"/>
                <w:szCs w:val="14"/>
                <w:highlight w:val="yellow"/>
              </w:rPr>
            </w:pPr>
            <w:r w:rsidRPr="007E5C61">
              <w:rPr>
                <w:rFonts w:ascii="Times New Roman" w:hAnsi="Times New Roman" w:cs="Times New Roman"/>
                <w:b/>
                <w:bCs/>
                <w:color w:val="000000"/>
                <w:sz w:val="14"/>
                <w:szCs w:val="14"/>
              </w:rPr>
              <w:t>49 977 388</w:t>
            </w:r>
          </w:p>
        </w:tc>
        <w:tc>
          <w:tcPr>
            <w:tcW w:w="55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22 841 778</w:t>
            </w:r>
          </w:p>
        </w:tc>
        <w:tc>
          <w:tcPr>
            <w:tcW w:w="54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color w:val="000000"/>
                <w:sz w:val="14"/>
                <w:szCs w:val="14"/>
                <w:lang w:eastAsia="sk-SK"/>
              </w:rPr>
              <w:t>22 841 778</w:t>
            </w:r>
          </w:p>
        </w:tc>
      </w:tr>
      <w:tr>
        <w:tblPrEx>
          <w:tblW w:w="4924" w:type="pct"/>
          <w:tblCellMar>
            <w:left w:w="0" w:type="dxa"/>
            <w:right w:w="0" w:type="dxa"/>
          </w:tblCellMar>
          <w:tblLook w:val="04A0"/>
        </w:tblPrEx>
        <w:trPr>
          <w:trHeight w:val="261"/>
        </w:trPr>
        <w:tc>
          <w:tcPr>
            <w:tcW w:w="1122"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color w:val="000000"/>
                <w:sz w:val="14"/>
                <w:szCs w:val="14"/>
                <w:lang w:eastAsia="sk-SK"/>
              </w:rPr>
              <w:t>Osobné výdavky</w:t>
            </w:r>
          </w:p>
        </w:tc>
        <w:tc>
          <w:tcPr>
            <w:tcW w:w="55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 xml:space="preserve">20 064 980 </w:t>
            </w:r>
          </w:p>
        </w:tc>
        <w:tc>
          <w:tcPr>
            <w:tcW w:w="55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 xml:space="preserve">22 217 812 </w:t>
            </w:r>
          </w:p>
        </w:tc>
        <w:tc>
          <w:tcPr>
            <w:tcW w:w="55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 xml:space="preserve">19 585 441 </w:t>
            </w:r>
          </w:p>
        </w:tc>
        <w:tc>
          <w:tcPr>
            <w:tcW w:w="55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 xml:space="preserve">20 309 284 </w:t>
            </w:r>
          </w:p>
        </w:tc>
        <w:tc>
          <w:tcPr>
            <w:tcW w:w="55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 xml:space="preserve">22 680 925 </w:t>
            </w:r>
          </w:p>
        </w:tc>
        <w:tc>
          <w:tcPr>
            <w:tcW w:w="55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22 642 578</w:t>
            </w:r>
          </w:p>
        </w:tc>
        <w:tc>
          <w:tcPr>
            <w:tcW w:w="54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22 642 578</w:t>
            </w:r>
          </w:p>
        </w:tc>
      </w:tr>
      <w:tr>
        <w:tblPrEx>
          <w:tblW w:w="4924" w:type="pct"/>
          <w:tblCellMar>
            <w:left w:w="0" w:type="dxa"/>
            <w:right w:w="0" w:type="dxa"/>
          </w:tblCellMar>
          <w:tblLook w:val="04A0"/>
        </w:tblPrEx>
        <w:trPr>
          <w:trHeight w:val="261"/>
        </w:trPr>
        <w:tc>
          <w:tcPr>
            <w:tcW w:w="1122"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color w:val="000000"/>
                <w:sz w:val="14"/>
                <w:szCs w:val="14"/>
                <w:lang w:eastAsia="sk-SK"/>
              </w:rPr>
              <w:t>Tovary a služby</w:t>
            </w:r>
          </w:p>
        </w:tc>
        <w:tc>
          <w:tcPr>
            <w:tcW w:w="55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 xml:space="preserve">18 682 911 </w:t>
            </w:r>
          </w:p>
        </w:tc>
        <w:tc>
          <w:tcPr>
            <w:tcW w:w="55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 xml:space="preserve">20 966 071 </w:t>
            </w:r>
          </w:p>
        </w:tc>
        <w:tc>
          <w:tcPr>
            <w:tcW w:w="55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 xml:space="preserve">19 648 006 </w:t>
            </w:r>
          </w:p>
        </w:tc>
        <w:tc>
          <w:tcPr>
            <w:tcW w:w="55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 xml:space="preserve">28 963 871 </w:t>
            </w:r>
          </w:p>
        </w:tc>
        <w:tc>
          <w:tcPr>
            <w:tcW w:w="55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4F3AD8" w:rsidP="009112FB">
            <w:pPr>
              <w:bidi w:val="0"/>
              <w:jc w:val="right"/>
              <w:rPr>
                <w:rFonts w:ascii="Times New Roman" w:hAnsi="Times New Roman" w:cs="Times New Roman"/>
                <w:sz w:val="14"/>
                <w:szCs w:val="14"/>
                <w:highlight w:val="yellow"/>
              </w:rPr>
            </w:pPr>
            <w:r w:rsidRPr="007E5C61">
              <w:rPr>
                <w:rFonts w:ascii="Times New Roman" w:hAnsi="Times New Roman" w:cs="Times New Roman"/>
                <w:sz w:val="14"/>
                <w:szCs w:val="14"/>
              </w:rPr>
              <w:t>27 296 463</w:t>
            </w:r>
            <w:r w:rsidRPr="004F3AD8">
              <w:rPr>
                <w:rFonts w:ascii="Times New Roman" w:hAnsi="Times New Roman" w:cs="Times New Roman"/>
                <w:sz w:val="14"/>
                <w:szCs w:val="14"/>
                <w:highlight w:val="yellow"/>
              </w:rPr>
              <w:t xml:space="preserve"> </w:t>
            </w:r>
          </w:p>
        </w:tc>
        <w:tc>
          <w:tcPr>
            <w:tcW w:w="55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199 200</w:t>
            </w:r>
          </w:p>
        </w:tc>
        <w:tc>
          <w:tcPr>
            <w:tcW w:w="54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199 200</w:t>
            </w:r>
          </w:p>
        </w:tc>
      </w:tr>
      <w:tr>
        <w:tblPrEx>
          <w:tblW w:w="4924" w:type="pct"/>
          <w:tblCellMar>
            <w:left w:w="0" w:type="dxa"/>
            <w:right w:w="0" w:type="dxa"/>
          </w:tblCellMar>
          <w:tblLook w:val="04A0"/>
        </w:tblPrEx>
        <w:trPr>
          <w:trHeight w:val="261"/>
        </w:trPr>
        <w:tc>
          <w:tcPr>
            <w:tcW w:w="1122"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color w:val="000000"/>
                <w:sz w:val="14"/>
                <w:szCs w:val="14"/>
                <w:lang w:eastAsia="sk-SK"/>
              </w:rPr>
              <w:t>Transfery</w:t>
            </w:r>
          </w:p>
        </w:tc>
        <w:tc>
          <w:tcPr>
            <w:tcW w:w="55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 xml:space="preserve">1 717 422 </w:t>
            </w:r>
          </w:p>
        </w:tc>
        <w:tc>
          <w:tcPr>
            <w:tcW w:w="55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 xml:space="preserve">1 836 067 </w:t>
            </w:r>
          </w:p>
        </w:tc>
        <w:tc>
          <w:tcPr>
            <w:tcW w:w="55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 xml:space="preserve">1 267 957 </w:t>
            </w:r>
          </w:p>
        </w:tc>
        <w:tc>
          <w:tcPr>
            <w:tcW w:w="55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 xml:space="preserve">1 856 498 </w:t>
            </w:r>
          </w:p>
        </w:tc>
        <w:tc>
          <w:tcPr>
            <w:tcW w:w="55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 xml:space="preserve">0 </w:t>
            </w:r>
          </w:p>
        </w:tc>
        <w:tc>
          <w:tcPr>
            <w:tcW w:w="55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0</w:t>
            </w:r>
          </w:p>
        </w:tc>
        <w:tc>
          <w:tcPr>
            <w:tcW w:w="54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color w:val="000000"/>
                <w:sz w:val="14"/>
                <w:szCs w:val="14"/>
                <w:lang w:eastAsia="sk-SK"/>
              </w:rPr>
              <w:t>0</w:t>
            </w:r>
          </w:p>
        </w:tc>
      </w:tr>
    </w:tbl>
    <w:p w:rsidR="00081478" w:rsidRPr="00BE40B7" w:rsidP="00081478">
      <w:pPr>
        <w:bidi w:val="0"/>
        <w:jc w:val="both"/>
        <w:rPr>
          <w:rFonts w:ascii="Times New Roman" w:hAnsi="Times New Roman" w:cs="Times New Roman"/>
          <w:lang w:eastAsia="sk-SK"/>
        </w:rPr>
      </w:pPr>
      <w:r w:rsidRPr="00BE40B7">
        <w:rPr>
          <w:rFonts w:ascii="Times New Roman" w:hAnsi="Times New Roman" w:cs="Times New Roman"/>
          <w:lang w:eastAsia="sk-SK"/>
        </w:rPr>
        <w:t> </w:t>
      </w:r>
    </w:p>
    <w:p w:rsidR="00081478" w:rsidRPr="00BE40B7" w:rsidP="00081478">
      <w:pPr>
        <w:bidi w:val="0"/>
        <w:ind w:firstLine="708"/>
        <w:jc w:val="both"/>
        <w:rPr>
          <w:rFonts w:ascii="Times New Roman" w:hAnsi="Times New Roman" w:cs="Times New Roman"/>
          <w:lang w:eastAsia="sk-SK"/>
        </w:rPr>
      </w:pPr>
      <w:r w:rsidRPr="00BE40B7">
        <w:rPr>
          <w:rFonts w:ascii="Times New Roman" w:hAnsi="Times New Roman" w:cs="Times New Roman"/>
          <w:lang w:eastAsia="sk-SK"/>
        </w:rPr>
        <w:t>V oblasti operácií mimo územia štátu došlo oproti schválenému rozpočtu na rok 2011 k </w:t>
      </w:r>
      <w:r w:rsidRPr="007E5C61">
        <w:rPr>
          <w:rFonts w:ascii="Times New Roman" w:hAnsi="Times New Roman" w:cs="Times New Roman"/>
          <w:lang w:eastAsia="sk-SK"/>
        </w:rPr>
        <w:t>nárastu</w:t>
      </w:r>
      <w:r>
        <w:rPr>
          <w:rFonts w:ascii="Times New Roman" w:hAnsi="Times New Roman" w:cs="Times New Roman"/>
          <w:lang w:eastAsia="sk-SK"/>
        </w:rPr>
        <w:t xml:space="preserve"> o </w:t>
      </w:r>
      <w:r w:rsidRPr="007E5C61">
        <w:rPr>
          <w:rFonts w:ascii="Times New Roman" w:hAnsi="Times New Roman" w:cs="Times New Roman"/>
          <w:lang w:eastAsia="sk-SK"/>
        </w:rPr>
        <w:t>9,48 mil</w:t>
      </w:r>
      <w:r w:rsidRPr="00BE40B7">
        <w:rPr>
          <w:rFonts w:ascii="Times New Roman" w:hAnsi="Times New Roman" w:cs="Times New Roman"/>
          <w:lang w:eastAsia="sk-SK"/>
        </w:rPr>
        <w:t xml:space="preserve">. eur </w:t>
      </w:r>
      <w:r w:rsidRPr="007E5C61">
        <w:rPr>
          <w:rFonts w:ascii="Times New Roman" w:hAnsi="Times New Roman" w:cs="Times New Roman"/>
          <w:lang w:eastAsia="sk-SK"/>
        </w:rPr>
        <w:t>(23,4</w:t>
      </w:r>
      <w:r w:rsidRPr="00BE40B7">
        <w:rPr>
          <w:rFonts w:ascii="Times New Roman" w:hAnsi="Times New Roman" w:cs="Times New Roman"/>
          <w:lang w:eastAsia="sk-SK"/>
        </w:rPr>
        <w:t xml:space="preserve"> %). K augustu 2011 pôsobilo v rámci operácií mimo územia štátu 560 vojakov, čo predstavuje medziročný pokles o 118 vojakov. Oproti minulému roku bola ukončená misia v Kosove. Slovenskí vojaci pôsobia v nasledovných misiách:</w:t>
      </w:r>
    </w:p>
    <w:p w:rsidR="00081478" w:rsidRPr="00BE40B7" w:rsidP="00081478">
      <w:pPr>
        <w:bidi w:val="0"/>
        <w:jc w:val="both"/>
        <w:rPr>
          <w:rFonts w:ascii="Times New Roman" w:hAnsi="Times New Roman" w:cs="Times New Roman"/>
          <w:lang w:eastAsia="sk-SK"/>
        </w:rPr>
      </w:pPr>
      <w:r w:rsidRPr="00BE40B7">
        <w:rPr>
          <w:rFonts w:ascii="Times New Roman" w:hAnsi="Times New Roman" w:cs="Times New Roman"/>
          <w:lang w:eastAsia="sk-SK"/>
        </w:rPr>
        <w:t> </w:t>
      </w:r>
    </w:p>
    <w:p w:rsidR="00081478" w:rsidRPr="00BE40B7" w:rsidP="00081478">
      <w:pPr>
        <w:bidi w:val="0"/>
        <w:ind w:firstLine="708"/>
        <w:jc w:val="both"/>
        <w:rPr>
          <w:rFonts w:ascii="Times New Roman" w:hAnsi="Times New Roman" w:cs="Times New Roman"/>
          <w:lang w:eastAsia="sk-SK"/>
        </w:rPr>
      </w:pPr>
      <w:r w:rsidRPr="00BE40B7">
        <w:rPr>
          <w:rFonts w:ascii="Times New Roman" w:hAnsi="Times New Roman" w:cs="Times New Roman"/>
          <w:lang w:eastAsia="sk-SK"/>
        </w:rPr>
        <w:t xml:space="preserve">Operácie OSN: UNFICYP Cyprus – 198 osôb, UNTSO Sýria – 3 osoby, </w:t>
      </w:r>
    </w:p>
    <w:p w:rsidR="00081478" w:rsidRPr="00BE40B7" w:rsidP="00081478">
      <w:pPr>
        <w:bidi w:val="0"/>
        <w:ind w:firstLine="708"/>
        <w:jc w:val="both"/>
        <w:rPr>
          <w:rFonts w:ascii="Times New Roman" w:hAnsi="Times New Roman" w:cs="Times New Roman"/>
          <w:lang w:eastAsia="sk-SK"/>
        </w:rPr>
      </w:pPr>
      <w:r w:rsidRPr="00BE40B7">
        <w:rPr>
          <w:rFonts w:ascii="Times New Roman" w:hAnsi="Times New Roman" w:cs="Times New Roman"/>
          <w:lang w:eastAsia="sk-SK"/>
        </w:rPr>
        <w:t>Operácie EU: Althea Bosna - 45 osôb, Pozorovateľná misia EUMM – 1 osoba</w:t>
      </w:r>
    </w:p>
    <w:p w:rsidR="00081478" w:rsidRPr="00BE40B7" w:rsidP="00081478">
      <w:pPr>
        <w:bidi w:val="0"/>
        <w:ind w:firstLine="708"/>
        <w:jc w:val="both"/>
        <w:rPr>
          <w:rFonts w:ascii="Times New Roman" w:hAnsi="Times New Roman" w:cs="Times New Roman"/>
          <w:lang w:eastAsia="sk-SK"/>
        </w:rPr>
      </w:pPr>
      <w:r w:rsidRPr="00BE40B7">
        <w:rPr>
          <w:rFonts w:ascii="Times New Roman" w:hAnsi="Times New Roman" w:cs="Times New Roman"/>
          <w:lang w:eastAsia="sk-SK"/>
        </w:rPr>
        <w:t>Operácie NATO: ISAF Afganistan - 312 osôb, NATO HQ Sarajevo – 1 osoba</w:t>
      </w:r>
    </w:p>
    <w:p w:rsidR="00081478" w:rsidRPr="00BE40B7" w:rsidP="00081478">
      <w:pPr>
        <w:bidi w:val="0"/>
        <w:ind w:firstLine="708"/>
        <w:jc w:val="both"/>
        <w:rPr>
          <w:rFonts w:ascii="Times New Roman" w:hAnsi="Times New Roman" w:cs="Times New Roman"/>
          <w:lang w:eastAsia="sk-SK"/>
        </w:rPr>
      </w:pPr>
      <w:r w:rsidRPr="00BE40B7">
        <w:rPr>
          <w:rFonts w:ascii="Times New Roman" w:hAnsi="Times New Roman" w:cs="Times New Roman"/>
          <w:lang w:eastAsia="sk-SK"/>
        </w:rPr>
        <w:t>SPOLU: 560 vojakov k 4. augustu 2011</w:t>
      </w:r>
    </w:p>
    <w:p w:rsidR="00081478" w:rsidRPr="00BE40B7" w:rsidP="00081478">
      <w:pPr>
        <w:bidi w:val="0"/>
        <w:spacing w:after="120"/>
        <w:jc w:val="both"/>
        <w:rPr>
          <w:rFonts w:ascii="Times New Roman" w:hAnsi="Times New Roman" w:cs="Times New Roman"/>
          <w:lang w:eastAsia="sk-SK"/>
        </w:rPr>
      </w:pPr>
      <w:r w:rsidRPr="00BE40B7">
        <w:rPr>
          <w:rFonts w:ascii="Times New Roman" w:hAnsi="Times New Roman" w:cs="Times New Roman"/>
          <w:i/>
          <w:iCs/>
          <w:lang w:eastAsia="sk-SK"/>
        </w:rPr>
        <w:t> </w:t>
      </w:r>
    </w:p>
    <w:tbl>
      <w:tblPr>
        <w:tblStyle w:val="TableNormal"/>
        <w:tblW w:w="0" w:type="auto"/>
        <w:tblCellMar>
          <w:left w:w="0" w:type="dxa"/>
          <w:right w:w="0" w:type="dxa"/>
        </w:tblCellMar>
        <w:tblLook w:val="04A0"/>
      </w:tblPr>
      <w:tblGrid>
        <w:gridCol w:w="3077"/>
        <w:gridCol w:w="861"/>
        <w:gridCol w:w="862"/>
        <w:gridCol w:w="862"/>
        <w:gridCol w:w="861"/>
        <w:gridCol w:w="862"/>
        <w:gridCol w:w="862"/>
        <w:gridCol w:w="862"/>
      </w:tblGrid>
      <w:tr>
        <w:tblPrEx>
          <w:tblW w:w="0" w:type="auto"/>
          <w:tblCellMar>
            <w:left w:w="0" w:type="dxa"/>
            <w:right w:w="0" w:type="dxa"/>
          </w:tblCellMar>
          <w:tblLook w:val="04A0"/>
        </w:tblPrEx>
        <w:trPr>
          <w:trHeight w:val="261"/>
        </w:trPr>
        <w:tc>
          <w:tcPr>
            <w:tcW w:w="30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b/>
                <w:bCs/>
                <w:sz w:val="14"/>
                <w:szCs w:val="14"/>
                <w:lang w:eastAsia="sk-SK"/>
              </w:rPr>
              <w:t>v eurách</w:t>
            </w:r>
          </w:p>
        </w:tc>
        <w:tc>
          <w:tcPr>
            <w:tcW w:w="86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2009 S</w:t>
            </w:r>
          </w:p>
        </w:tc>
        <w:tc>
          <w:tcPr>
            <w:tcW w:w="86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2010 S</w:t>
            </w:r>
          </w:p>
        </w:tc>
        <w:tc>
          <w:tcPr>
            <w:tcW w:w="86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2011 R</w:t>
            </w:r>
          </w:p>
        </w:tc>
        <w:tc>
          <w:tcPr>
            <w:tcW w:w="86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2011 OS</w:t>
            </w:r>
          </w:p>
        </w:tc>
        <w:tc>
          <w:tcPr>
            <w:tcW w:w="86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2012 N</w:t>
            </w:r>
          </w:p>
        </w:tc>
        <w:tc>
          <w:tcPr>
            <w:tcW w:w="86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2013 N</w:t>
            </w:r>
          </w:p>
        </w:tc>
        <w:tc>
          <w:tcPr>
            <w:tcW w:w="86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center"/>
              <w:rPr>
                <w:rFonts w:ascii="Times New Roman" w:hAnsi="Times New Roman" w:cs="Times New Roman"/>
                <w:lang w:eastAsia="sk-SK"/>
              </w:rPr>
            </w:pPr>
            <w:r w:rsidRPr="00BE40B7">
              <w:rPr>
                <w:rFonts w:ascii="Times New Roman" w:hAnsi="Times New Roman" w:cs="Times New Roman"/>
                <w:b/>
                <w:bCs/>
                <w:sz w:val="14"/>
                <w:szCs w:val="14"/>
                <w:lang w:eastAsia="sk-SK"/>
              </w:rPr>
              <w:t>2014 N</w:t>
            </w:r>
          </w:p>
        </w:tc>
      </w:tr>
      <w:tr>
        <w:tblPrEx>
          <w:tblW w:w="0" w:type="auto"/>
          <w:tblCellMar>
            <w:left w:w="0" w:type="dxa"/>
            <w:right w:w="0" w:type="dxa"/>
          </w:tblCellMar>
          <w:tblLook w:val="04A0"/>
        </w:tblPrEx>
        <w:trPr>
          <w:trHeight w:val="261"/>
        </w:trPr>
        <w:tc>
          <w:tcPr>
            <w:tcW w:w="30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b/>
                <w:bCs/>
                <w:sz w:val="14"/>
                <w:szCs w:val="14"/>
                <w:lang w:eastAsia="sk-SK"/>
              </w:rPr>
              <w:t>Operácie MKM</w:t>
            </w:r>
          </w:p>
        </w:tc>
        <w:tc>
          <w:tcPr>
            <w:tcW w:w="86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40 468 419</w:t>
            </w:r>
          </w:p>
        </w:tc>
        <w:tc>
          <w:tcPr>
            <w:tcW w:w="86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45 019 405</w:t>
            </w:r>
          </w:p>
        </w:tc>
        <w:tc>
          <w:tcPr>
            <w:tcW w:w="86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40 501 404</w:t>
            </w:r>
          </w:p>
        </w:tc>
        <w:tc>
          <w:tcPr>
            <w:tcW w:w="86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51 129 653</w:t>
            </w:r>
          </w:p>
        </w:tc>
        <w:tc>
          <w:tcPr>
            <w:tcW w:w="86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7E5C61" w:rsidP="009112FB">
            <w:pPr>
              <w:bidi w:val="0"/>
              <w:jc w:val="right"/>
              <w:rPr>
                <w:rFonts w:ascii="Times New Roman" w:hAnsi="Times New Roman" w:cs="Times New Roman"/>
                <w:b/>
                <w:bCs/>
                <w:sz w:val="14"/>
                <w:szCs w:val="14"/>
              </w:rPr>
            </w:pPr>
            <w:r w:rsidRPr="007E5C61">
              <w:rPr>
                <w:rFonts w:ascii="Times New Roman" w:hAnsi="Times New Roman" w:cs="Times New Roman"/>
                <w:b/>
                <w:bCs/>
                <w:sz w:val="14"/>
                <w:szCs w:val="14"/>
              </w:rPr>
              <w:t>49 977 388</w:t>
            </w:r>
          </w:p>
        </w:tc>
        <w:tc>
          <w:tcPr>
            <w:tcW w:w="86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22 841 778</w:t>
            </w:r>
          </w:p>
        </w:tc>
        <w:tc>
          <w:tcPr>
            <w:tcW w:w="86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b/>
                <w:bCs/>
                <w:sz w:val="14"/>
                <w:szCs w:val="14"/>
                <w:lang w:eastAsia="sk-SK"/>
              </w:rPr>
              <w:t>22 841 778</w:t>
            </w:r>
          </w:p>
        </w:tc>
      </w:tr>
      <w:tr>
        <w:tblPrEx>
          <w:tblW w:w="0" w:type="auto"/>
          <w:tblCellMar>
            <w:left w:w="0" w:type="dxa"/>
            <w:right w:w="0" w:type="dxa"/>
          </w:tblCellMar>
          <w:tblLook w:val="04A0"/>
        </w:tblPrEx>
        <w:trPr>
          <w:trHeight w:val="261"/>
        </w:trPr>
        <w:tc>
          <w:tcPr>
            <w:tcW w:w="307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sz w:val="14"/>
                <w:szCs w:val="14"/>
                <w:lang w:eastAsia="sk-SK"/>
              </w:rPr>
              <w:t>ISAF v Afganistane</w:t>
            </w:r>
          </w:p>
        </w:tc>
        <w:tc>
          <w:tcPr>
            <w:tcW w:w="86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24 853 174</w:t>
            </w:r>
          </w:p>
        </w:tc>
        <w:tc>
          <w:tcPr>
            <w:tcW w:w="86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30 057 317</w:t>
            </w:r>
          </w:p>
        </w:tc>
        <w:tc>
          <w:tcPr>
            <w:tcW w:w="86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29 322 568</w:t>
            </w:r>
          </w:p>
        </w:tc>
        <w:tc>
          <w:tcPr>
            <w:tcW w:w="86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38 639 388</w:t>
            </w:r>
          </w:p>
        </w:tc>
        <w:tc>
          <w:tcPr>
            <w:tcW w:w="86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7E5C61" w:rsidP="009112FB">
            <w:pPr>
              <w:bidi w:val="0"/>
              <w:jc w:val="right"/>
              <w:rPr>
                <w:rFonts w:ascii="Times New Roman" w:hAnsi="Times New Roman" w:cs="Times New Roman"/>
                <w:sz w:val="14"/>
                <w:szCs w:val="14"/>
              </w:rPr>
            </w:pPr>
            <w:r w:rsidRPr="007E5C61">
              <w:rPr>
                <w:rFonts w:ascii="Times New Roman" w:hAnsi="Times New Roman" w:cs="Times New Roman"/>
                <w:sz w:val="14"/>
                <w:szCs w:val="14"/>
              </w:rPr>
              <w:t>43 957 103</w:t>
            </w:r>
          </w:p>
        </w:tc>
        <w:tc>
          <w:tcPr>
            <w:tcW w:w="86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16 860 140</w:t>
            </w:r>
          </w:p>
        </w:tc>
        <w:tc>
          <w:tcPr>
            <w:tcW w:w="86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16 860 140</w:t>
            </w:r>
          </w:p>
        </w:tc>
      </w:tr>
      <w:tr>
        <w:tblPrEx>
          <w:tblW w:w="0" w:type="auto"/>
          <w:tblCellMar>
            <w:left w:w="0" w:type="dxa"/>
            <w:right w:w="0" w:type="dxa"/>
          </w:tblCellMar>
          <w:tblLook w:val="04A0"/>
        </w:tblPrEx>
        <w:trPr>
          <w:trHeight w:val="261"/>
        </w:trPr>
        <w:tc>
          <w:tcPr>
            <w:tcW w:w="307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sz w:val="14"/>
                <w:szCs w:val="14"/>
                <w:lang w:eastAsia="sk-SK"/>
              </w:rPr>
              <w:t>ALTHEA (Bosna a Hercegovina)</w:t>
            </w:r>
          </w:p>
        </w:tc>
        <w:tc>
          <w:tcPr>
            <w:tcW w:w="86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2 523 102</w:t>
            </w:r>
          </w:p>
        </w:tc>
        <w:tc>
          <w:tcPr>
            <w:tcW w:w="86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2 124 861</w:t>
            </w:r>
          </w:p>
        </w:tc>
        <w:tc>
          <w:tcPr>
            <w:tcW w:w="86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3 399 789</w:t>
            </w:r>
          </w:p>
        </w:tc>
        <w:tc>
          <w:tcPr>
            <w:tcW w:w="86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4 998 959</w:t>
            </w:r>
          </w:p>
        </w:tc>
        <w:tc>
          <w:tcPr>
            <w:tcW w:w="86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2 332 405</w:t>
            </w:r>
          </w:p>
        </w:tc>
        <w:tc>
          <w:tcPr>
            <w:tcW w:w="86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2 332 405</w:t>
            </w:r>
          </w:p>
        </w:tc>
        <w:tc>
          <w:tcPr>
            <w:tcW w:w="86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2 332 405</w:t>
            </w:r>
          </w:p>
        </w:tc>
      </w:tr>
      <w:tr>
        <w:tblPrEx>
          <w:tblW w:w="0" w:type="auto"/>
          <w:tblCellMar>
            <w:left w:w="0" w:type="dxa"/>
            <w:right w:w="0" w:type="dxa"/>
          </w:tblCellMar>
          <w:tblLook w:val="04A0"/>
        </w:tblPrEx>
        <w:trPr>
          <w:trHeight w:val="261"/>
        </w:trPr>
        <w:tc>
          <w:tcPr>
            <w:tcW w:w="307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sz w:val="14"/>
                <w:szCs w:val="14"/>
                <w:lang w:eastAsia="sk-SK"/>
              </w:rPr>
              <w:t>Misia EUMM Gruzínsko</w:t>
            </w:r>
          </w:p>
        </w:tc>
        <w:tc>
          <w:tcPr>
            <w:tcW w:w="86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117 573</w:t>
            </w:r>
          </w:p>
        </w:tc>
        <w:tc>
          <w:tcPr>
            <w:tcW w:w="86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121 713</w:t>
            </w:r>
          </w:p>
        </w:tc>
        <w:tc>
          <w:tcPr>
            <w:tcW w:w="86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314 425</w:t>
            </w:r>
          </w:p>
        </w:tc>
        <w:tc>
          <w:tcPr>
            <w:tcW w:w="86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201 558</w:t>
            </w:r>
          </w:p>
        </w:tc>
        <w:tc>
          <w:tcPr>
            <w:tcW w:w="86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197 287</w:t>
            </w:r>
          </w:p>
        </w:tc>
        <w:tc>
          <w:tcPr>
            <w:tcW w:w="86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158 928</w:t>
            </w:r>
          </w:p>
        </w:tc>
        <w:tc>
          <w:tcPr>
            <w:tcW w:w="86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158 928</w:t>
            </w:r>
          </w:p>
        </w:tc>
      </w:tr>
      <w:tr>
        <w:tblPrEx>
          <w:tblW w:w="0" w:type="auto"/>
          <w:tblCellMar>
            <w:left w:w="0" w:type="dxa"/>
            <w:right w:w="0" w:type="dxa"/>
          </w:tblCellMar>
          <w:tblLook w:val="04A0"/>
        </w:tblPrEx>
        <w:trPr>
          <w:trHeight w:val="261"/>
        </w:trPr>
        <w:tc>
          <w:tcPr>
            <w:tcW w:w="307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sz w:val="14"/>
                <w:szCs w:val="14"/>
                <w:lang w:eastAsia="sk-SK"/>
              </w:rPr>
              <w:t>Operácia OSN UNFICYP</w:t>
            </w:r>
          </w:p>
        </w:tc>
        <w:tc>
          <w:tcPr>
            <w:tcW w:w="86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4 689 130</w:t>
            </w:r>
          </w:p>
        </w:tc>
        <w:tc>
          <w:tcPr>
            <w:tcW w:w="86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5 200 622</w:t>
            </w:r>
          </w:p>
        </w:tc>
        <w:tc>
          <w:tcPr>
            <w:tcW w:w="86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7 104 674</w:t>
            </w:r>
          </w:p>
        </w:tc>
        <w:tc>
          <w:tcPr>
            <w:tcW w:w="86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7 213 462</w:t>
            </w:r>
          </w:p>
        </w:tc>
        <w:tc>
          <w:tcPr>
            <w:tcW w:w="86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3 490 593</w:t>
            </w:r>
          </w:p>
        </w:tc>
        <w:tc>
          <w:tcPr>
            <w:tcW w:w="86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3 490 305</w:t>
            </w:r>
          </w:p>
        </w:tc>
        <w:tc>
          <w:tcPr>
            <w:tcW w:w="86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3 490 305</w:t>
            </w:r>
          </w:p>
        </w:tc>
      </w:tr>
      <w:tr>
        <w:tblPrEx>
          <w:tblW w:w="0" w:type="auto"/>
          <w:tblCellMar>
            <w:left w:w="0" w:type="dxa"/>
            <w:right w:w="0" w:type="dxa"/>
          </w:tblCellMar>
          <w:tblLook w:val="04A0"/>
        </w:tblPrEx>
        <w:trPr>
          <w:trHeight w:val="261"/>
        </w:trPr>
        <w:tc>
          <w:tcPr>
            <w:tcW w:w="307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sz w:val="14"/>
                <w:szCs w:val="14"/>
                <w:lang w:eastAsia="sk-SK"/>
              </w:rPr>
              <w:t>KFOR Kosovo</w:t>
            </w:r>
          </w:p>
        </w:tc>
        <w:tc>
          <w:tcPr>
            <w:tcW w:w="86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7 955 446</w:t>
            </w:r>
          </w:p>
        </w:tc>
        <w:tc>
          <w:tcPr>
            <w:tcW w:w="86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7 514 892</w:t>
            </w:r>
          </w:p>
        </w:tc>
        <w:tc>
          <w:tcPr>
            <w:tcW w:w="86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359 948</w:t>
            </w:r>
          </w:p>
        </w:tc>
        <w:tc>
          <w:tcPr>
            <w:tcW w:w="86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76 286</w:t>
            </w:r>
          </w:p>
        </w:tc>
        <w:tc>
          <w:tcPr>
            <w:tcW w:w="86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0</w:t>
            </w:r>
          </w:p>
        </w:tc>
        <w:tc>
          <w:tcPr>
            <w:tcW w:w="86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0</w:t>
            </w:r>
          </w:p>
        </w:tc>
        <w:tc>
          <w:tcPr>
            <w:tcW w:w="86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0</w:t>
            </w:r>
          </w:p>
        </w:tc>
      </w:tr>
      <w:tr>
        <w:tblPrEx>
          <w:tblW w:w="0" w:type="auto"/>
          <w:tblCellMar>
            <w:left w:w="0" w:type="dxa"/>
            <w:right w:w="0" w:type="dxa"/>
          </w:tblCellMar>
          <w:tblLook w:val="04A0"/>
        </w:tblPrEx>
        <w:trPr>
          <w:trHeight w:val="261"/>
        </w:trPr>
        <w:tc>
          <w:tcPr>
            <w:tcW w:w="307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rPr>
                <w:rFonts w:ascii="Times New Roman" w:hAnsi="Times New Roman" w:cs="Times New Roman"/>
                <w:lang w:eastAsia="sk-SK"/>
              </w:rPr>
            </w:pPr>
            <w:r w:rsidRPr="00BE40B7">
              <w:rPr>
                <w:rFonts w:ascii="Times New Roman" w:hAnsi="Times New Roman" w:cs="Times New Roman"/>
                <w:sz w:val="14"/>
                <w:szCs w:val="14"/>
                <w:lang w:eastAsia="sk-SK"/>
              </w:rPr>
              <w:t>Veliteľstvo NATO a Veliteľstvo EUFOR v Sarajeve</w:t>
            </w:r>
          </w:p>
        </w:tc>
        <w:tc>
          <w:tcPr>
            <w:tcW w:w="86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329 994</w:t>
            </w:r>
          </w:p>
        </w:tc>
        <w:tc>
          <w:tcPr>
            <w:tcW w:w="86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0</w:t>
            </w:r>
          </w:p>
        </w:tc>
        <w:tc>
          <w:tcPr>
            <w:tcW w:w="86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 </w:t>
            </w:r>
          </w:p>
        </w:tc>
        <w:tc>
          <w:tcPr>
            <w:tcW w:w="86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0</w:t>
            </w:r>
          </w:p>
        </w:tc>
        <w:tc>
          <w:tcPr>
            <w:tcW w:w="86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0</w:t>
            </w:r>
          </w:p>
        </w:tc>
        <w:tc>
          <w:tcPr>
            <w:tcW w:w="86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0</w:t>
            </w:r>
          </w:p>
        </w:tc>
        <w:tc>
          <w:tcPr>
            <w:tcW w:w="86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081478" w:rsidRPr="00BE40B7" w:rsidP="009112FB">
            <w:pPr>
              <w:bidi w:val="0"/>
              <w:jc w:val="right"/>
              <w:rPr>
                <w:rFonts w:ascii="Times New Roman" w:hAnsi="Times New Roman" w:cs="Times New Roman"/>
                <w:lang w:eastAsia="sk-SK"/>
              </w:rPr>
            </w:pPr>
            <w:r w:rsidRPr="00BE40B7">
              <w:rPr>
                <w:rFonts w:ascii="Times New Roman" w:hAnsi="Times New Roman" w:cs="Times New Roman"/>
                <w:sz w:val="14"/>
                <w:szCs w:val="14"/>
                <w:lang w:eastAsia="sk-SK"/>
              </w:rPr>
              <w:t>0</w:t>
            </w:r>
          </w:p>
        </w:tc>
      </w:tr>
    </w:tbl>
    <w:p w:rsidR="00081478" w:rsidRPr="00BE40B7" w:rsidP="00081478">
      <w:pPr>
        <w:bidi w:val="0"/>
        <w:jc w:val="both"/>
        <w:rPr>
          <w:rFonts w:ascii="Times New Roman" w:hAnsi="Times New Roman" w:cs="Times New Roman"/>
          <w:lang w:eastAsia="sk-SK"/>
        </w:rPr>
      </w:pPr>
      <w:r w:rsidRPr="00BE40B7">
        <w:rPr>
          <w:rFonts w:ascii="Times New Roman" w:hAnsi="Times New Roman" w:cs="Times New Roman"/>
          <w:lang w:eastAsia="sk-SK"/>
        </w:rPr>
        <w:t> </w:t>
      </w:r>
    </w:p>
    <w:p w:rsidR="00081478" w:rsidRPr="00BE40B7" w:rsidP="00081478">
      <w:pPr>
        <w:bidi w:val="0"/>
        <w:ind w:firstLine="708"/>
        <w:jc w:val="both"/>
        <w:rPr>
          <w:rFonts w:ascii="Times New Roman" w:hAnsi="Times New Roman" w:cs="Times New Roman"/>
          <w:lang w:eastAsia="sk-SK"/>
        </w:rPr>
      </w:pPr>
      <w:r w:rsidRPr="00BE40B7">
        <w:rPr>
          <w:rFonts w:ascii="Times New Roman" w:hAnsi="Times New Roman" w:cs="Times New Roman"/>
          <w:lang w:eastAsia="sk-SK"/>
        </w:rPr>
        <w:t>Ministerstvo obrany SR je zakladateľom jedného štátneho podniku (Vojenské lesy a majetky SR, š.p.), šiestich akciových spoločností (Letecké opravovne Trenčín, a.s., Vojenský opravárenský podnik Trenčín, a.s., Vojenský opravárenský podnik Nováky, a.s., Vojenské zdravotnícke zariadenia, a.s., Vojenská zotavovňa a hotel Smrekovica, a.s., Vojenská zotavovňa a hotel Zemplínska Šírava, a.s.) a dvoch príspevkových organizácií (Bytová agentúra rezortu ministerstva obrany, Ústredná vojenská nemocnica SNP Ružomberok – fakultná nemocnica).</w:t>
      </w:r>
    </w:p>
    <w:p w:rsidR="00081478" w:rsidRPr="00BE40B7" w:rsidP="00081478">
      <w:pPr>
        <w:bidi w:val="0"/>
        <w:jc w:val="both"/>
        <w:rPr>
          <w:rFonts w:ascii="Times New Roman" w:hAnsi="Times New Roman" w:cs="Times New Roman"/>
          <w:lang w:eastAsia="sk-SK"/>
        </w:rPr>
      </w:pPr>
      <w:r w:rsidRPr="00BE40B7">
        <w:rPr>
          <w:rFonts w:ascii="Times New Roman" w:hAnsi="Times New Roman" w:cs="Times New Roman"/>
          <w:lang w:eastAsia="sk-SK"/>
        </w:rPr>
        <w:t> </w:t>
      </w:r>
    </w:p>
    <w:p w:rsidR="00081478" w:rsidRPr="00BE40B7" w:rsidP="00081478">
      <w:pPr>
        <w:bidi w:val="0"/>
        <w:ind w:firstLine="708"/>
        <w:jc w:val="both"/>
        <w:rPr>
          <w:rFonts w:ascii="Times New Roman" w:hAnsi="Times New Roman" w:cs="Times New Roman"/>
          <w:lang w:eastAsia="sk-SK"/>
        </w:rPr>
      </w:pPr>
      <w:r w:rsidRPr="00BE40B7">
        <w:rPr>
          <w:rFonts w:ascii="Times New Roman" w:hAnsi="Times New Roman" w:cs="Times New Roman"/>
          <w:lang w:eastAsia="sk-SK"/>
        </w:rPr>
        <w:t>Vojenské lesy a majetky SR, š.p. vznikli pre potreby efektívneho a ekologického obhospodarovania lesnej a poľnohospodárskej pôdy vo vojenských výcvikových priestoroch. Zveľaďujú genofond lesných drevín a podporujú prirodzenú obnovu lesa. Letecké opravovne Trenčín, a.s. sa zameriavajú na opravy vojenských a civilných lietadiel a vrtuľníkov. Vojenský opravárenský podnik Trenčín, a.s. je najväčším podnikom na opravy a modernizáciu kompletnej pozemnej vojenskej techniky v Slovenskej republike. Vojenský opravárenský podnik Nováky, a.s. sa zaoberá delaboráciou a likvidáciou munície, opravárenskou činnosťou, výrobou školnej, cvičnej a ostrej munície, výrobou strojárenských zariadení. Vojenské zdravotnícke zariadenia, a.s., Vojenská zotavovňa a hotel Smrekovica, a.s. a Vojenská zotavovňa a hotel Zemplínska Šírava, a.s. poskytujú služby v oblasti zdravotnej starostlivosti, rehabilitácie, ubytovania a stravovania. Bytová agentúra rezortu ministerstva obrany vykonáva správu bytov a ubytovní vo vlastníctve Slovenskej republiky pre potreby rezortu ministerstva obrany, zabezpečuje ich údržbu, opravy a rekonštrukciu. Ústredná vojenská nemocnica SNP Ružomberok – fakultná nemocnica poskytuje zdravotnú starostlivosť príslušníkom ozbrojených síl, ako aj civilnému obyvateľstvu.</w:t>
      </w:r>
    </w:p>
    <w:p w:rsidR="00081478" w:rsidRPr="00BE40B7" w:rsidP="00081478">
      <w:pPr>
        <w:bidi w:val="0"/>
        <w:jc w:val="both"/>
        <w:rPr>
          <w:rFonts w:ascii="Times New Roman" w:hAnsi="Times New Roman" w:cs="Times New Roman"/>
          <w:lang w:eastAsia="sk-SK"/>
        </w:rPr>
      </w:pPr>
      <w:r w:rsidRPr="00BE40B7">
        <w:rPr>
          <w:rFonts w:ascii="Times New Roman" w:hAnsi="Times New Roman" w:cs="Times New Roman"/>
          <w:lang w:eastAsia="sk-SK"/>
        </w:rPr>
        <w:t> </w:t>
      </w:r>
    </w:p>
    <w:p w:rsidR="00081478" w:rsidRPr="00BE40B7" w:rsidP="00081478">
      <w:pPr>
        <w:bidi w:val="0"/>
        <w:ind w:firstLine="708"/>
        <w:jc w:val="both"/>
        <w:rPr>
          <w:rFonts w:ascii="Times New Roman" w:hAnsi="Times New Roman" w:cs="Times New Roman"/>
          <w:lang w:eastAsia="sk-SK"/>
        </w:rPr>
      </w:pPr>
      <w:r w:rsidRPr="00BE40B7">
        <w:rPr>
          <w:rFonts w:ascii="Times New Roman" w:hAnsi="Times New Roman" w:cs="Times New Roman"/>
          <w:lang w:eastAsia="sk-SK"/>
        </w:rPr>
        <w:t>V súlade s Výnosom o poskytovaní dotácií v pôsobnosti Ministerstva obrany SR sú plánované dotácie pre Vojenské lesy a majetky Pliešovce, š.p. v roku 2012 v sume 436 tis. eur. Ide o úhradu zvýšených nákladov na výrobu z dôvodu vojenskej prevádzky na poľnohospodárskej pôde. Na zabezpečenie prepravy vo Vojenskom obvode Záhorie sú plánované prostriedky na dotáciu pre Slovenskú automobilovú dopravu Trnava v sume 26,5 tis. eur.</w:t>
      </w:r>
    </w:p>
    <w:p w:rsidR="00CB350B" w:rsidP="00257E12">
      <w:pPr>
        <w:bidi w:val="0"/>
        <w:jc w:val="both"/>
      </w:pPr>
      <w:r w:rsidRPr="00BE40B7">
        <w:rPr>
          <w:rFonts w:ascii="Times New Roman" w:hAnsi="Times New Roman" w:cs="Times New Roman"/>
          <w:lang w:eastAsia="sk-SK"/>
        </w:rPr>
        <w:t> </w:t>
      </w:r>
    </w:p>
    <w:p w:rsidR="00CB350B" w:rsidRPr="0004638E" w:rsidP="00CB350B">
      <w:pPr>
        <w:pBdr>
          <w:bottom w:val="single" w:sz="4" w:space="1" w:color="auto"/>
        </w:pBdr>
        <w:bidi w:val="0"/>
        <w:jc w:val="both"/>
        <w:rPr>
          <w:rFonts w:ascii="Times New Roman" w:hAnsi="Times New Roman" w:cs="Times New Roman"/>
          <w:b/>
          <w:bCs/>
        </w:rPr>
      </w:pPr>
      <w:r w:rsidRPr="0004638E">
        <w:rPr>
          <w:rFonts w:ascii="Times New Roman" w:hAnsi="Times New Roman" w:cs="Times New Roman"/>
          <w:b/>
          <w:bCs/>
        </w:rPr>
        <w:t xml:space="preserve">Ministerstvo financií SR </w:t>
      </w:r>
    </w:p>
    <w:p w:rsidR="00CB350B" w:rsidRPr="0004638E" w:rsidP="00CB350B">
      <w:pPr>
        <w:bidi w:val="0"/>
        <w:rPr>
          <w:rFonts w:ascii="Times New Roman" w:hAnsi="Times New Roman" w:cs="Times New Roman"/>
        </w:rPr>
      </w:pPr>
    </w:p>
    <w:tbl>
      <w:tblPr>
        <w:tblStyle w:val="TableNormal"/>
        <w:tblW w:w="5000" w:type="pct"/>
        <w:tblCellMar>
          <w:left w:w="70" w:type="dxa"/>
          <w:right w:w="70" w:type="dxa"/>
        </w:tblCellMar>
        <w:tblLook w:val="04A0"/>
      </w:tblPr>
      <w:tblGrid>
        <w:gridCol w:w="2818"/>
        <w:gridCol w:w="914"/>
        <w:gridCol w:w="914"/>
        <w:gridCol w:w="914"/>
        <w:gridCol w:w="914"/>
        <w:gridCol w:w="914"/>
        <w:gridCol w:w="914"/>
        <w:gridCol w:w="910"/>
      </w:tblGrid>
      <w:tr>
        <w:tblPrEx>
          <w:tblW w:w="5000" w:type="pct"/>
          <w:tblCellMar>
            <w:left w:w="70" w:type="dxa"/>
            <w:right w:w="70" w:type="dxa"/>
          </w:tblCellMar>
          <w:tblLook w:val="04A0"/>
        </w:tblPrEx>
        <w:trPr>
          <w:trHeight w:val="297"/>
        </w:trPr>
        <w:tc>
          <w:tcPr>
            <w:tcW w:w="1530"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v eurách</w:t>
            </w:r>
          </w:p>
        </w:tc>
        <w:tc>
          <w:tcPr>
            <w:tcW w:w="496"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2009 S</w:t>
            </w:r>
          </w:p>
        </w:tc>
        <w:tc>
          <w:tcPr>
            <w:tcW w:w="496"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2010 S</w:t>
            </w:r>
          </w:p>
        </w:tc>
        <w:tc>
          <w:tcPr>
            <w:tcW w:w="496"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2011 R</w:t>
            </w:r>
          </w:p>
        </w:tc>
        <w:tc>
          <w:tcPr>
            <w:tcW w:w="496"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2011 OS</w:t>
            </w:r>
          </w:p>
        </w:tc>
        <w:tc>
          <w:tcPr>
            <w:tcW w:w="496"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2012 N</w:t>
            </w:r>
          </w:p>
        </w:tc>
        <w:tc>
          <w:tcPr>
            <w:tcW w:w="496"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2013 N</w:t>
            </w:r>
          </w:p>
        </w:tc>
        <w:tc>
          <w:tcPr>
            <w:tcW w:w="494"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2014 N</w:t>
            </w:r>
          </w:p>
        </w:tc>
      </w:tr>
      <w:tr>
        <w:tblPrEx>
          <w:tblW w:w="5000" w:type="pct"/>
          <w:tblCellMar>
            <w:left w:w="70" w:type="dxa"/>
            <w:right w:w="70" w:type="dxa"/>
          </w:tblCellMar>
          <w:tblLook w:val="04A0"/>
        </w:tblPrEx>
        <w:trPr>
          <w:trHeight w:val="297"/>
        </w:trPr>
        <w:tc>
          <w:tcPr>
            <w:tcW w:w="1530"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Výdavky MF SR celkom</w:t>
            </w:r>
          </w:p>
        </w:tc>
        <w:tc>
          <w:tcPr>
            <w:tcW w:w="496"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371 361 060</w:t>
            </w:r>
          </w:p>
        </w:tc>
        <w:tc>
          <w:tcPr>
            <w:tcW w:w="496"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392 171 576</w:t>
            </w:r>
          </w:p>
        </w:tc>
        <w:tc>
          <w:tcPr>
            <w:tcW w:w="496"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622 316 760</w:t>
            </w:r>
          </w:p>
        </w:tc>
        <w:tc>
          <w:tcPr>
            <w:tcW w:w="496"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430 028 368</w:t>
            </w:r>
          </w:p>
        </w:tc>
        <w:tc>
          <w:tcPr>
            <w:tcW w:w="496" w:type="pct"/>
            <w:tcBorders>
              <w:top w:val="nil"/>
              <w:left w:val="nil"/>
              <w:bottom w:val="single" w:sz="4" w:space="0" w:color="auto"/>
              <w:right w:val="single" w:sz="4" w:space="0" w:color="auto"/>
            </w:tcBorders>
            <w:textDirection w:val="lrTb"/>
            <w:vAlign w:val="bottom"/>
            <w:hideMark/>
          </w:tcPr>
          <w:p w:rsidR="00CB350B" w:rsidP="00257E12">
            <w:pPr>
              <w:bidi w:val="0"/>
              <w:jc w:val="right"/>
              <w:rPr>
                <w:b/>
                <w:bCs/>
                <w:color w:val="000000"/>
                <w:sz w:val="14"/>
                <w:szCs w:val="14"/>
              </w:rPr>
            </w:pPr>
            <w:r w:rsidRPr="00867770">
              <w:rPr>
                <w:rFonts w:ascii="Times New Roman" w:hAnsi="Times New Roman" w:cs="Times New Roman"/>
                <w:b/>
                <w:bCs/>
                <w:color w:val="000000"/>
                <w:sz w:val="14"/>
                <w:szCs w:val="14"/>
              </w:rPr>
              <w:t>521 421 541</w:t>
            </w:r>
          </w:p>
        </w:tc>
        <w:tc>
          <w:tcPr>
            <w:tcW w:w="496" w:type="pct"/>
            <w:tcBorders>
              <w:top w:val="nil"/>
              <w:left w:val="nil"/>
              <w:bottom w:val="single" w:sz="4" w:space="0" w:color="auto"/>
              <w:right w:val="single" w:sz="4" w:space="0" w:color="auto"/>
            </w:tcBorders>
            <w:textDirection w:val="lrTb"/>
            <w:vAlign w:val="bottom"/>
            <w:hideMark/>
          </w:tcPr>
          <w:p w:rsidR="00CB350B" w:rsidRPr="00301292" w:rsidP="00257E12">
            <w:pPr>
              <w:bidi w:val="0"/>
              <w:jc w:val="right"/>
              <w:rPr>
                <w:rFonts w:ascii="Times New Roman" w:hAnsi="Times New Roman" w:cs="Times New Roman"/>
                <w:b/>
                <w:color w:val="000000"/>
                <w:sz w:val="14"/>
                <w:szCs w:val="14"/>
              </w:rPr>
            </w:pPr>
            <w:r w:rsidRPr="00301292">
              <w:rPr>
                <w:rFonts w:ascii="Times New Roman" w:hAnsi="Times New Roman" w:cs="Times New Roman"/>
                <w:b/>
                <w:color w:val="000000"/>
                <w:sz w:val="14"/>
                <w:szCs w:val="14"/>
              </w:rPr>
              <w:t>542 354 764</w:t>
            </w:r>
          </w:p>
        </w:tc>
        <w:tc>
          <w:tcPr>
            <w:tcW w:w="494" w:type="pct"/>
            <w:tcBorders>
              <w:top w:val="nil"/>
              <w:left w:val="nil"/>
              <w:bottom w:val="single" w:sz="4" w:space="0" w:color="auto"/>
              <w:right w:val="single" w:sz="4" w:space="0" w:color="auto"/>
            </w:tcBorders>
            <w:textDirection w:val="lrTb"/>
            <w:vAlign w:val="bottom"/>
            <w:hideMark/>
          </w:tcPr>
          <w:p w:rsidR="00CB350B" w:rsidRPr="00301292" w:rsidP="00257E12">
            <w:pPr>
              <w:bidi w:val="0"/>
              <w:jc w:val="right"/>
              <w:rPr>
                <w:rFonts w:ascii="Times New Roman" w:hAnsi="Times New Roman" w:cs="Times New Roman"/>
                <w:b/>
                <w:color w:val="000000"/>
                <w:sz w:val="14"/>
                <w:szCs w:val="14"/>
              </w:rPr>
            </w:pPr>
            <w:r w:rsidRPr="00301292">
              <w:rPr>
                <w:rFonts w:ascii="Times New Roman" w:hAnsi="Times New Roman" w:cs="Times New Roman"/>
                <w:b/>
                <w:color w:val="000000"/>
                <w:sz w:val="14"/>
                <w:szCs w:val="14"/>
              </w:rPr>
              <w:t>493 123 863</w:t>
            </w:r>
          </w:p>
        </w:tc>
      </w:tr>
      <w:tr>
        <w:tblPrEx>
          <w:tblW w:w="5000" w:type="pct"/>
          <w:tblCellMar>
            <w:left w:w="70" w:type="dxa"/>
            <w:right w:w="70" w:type="dxa"/>
          </w:tblCellMar>
          <w:tblLook w:val="04A0"/>
        </w:tblPrEx>
        <w:trPr>
          <w:trHeight w:val="297"/>
        </w:trPr>
        <w:tc>
          <w:tcPr>
            <w:tcW w:w="1530"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color w:val="000000"/>
                <w:sz w:val="14"/>
                <w:szCs w:val="14"/>
              </w:rPr>
            </w:pPr>
            <w:r w:rsidRPr="00122402">
              <w:rPr>
                <w:rFonts w:ascii="Times New Roman" w:hAnsi="Times New Roman" w:cs="Times New Roman"/>
                <w:color w:val="000000"/>
                <w:sz w:val="14"/>
                <w:szCs w:val="14"/>
              </w:rPr>
              <w:t>Výdavky na finančnú správu</w:t>
            </w:r>
          </w:p>
        </w:tc>
        <w:tc>
          <w:tcPr>
            <w:tcW w:w="496"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218 811 091</w:t>
            </w:r>
          </w:p>
        </w:tc>
        <w:tc>
          <w:tcPr>
            <w:tcW w:w="496"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214 607 329</w:t>
            </w:r>
          </w:p>
        </w:tc>
        <w:tc>
          <w:tcPr>
            <w:tcW w:w="496"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191 258 305</w:t>
            </w:r>
          </w:p>
        </w:tc>
        <w:tc>
          <w:tcPr>
            <w:tcW w:w="496"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204 695 662</w:t>
            </w:r>
          </w:p>
        </w:tc>
        <w:tc>
          <w:tcPr>
            <w:tcW w:w="496" w:type="pct"/>
            <w:tcBorders>
              <w:top w:val="nil"/>
              <w:left w:val="nil"/>
              <w:bottom w:val="single" w:sz="4" w:space="0" w:color="auto"/>
              <w:right w:val="single" w:sz="4" w:space="0" w:color="auto"/>
            </w:tcBorders>
            <w:noWrap/>
            <w:textDirection w:val="lrTb"/>
            <w:vAlign w:val="bottom"/>
            <w:hideMark/>
          </w:tcPr>
          <w:p w:rsidR="00CB350B" w:rsidRPr="00867770" w:rsidP="00257E12">
            <w:pPr>
              <w:bidi w:val="0"/>
              <w:jc w:val="right"/>
              <w:rPr>
                <w:rFonts w:ascii="Times New Roman" w:hAnsi="Times New Roman" w:cs="Times New Roman"/>
                <w:color w:val="000000"/>
                <w:sz w:val="14"/>
                <w:szCs w:val="14"/>
              </w:rPr>
            </w:pPr>
            <w:r w:rsidRPr="00867770">
              <w:rPr>
                <w:rFonts w:ascii="Times New Roman" w:hAnsi="Times New Roman" w:cs="Times New Roman"/>
                <w:color w:val="000000"/>
                <w:sz w:val="14"/>
                <w:szCs w:val="14"/>
              </w:rPr>
              <w:t>194 408 981</w:t>
            </w:r>
          </w:p>
        </w:tc>
        <w:tc>
          <w:tcPr>
            <w:tcW w:w="496" w:type="pct"/>
            <w:tcBorders>
              <w:top w:val="nil"/>
              <w:left w:val="nil"/>
              <w:bottom w:val="single" w:sz="4" w:space="0" w:color="auto"/>
              <w:right w:val="single" w:sz="4" w:space="0" w:color="auto"/>
            </w:tcBorders>
            <w:noWrap/>
            <w:textDirection w:val="lrTb"/>
            <w:vAlign w:val="bottom"/>
            <w:hideMark/>
          </w:tcPr>
          <w:p w:rsidR="00CB350B" w:rsidRPr="00301292" w:rsidP="00257E12">
            <w:pPr>
              <w:bidi w:val="0"/>
              <w:jc w:val="right"/>
              <w:rPr>
                <w:rFonts w:ascii="Times New Roman" w:hAnsi="Times New Roman" w:cs="Times New Roman"/>
                <w:color w:val="000000"/>
                <w:sz w:val="14"/>
                <w:szCs w:val="14"/>
              </w:rPr>
            </w:pPr>
            <w:r w:rsidRPr="00301292">
              <w:rPr>
                <w:rFonts w:ascii="Times New Roman" w:hAnsi="Times New Roman" w:cs="Times New Roman"/>
                <w:color w:val="000000"/>
                <w:sz w:val="14"/>
                <w:szCs w:val="14"/>
              </w:rPr>
              <w:t>194 408 981</w:t>
            </w:r>
          </w:p>
        </w:tc>
        <w:tc>
          <w:tcPr>
            <w:tcW w:w="494" w:type="pct"/>
            <w:tcBorders>
              <w:top w:val="nil"/>
              <w:left w:val="nil"/>
              <w:bottom w:val="single" w:sz="4" w:space="0" w:color="auto"/>
              <w:right w:val="single" w:sz="4" w:space="0" w:color="auto"/>
            </w:tcBorders>
            <w:noWrap/>
            <w:textDirection w:val="lrTb"/>
            <w:vAlign w:val="bottom"/>
            <w:hideMark/>
          </w:tcPr>
          <w:p w:rsidR="00CB350B" w:rsidRPr="00301292" w:rsidP="00257E12">
            <w:pPr>
              <w:bidi w:val="0"/>
              <w:jc w:val="right"/>
              <w:rPr>
                <w:rFonts w:ascii="Times New Roman" w:hAnsi="Times New Roman" w:cs="Times New Roman"/>
                <w:color w:val="000000"/>
                <w:sz w:val="14"/>
                <w:szCs w:val="14"/>
              </w:rPr>
            </w:pPr>
            <w:r w:rsidRPr="00301292">
              <w:rPr>
                <w:rFonts w:ascii="Times New Roman" w:hAnsi="Times New Roman" w:cs="Times New Roman"/>
                <w:color w:val="000000"/>
                <w:sz w:val="14"/>
                <w:szCs w:val="14"/>
              </w:rPr>
              <w:t>194 408 981</w:t>
            </w:r>
          </w:p>
        </w:tc>
      </w:tr>
      <w:tr>
        <w:tblPrEx>
          <w:tblW w:w="5000" w:type="pct"/>
          <w:tblCellMar>
            <w:left w:w="70" w:type="dxa"/>
            <w:right w:w="70" w:type="dxa"/>
          </w:tblCellMar>
          <w:tblLook w:val="04A0"/>
        </w:tblPrEx>
        <w:trPr>
          <w:trHeight w:val="297"/>
        </w:trPr>
        <w:tc>
          <w:tcPr>
            <w:tcW w:w="1530"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Výdavky na Informatizáciu spoločnosti</w:t>
            </w:r>
          </w:p>
        </w:tc>
        <w:tc>
          <w:tcPr>
            <w:tcW w:w="496"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24 903 803</w:t>
            </w:r>
          </w:p>
        </w:tc>
        <w:tc>
          <w:tcPr>
            <w:tcW w:w="496"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33 250 609</w:t>
            </w:r>
          </w:p>
        </w:tc>
        <w:tc>
          <w:tcPr>
            <w:tcW w:w="496"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337 798 066</w:t>
            </w:r>
          </w:p>
        </w:tc>
        <w:tc>
          <w:tcPr>
            <w:tcW w:w="496"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103 715 755</w:t>
            </w:r>
          </w:p>
        </w:tc>
        <w:tc>
          <w:tcPr>
            <w:tcW w:w="496" w:type="pct"/>
            <w:tcBorders>
              <w:top w:val="nil"/>
              <w:left w:val="nil"/>
              <w:bottom w:val="single" w:sz="4" w:space="0" w:color="auto"/>
              <w:right w:val="single" w:sz="4" w:space="0" w:color="auto"/>
            </w:tcBorders>
            <w:noWrap/>
            <w:textDirection w:val="lrTb"/>
            <w:vAlign w:val="bottom"/>
            <w:hideMark/>
          </w:tcPr>
          <w:p w:rsidR="00CB350B" w:rsidRPr="00867770" w:rsidP="00257E12">
            <w:pPr>
              <w:bidi w:val="0"/>
              <w:jc w:val="right"/>
              <w:rPr>
                <w:rFonts w:ascii="Times New Roman" w:hAnsi="Times New Roman" w:cs="Times New Roman"/>
                <w:color w:val="000000"/>
                <w:sz w:val="14"/>
                <w:szCs w:val="14"/>
              </w:rPr>
            </w:pPr>
            <w:r w:rsidRPr="00867770">
              <w:rPr>
                <w:rFonts w:ascii="Times New Roman" w:hAnsi="Times New Roman" w:cs="Times New Roman"/>
                <w:color w:val="000000"/>
                <w:sz w:val="14"/>
                <w:szCs w:val="14"/>
              </w:rPr>
              <w:t>223 850 770</w:t>
            </w:r>
          </w:p>
        </w:tc>
        <w:tc>
          <w:tcPr>
            <w:tcW w:w="496" w:type="pct"/>
            <w:tcBorders>
              <w:top w:val="nil"/>
              <w:left w:val="nil"/>
              <w:bottom w:val="single" w:sz="4" w:space="0" w:color="auto"/>
              <w:right w:val="single" w:sz="4" w:space="0" w:color="auto"/>
            </w:tcBorders>
            <w:noWrap/>
            <w:textDirection w:val="lrTb"/>
            <w:vAlign w:val="bottom"/>
            <w:hideMark/>
          </w:tcPr>
          <w:p w:rsidR="00CB350B" w:rsidRPr="00301292" w:rsidP="00257E12">
            <w:pPr>
              <w:bidi w:val="0"/>
              <w:jc w:val="right"/>
              <w:rPr>
                <w:rFonts w:ascii="Times New Roman" w:hAnsi="Times New Roman" w:cs="Times New Roman"/>
                <w:color w:val="000000"/>
                <w:sz w:val="14"/>
                <w:szCs w:val="14"/>
              </w:rPr>
            </w:pPr>
            <w:r w:rsidRPr="00301292">
              <w:rPr>
                <w:rFonts w:ascii="Times New Roman" w:hAnsi="Times New Roman" w:cs="Times New Roman"/>
                <w:color w:val="000000"/>
                <w:sz w:val="14"/>
                <w:szCs w:val="14"/>
              </w:rPr>
              <w:t>249 168 356</w:t>
            </w:r>
          </w:p>
        </w:tc>
        <w:tc>
          <w:tcPr>
            <w:tcW w:w="494" w:type="pct"/>
            <w:tcBorders>
              <w:top w:val="nil"/>
              <w:left w:val="nil"/>
              <w:bottom w:val="single" w:sz="4" w:space="0" w:color="auto"/>
              <w:right w:val="single" w:sz="4" w:space="0" w:color="auto"/>
            </w:tcBorders>
            <w:noWrap/>
            <w:textDirection w:val="lrTb"/>
            <w:vAlign w:val="bottom"/>
            <w:hideMark/>
          </w:tcPr>
          <w:p w:rsidR="00CB350B" w:rsidRPr="00301292" w:rsidP="00257E12">
            <w:pPr>
              <w:bidi w:val="0"/>
              <w:jc w:val="right"/>
              <w:rPr>
                <w:rFonts w:ascii="Times New Roman" w:hAnsi="Times New Roman" w:cs="Times New Roman"/>
                <w:color w:val="000000"/>
                <w:sz w:val="14"/>
                <w:szCs w:val="14"/>
              </w:rPr>
            </w:pPr>
            <w:r w:rsidRPr="00301292">
              <w:rPr>
                <w:rFonts w:ascii="Times New Roman" w:hAnsi="Times New Roman" w:cs="Times New Roman"/>
                <w:color w:val="000000"/>
                <w:sz w:val="14"/>
                <w:szCs w:val="14"/>
              </w:rPr>
              <w:t>200 277 700</w:t>
            </w:r>
          </w:p>
        </w:tc>
      </w:tr>
      <w:tr>
        <w:tblPrEx>
          <w:tblW w:w="5000" w:type="pct"/>
          <w:tblCellMar>
            <w:left w:w="70" w:type="dxa"/>
            <w:right w:w="70" w:type="dxa"/>
          </w:tblCellMar>
          <w:tblLook w:val="04A0"/>
        </w:tblPrEx>
        <w:trPr>
          <w:trHeight w:val="297"/>
        </w:trPr>
        <w:tc>
          <w:tcPr>
            <w:tcW w:w="1530"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Nadrezortné informačné systémy riadenia VF</w:t>
            </w:r>
          </w:p>
        </w:tc>
        <w:tc>
          <w:tcPr>
            <w:tcW w:w="496"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61 263 838</w:t>
            </w:r>
          </w:p>
        </w:tc>
        <w:tc>
          <w:tcPr>
            <w:tcW w:w="496"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63 176 251</w:t>
            </w:r>
          </w:p>
        </w:tc>
        <w:tc>
          <w:tcPr>
            <w:tcW w:w="496"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46 530 131</w:t>
            </w:r>
          </w:p>
        </w:tc>
        <w:tc>
          <w:tcPr>
            <w:tcW w:w="496"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53 404 468</w:t>
            </w:r>
          </w:p>
        </w:tc>
        <w:tc>
          <w:tcPr>
            <w:tcW w:w="496" w:type="pct"/>
            <w:tcBorders>
              <w:top w:val="nil"/>
              <w:left w:val="nil"/>
              <w:bottom w:val="single" w:sz="4" w:space="0" w:color="auto"/>
              <w:right w:val="single" w:sz="4" w:space="0" w:color="auto"/>
            </w:tcBorders>
            <w:noWrap/>
            <w:textDirection w:val="lrTb"/>
            <w:vAlign w:val="bottom"/>
            <w:hideMark/>
          </w:tcPr>
          <w:p w:rsidR="00CB350B" w:rsidRPr="00867770" w:rsidP="00257E12">
            <w:pPr>
              <w:bidi w:val="0"/>
              <w:jc w:val="right"/>
              <w:rPr>
                <w:rFonts w:ascii="Times New Roman" w:hAnsi="Times New Roman" w:cs="Times New Roman"/>
                <w:color w:val="000000"/>
                <w:sz w:val="14"/>
                <w:szCs w:val="14"/>
              </w:rPr>
            </w:pPr>
            <w:r w:rsidRPr="00867770">
              <w:rPr>
                <w:rFonts w:ascii="Times New Roman" w:hAnsi="Times New Roman" w:cs="Times New Roman"/>
                <w:color w:val="000000"/>
                <w:sz w:val="14"/>
                <w:szCs w:val="14"/>
              </w:rPr>
              <w:t>53 692 742</w:t>
            </w:r>
          </w:p>
        </w:tc>
        <w:tc>
          <w:tcPr>
            <w:tcW w:w="496" w:type="pct"/>
            <w:tcBorders>
              <w:top w:val="nil"/>
              <w:left w:val="nil"/>
              <w:bottom w:val="single" w:sz="4" w:space="0" w:color="auto"/>
              <w:right w:val="single" w:sz="4" w:space="0" w:color="auto"/>
            </w:tcBorders>
            <w:noWrap/>
            <w:textDirection w:val="lrTb"/>
            <w:vAlign w:val="bottom"/>
            <w:hideMark/>
          </w:tcPr>
          <w:p w:rsidR="00CB350B" w:rsidRPr="00301292" w:rsidP="00257E12">
            <w:pPr>
              <w:bidi w:val="0"/>
              <w:jc w:val="right"/>
              <w:rPr>
                <w:rFonts w:ascii="Times New Roman" w:hAnsi="Times New Roman" w:cs="Times New Roman"/>
                <w:color w:val="000000"/>
                <w:sz w:val="14"/>
                <w:szCs w:val="14"/>
              </w:rPr>
            </w:pPr>
            <w:r w:rsidRPr="00301292">
              <w:rPr>
                <w:rFonts w:ascii="Times New Roman" w:hAnsi="Times New Roman" w:cs="Times New Roman"/>
                <w:color w:val="000000"/>
                <w:sz w:val="14"/>
                <w:szCs w:val="14"/>
              </w:rPr>
              <w:t>53 412 742</w:t>
            </w:r>
          </w:p>
        </w:tc>
        <w:tc>
          <w:tcPr>
            <w:tcW w:w="494" w:type="pct"/>
            <w:tcBorders>
              <w:top w:val="nil"/>
              <w:left w:val="nil"/>
              <w:bottom w:val="single" w:sz="4" w:space="0" w:color="auto"/>
              <w:right w:val="single" w:sz="4" w:space="0" w:color="auto"/>
            </w:tcBorders>
            <w:noWrap/>
            <w:textDirection w:val="lrTb"/>
            <w:vAlign w:val="bottom"/>
            <w:hideMark/>
          </w:tcPr>
          <w:p w:rsidR="00CB350B" w:rsidRPr="00301292" w:rsidP="00257E12">
            <w:pPr>
              <w:bidi w:val="0"/>
              <w:jc w:val="right"/>
              <w:rPr>
                <w:rFonts w:ascii="Times New Roman" w:hAnsi="Times New Roman" w:cs="Times New Roman"/>
                <w:color w:val="000000"/>
                <w:sz w:val="14"/>
                <w:szCs w:val="14"/>
              </w:rPr>
            </w:pPr>
            <w:r w:rsidRPr="00301292">
              <w:rPr>
                <w:rFonts w:ascii="Times New Roman" w:hAnsi="Times New Roman" w:cs="Times New Roman"/>
                <w:color w:val="000000"/>
                <w:sz w:val="14"/>
                <w:szCs w:val="14"/>
              </w:rPr>
              <w:t>53 212 742</w:t>
            </w:r>
          </w:p>
        </w:tc>
      </w:tr>
      <w:tr>
        <w:tblPrEx>
          <w:tblW w:w="5000" w:type="pct"/>
          <w:tblCellMar>
            <w:left w:w="70" w:type="dxa"/>
            <w:right w:w="70" w:type="dxa"/>
          </w:tblCellMar>
          <w:tblLook w:val="04A0"/>
        </w:tblPrEx>
        <w:trPr>
          <w:trHeight w:val="297"/>
        </w:trPr>
        <w:tc>
          <w:tcPr>
            <w:tcW w:w="1530"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Inštitucionálna podpora a kontrola</w:t>
            </w:r>
          </w:p>
        </w:tc>
        <w:tc>
          <w:tcPr>
            <w:tcW w:w="496"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66 382 328</w:t>
            </w:r>
          </w:p>
        </w:tc>
        <w:tc>
          <w:tcPr>
            <w:tcW w:w="496"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81 137 387</w:t>
            </w:r>
          </w:p>
        </w:tc>
        <w:tc>
          <w:tcPr>
            <w:tcW w:w="496"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46 730 258</w:t>
            </w:r>
          </w:p>
        </w:tc>
        <w:tc>
          <w:tcPr>
            <w:tcW w:w="496"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68 212 483</w:t>
            </w:r>
          </w:p>
        </w:tc>
        <w:tc>
          <w:tcPr>
            <w:tcW w:w="496" w:type="pct"/>
            <w:tcBorders>
              <w:top w:val="nil"/>
              <w:left w:val="nil"/>
              <w:bottom w:val="single" w:sz="4" w:space="0" w:color="auto"/>
              <w:right w:val="single" w:sz="4" w:space="0" w:color="auto"/>
            </w:tcBorders>
            <w:textDirection w:val="lrTb"/>
            <w:vAlign w:val="bottom"/>
            <w:hideMark/>
          </w:tcPr>
          <w:p w:rsidR="00CB350B" w:rsidRPr="00867770" w:rsidP="00257E12">
            <w:pPr>
              <w:bidi w:val="0"/>
              <w:jc w:val="right"/>
              <w:rPr>
                <w:rFonts w:ascii="Times New Roman" w:hAnsi="Times New Roman" w:cs="Times New Roman"/>
                <w:color w:val="000000"/>
                <w:sz w:val="14"/>
                <w:szCs w:val="14"/>
              </w:rPr>
            </w:pPr>
            <w:r w:rsidRPr="00867770">
              <w:rPr>
                <w:rFonts w:ascii="Times New Roman" w:hAnsi="Times New Roman" w:cs="Times New Roman"/>
                <w:color w:val="000000"/>
                <w:sz w:val="14"/>
                <w:szCs w:val="14"/>
              </w:rPr>
              <w:t>49 469 048</w:t>
            </w:r>
          </w:p>
        </w:tc>
        <w:tc>
          <w:tcPr>
            <w:tcW w:w="496" w:type="pct"/>
            <w:tcBorders>
              <w:top w:val="nil"/>
              <w:left w:val="nil"/>
              <w:bottom w:val="single" w:sz="4" w:space="0" w:color="auto"/>
              <w:right w:val="single" w:sz="4" w:space="0" w:color="auto"/>
            </w:tcBorders>
            <w:textDirection w:val="lrTb"/>
            <w:vAlign w:val="bottom"/>
            <w:hideMark/>
          </w:tcPr>
          <w:p w:rsidR="00CB350B" w:rsidRPr="00301292" w:rsidP="00257E12">
            <w:pPr>
              <w:bidi w:val="0"/>
              <w:jc w:val="right"/>
              <w:rPr>
                <w:rFonts w:ascii="Times New Roman" w:hAnsi="Times New Roman" w:cs="Times New Roman"/>
                <w:color w:val="000000"/>
                <w:sz w:val="14"/>
                <w:szCs w:val="14"/>
              </w:rPr>
            </w:pPr>
            <w:r w:rsidRPr="00301292">
              <w:rPr>
                <w:rFonts w:ascii="Times New Roman" w:hAnsi="Times New Roman" w:cs="Times New Roman"/>
                <w:color w:val="000000"/>
                <w:sz w:val="14"/>
                <w:szCs w:val="14"/>
              </w:rPr>
              <w:t>45 364 685</w:t>
            </w:r>
          </w:p>
        </w:tc>
        <w:tc>
          <w:tcPr>
            <w:tcW w:w="494" w:type="pct"/>
            <w:tcBorders>
              <w:top w:val="nil"/>
              <w:left w:val="nil"/>
              <w:bottom w:val="single" w:sz="4" w:space="0" w:color="auto"/>
              <w:right w:val="single" w:sz="4" w:space="0" w:color="auto"/>
            </w:tcBorders>
            <w:textDirection w:val="lrTb"/>
            <w:vAlign w:val="bottom"/>
            <w:hideMark/>
          </w:tcPr>
          <w:p w:rsidR="00CB350B" w:rsidRPr="00301292" w:rsidP="00257E12">
            <w:pPr>
              <w:bidi w:val="0"/>
              <w:jc w:val="right"/>
              <w:rPr>
                <w:rFonts w:ascii="Times New Roman" w:hAnsi="Times New Roman" w:cs="Times New Roman"/>
                <w:color w:val="000000"/>
                <w:sz w:val="14"/>
                <w:szCs w:val="14"/>
              </w:rPr>
            </w:pPr>
            <w:r w:rsidRPr="00301292">
              <w:rPr>
                <w:rFonts w:ascii="Times New Roman" w:hAnsi="Times New Roman" w:cs="Times New Roman"/>
                <w:color w:val="000000"/>
                <w:sz w:val="14"/>
                <w:szCs w:val="14"/>
              </w:rPr>
              <w:t>45 224 440</w:t>
            </w:r>
          </w:p>
        </w:tc>
      </w:tr>
    </w:tbl>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63075">
        <w:rPr>
          <w:rFonts w:ascii="Times New Roman" w:hAnsi="Times New Roman" w:cs="Times New Roman"/>
        </w:rPr>
        <w:t>Celkové výdavky v roku 2012 klesajú v porovnaní so schvále</w:t>
      </w:r>
      <w:r>
        <w:rPr>
          <w:rFonts w:ascii="Times New Roman" w:hAnsi="Times New Roman" w:cs="Times New Roman"/>
        </w:rPr>
        <w:t xml:space="preserve">ným rozpočtom na rok 2011 o 16,2 </w:t>
      </w:r>
      <w:r w:rsidRPr="00063075">
        <w:rPr>
          <w:rFonts w:ascii="Times New Roman" w:hAnsi="Times New Roman" w:cs="Times New Roman"/>
        </w:rPr>
        <w:t>% najmä z dôvodu poklesu EÚ zdrojov a príslušného spolufinancovania o 33,8</w:t>
      </w:r>
      <w:r>
        <w:rPr>
          <w:rFonts w:ascii="Times New Roman" w:hAnsi="Times New Roman" w:cs="Times New Roman"/>
        </w:rPr>
        <w:t> </w:t>
      </w:r>
      <w:r w:rsidRPr="00063075">
        <w:rPr>
          <w:rFonts w:ascii="Times New Roman" w:hAnsi="Times New Roman" w:cs="Times New Roman"/>
        </w:rPr>
        <w:t xml:space="preserve">%. </w:t>
      </w:r>
    </w:p>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Výdavky kapitoly MF SR sú smerované do nasledujúcich oblastí.</w:t>
      </w:r>
    </w:p>
    <w:p w:rsidR="00CB350B" w:rsidRPr="0004638E" w:rsidP="00CB350B">
      <w:pPr>
        <w:bidi w:val="0"/>
        <w:rPr>
          <w:rFonts w:ascii="Times New Roman" w:hAnsi="Times New Roman" w:cs="Times New Roman"/>
        </w:rPr>
      </w:pPr>
    </w:p>
    <w:p w:rsidR="00CB350B" w:rsidRPr="0004638E" w:rsidP="00CB350B">
      <w:pPr>
        <w:bidi w:val="0"/>
        <w:jc w:val="both"/>
        <w:rPr>
          <w:rFonts w:ascii="Times New Roman" w:hAnsi="Times New Roman" w:cs="Times New Roman"/>
          <w:b/>
        </w:rPr>
      </w:pPr>
      <w:r w:rsidRPr="0004638E">
        <w:rPr>
          <w:rFonts w:ascii="Times New Roman" w:hAnsi="Times New Roman" w:cs="Times New Roman"/>
          <w:b/>
        </w:rPr>
        <w:t>Výber daní a cla finančnou správou</w:t>
      </w:r>
    </w:p>
    <w:p w:rsidR="00CB350B" w:rsidRPr="0004638E" w:rsidP="00CB350B">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534"/>
        <w:gridCol w:w="955"/>
        <w:gridCol w:w="954"/>
        <w:gridCol w:w="954"/>
        <w:gridCol w:w="954"/>
        <w:gridCol w:w="954"/>
        <w:gridCol w:w="954"/>
        <w:gridCol w:w="953"/>
      </w:tblGrid>
      <w:tr>
        <w:tblPrEx>
          <w:tblW w:w="5000" w:type="pct"/>
          <w:tblCellMar>
            <w:left w:w="70" w:type="dxa"/>
            <w:right w:w="70" w:type="dxa"/>
          </w:tblCellMar>
          <w:tblLook w:val="04A0"/>
        </w:tblPrEx>
        <w:trPr>
          <w:trHeight w:val="255"/>
        </w:trPr>
        <w:tc>
          <w:tcPr>
            <w:tcW w:w="1375"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v eurách</w:t>
            </w:r>
          </w:p>
        </w:tc>
        <w:tc>
          <w:tcPr>
            <w:tcW w:w="518"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2009 S</w:t>
            </w:r>
          </w:p>
        </w:tc>
        <w:tc>
          <w:tcPr>
            <w:tcW w:w="518"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2010 S</w:t>
            </w:r>
          </w:p>
        </w:tc>
        <w:tc>
          <w:tcPr>
            <w:tcW w:w="518"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2011 R</w:t>
            </w:r>
          </w:p>
        </w:tc>
        <w:tc>
          <w:tcPr>
            <w:tcW w:w="518"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2011 OS</w:t>
            </w:r>
          </w:p>
        </w:tc>
        <w:tc>
          <w:tcPr>
            <w:tcW w:w="518"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2012 N</w:t>
            </w:r>
          </w:p>
        </w:tc>
        <w:tc>
          <w:tcPr>
            <w:tcW w:w="518"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2013 N</w:t>
            </w:r>
          </w:p>
        </w:tc>
        <w:tc>
          <w:tcPr>
            <w:tcW w:w="517"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2014 N</w:t>
            </w:r>
          </w:p>
        </w:tc>
      </w:tr>
      <w:tr>
        <w:tblPrEx>
          <w:tblW w:w="5000" w:type="pct"/>
          <w:tblCellMar>
            <w:left w:w="70" w:type="dxa"/>
            <w:right w:w="70" w:type="dxa"/>
          </w:tblCellMar>
          <w:tblLook w:val="04A0"/>
        </w:tblPrEx>
        <w:trPr>
          <w:trHeight w:val="255"/>
        </w:trPr>
        <w:tc>
          <w:tcPr>
            <w:tcW w:w="1375"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b/>
                <w:bCs/>
                <w:sz w:val="14"/>
                <w:szCs w:val="14"/>
              </w:rPr>
            </w:pPr>
            <w:r w:rsidRPr="00122402">
              <w:rPr>
                <w:rFonts w:ascii="Times New Roman" w:hAnsi="Times New Roman" w:cs="Times New Roman"/>
                <w:b/>
                <w:bCs/>
                <w:sz w:val="14"/>
                <w:szCs w:val="14"/>
              </w:rPr>
              <w:t>Výdavky na finančnú správu, z toho:</w:t>
            </w:r>
          </w:p>
        </w:tc>
        <w:tc>
          <w:tcPr>
            <w:tcW w:w="518"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sz w:val="14"/>
                <w:szCs w:val="14"/>
              </w:rPr>
            </w:pPr>
            <w:r w:rsidRPr="00122402">
              <w:rPr>
                <w:rFonts w:ascii="Times New Roman" w:hAnsi="Times New Roman" w:cs="Times New Roman"/>
                <w:b/>
                <w:bCs/>
                <w:sz w:val="14"/>
                <w:szCs w:val="14"/>
              </w:rPr>
              <w:t>218 811 091</w:t>
            </w:r>
          </w:p>
        </w:tc>
        <w:tc>
          <w:tcPr>
            <w:tcW w:w="518"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sz w:val="14"/>
                <w:szCs w:val="14"/>
              </w:rPr>
            </w:pPr>
            <w:r w:rsidRPr="00122402">
              <w:rPr>
                <w:rFonts w:ascii="Times New Roman" w:hAnsi="Times New Roman" w:cs="Times New Roman"/>
                <w:b/>
                <w:bCs/>
                <w:sz w:val="14"/>
                <w:szCs w:val="14"/>
              </w:rPr>
              <w:t>214 607 329</w:t>
            </w:r>
          </w:p>
        </w:tc>
        <w:tc>
          <w:tcPr>
            <w:tcW w:w="518"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sz w:val="14"/>
                <w:szCs w:val="14"/>
              </w:rPr>
            </w:pPr>
            <w:r w:rsidRPr="00122402">
              <w:rPr>
                <w:rFonts w:ascii="Times New Roman" w:hAnsi="Times New Roman" w:cs="Times New Roman"/>
                <w:b/>
                <w:bCs/>
                <w:sz w:val="14"/>
                <w:szCs w:val="14"/>
              </w:rPr>
              <w:t>191 258 305</w:t>
            </w:r>
          </w:p>
        </w:tc>
        <w:tc>
          <w:tcPr>
            <w:tcW w:w="518"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sz w:val="14"/>
                <w:szCs w:val="14"/>
              </w:rPr>
            </w:pPr>
            <w:r w:rsidRPr="00122402">
              <w:rPr>
                <w:rFonts w:ascii="Times New Roman" w:hAnsi="Times New Roman" w:cs="Times New Roman"/>
                <w:b/>
                <w:bCs/>
                <w:sz w:val="14"/>
                <w:szCs w:val="14"/>
              </w:rPr>
              <w:t>204 695 662</w:t>
            </w:r>
          </w:p>
        </w:tc>
        <w:tc>
          <w:tcPr>
            <w:tcW w:w="518" w:type="pct"/>
            <w:tcBorders>
              <w:top w:val="nil"/>
              <w:left w:val="nil"/>
              <w:bottom w:val="single" w:sz="4" w:space="0" w:color="auto"/>
              <w:right w:val="single" w:sz="4" w:space="0" w:color="auto"/>
            </w:tcBorders>
            <w:textDirection w:val="lrTb"/>
            <w:vAlign w:val="bottom"/>
            <w:hideMark/>
          </w:tcPr>
          <w:p w:rsidR="00CB350B" w:rsidRPr="007114DD" w:rsidP="00257E12">
            <w:pPr>
              <w:bidi w:val="0"/>
              <w:jc w:val="right"/>
              <w:rPr>
                <w:rFonts w:ascii="Times New Roman" w:hAnsi="Times New Roman" w:cs="Times New Roman"/>
                <w:b/>
                <w:bCs/>
                <w:sz w:val="14"/>
                <w:szCs w:val="14"/>
              </w:rPr>
            </w:pPr>
            <w:r w:rsidRPr="007114DD">
              <w:rPr>
                <w:rFonts w:ascii="Times New Roman" w:hAnsi="Times New Roman" w:cs="Times New Roman"/>
                <w:b/>
                <w:bCs/>
                <w:sz w:val="14"/>
                <w:szCs w:val="14"/>
              </w:rPr>
              <w:t>194 408 981</w:t>
            </w:r>
          </w:p>
        </w:tc>
        <w:tc>
          <w:tcPr>
            <w:tcW w:w="518" w:type="pct"/>
            <w:tcBorders>
              <w:top w:val="nil"/>
              <w:left w:val="nil"/>
              <w:bottom w:val="single" w:sz="4" w:space="0" w:color="auto"/>
              <w:right w:val="single" w:sz="4" w:space="0" w:color="auto"/>
            </w:tcBorders>
            <w:textDirection w:val="lrTb"/>
            <w:vAlign w:val="bottom"/>
            <w:hideMark/>
          </w:tcPr>
          <w:p w:rsidR="00CB350B" w:rsidRPr="007114DD" w:rsidP="00257E12">
            <w:pPr>
              <w:bidi w:val="0"/>
              <w:jc w:val="right"/>
              <w:rPr>
                <w:rFonts w:ascii="Times New Roman" w:hAnsi="Times New Roman" w:cs="Times New Roman"/>
                <w:b/>
                <w:bCs/>
                <w:sz w:val="14"/>
                <w:szCs w:val="14"/>
              </w:rPr>
            </w:pPr>
            <w:r w:rsidRPr="007114DD">
              <w:rPr>
                <w:rFonts w:ascii="Times New Roman" w:hAnsi="Times New Roman" w:cs="Times New Roman"/>
                <w:b/>
                <w:bCs/>
                <w:sz w:val="14"/>
                <w:szCs w:val="14"/>
              </w:rPr>
              <w:t>194 408 981</w:t>
            </w:r>
          </w:p>
        </w:tc>
        <w:tc>
          <w:tcPr>
            <w:tcW w:w="517" w:type="pct"/>
            <w:tcBorders>
              <w:top w:val="nil"/>
              <w:left w:val="nil"/>
              <w:bottom w:val="single" w:sz="4" w:space="0" w:color="auto"/>
              <w:right w:val="single" w:sz="4" w:space="0" w:color="auto"/>
            </w:tcBorders>
            <w:textDirection w:val="lrTb"/>
            <w:vAlign w:val="bottom"/>
            <w:hideMark/>
          </w:tcPr>
          <w:p w:rsidR="00CB350B" w:rsidRPr="007114DD" w:rsidP="00257E12">
            <w:pPr>
              <w:bidi w:val="0"/>
              <w:jc w:val="right"/>
              <w:rPr>
                <w:rFonts w:ascii="Times New Roman" w:hAnsi="Times New Roman" w:cs="Times New Roman"/>
                <w:b/>
                <w:bCs/>
                <w:sz w:val="14"/>
                <w:szCs w:val="14"/>
              </w:rPr>
            </w:pPr>
            <w:r w:rsidRPr="007114DD">
              <w:rPr>
                <w:rFonts w:ascii="Times New Roman" w:hAnsi="Times New Roman" w:cs="Times New Roman"/>
                <w:b/>
                <w:bCs/>
                <w:sz w:val="14"/>
                <w:szCs w:val="14"/>
              </w:rPr>
              <w:t>194 408 981</w:t>
            </w:r>
          </w:p>
        </w:tc>
      </w:tr>
      <w:tr>
        <w:tblPrEx>
          <w:tblW w:w="5000" w:type="pct"/>
          <w:tblCellMar>
            <w:left w:w="70" w:type="dxa"/>
            <w:right w:w="70" w:type="dxa"/>
          </w:tblCellMar>
          <w:tblLook w:val="04A0"/>
        </w:tblPrEx>
        <w:trPr>
          <w:trHeight w:val="255"/>
        </w:trPr>
        <w:tc>
          <w:tcPr>
            <w:tcW w:w="1375"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bežné výdavky</w:t>
            </w:r>
          </w:p>
        </w:tc>
        <w:tc>
          <w:tcPr>
            <w:tcW w:w="518"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192 510 406</w:t>
            </w:r>
          </w:p>
        </w:tc>
        <w:tc>
          <w:tcPr>
            <w:tcW w:w="518"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199 294 642</w:t>
            </w:r>
          </w:p>
        </w:tc>
        <w:tc>
          <w:tcPr>
            <w:tcW w:w="518" w:type="pct"/>
            <w:tcBorders>
              <w:top w:val="nil"/>
              <w:left w:val="nil"/>
              <w:bottom w:val="nil"/>
              <w:right w:val="nil"/>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183 811 911</w:t>
            </w:r>
          </w:p>
        </w:tc>
        <w:tc>
          <w:tcPr>
            <w:tcW w:w="518"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181 296 132</w:t>
            </w:r>
          </w:p>
        </w:tc>
        <w:tc>
          <w:tcPr>
            <w:tcW w:w="518" w:type="pct"/>
            <w:tcBorders>
              <w:top w:val="nil"/>
              <w:left w:val="nil"/>
              <w:bottom w:val="single" w:sz="4" w:space="0" w:color="auto"/>
              <w:right w:val="single" w:sz="4" w:space="0" w:color="auto"/>
            </w:tcBorders>
            <w:noWrap/>
            <w:textDirection w:val="lrTb"/>
            <w:vAlign w:val="bottom"/>
            <w:hideMark/>
          </w:tcPr>
          <w:p w:rsidR="00CB350B" w:rsidRPr="007114DD" w:rsidP="00257E12">
            <w:pPr>
              <w:bidi w:val="0"/>
              <w:jc w:val="right"/>
              <w:rPr>
                <w:rFonts w:ascii="Times New Roman" w:hAnsi="Times New Roman" w:cs="Times New Roman"/>
                <w:sz w:val="14"/>
                <w:szCs w:val="14"/>
              </w:rPr>
            </w:pPr>
            <w:r w:rsidRPr="007114DD">
              <w:rPr>
                <w:rFonts w:ascii="Times New Roman" w:hAnsi="Times New Roman" w:cs="Times New Roman"/>
                <w:sz w:val="14"/>
                <w:szCs w:val="14"/>
              </w:rPr>
              <w:t>186 268 756</w:t>
            </w:r>
          </w:p>
        </w:tc>
        <w:tc>
          <w:tcPr>
            <w:tcW w:w="518" w:type="pct"/>
            <w:tcBorders>
              <w:top w:val="nil"/>
              <w:left w:val="nil"/>
              <w:bottom w:val="single" w:sz="4" w:space="0" w:color="auto"/>
              <w:right w:val="single" w:sz="4" w:space="0" w:color="auto"/>
            </w:tcBorders>
            <w:noWrap/>
            <w:textDirection w:val="lrTb"/>
            <w:vAlign w:val="bottom"/>
            <w:hideMark/>
          </w:tcPr>
          <w:p w:rsidR="00CB350B" w:rsidRPr="007114DD" w:rsidP="00257E12">
            <w:pPr>
              <w:bidi w:val="0"/>
              <w:jc w:val="right"/>
              <w:rPr>
                <w:rFonts w:ascii="Times New Roman" w:hAnsi="Times New Roman" w:cs="Times New Roman"/>
                <w:sz w:val="14"/>
                <w:szCs w:val="14"/>
              </w:rPr>
            </w:pPr>
            <w:r w:rsidRPr="007114DD">
              <w:rPr>
                <w:rFonts w:ascii="Times New Roman" w:hAnsi="Times New Roman" w:cs="Times New Roman"/>
                <w:sz w:val="14"/>
                <w:szCs w:val="14"/>
              </w:rPr>
              <w:t>186 268 756</w:t>
            </w:r>
          </w:p>
        </w:tc>
        <w:tc>
          <w:tcPr>
            <w:tcW w:w="517" w:type="pct"/>
            <w:tcBorders>
              <w:top w:val="nil"/>
              <w:left w:val="nil"/>
              <w:bottom w:val="single" w:sz="4" w:space="0" w:color="auto"/>
              <w:right w:val="single" w:sz="4" w:space="0" w:color="auto"/>
            </w:tcBorders>
            <w:noWrap/>
            <w:textDirection w:val="lrTb"/>
            <w:vAlign w:val="bottom"/>
            <w:hideMark/>
          </w:tcPr>
          <w:p w:rsidR="00CB350B" w:rsidRPr="007114DD" w:rsidP="00257E12">
            <w:pPr>
              <w:bidi w:val="0"/>
              <w:jc w:val="right"/>
              <w:rPr>
                <w:rFonts w:ascii="Times New Roman" w:hAnsi="Times New Roman" w:cs="Times New Roman"/>
                <w:sz w:val="14"/>
                <w:szCs w:val="14"/>
              </w:rPr>
            </w:pPr>
            <w:r w:rsidRPr="007114DD">
              <w:rPr>
                <w:rFonts w:ascii="Times New Roman" w:hAnsi="Times New Roman" w:cs="Times New Roman"/>
                <w:sz w:val="14"/>
                <w:szCs w:val="14"/>
              </w:rPr>
              <w:t>186 268 756</w:t>
            </w:r>
          </w:p>
        </w:tc>
      </w:tr>
      <w:tr>
        <w:tblPrEx>
          <w:tblW w:w="5000" w:type="pct"/>
          <w:tblCellMar>
            <w:left w:w="70" w:type="dxa"/>
            <w:right w:w="70" w:type="dxa"/>
          </w:tblCellMar>
          <w:tblLook w:val="04A0"/>
        </w:tblPrEx>
        <w:trPr>
          <w:trHeight w:val="255"/>
        </w:trPr>
        <w:tc>
          <w:tcPr>
            <w:tcW w:w="1375"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kapitálové výdavky</w:t>
            </w:r>
          </w:p>
        </w:tc>
        <w:tc>
          <w:tcPr>
            <w:tcW w:w="518"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14 667 567</w:t>
            </w:r>
          </w:p>
        </w:tc>
        <w:tc>
          <w:tcPr>
            <w:tcW w:w="518"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6 226 486</w:t>
            </w:r>
          </w:p>
        </w:tc>
        <w:tc>
          <w:tcPr>
            <w:tcW w:w="518"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4 904 643</w:t>
            </w:r>
          </w:p>
        </w:tc>
        <w:tc>
          <w:tcPr>
            <w:tcW w:w="518"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4 904 643</w:t>
            </w:r>
          </w:p>
        </w:tc>
        <w:tc>
          <w:tcPr>
            <w:tcW w:w="518" w:type="pct"/>
            <w:tcBorders>
              <w:top w:val="nil"/>
              <w:left w:val="nil"/>
              <w:bottom w:val="single" w:sz="4" w:space="0" w:color="auto"/>
              <w:right w:val="single" w:sz="4" w:space="0" w:color="auto"/>
            </w:tcBorders>
            <w:noWrap/>
            <w:textDirection w:val="lrTb"/>
            <w:vAlign w:val="bottom"/>
            <w:hideMark/>
          </w:tcPr>
          <w:p w:rsidR="00CB350B" w:rsidRPr="007114DD" w:rsidP="00257E12">
            <w:pPr>
              <w:bidi w:val="0"/>
              <w:jc w:val="right"/>
              <w:rPr>
                <w:rFonts w:ascii="Times New Roman" w:hAnsi="Times New Roman" w:cs="Times New Roman"/>
                <w:sz w:val="14"/>
                <w:szCs w:val="14"/>
              </w:rPr>
            </w:pPr>
            <w:r w:rsidRPr="007114DD">
              <w:rPr>
                <w:rFonts w:ascii="Times New Roman" w:hAnsi="Times New Roman" w:cs="Times New Roman"/>
                <w:sz w:val="14"/>
                <w:szCs w:val="14"/>
              </w:rPr>
              <w:t>4 140 225</w:t>
            </w:r>
          </w:p>
        </w:tc>
        <w:tc>
          <w:tcPr>
            <w:tcW w:w="518" w:type="pct"/>
            <w:tcBorders>
              <w:top w:val="nil"/>
              <w:left w:val="nil"/>
              <w:bottom w:val="single" w:sz="4" w:space="0" w:color="auto"/>
              <w:right w:val="single" w:sz="4" w:space="0" w:color="auto"/>
            </w:tcBorders>
            <w:noWrap/>
            <w:textDirection w:val="lrTb"/>
            <w:vAlign w:val="bottom"/>
            <w:hideMark/>
          </w:tcPr>
          <w:p w:rsidR="00CB350B" w:rsidRPr="007114DD" w:rsidP="00257E12">
            <w:pPr>
              <w:bidi w:val="0"/>
              <w:jc w:val="right"/>
              <w:rPr>
                <w:rFonts w:ascii="Times New Roman" w:hAnsi="Times New Roman" w:cs="Times New Roman"/>
                <w:sz w:val="14"/>
                <w:szCs w:val="14"/>
              </w:rPr>
            </w:pPr>
            <w:r w:rsidRPr="007114DD">
              <w:rPr>
                <w:rFonts w:ascii="Times New Roman" w:hAnsi="Times New Roman" w:cs="Times New Roman"/>
                <w:sz w:val="14"/>
                <w:szCs w:val="14"/>
              </w:rPr>
              <w:t>4 140 225</w:t>
            </w:r>
          </w:p>
        </w:tc>
        <w:tc>
          <w:tcPr>
            <w:tcW w:w="517" w:type="pct"/>
            <w:tcBorders>
              <w:top w:val="nil"/>
              <w:left w:val="nil"/>
              <w:bottom w:val="single" w:sz="4" w:space="0" w:color="auto"/>
              <w:right w:val="single" w:sz="4" w:space="0" w:color="auto"/>
            </w:tcBorders>
            <w:noWrap/>
            <w:textDirection w:val="lrTb"/>
            <w:vAlign w:val="bottom"/>
            <w:hideMark/>
          </w:tcPr>
          <w:p w:rsidR="00CB350B" w:rsidRPr="007114DD" w:rsidP="00257E12">
            <w:pPr>
              <w:bidi w:val="0"/>
              <w:jc w:val="right"/>
              <w:rPr>
                <w:rFonts w:ascii="Times New Roman" w:hAnsi="Times New Roman" w:cs="Times New Roman"/>
                <w:sz w:val="14"/>
                <w:szCs w:val="14"/>
              </w:rPr>
            </w:pPr>
            <w:r w:rsidRPr="007114DD">
              <w:rPr>
                <w:rFonts w:ascii="Times New Roman" w:hAnsi="Times New Roman" w:cs="Times New Roman"/>
                <w:sz w:val="14"/>
                <w:szCs w:val="14"/>
              </w:rPr>
              <w:t>4 140 225</w:t>
            </w:r>
          </w:p>
        </w:tc>
      </w:tr>
      <w:tr>
        <w:tblPrEx>
          <w:tblW w:w="5000" w:type="pct"/>
          <w:tblCellMar>
            <w:left w:w="70" w:type="dxa"/>
            <w:right w:w="70" w:type="dxa"/>
          </w:tblCellMar>
          <w:tblLook w:val="04A0"/>
        </w:tblPrEx>
        <w:trPr>
          <w:trHeight w:val="255"/>
        </w:trPr>
        <w:tc>
          <w:tcPr>
            <w:tcW w:w="1375"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 xml:space="preserve">presun z minulých rokov </w:t>
            </w:r>
          </w:p>
        </w:tc>
        <w:tc>
          <w:tcPr>
            <w:tcW w:w="518"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3 476 367</w:t>
            </w:r>
          </w:p>
        </w:tc>
        <w:tc>
          <w:tcPr>
            <w:tcW w:w="518"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4 989 132</w:t>
            </w:r>
          </w:p>
        </w:tc>
        <w:tc>
          <w:tcPr>
            <w:tcW w:w="518"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0</w:t>
            </w:r>
          </w:p>
        </w:tc>
        <w:tc>
          <w:tcPr>
            <w:tcW w:w="518"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7 438 406</w:t>
            </w:r>
          </w:p>
        </w:tc>
        <w:tc>
          <w:tcPr>
            <w:tcW w:w="518" w:type="pct"/>
            <w:tcBorders>
              <w:top w:val="nil"/>
              <w:left w:val="nil"/>
              <w:bottom w:val="single" w:sz="4" w:space="0" w:color="auto"/>
              <w:right w:val="single" w:sz="4" w:space="0" w:color="auto"/>
            </w:tcBorders>
            <w:textDirection w:val="lrTb"/>
            <w:vAlign w:val="bottom"/>
            <w:hideMark/>
          </w:tcPr>
          <w:p w:rsidR="00CB350B" w:rsidRPr="007114DD" w:rsidP="00257E12">
            <w:pPr>
              <w:bidi w:val="0"/>
              <w:jc w:val="right"/>
              <w:rPr>
                <w:rFonts w:ascii="Times New Roman" w:hAnsi="Times New Roman" w:cs="Times New Roman"/>
                <w:sz w:val="14"/>
                <w:szCs w:val="14"/>
              </w:rPr>
            </w:pPr>
            <w:r w:rsidRPr="007114DD">
              <w:rPr>
                <w:rFonts w:ascii="Times New Roman" w:hAnsi="Times New Roman" w:cs="Times New Roman"/>
                <w:sz w:val="14"/>
                <w:szCs w:val="14"/>
              </w:rPr>
              <w:t>0</w:t>
            </w:r>
          </w:p>
        </w:tc>
        <w:tc>
          <w:tcPr>
            <w:tcW w:w="518" w:type="pct"/>
            <w:tcBorders>
              <w:top w:val="nil"/>
              <w:left w:val="nil"/>
              <w:bottom w:val="single" w:sz="4" w:space="0" w:color="auto"/>
              <w:right w:val="single" w:sz="4" w:space="0" w:color="auto"/>
            </w:tcBorders>
            <w:textDirection w:val="lrTb"/>
            <w:vAlign w:val="bottom"/>
            <w:hideMark/>
          </w:tcPr>
          <w:p w:rsidR="00CB350B" w:rsidRPr="007114DD" w:rsidP="00257E12">
            <w:pPr>
              <w:bidi w:val="0"/>
              <w:jc w:val="right"/>
              <w:rPr>
                <w:rFonts w:ascii="Times New Roman" w:hAnsi="Times New Roman" w:cs="Times New Roman"/>
                <w:sz w:val="14"/>
                <w:szCs w:val="14"/>
              </w:rPr>
            </w:pPr>
            <w:r w:rsidRPr="007114DD">
              <w:rPr>
                <w:rFonts w:ascii="Times New Roman" w:hAnsi="Times New Roman" w:cs="Times New Roman"/>
                <w:sz w:val="14"/>
                <w:szCs w:val="14"/>
              </w:rPr>
              <w:t>0</w:t>
            </w:r>
          </w:p>
        </w:tc>
        <w:tc>
          <w:tcPr>
            <w:tcW w:w="517" w:type="pct"/>
            <w:tcBorders>
              <w:top w:val="nil"/>
              <w:left w:val="nil"/>
              <w:bottom w:val="single" w:sz="4" w:space="0" w:color="auto"/>
              <w:right w:val="single" w:sz="4" w:space="0" w:color="auto"/>
            </w:tcBorders>
            <w:textDirection w:val="lrTb"/>
            <w:vAlign w:val="bottom"/>
            <w:hideMark/>
          </w:tcPr>
          <w:p w:rsidR="00CB350B" w:rsidRPr="007114DD" w:rsidP="00257E12">
            <w:pPr>
              <w:bidi w:val="0"/>
              <w:jc w:val="right"/>
              <w:rPr>
                <w:rFonts w:ascii="Times New Roman" w:hAnsi="Times New Roman" w:cs="Times New Roman"/>
                <w:sz w:val="14"/>
                <w:szCs w:val="14"/>
              </w:rPr>
            </w:pPr>
            <w:r w:rsidRPr="007114DD">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375"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UNITAS</w:t>
            </w:r>
          </w:p>
        </w:tc>
        <w:tc>
          <w:tcPr>
            <w:tcW w:w="518"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8 156 751</w:t>
            </w:r>
          </w:p>
        </w:tc>
        <w:tc>
          <w:tcPr>
            <w:tcW w:w="518"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4 097 069</w:t>
            </w:r>
          </w:p>
        </w:tc>
        <w:tc>
          <w:tcPr>
            <w:tcW w:w="518"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2 541 751</w:t>
            </w:r>
          </w:p>
        </w:tc>
        <w:tc>
          <w:tcPr>
            <w:tcW w:w="518"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11 056 481</w:t>
            </w:r>
          </w:p>
        </w:tc>
        <w:tc>
          <w:tcPr>
            <w:tcW w:w="518" w:type="pct"/>
            <w:tcBorders>
              <w:top w:val="nil"/>
              <w:left w:val="nil"/>
              <w:bottom w:val="single" w:sz="4" w:space="0" w:color="auto"/>
              <w:right w:val="single" w:sz="4" w:space="0" w:color="auto"/>
            </w:tcBorders>
            <w:noWrap/>
            <w:textDirection w:val="lrTb"/>
            <w:vAlign w:val="bottom"/>
            <w:hideMark/>
          </w:tcPr>
          <w:p w:rsidR="00CB350B" w:rsidRPr="007114DD" w:rsidP="00257E12">
            <w:pPr>
              <w:bidi w:val="0"/>
              <w:jc w:val="right"/>
              <w:rPr>
                <w:rFonts w:ascii="Times New Roman" w:hAnsi="Times New Roman" w:cs="Times New Roman"/>
                <w:sz w:val="14"/>
                <w:szCs w:val="14"/>
              </w:rPr>
            </w:pPr>
            <w:r w:rsidRPr="007114DD">
              <w:rPr>
                <w:rFonts w:ascii="Times New Roman" w:hAnsi="Times New Roman" w:cs="Times New Roman"/>
                <w:sz w:val="14"/>
                <w:szCs w:val="14"/>
              </w:rPr>
              <w:t>4 000 000</w:t>
            </w:r>
          </w:p>
        </w:tc>
        <w:tc>
          <w:tcPr>
            <w:tcW w:w="518" w:type="pct"/>
            <w:tcBorders>
              <w:top w:val="nil"/>
              <w:left w:val="nil"/>
              <w:bottom w:val="single" w:sz="4" w:space="0" w:color="auto"/>
              <w:right w:val="single" w:sz="4" w:space="0" w:color="auto"/>
            </w:tcBorders>
            <w:noWrap/>
            <w:textDirection w:val="lrTb"/>
            <w:vAlign w:val="bottom"/>
            <w:hideMark/>
          </w:tcPr>
          <w:p w:rsidR="00CB350B" w:rsidRPr="007114DD" w:rsidP="00257E12">
            <w:pPr>
              <w:bidi w:val="0"/>
              <w:jc w:val="right"/>
              <w:rPr>
                <w:rFonts w:ascii="Times New Roman" w:hAnsi="Times New Roman" w:cs="Times New Roman"/>
                <w:sz w:val="14"/>
                <w:szCs w:val="14"/>
              </w:rPr>
            </w:pPr>
            <w:r w:rsidRPr="007114DD">
              <w:rPr>
                <w:rFonts w:ascii="Times New Roman" w:hAnsi="Times New Roman" w:cs="Times New Roman"/>
                <w:sz w:val="14"/>
                <w:szCs w:val="14"/>
              </w:rPr>
              <w:t>4 000 000</w:t>
            </w:r>
          </w:p>
        </w:tc>
        <w:tc>
          <w:tcPr>
            <w:tcW w:w="517" w:type="pct"/>
            <w:tcBorders>
              <w:top w:val="nil"/>
              <w:left w:val="nil"/>
              <w:bottom w:val="single" w:sz="4" w:space="0" w:color="auto"/>
              <w:right w:val="single" w:sz="4" w:space="0" w:color="auto"/>
            </w:tcBorders>
            <w:noWrap/>
            <w:textDirection w:val="lrTb"/>
            <w:vAlign w:val="bottom"/>
            <w:hideMark/>
          </w:tcPr>
          <w:p w:rsidR="00CB350B" w:rsidRPr="007114DD" w:rsidP="00257E12">
            <w:pPr>
              <w:bidi w:val="0"/>
              <w:jc w:val="right"/>
              <w:rPr>
                <w:rFonts w:ascii="Times New Roman" w:hAnsi="Times New Roman" w:cs="Times New Roman"/>
                <w:sz w:val="14"/>
                <w:szCs w:val="14"/>
              </w:rPr>
            </w:pPr>
            <w:r w:rsidRPr="007114DD">
              <w:rPr>
                <w:rFonts w:ascii="Times New Roman" w:hAnsi="Times New Roman" w:cs="Times New Roman"/>
                <w:sz w:val="14"/>
                <w:szCs w:val="14"/>
              </w:rPr>
              <w:t>4 000 000</w:t>
            </w:r>
          </w:p>
        </w:tc>
      </w:tr>
    </w:tbl>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Celkové výdavky na danú oblasť sú v rok</w:t>
      </w:r>
      <w:r>
        <w:rPr>
          <w:rFonts w:ascii="Times New Roman" w:hAnsi="Times New Roman" w:cs="Times New Roman"/>
        </w:rPr>
        <w:t>u 2012 rozpočtované vo výške 194</w:t>
      </w:r>
      <w:r w:rsidRPr="0004638E">
        <w:rPr>
          <w:rFonts w:ascii="Times New Roman" w:hAnsi="Times New Roman" w:cs="Times New Roman"/>
        </w:rPr>
        <w:t xml:space="preserve"> mil.</w:t>
      </w:r>
      <w:r>
        <w:rPr>
          <w:rFonts w:ascii="Times New Roman" w:hAnsi="Times New Roman" w:cs="Times New Roman"/>
        </w:rPr>
        <w:t xml:space="preserve"> eur, čo predstavuje rast</w:t>
      </w:r>
      <w:r w:rsidRPr="0004638E">
        <w:rPr>
          <w:rFonts w:ascii="Times New Roman" w:hAnsi="Times New Roman" w:cs="Times New Roman"/>
        </w:rPr>
        <w:t xml:space="preserve"> v porovnaní so schváleným rozpočtom v roku 2011 o</w:t>
      </w:r>
      <w:r>
        <w:rPr>
          <w:rFonts w:ascii="Times New Roman" w:hAnsi="Times New Roman" w:cs="Times New Roman"/>
        </w:rPr>
        <w:t xml:space="preserve"> 1,65 </w:t>
      </w:r>
      <w:r w:rsidRPr="0004638E">
        <w:rPr>
          <w:rFonts w:ascii="Times New Roman" w:hAnsi="Times New Roman" w:cs="Times New Roman"/>
        </w:rPr>
        <w:t>% a v porovnaní so skutočnosťou v roku 2010 je to pokles až o</w:t>
      </w:r>
      <w:r>
        <w:rPr>
          <w:rFonts w:ascii="Times New Roman" w:hAnsi="Times New Roman" w:cs="Times New Roman"/>
        </w:rPr>
        <w:t xml:space="preserve"> 9,4 </w:t>
      </w:r>
      <w:r w:rsidRPr="0004638E">
        <w:rPr>
          <w:rFonts w:ascii="Times New Roman" w:hAnsi="Times New Roman" w:cs="Times New Roman"/>
        </w:rPr>
        <w:t>%.</w:t>
      </w:r>
    </w:p>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 xml:space="preserve">Osobné výdavky medziročne </w:t>
      </w:r>
      <w:r>
        <w:rPr>
          <w:rFonts w:ascii="Times New Roman" w:hAnsi="Times New Roman" w:cs="Times New Roman"/>
        </w:rPr>
        <w:t>rastú</w:t>
      </w:r>
      <w:r w:rsidRPr="0004638E">
        <w:rPr>
          <w:rFonts w:ascii="Times New Roman" w:hAnsi="Times New Roman" w:cs="Times New Roman"/>
        </w:rPr>
        <w:t xml:space="preserve"> o</w:t>
      </w:r>
      <w:r>
        <w:rPr>
          <w:rFonts w:ascii="Times New Roman" w:hAnsi="Times New Roman" w:cs="Times New Roman"/>
        </w:rPr>
        <w:t> 1,08</w:t>
      </w:r>
      <w:r w:rsidRPr="0004638E">
        <w:rPr>
          <w:rFonts w:ascii="Times New Roman" w:hAnsi="Times New Roman" w:cs="Times New Roman"/>
        </w:rPr>
        <w:t xml:space="preserve"> mil. eur, čo predstavuje </w:t>
      </w:r>
      <w:r>
        <w:rPr>
          <w:rFonts w:ascii="Times New Roman" w:hAnsi="Times New Roman" w:cs="Times New Roman"/>
        </w:rPr>
        <w:t>rast</w:t>
      </w:r>
      <w:r w:rsidRPr="0004638E">
        <w:rPr>
          <w:rFonts w:ascii="Times New Roman" w:hAnsi="Times New Roman" w:cs="Times New Roman"/>
        </w:rPr>
        <w:t xml:space="preserve"> o</w:t>
      </w:r>
      <w:r>
        <w:rPr>
          <w:rFonts w:ascii="Times New Roman" w:hAnsi="Times New Roman" w:cs="Times New Roman"/>
        </w:rPr>
        <w:t xml:space="preserve"> 0,8 </w:t>
      </w:r>
      <w:r w:rsidRPr="0004638E">
        <w:rPr>
          <w:rFonts w:ascii="Times New Roman" w:hAnsi="Times New Roman" w:cs="Times New Roman"/>
        </w:rPr>
        <w:t xml:space="preserve">% spôsobený </w:t>
      </w:r>
      <w:r>
        <w:rPr>
          <w:rFonts w:ascii="Times New Roman" w:hAnsi="Times New Roman" w:cs="Times New Roman"/>
        </w:rPr>
        <w:t>zavedením superhrubej mzdy.</w:t>
      </w:r>
    </w:p>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Výber daní</w:t>
      </w:r>
      <w:r w:rsidRPr="0004638E">
        <w:rPr>
          <w:rFonts w:ascii="Times New Roman" w:hAnsi="Times New Roman" w:cs="Times New Roman"/>
          <w:bCs/>
        </w:rPr>
        <w:t xml:space="preserve"> a ciel bude po schválení návrhu zákona o finančnej správe od roku 2012 </w:t>
      </w:r>
      <w:r w:rsidRPr="0004638E">
        <w:rPr>
          <w:rFonts w:ascii="Times New Roman" w:hAnsi="Times New Roman" w:cs="Times New Roman"/>
        </w:rPr>
        <w:t xml:space="preserve">gestorovať Finančné riaditeľstvo SR a finančné úrady. </w:t>
      </w:r>
    </w:p>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 xml:space="preserve">V tejto oblasti boli do roku 2011 rozpočtované aj výdavky na UNITAS – reformu daňovej a colnej správy, </w:t>
      </w:r>
      <w:r w:rsidRPr="0004638E">
        <w:rPr>
          <w:rFonts w:ascii="Times New Roman" w:hAnsi="Times New Roman" w:cs="Times New Roman"/>
          <w:iCs/>
        </w:rPr>
        <w:t xml:space="preserve">ktorej cieľom je vybudovanie efektívnej a zákaznícky orientovanej daňovej a colnej správy schopnej prevziať v budúcnosti úlohu zjednoteného výberu daní, ciel a odvodov, zjednodušenie procesov spojených s daňovými a odvodovými povinnosťami pre </w:t>
      </w:r>
      <w:r w:rsidRPr="00063075">
        <w:rPr>
          <w:rFonts w:ascii="Times New Roman" w:hAnsi="Times New Roman" w:cs="Times New Roman"/>
          <w:iCs/>
        </w:rPr>
        <w:t>subjekty s cieľom zníženia byrokracie, a to pri uplatnení smerovania k elektronickej verejnej správe. V rokoch 2012 až 2014 budú na daný účel rozpočtované prostriedky zo štátneho rozpočtu na základné úlohy vo výške 4 mil. eur, ale hlavným zdrojom financovania budú prostriedky z Operačného programu Informatizácia spoločnosti.</w:t>
      </w:r>
    </w:p>
    <w:p w:rsidR="00CB350B" w:rsidRPr="0004638E" w:rsidP="00CB350B">
      <w:pPr>
        <w:bidi w:val="0"/>
        <w:ind w:firstLine="708"/>
        <w:jc w:val="both"/>
        <w:rPr>
          <w:rFonts w:ascii="Times New Roman" w:hAnsi="Times New Roman" w:cs="Times New Roman"/>
        </w:rPr>
      </w:pPr>
    </w:p>
    <w:p w:rsidR="00CB350B" w:rsidRPr="0004638E" w:rsidP="00CB350B">
      <w:pPr>
        <w:bidi w:val="0"/>
        <w:jc w:val="both"/>
        <w:rPr>
          <w:rFonts w:ascii="Times New Roman" w:hAnsi="Times New Roman" w:cs="Times New Roman"/>
          <w:b/>
        </w:rPr>
      </w:pPr>
      <w:r w:rsidRPr="0004638E">
        <w:rPr>
          <w:rFonts w:ascii="Times New Roman" w:hAnsi="Times New Roman" w:cs="Times New Roman"/>
          <w:b/>
        </w:rPr>
        <w:t>Výdavky na informatizáciu spoločnosti</w:t>
      </w:r>
    </w:p>
    <w:p w:rsidR="00CB350B" w:rsidRPr="0004638E" w:rsidP="00CB350B">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625"/>
        <w:gridCol w:w="942"/>
        <w:gridCol w:w="941"/>
        <w:gridCol w:w="941"/>
        <w:gridCol w:w="941"/>
        <w:gridCol w:w="941"/>
        <w:gridCol w:w="941"/>
        <w:gridCol w:w="940"/>
      </w:tblGrid>
      <w:tr>
        <w:tblPrEx>
          <w:tblW w:w="5000" w:type="pct"/>
          <w:tblCellMar>
            <w:left w:w="70" w:type="dxa"/>
            <w:right w:w="70" w:type="dxa"/>
          </w:tblCellMar>
          <w:tblLook w:val="04A0"/>
        </w:tblPrEx>
        <w:trPr>
          <w:trHeight w:val="255"/>
        </w:trPr>
        <w:tc>
          <w:tcPr>
            <w:tcW w:w="142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v eurách</w:t>
            </w:r>
          </w:p>
        </w:tc>
        <w:tc>
          <w:tcPr>
            <w:tcW w:w="511"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2009 S</w:t>
            </w:r>
          </w:p>
        </w:tc>
        <w:tc>
          <w:tcPr>
            <w:tcW w:w="511"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2010 S</w:t>
            </w:r>
          </w:p>
        </w:tc>
        <w:tc>
          <w:tcPr>
            <w:tcW w:w="511"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2011 R</w:t>
            </w:r>
          </w:p>
        </w:tc>
        <w:tc>
          <w:tcPr>
            <w:tcW w:w="511"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2011 OS</w:t>
            </w:r>
          </w:p>
        </w:tc>
        <w:tc>
          <w:tcPr>
            <w:tcW w:w="511"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2012 N</w:t>
            </w:r>
          </w:p>
        </w:tc>
        <w:tc>
          <w:tcPr>
            <w:tcW w:w="511"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2013 N</w:t>
            </w:r>
          </w:p>
        </w:tc>
        <w:tc>
          <w:tcPr>
            <w:tcW w:w="511"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2014 N</w:t>
            </w:r>
          </w:p>
        </w:tc>
      </w:tr>
      <w:tr>
        <w:tblPrEx>
          <w:tblW w:w="5000" w:type="pct"/>
          <w:tblCellMar>
            <w:left w:w="70" w:type="dxa"/>
            <w:right w:w="70" w:type="dxa"/>
          </w:tblCellMar>
          <w:tblLook w:val="04A0"/>
        </w:tblPrEx>
        <w:trPr>
          <w:trHeight w:val="255"/>
        </w:trPr>
        <w:tc>
          <w:tcPr>
            <w:tcW w:w="1424"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b/>
                <w:bCs/>
                <w:sz w:val="14"/>
                <w:szCs w:val="14"/>
              </w:rPr>
            </w:pPr>
            <w:r>
              <w:rPr>
                <w:rFonts w:ascii="Times New Roman" w:hAnsi="Times New Roman" w:cs="Times New Roman"/>
                <w:b/>
                <w:bCs/>
                <w:sz w:val="14"/>
                <w:szCs w:val="14"/>
              </w:rPr>
              <w:t>Výdavky na Informatizáciu spol.</w:t>
            </w:r>
            <w:r w:rsidRPr="00122402">
              <w:rPr>
                <w:rFonts w:ascii="Times New Roman" w:hAnsi="Times New Roman" w:cs="Times New Roman"/>
                <w:b/>
                <w:bCs/>
                <w:sz w:val="14"/>
                <w:szCs w:val="14"/>
              </w:rPr>
              <w:t>, z toho:</w:t>
            </w:r>
          </w:p>
        </w:tc>
        <w:tc>
          <w:tcPr>
            <w:tcW w:w="511"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sz w:val="14"/>
                <w:szCs w:val="14"/>
              </w:rPr>
            </w:pPr>
            <w:r w:rsidRPr="00122402">
              <w:rPr>
                <w:rFonts w:ascii="Times New Roman" w:hAnsi="Times New Roman" w:cs="Times New Roman"/>
                <w:b/>
                <w:bCs/>
                <w:sz w:val="14"/>
                <w:szCs w:val="14"/>
              </w:rPr>
              <w:t>24 903 803</w:t>
            </w:r>
          </w:p>
        </w:tc>
        <w:tc>
          <w:tcPr>
            <w:tcW w:w="511"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sz w:val="14"/>
                <w:szCs w:val="14"/>
              </w:rPr>
            </w:pPr>
            <w:r w:rsidRPr="00122402">
              <w:rPr>
                <w:rFonts w:ascii="Times New Roman" w:hAnsi="Times New Roman" w:cs="Times New Roman"/>
                <w:b/>
                <w:bCs/>
                <w:sz w:val="14"/>
                <w:szCs w:val="14"/>
              </w:rPr>
              <w:t>33 250 609</w:t>
            </w:r>
          </w:p>
        </w:tc>
        <w:tc>
          <w:tcPr>
            <w:tcW w:w="511"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sz w:val="14"/>
                <w:szCs w:val="14"/>
              </w:rPr>
            </w:pPr>
            <w:r w:rsidRPr="00122402">
              <w:rPr>
                <w:rFonts w:ascii="Times New Roman" w:hAnsi="Times New Roman" w:cs="Times New Roman"/>
                <w:b/>
                <w:bCs/>
                <w:sz w:val="14"/>
                <w:szCs w:val="14"/>
              </w:rPr>
              <w:t>337 798 066</w:t>
            </w:r>
          </w:p>
        </w:tc>
        <w:tc>
          <w:tcPr>
            <w:tcW w:w="511"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sz w:val="14"/>
                <w:szCs w:val="14"/>
              </w:rPr>
            </w:pPr>
            <w:r w:rsidRPr="00122402">
              <w:rPr>
                <w:rFonts w:ascii="Times New Roman" w:hAnsi="Times New Roman" w:cs="Times New Roman"/>
                <w:b/>
                <w:bCs/>
                <w:sz w:val="14"/>
                <w:szCs w:val="14"/>
              </w:rPr>
              <w:t>103 715 755</w:t>
            </w:r>
          </w:p>
        </w:tc>
        <w:tc>
          <w:tcPr>
            <w:tcW w:w="511"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sz w:val="14"/>
                <w:szCs w:val="14"/>
              </w:rPr>
            </w:pPr>
            <w:r w:rsidRPr="00122402">
              <w:rPr>
                <w:rFonts w:ascii="Times New Roman" w:hAnsi="Times New Roman" w:cs="Times New Roman"/>
                <w:b/>
                <w:bCs/>
                <w:sz w:val="14"/>
                <w:szCs w:val="14"/>
              </w:rPr>
              <w:t>223 850 770</w:t>
            </w:r>
          </w:p>
        </w:tc>
        <w:tc>
          <w:tcPr>
            <w:tcW w:w="511"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sz w:val="14"/>
                <w:szCs w:val="14"/>
              </w:rPr>
            </w:pPr>
            <w:r w:rsidRPr="00122402">
              <w:rPr>
                <w:rFonts w:ascii="Times New Roman" w:hAnsi="Times New Roman" w:cs="Times New Roman"/>
                <w:b/>
                <w:bCs/>
                <w:sz w:val="14"/>
                <w:szCs w:val="14"/>
              </w:rPr>
              <w:t>249 168 356</w:t>
            </w:r>
          </w:p>
        </w:tc>
        <w:tc>
          <w:tcPr>
            <w:tcW w:w="511"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sz w:val="14"/>
                <w:szCs w:val="14"/>
              </w:rPr>
            </w:pPr>
            <w:r w:rsidRPr="00122402">
              <w:rPr>
                <w:rFonts w:ascii="Times New Roman" w:hAnsi="Times New Roman" w:cs="Times New Roman"/>
                <w:b/>
                <w:bCs/>
                <w:sz w:val="14"/>
                <w:szCs w:val="14"/>
              </w:rPr>
              <w:t>200 277 700</w:t>
            </w:r>
          </w:p>
        </w:tc>
      </w:tr>
      <w:tr>
        <w:tblPrEx>
          <w:tblW w:w="5000" w:type="pct"/>
          <w:tblCellMar>
            <w:left w:w="70" w:type="dxa"/>
            <w:right w:w="70" w:type="dxa"/>
          </w:tblCellMar>
          <w:tblLook w:val="04A0"/>
        </w:tblPrEx>
        <w:trPr>
          <w:trHeight w:val="255"/>
        </w:trPr>
        <w:tc>
          <w:tcPr>
            <w:tcW w:w="1424"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prostriedky ŠR na bežnú činnosť</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3 514 573</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798 823</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5 223 041</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4 885 015</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3 754 000</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3 589 000</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3 889 000</w:t>
            </w:r>
          </w:p>
        </w:tc>
      </w:tr>
      <w:tr>
        <w:tblPrEx>
          <w:tblW w:w="5000" w:type="pct"/>
          <w:tblCellMar>
            <w:left w:w="70" w:type="dxa"/>
            <w:right w:w="70" w:type="dxa"/>
          </w:tblCellMar>
          <w:tblLook w:val="04A0"/>
        </w:tblPrEx>
        <w:trPr>
          <w:trHeight w:val="255"/>
        </w:trPr>
        <w:tc>
          <w:tcPr>
            <w:tcW w:w="1424"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prostriedky ŠR na licencie na Microsoft</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19 764 238</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25 403 383</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0</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7 557 038</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0</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0</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424"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prostriedky EÚ</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831 180</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38 004</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258 258 770</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0</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167 452 252</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194 099 002</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161 414 046</w:t>
            </w:r>
          </w:p>
        </w:tc>
      </w:tr>
      <w:tr>
        <w:tblPrEx>
          <w:tblW w:w="5000" w:type="pct"/>
          <w:tblCellMar>
            <w:left w:w="70" w:type="dxa"/>
            <w:right w:w="70" w:type="dxa"/>
          </w:tblCellMar>
          <w:tblLook w:val="04A0"/>
        </w:tblPrEx>
        <w:trPr>
          <w:trHeight w:val="255"/>
        </w:trPr>
        <w:tc>
          <w:tcPr>
            <w:tcW w:w="1424"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spolufinancovanie zo ŠR</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136 679</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8 670</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74 231 238</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0</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52 559 501</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51 395 337</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34 889 637</w:t>
            </w:r>
          </w:p>
        </w:tc>
      </w:tr>
      <w:tr>
        <w:tblPrEx>
          <w:tblW w:w="5000" w:type="pct"/>
          <w:tblCellMar>
            <w:left w:w="70" w:type="dxa"/>
            <w:right w:w="70" w:type="dxa"/>
          </w:tblCellMar>
          <w:tblLook w:val="04A0"/>
        </w:tblPrEx>
        <w:trPr>
          <w:trHeight w:val="255"/>
        </w:trPr>
        <w:tc>
          <w:tcPr>
            <w:tcW w:w="1424"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presun z minulých rokov</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572 117</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6 916 712</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0</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91 188 685</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0</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0</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424"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 xml:space="preserve">transfer od UDZS </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85 017</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85 017</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85 017</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85 017</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85 017</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85 017</w:t>
            </w:r>
          </w:p>
        </w:tc>
        <w:tc>
          <w:tcPr>
            <w:tcW w:w="51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85 017</w:t>
            </w:r>
          </w:p>
        </w:tc>
      </w:tr>
    </w:tbl>
    <w:p w:rsidR="00CB350B" w:rsidRPr="0004638E" w:rsidP="00CB350B">
      <w:pPr>
        <w:bidi w:val="0"/>
        <w:jc w:val="both"/>
        <w:rPr>
          <w:rFonts w:ascii="Times New Roman" w:hAnsi="Times New Roman" w:cs="Times New Roman"/>
          <w:b/>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 xml:space="preserve">Významnú položku v rozpočte MF SR predstavujú prostriedky rozpočtované na Informatizáciu spoločnosti. Celkové výdavky </w:t>
      </w:r>
      <w:r>
        <w:rPr>
          <w:rFonts w:ascii="Times New Roman" w:hAnsi="Times New Roman" w:cs="Times New Roman"/>
        </w:rPr>
        <w:t>na túto oblasť</w:t>
      </w:r>
      <w:r w:rsidRPr="0004638E">
        <w:rPr>
          <w:rFonts w:ascii="Times New Roman" w:hAnsi="Times New Roman" w:cs="Times New Roman"/>
        </w:rPr>
        <w:t xml:space="preserve"> sú rozpočtované vo výške 224</w:t>
      </w:r>
      <w:r>
        <w:rPr>
          <w:rFonts w:ascii="Times New Roman" w:hAnsi="Times New Roman" w:cs="Times New Roman"/>
        </w:rPr>
        <w:t> </w:t>
      </w:r>
      <w:r w:rsidRPr="0004638E">
        <w:rPr>
          <w:rFonts w:ascii="Times New Roman" w:hAnsi="Times New Roman" w:cs="Times New Roman"/>
        </w:rPr>
        <w:t>mil. eur a v porovnaní so schváleným rozpočtom na rok 2011 klesajú o 17,4</w:t>
      </w:r>
      <w:r>
        <w:rPr>
          <w:rFonts w:ascii="Times New Roman" w:hAnsi="Times New Roman" w:cs="Times New Roman"/>
        </w:rPr>
        <w:t xml:space="preserve"> </w:t>
      </w:r>
      <w:r w:rsidRPr="0004638E">
        <w:rPr>
          <w:rFonts w:ascii="Times New Roman" w:hAnsi="Times New Roman" w:cs="Times New Roman"/>
        </w:rPr>
        <w:t xml:space="preserve">% najmä v dôsledku poklesu zdrojov z rozpočtu EÚ a príslušného spolufinancovania. </w:t>
      </w:r>
    </w:p>
    <w:p w:rsidR="00CB350B" w:rsidRPr="0004638E" w:rsidP="00CB350B">
      <w:pPr>
        <w:bidi w:val="0"/>
        <w:spacing w:before="120"/>
        <w:ind w:firstLine="709"/>
        <w:jc w:val="both"/>
        <w:rPr>
          <w:rFonts w:ascii="Times New Roman" w:hAnsi="Times New Roman" w:cs="Times New Roman"/>
        </w:rPr>
      </w:pPr>
      <w:r w:rsidRPr="0004638E">
        <w:rPr>
          <w:rFonts w:ascii="Times New Roman" w:hAnsi="Times New Roman" w:cs="Times New Roman"/>
        </w:rPr>
        <w:t>Prostriedkami z domácich zdrojov vo výške 3,84 mil. eur (vrátane transferu od Úradu pre dohľad nad zdravotnou starostlivosťou) sa zabezpečuje krytie výdavkov na úlohy v tejto oblasti (výdavky na informačnú bezpečnosť AP, poradenskú činnosť, analýzy, softvér). Výdavky na Multilicenčnú zmluvu s Microsoft sú rozpočtované v kapitole Všeobecná pokladničná správa vo výške 16 mil. eur každoročne. V priebehu roka 2012 bude z týchto prostriedkov do kapitoly ministerstva financií presunutá suma, ktorá bude potrebná na zaplatenie skutočných výdavkov na licencie za jednotlivé kapitoly štátneho rozpočtu.</w:t>
      </w:r>
    </w:p>
    <w:p w:rsidR="00CB350B" w:rsidRPr="0004638E" w:rsidP="00CB350B">
      <w:pPr>
        <w:pStyle w:val="NormalWeb"/>
        <w:bidi w:val="0"/>
        <w:spacing w:before="120" w:beforeAutospacing="0" w:after="0" w:afterAutospacing="0"/>
        <w:ind w:firstLine="709"/>
        <w:jc w:val="both"/>
        <w:rPr>
          <w:rFonts w:ascii="Times New Roman" w:hAnsi="Times New Roman"/>
        </w:rPr>
      </w:pPr>
      <w:r w:rsidRPr="0004638E">
        <w:rPr>
          <w:rFonts w:ascii="Times New Roman" w:hAnsi="Times New Roman"/>
        </w:rPr>
        <w:t>Spolufinancovanie k európskym zdrojom v tejto oblasti je rozpočtované vrátane prostriedkov pro rata.</w:t>
      </w:r>
    </w:p>
    <w:p w:rsidR="00CB350B" w:rsidRPr="0004638E" w:rsidP="00CB350B">
      <w:pPr>
        <w:pStyle w:val="NormalWeb"/>
        <w:bidi w:val="0"/>
        <w:spacing w:before="0" w:beforeAutospacing="0" w:after="0" w:afterAutospacing="0"/>
        <w:jc w:val="both"/>
        <w:rPr>
          <w:rFonts w:ascii="Times New Roman" w:hAnsi="Times New Roman"/>
        </w:rPr>
      </w:pPr>
      <w:r w:rsidRPr="0004638E">
        <w:rPr>
          <w:rFonts w:ascii="Times New Roman" w:hAnsi="Times New Roman"/>
        </w:rPr>
        <w:t xml:space="preserve"> </w:t>
      </w:r>
    </w:p>
    <w:p w:rsidR="00CB350B" w:rsidRPr="0004638E" w:rsidP="00CB350B">
      <w:pPr>
        <w:pStyle w:val="NormalWeb"/>
        <w:bidi w:val="0"/>
        <w:spacing w:before="0" w:beforeAutospacing="0" w:after="0" w:afterAutospacing="0"/>
        <w:jc w:val="both"/>
        <w:rPr>
          <w:rFonts w:ascii="Times New Roman" w:hAnsi="Times New Roman"/>
          <w:b/>
        </w:rPr>
      </w:pPr>
      <w:r w:rsidRPr="0004638E">
        <w:rPr>
          <w:rFonts w:ascii="Times New Roman" w:hAnsi="Times New Roman"/>
          <w:b/>
        </w:rPr>
        <w:t>Nadrezortné informačné systémy riadenia verejných financií</w:t>
      </w:r>
    </w:p>
    <w:p w:rsidR="00CB350B" w:rsidRPr="0004638E" w:rsidP="00CB350B">
      <w:pPr>
        <w:pStyle w:val="NormalWeb"/>
        <w:bidi w:val="0"/>
        <w:spacing w:before="0" w:beforeAutospacing="0" w:after="0" w:afterAutospacing="0"/>
        <w:jc w:val="both"/>
        <w:rPr>
          <w:rFonts w:ascii="Times New Roman" w:hAnsi="Times New Roman"/>
        </w:rPr>
      </w:pPr>
    </w:p>
    <w:tbl>
      <w:tblPr>
        <w:tblStyle w:val="TableNormal"/>
        <w:tblW w:w="5000" w:type="pct"/>
        <w:tblCellMar>
          <w:left w:w="70" w:type="dxa"/>
          <w:right w:w="70" w:type="dxa"/>
        </w:tblCellMar>
        <w:tblLook w:val="04A0"/>
      </w:tblPr>
      <w:tblGrid>
        <w:gridCol w:w="2878"/>
        <w:gridCol w:w="904"/>
        <w:gridCol w:w="905"/>
        <w:gridCol w:w="905"/>
        <w:gridCol w:w="905"/>
        <w:gridCol w:w="905"/>
        <w:gridCol w:w="905"/>
        <w:gridCol w:w="905"/>
      </w:tblGrid>
      <w:tr>
        <w:tblPrEx>
          <w:tblW w:w="5000" w:type="pct"/>
          <w:tblCellMar>
            <w:left w:w="70" w:type="dxa"/>
            <w:right w:w="70" w:type="dxa"/>
          </w:tblCellMar>
          <w:tblLook w:val="04A0"/>
        </w:tblPrEx>
        <w:trPr>
          <w:trHeight w:val="255"/>
        </w:trPr>
        <w:tc>
          <w:tcPr>
            <w:tcW w:w="1562"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v eurách</w:t>
            </w:r>
          </w:p>
        </w:tc>
        <w:tc>
          <w:tcPr>
            <w:tcW w:w="491"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2009 S</w:t>
            </w:r>
          </w:p>
        </w:tc>
        <w:tc>
          <w:tcPr>
            <w:tcW w:w="491"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2010 S</w:t>
            </w:r>
          </w:p>
        </w:tc>
        <w:tc>
          <w:tcPr>
            <w:tcW w:w="491"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2011 R</w:t>
            </w:r>
          </w:p>
        </w:tc>
        <w:tc>
          <w:tcPr>
            <w:tcW w:w="491"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2011 OS</w:t>
            </w:r>
          </w:p>
        </w:tc>
        <w:tc>
          <w:tcPr>
            <w:tcW w:w="491"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2012 N</w:t>
            </w:r>
          </w:p>
        </w:tc>
        <w:tc>
          <w:tcPr>
            <w:tcW w:w="491"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2013 N</w:t>
            </w:r>
          </w:p>
        </w:tc>
        <w:tc>
          <w:tcPr>
            <w:tcW w:w="491"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2014 N</w:t>
            </w:r>
          </w:p>
        </w:tc>
      </w:tr>
      <w:tr>
        <w:tblPrEx>
          <w:tblW w:w="5000" w:type="pct"/>
          <w:tblCellMar>
            <w:left w:w="70" w:type="dxa"/>
            <w:right w:w="70" w:type="dxa"/>
          </w:tblCellMar>
          <w:tblLook w:val="04A0"/>
        </w:tblPrEx>
        <w:trPr>
          <w:trHeight w:val="255"/>
        </w:trPr>
        <w:tc>
          <w:tcPr>
            <w:tcW w:w="1562"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b/>
                <w:bCs/>
                <w:sz w:val="14"/>
                <w:szCs w:val="14"/>
              </w:rPr>
            </w:pPr>
            <w:r w:rsidRPr="00122402">
              <w:rPr>
                <w:rFonts w:ascii="Times New Roman" w:hAnsi="Times New Roman" w:cs="Times New Roman"/>
                <w:b/>
                <w:bCs/>
                <w:sz w:val="14"/>
                <w:szCs w:val="14"/>
              </w:rPr>
              <w:t>Nadrezortné informačné systémy riadenia VF</w:t>
            </w:r>
          </w:p>
        </w:tc>
        <w:tc>
          <w:tcPr>
            <w:tcW w:w="491"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sz w:val="14"/>
                <w:szCs w:val="14"/>
              </w:rPr>
            </w:pPr>
            <w:r w:rsidRPr="00122402">
              <w:rPr>
                <w:rFonts w:ascii="Times New Roman" w:hAnsi="Times New Roman" w:cs="Times New Roman"/>
                <w:b/>
                <w:bCs/>
                <w:sz w:val="14"/>
                <w:szCs w:val="14"/>
              </w:rPr>
              <w:t>61 263 838</w:t>
            </w:r>
          </w:p>
        </w:tc>
        <w:tc>
          <w:tcPr>
            <w:tcW w:w="491"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sz w:val="14"/>
                <w:szCs w:val="14"/>
              </w:rPr>
            </w:pPr>
            <w:r w:rsidRPr="00122402">
              <w:rPr>
                <w:rFonts w:ascii="Times New Roman" w:hAnsi="Times New Roman" w:cs="Times New Roman"/>
                <w:b/>
                <w:bCs/>
                <w:sz w:val="14"/>
                <w:szCs w:val="14"/>
              </w:rPr>
              <w:t>63 176 251</w:t>
            </w:r>
          </w:p>
        </w:tc>
        <w:tc>
          <w:tcPr>
            <w:tcW w:w="491"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sz w:val="14"/>
                <w:szCs w:val="14"/>
              </w:rPr>
            </w:pPr>
            <w:r w:rsidRPr="00122402">
              <w:rPr>
                <w:rFonts w:ascii="Times New Roman" w:hAnsi="Times New Roman" w:cs="Times New Roman"/>
                <w:b/>
                <w:bCs/>
                <w:sz w:val="14"/>
                <w:szCs w:val="14"/>
              </w:rPr>
              <w:t>46 530 131</w:t>
            </w:r>
          </w:p>
        </w:tc>
        <w:tc>
          <w:tcPr>
            <w:tcW w:w="491"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sz w:val="14"/>
                <w:szCs w:val="14"/>
              </w:rPr>
            </w:pPr>
            <w:r w:rsidRPr="00122402">
              <w:rPr>
                <w:rFonts w:ascii="Times New Roman" w:hAnsi="Times New Roman" w:cs="Times New Roman"/>
                <w:b/>
                <w:bCs/>
                <w:sz w:val="14"/>
                <w:szCs w:val="14"/>
              </w:rPr>
              <w:t>53 404 468</w:t>
            </w:r>
          </w:p>
        </w:tc>
        <w:tc>
          <w:tcPr>
            <w:tcW w:w="491"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sz w:val="14"/>
                <w:szCs w:val="14"/>
              </w:rPr>
            </w:pPr>
            <w:r w:rsidRPr="00122402">
              <w:rPr>
                <w:rFonts w:ascii="Times New Roman" w:hAnsi="Times New Roman" w:cs="Times New Roman"/>
                <w:b/>
                <w:bCs/>
                <w:sz w:val="14"/>
                <w:szCs w:val="14"/>
              </w:rPr>
              <w:t>53 692 742</w:t>
            </w:r>
          </w:p>
        </w:tc>
        <w:tc>
          <w:tcPr>
            <w:tcW w:w="491"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sz w:val="14"/>
                <w:szCs w:val="14"/>
              </w:rPr>
            </w:pPr>
            <w:r w:rsidRPr="00122402">
              <w:rPr>
                <w:rFonts w:ascii="Times New Roman" w:hAnsi="Times New Roman" w:cs="Times New Roman"/>
                <w:b/>
                <w:bCs/>
                <w:sz w:val="14"/>
                <w:szCs w:val="14"/>
              </w:rPr>
              <w:t>53 412 742</w:t>
            </w:r>
          </w:p>
        </w:tc>
        <w:tc>
          <w:tcPr>
            <w:tcW w:w="491"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sz w:val="14"/>
                <w:szCs w:val="14"/>
              </w:rPr>
            </w:pPr>
            <w:r w:rsidRPr="00122402">
              <w:rPr>
                <w:rFonts w:ascii="Times New Roman" w:hAnsi="Times New Roman" w:cs="Times New Roman"/>
                <w:b/>
                <w:bCs/>
                <w:sz w:val="14"/>
                <w:szCs w:val="14"/>
              </w:rPr>
              <w:t>53 212 742</w:t>
            </w:r>
          </w:p>
        </w:tc>
      </w:tr>
      <w:tr>
        <w:tblPrEx>
          <w:tblW w:w="5000" w:type="pct"/>
          <w:tblCellMar>
            <w:left w:w="70" w:type="dxa"/>
            <w:right w:w="70" w:type="dxa"/>
          </w:tblCellMar>
          <w:tblLook w:val="04A0"/>
        </w:tblPrEx>
        <w:trPr>
          <w:trHeight w:val="255"/>
        </w:trPr>
        <w:tc>
          <w:tcPr>
            <w:tcW w:w="1562"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IS pre systém Štátnej pokladnice</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26 524 714</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16 740 209</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17 760 421</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18 908 822</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17 753 200</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17 973 200</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17 773 200</w:t>
            </w:r>
          </w:p>
        </w:tc>
      </w:tr>
      <w:tr>
        <w:tblPrEx>
          <w:tblW w:w="5000" w:type="pct"/>
          <w:tblCellMar>
            <w:left w:w="70" w:type="dxa"/>
            <w:right w:w="70" w:type="dxa"/>
          </w:tblCellMar>
          <w:tblLook w:val="04A0"/>
        </w:tblPrEx>
        <w:trPr>
          <w:trHeight w:val="255"/>
        </w:trPr>
        <w:tc>
          <w:tcPr>
            <w:tcW w:w="1562"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Rozpočtový informačný systém</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5 943 316</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9 541 874</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5 206 466</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6 539 181</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4 903 878</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4 903 878</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4 903 878</w:t>
            </w:r>
          </w:p>
        </w:tc>
      </w:tr>
      <w:tr>
        <w:tblPrEx>
          <w:tblW w:w="5000" w:type="pct"/>
          <w:tblCellMar>
            <w:left w:w="70" w:type="dxa"/>
            <w:right w:w="70" w:type="dxa"/>
          </w:tblCellMar>
          <w:tblLook w:val="04A0"/>
        </w:tblPrEx>
        <w:trPr>
          <w:trHeight w:val="255"/>
        </w:trPr>
        <w:tc>
          <w:tcPr>
            <w:tcW w:w="1562"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IS účtovníctva fondov</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1 052 577</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1 276 038</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1 165 133</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1 165 133</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1 215 133</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1 215 133</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1 215 133</w:t>
            </w:r>
          </w:p>
        </w:tc>
      </w:tr>
      <w:tr>
        <w:tblPrEx>
          <w:tblW w:w="5000" w:type="pct"/>
          <w:tblCellMar>
            <w:left w:w="70" w:type="dxa"/>
            <w:right w:w="70" w:type="dxa"/>
          </w:tblCellMar>
          <w:tblLook w:val="04A0"/>
        </w:tblPrEx>
        <w:trPr>
          <w:trHeight w:val="255"/>
        </w:trPr>
        <w:tc>
          <w:tcPr>
            <w:tcW w:w="1562"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Podporná infraštruktúra</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24 027 300</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29 958 774</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17 614 579</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18 393 670</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23 750 531</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23 750 531</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23 750 531</w:t>
            </w:r>
          </w:p>
        </w:tc>
      </w:tr>
      <w:tr>
        <w:tblPrEx>
          <w:tblW w:w="5000" w:type="pct"/>
          <w:tblCellMar>
            <w:left w:w="70" w:type="dxa"/>
            <w:right w:w="70" w:type="dxa"/>
          </w:tblCellMar>
          <w:tblLook w:val="04A0"/>
        </w:tblPrEx>
        <w:trPr>
          <w:trHeight w:val="255"/>
        </w:trPr>
        <w:tc>
          <w:tcPr>
            <w:tcW w:w="1562"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Jednotný systém štátneho účtov. a výkaz.</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3 715 931</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5 659 355</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4 783 532</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8 397 662</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6 070 000</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5 570 000</w:t>
            </w:r>
          </w:p>
        </w:tc>
        <w:tc>
          <w:tcPr>
            <w:tcW w:w="491"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5 570 000</w:t>
            </w:r>
          </w:p>
        </w:tc>
      </w:tr>
    </w:tbl>
    <w:p w:rsidR="00CB350B" w:rsidRPr="0004638E" w:rsidP="00CB350B">
      <w:pPr>
        <w:pStyle w:val="NormalWeb"/>
        <w:bidi w:val="0"/>
        <w:spacing w:before="0" w:beforeAutospacing="0" w:after="0" w:afterAutospacing="0"/>
        <w:jc w:val="both"/>
        <w:rPr>
          <w:rFonts w:ascii="Times New Roman" w:hAnsi="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 xml:space="preserve">Informačné systémy riadenia verejných financií  nadrezortného charakteru sú prierezové systémy, ktoré využívajú všetky subjekty verejnej správy. </w:t>
      </w:r>
    </w:p>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V roku 2012 výdavky v tejto oblasti rastú o 7,16 mil. eur, čo predstavuje rast o 15,4</w:t>
      </w:r>
      <w:r>
        <w:rPr>
          <w:rFonts w:ascii="Times New Roman" w:hAnsi="Times New Roman" w:cs="Times New Roman"/>
        </w:rPr>
        <w:t xml:space="preserve"> </w:t>
      </w:r>
      <w:r w:rsidRPr="0004638E">
        <w:rPr>
          <w:rFonts w:ascii="Times New Roman" w:hAnsi="Times New Roman" w:cs="Times New Roman"/>
        </w:rPr>
        <w:t>%. V porovnaní so skutočnosťou dosiahnutou v roku 2010 je to pokles o</w:t>
      </w:r>
      <w:r>
        <w:rPr>
          <w:rFonts w:ascii="Times New Roman" w:hAnsi="Times New Roman" w:cs="Times New Roman"/>
        </w:rPr>
        <w:t> </w:t>
      </w:r>
      <w:r w:rsidRPr="0004638E">
        <w:rPr>
          <w:rFonts w:ascii="Times New Roman" w:hAnsi="Times New Roman" w:cs="Times New Roman"/>
        </w:rPr>
        <w:t>15</w:t>
      </w:r>
      <w:r>
        <w:rPr>
          <w:rFonts w:ascii="Times New Roman" w:hAnsi="Times New Roman" w:cs="Times New Roman"/>
        </w:rPr>
        <w:t xml:space="preserve"> </w:t>
      </w:r>
      <w:r w:rsidRPr="0004638E">
        <w:rPr>
          <w:rFonts w:ascii="Times New Roman" w:hAnsi="Times New Roman" w:cs="Times New Roman"/>
        </w:rPr>
        <w:t>%. Výdavky na Rozpočtový informačný systém sú rozpočtované vo výške 4,9 mil. eur</w:t>
      </w:r>
      <w:r>
        <w:rPr>
          <w:rFonts w:ascii="Times New Roman" w:hAnsi="Times New Roman" w:cs="Times New Roman"/>
        </w:rPr>
        <w:t>,</w:t>
      </w:r>
      <w:r w:rsidRPr="0004638E">
        <w:rPr>
          <w:rFonts w:ascii="Times New Roman" w:hAnsi="Times New Roman" w:cs="Times New Roman"/>
        </w:rPr>
        <w:t xml:space="preserve"> čo predstavuje pokles medziročne o 5,81</w:t>
      </w:r>
      <w:r>
        <w:rPr>
          <w:rFonts w:ascii="Times New Roman" w:hAnsi="Times New Roman" w:cs="Times New Roman"/>
        </w:rPr>
        <w:t xml:space="preserve"> </w:t>
      </w:r>
      <w:r w:rsidRPr="0004638E">
        <w:rPr>
          <w:rFonts w:ascii="Times New Roman" w:hAnsi="Times New Roman" w:cs="Times New Roman"/>
        </w:rPr>
        <w:t>%. Výdavky na Informačný systém pre systém Štátnej pokladnice sú medziročne rozpočtované na približne rovnakej úrovni. Medziročne rastú výdavky na Jednotný systém štátneho účtovníctva a výkazníctva o 1,29 mil. eur, čo predstavuje rast</w:t>
      </w:r>
      <w:r>
        <w:rPr>
          <w:rFonts w:ascii="Times New Roman" w:hAnsi="Times New Roman" w:cs="Times New Roman"/>
        </w:rPr>
        <w:t xml:space="preserve"> o</w:t>
      </w:r>
      <w:r w:rsidRPr="0004638E">
        <w:rPr>
          <w:rFonts w:ascii="Times New Roman" w:hAnsi="Times New Roman" w:cs="Times New Roman"/>
        </w:rPr>
        <w:t xml:space="preserve"> 26,9</w:t>
      </w:r>
      <w:r>
        <w:rPr>
          <w:rFonts w:ascii="Times New Roman" w:hAnsi="Times New Roman" w:cs="Times New Roman"/>
        </w:rPr>
        <w:t> </w:t>
      </w:r>
      <w:r w:rsidRPr="0004638E">
        <w:rPr>
          <w:rFonts w:ascii="Times New Roman" w:hAnsi="Times New Roman" w:cs="Times New Roman"/>
        </w:rPr>
        <w:t>%, výdavky na Informačný systém účtovníctva fondov medziročne rastú o 50 tis. eur, čo je rast o 4,29% a výdavky na podpornú infraštruktúru medziročne rastú o 6,13 mil. eur</w:t>
      </w:r>
      <w:r>
        <w:rPr>
          <w:rFonts w:ascii="Times New Roman" w:hAnsi="Times New Roman" w:cs="Times New Roman"/>
        </w:rPr>
        <w:t>,</w:t>
      </w:r>
      <w:r w:rsidRPr="0004638E">
        <w:rPr>
          <w:rFonts w:ascii="Times New Roman" w:hAnsi="Times New Roman" w:cs="Times New Roman"/>
        </w:rPr>
        <w:t xml:space="preserve"> čo predstavuje rast o 34,8</w:t>
      </w:r>
      <w:r>
        <w:rPr>
          <w:rFonts w:ascii="Times New Roman" w:hAnsi="Times New Roman" w:cs="Times New Roman"/>
        </w:rPr>
        <w:t xml:space="preserve"> </w:t>
      </w:r>
      <w:r w:rsidRPr="0004638E">
        <w:rPr>
          <w:rFonts w:ascii="Times New Roman" w:hAnsi="Times New Roman" w:cs="Times New Roman"/>
        </w:rPr>
        <w:t>%.</w:t>
      </w:r>
    </w:p>
    <w:p w:rsidR="00CB350B" w:rsidRPr="0004638E" w:rsidP="00CB350B">
      <w:pPr>
        <w:pStyle w:val="NormalWeb"/>
        <w:bidi w:val="0"/>
        <w:spacing w:before="0" w:beforeAutospacing="0" w:after="0" w:afterAutospacing="0"/>
        <w:jc w:val="both"/>
        <w:rPr>
          <w:rFonts w:ascii="Times New Roman" w:hAnsi="Times New Roman"/>
        </w:rPr>
      </w:pPr>
    </w:p>
    <w:p w:rsidR="00CB350B" w:rsidRPr="0004638E" w:rsidP="00CB350B">
      <w:pPr>
        <w:pStyle w:val="NormalWeb"/>
        <w:bidi w:val="0"/>
        <w:spacing w:before="0" w:beforeAutospacing="0" w:after="0" w:afterAutospacing="0"/>
        <w:jc w:val="both"/>
        <w:rPr>
          <w:rFonts w:ascii="Times New Roman" w:hAnsi="Times New Roman"/>
          <w:b/>
        </w:rPr>
      </w:pPr>
      <w:r w:rsidRPr="0004638E">
        <w:rPr>
          <w:rFonts w:ascii="Times New Roman" w:hAnsi="Times New Roman"/>
          <w:b/>
        </w:rPr>
        <w:t>Inštitucionálna podpora a kontrola</w:t>
      </w:r>
    </w:p>
    <w:p w:rsidR="00CB350B" w:rsidRPr="0004638E" w:rsidP="00CB350B">
      <w:pPr>
        <w:pStyle w:val="NormalWeb"/>
        <w:bidi w:val="0"/>
        <w:spacing w:before="0" w:beforeAutospacing="0" w:after="0" w:afterAutospacing="0"/>
        <w:jc w:val="both"/>
        <w:rPr>
          <w:rFonts w:ascii="Times New Roman" w:hAnsi="Times New Roman"/>
        </w:rPr>
      </w:pPr>
    </w:p>
    <w:tbl>
      <w:tblPr>
        <w:tblStyle w:val="TableNormal"/>
        <w:tblW w:w="5000" w:type="pct"/>
        <w:tblCellMar>
          <w:left w:w="70" w:type="dxa"/>
          <w:right w:w="70" w:type="dxa"/>
        </w:tblCellMar>
        <w:tblLook w:val="04A0"/>
      </w:tblPr>
      <w:tblGrid>
        <w:gridCol w:w="2715"/>
        <w:gridCol w:w="928"/>
        <w:gridCol w:w="928"/>
        <w:gridCol w:w="929"/>
        <w:gridCol w:w="929"/>
        <w:gridCol w:w="929"/>
        <w:gridCol w:w="929"/>
        <w:gridCol w:w="925"/>
      </w:tblGrid>
      <w:tr>
        <w:tblPrEx>
          <w:tblW w:w="5000" w:type="pct"/>
          <w:tblCellMar>
            <w:left w:w="70" w:type="dxa"/>
            <w:right w:w="70" w:type="dxa"/>
          </w:tblCellMar>
          <w:tblLook w:val="04A0"/>
        </w:tblPrEx>
        <w:trPr>
          <w:trHeight w:val="255"/>
        </w:trPr>
        <w:tc>
          <w:tcPr>
            <w:tcW w:w="147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v eurách</w:t>
            </w:r>
          </w:p>
        </w:tc>
        <w:tc>
          <w:tcPr>
            <w:tcW w:w="504"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2009 S</w:t>
            </w:r>
          </w:p>
        </w:tc>
        <w:tc>
          <w:tcPr>
            <w:tcW w:w="504"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2010 S</w:t>
            </w:r>
          </w:p>
        </w:tc>
        <w:tc>
          <w:tcPr>
            <w:tcW w:w="504"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2011 R</w:t>
            </w:r>
          </w:p>
        </w:tc>
        <w:tc>
          <w:tcPr>
            <w:tcW w:w="504"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2011 OS</w:t>
            </w:r>
          </w:p>
        </w:tc>
        <w:tc>
          <w:tcPr>
            <w:tcW w:w="504"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2012 N</w:t>
            </w:r>
          </w:p>
        </w:tc>
        <w:tc>
          <w:tcPr>
            <w:tcW w:w="504"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2013 N</w:t>
            </w:r>
          </w:p>
        </w:tc>
        <w:tc>
          <w:tcPr>
            <w:tcW w:w="502"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2014 N</w:t>
            </w:r>
          </w:p>
        </w:tc>
      </w:tr>
      <w:tr>
        <w:tblPrEx>
          <w:tblW w:w="5000" w:type="pct"/>
          <w:tblCellMar>
            <w:left w:w="70" w:type="dxa"/>
            <w:right w:w="70" w:type="dxa"/>
          </w:tblCellMar>
          <w:tblLook w:val="04A0"/>
        </w:tblPrEx>
        <w:trPr>
          <w:trHeight w:val="255"/>
        </w:trPr>
        <w:tc>
          <w:tcPr>
            <w:tcW w:w="1474"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b/>
                <w:bCs/>
                <w:sz w:val="14"/>
                <w:szCs w:val="14"/>
              </w:rPr>
            </w:pPr>
            <w:r w:rsidRPr="00122402">
              <w:rPr>
                <w:rFonts w:ascii="Times New Roman" w:hAnsi="Times New Roman" w:cs="Times New Roman"/>
                <w:b/>
                <w:bCs/>
                <w:sz w:val="14"/>
                <w:szCs w:val="14"/>
              </w:rPr>
              <w:t>Inštitucionálna podpora a kontrola, z toho:</w:t>
            </w:r>
          </w:p>
        </w:tc>
        <w:tc>
          <w:tcPr>
            <w:tcW w:w="504"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sz w:val="14"/>
                <w:szCs w:val="14"/>
              </w:rPr>
            </w:pPr>
            <w:r w:rsidRPr="00122402">
              <w:rPr>
                <w:rFonts w:ascii="Times New Roman" w:hAnsi="Times New Roman" w:cs="Times New Roman"/>
                <w:b/>
                <w:bCs/>
                <w:sz w:val="14"/>
                <w:szCs w:val="14"/>
              </w:rPr>
              <w:t>66 382 328</w:t>
            </w:r>
          </w:p>
        </w:tc>
        <w:tc>
          <w:tcPr>
            <w:tcW w:w="504"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sz w:val="14"/>
                <w:szCs w:val="14"/>
              </w:rPr>
            </w:pPr>
            <w:r w:rsidRPr="00122402">
              <w:rPr>
                <w:rFonts w:ascii="Times New Roman" w:hAnsi="Times New Roman" w:cs="Times New Roman"/>
                <w:b/>
                <w:bCs/>
                <w:sz w:val="14"/>
                <w:szCs w:val="14"/>
              </w:rPr>
              <w:t>81 137 387</w:t>
            </w:r>
          </w:p>
        </w:tc>
        <w:tc>
          <w:tcPr>
            <w:tcW w:w="504"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sz w:val="14"/>
                <w:szCs w:val="14"/>
              </w:rPr>
            </w:pPr>
            <w:r w:rsidRPr="00122402">
              <w:rPr>
                <w:rFonts w:ascii="Times New Roman" w:hAnsi="Times New Roman" w:cs="Times New Roman"/>
                <w:b/>
                <w:bCs/>
                <w:sz w:val="14"/>
                <w:szCs w:val="14"/>
              </w:rPr>
              <w:t>46 730 258</w:t>
            </w:r>
          </w:p>
        </w:tc>
        <w:tc>
          <w:tcPr>
            <w:tcW w:w="504"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sz w:val="14"/>
                <w:szCs w:val="14"/>
              </w:rPr>
            </w:pPr>
            <w:r w:rsidRPr="00122402">
              <w:rPr>
                <w:rFonts w:ascii="Times New Roman" w:hAnsi="Times New Roman" w:cs="Times New Roman"/>
                <w:b/>
                <w:bCs/>
                <w:sz w:val="14"/>
                <w:szCs w:val="14"/>
              </w:rPr>
              <w:t>68 212 483</w:t>
            </w:r>
          </w:p>
        </w:tc>
        <w:tc>
          <w:tcPr>
            <w:tcW w:w="504" w:type="pct"/>
            <w:tcBorders>
              <w:top w:val="nil"/>
              <w:left w:val="nil"/>
              <w:bottom w:val="single" w:sz="4" w:space="0" w:color="auto"/>
              <w:right w:val="single" w:sz="4" w:space="0" w:color="auto"/>
            </w:tcBorders>
            <w:textDirection w:val="lrTb"/>
            <w:vAlign w:val="bottom"/>
            <w:hideMark/>
          </w:tcPr>
          <w:p w:rsidR="00CB350B" w:rsidRPr="00867770" w:rsidP="00257E12">
            <w:pPr>
              <w:bidi w:val="0"/>
              <w:jc w:val="right"/>
              <w:rPr>
                <w:rFonts w:ascii="Times New Roman" w:hAnsi="Times New Roman" w:cs="Times New Roman"/>
                <w:b/>
                <w:bCs/>
                <w:sz w:val="14"/>
                <w:szCs w:val="14"/>
              </w:rPr>
            </w:pPr>
            <w:r w:rsidRPr="00867770">
              <w:rPr>
                <w:rFonts w:ascii="Times New Roman" w:hAnsi="Times New Roman" w:cs="Times New Roman"/>
                <w:b/>
                <w:bCs/>
                <w:sz w:val="14"/>
                <w:szCs w:val="14"/>
              </w:rPr>
              <w:t>49 469 048</w:t>
            </w:r>
          </w:p>
        </w:tc>
        <w:tc>
          <w:tcPr>
            <w:tcW w:w="504" w:type="pct"/>
            <w:tcBorders>
              <w:top w:val="nil"/>
              <w:left w:val="nil"/>
              <w:bottom w:val="single" w:sz="4" w:space="0" w:color="auto"/>
              <w:right w:val="single" w:sz="4" w:space="0" w:color="auto"/>
            </w:tcBorders>
            <w:textDirection w:val="lrTb"/>
            <w:vAlign w:val="bottom"/>
            <w:hideMark/>
          </w:tcPr>
          <w:p w:rsidR="00CB350B" w:rsidRPr="00E74CFC" w:rsidP="00257E12">
            <w:pPr>
              <w:bidi w:val="0"/>
              <w:jc w:val="right"/>
              <w:rPr>
                <w:rFonts w:ascii="Times New Roman" w:hAnsi="Times New Roman" w:cs="Times New Roman"/>
                <w:b/>
                <w:bCs/>
                <w:sz w:val="14"/>
                <w:szCs w:val="14"/>
                <w:lang w:eastAsia="sk-SK"/>
              </w:rPr>
            </w:pPr>
            <w:r w:rsidRPr="00E74CFC">
              <w:rPr>
                <w:rFonts w:ascii="Times New Roman" w:hAnsi="Times New Roman" w:cs="Times New Roman"/>
                <w:b/>
                <w:bCs/>
                <w:sz w:val="14"/>
                <w:szCs w:val="14"/>
                <w:lang w:eastAsia="sk-SK"/>
              </w:rPr>
              <w:t>45 364 685</w:t>
            </w:r>
          </w:p>
        </w:tc>
        <w:tc>
          <w:tcPr>
            <w:tcW w:w="502" w:type="pct"/>
            <w:tcBorders>
              <w:top w:val="nil"/>
              <w:left w:val="nil"/>
              <w:bottom w:val="single" w:sz="4" w:space="0" w:color="auto"/>
              <w:right w:val="single" w:sz="4" w:space="0" w:color="auto"/>
            </w:tcBorders>
            <w:textDirection w:val="lrTb"/>
            <w:vAlign w:val="bottom"/>
            <w:hideMark/>
          </w:tcPr>
          <w:p w:rsidR="00CB350B" w:rsidRPr="00E74CFC" w:rsidP="00257E12">
            <w:pPr>
              <w:bidi w:val="0"/>
              <w:jc w:val="right"/>
              <w:rPr>
                <w:rFonts w:ascii="Times New Roman" w:hAnsi="Times New Roman" w:cs="Times New Roman"/>
                <w:b/>
                <w:bCs/>
                <w:sz w:val="14"/>
                <w:szCs w:val="14"/>
                <w:lang w:eastAsia="sk-SK"/>
              </w:rPr>
            </w:pPr>
            <w:r w:rsidRPr="00E74CFC">
              <w:rPr>
                <w:rFonts w:ascii="Times New Roman" w:hAnsi="Times New Roman" w:cs="Times New Roman"/>
                <w:b/>
                <w:bCs/>
                <w:sz w:val="14"/>
                <w:szCs w:val="14"/>
                <w:lang w:eastAsia="sk-SK"/>
              </w:rPr>
              <w:t>45 224 440</w:t>
            </w:r>
          </w:p>
        </w:tc>
      </w:tr>
      <w:tr>
        <w:tblPrEx>
          <w:tblW w:w="5000" w:type="pct"/>
          <w:tblCellMar>
            <w:left w:w="70" w:type="dxa"/>
            <w:right w:w="70" w:type="dxa"/>
          </w:tblCellMar>
          <w:tblLook w:val="04A0"/>
        </w:tblPrEx>
        <w:trPr>
          <w:trHeight w:val="255"/>
        </w:trPr>
        <w:tc>
          <w:tcPr>
            <w:tcW w:w="1474"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štátny rozpočet</w:t>
            </w:r>
          </w:p>
        </w:tc>
        <w:tc>
          <w:tcPr>
            <w:tcW w:w="50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65 212 789</w:t>
            </w:r>
          </w:p>
        </w:tc>
        <w:tc>
          <w:tcPr>
            <w:tcW w:w="50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79 717 880</w:t>
            </w:r>
          </w:p>
        </w:tc>
        <w:tc>
          <w:tcPr>
            <w:tcW w:w="50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46 723 506</w:t>
            </w:r>
          </w:p>
        </w:tc>
        <w:tc>
          <w:tcPr>
            <w:tcW w:w="50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65 606 625</w:t>
            </w:r>
          </w:p>
        </w:tc>
        <w:tc>
          <w:tcPr>
            <w:tcW w:w="504" w:type="pct"/>
            <w:tcBorders>
              <w:top w:val="nil"/>
              <w:left w:val="nil"/>
              <w:bottom w:val="single" w:sz="4" w:space="0" w:color="auto"/>
              <w:right w:val="single" w:sz="4" w:space="0" w:color="auto"/>
            </w:tcBorders>
            <w:noWrap/>
            <w:textDirection w:val="lrTb"/>
            <w:vAlign w:val="bottom"/>
            <w:hideMark/>
          </w:tcPr>
          <w:p w:rsidR="00CB350B" w:rsidRPr="00867770" w:rsidP="00257E12">
            <w:pPr>
              <w:bidi w:val="0"/>
              <w:jc w:val="right"/>
              <w:rPr>
                <w:rFonts w:ascii="Times New Roman" w:hAnsi="Times New Roman" w:cs="Times New Roman"/>
                <w:sz w:val="14"/>
                <w:szCs w:val="14"/>
              </w:rPr>
            </w:pPr>
            <w:r w:rsidRPr="00867770">
              <w:rPr>
                <w:rFonts w:ascii="Times New Roman" w:hAnsi="Times New Roman" w:cs="Times New Roman"/>
                <w:sz w:val="14"/>
                <w:szCs w:val="14"/>
              </w:rPr>
              <w:t>49 398 475</w:t>
            </w:r>
          </w:p>
        </w:tc>
        <w:tc>
          <w:tcPr>
            <w:tcW w:w="504" w:type="pct"/>
            <w:tcBorders>
              <w:top w:val="nil"/>
              <w:left w:val="nil"/>
              <w:bottom w:val="single" w:sz="4" w:space="0" w:color="auto"/>
              <w:right w:val="single" w:sz="4" w:space="0" w:color="auto"/>
            </w:tcBorders>
            <w:noWrap/>
            <w:textDirection w:val="lrTb"/>
            <w:vAlign w:val="bottom"/>
            <w:hideMark/>
          </w:tcPr>
          <w:p w:rsidR="00CB350B" w:rsidRPr="00E74CFC" w:rsidP="00257E12">
            <w:pPr>
              <w:bidi w:val="0"/>
              <w:jc w:val="right"/>
              <w:rPr>
                <w:rFonts w:ascii="Times New Roman" w:hAnsi="Times New Roman" w:cs="Times New Roman"/>
                <w:sz w:val="14"/>
                <w:szCs w:val="14"/>
                <w:lang w:eastAsia="sk-SK"/>
              </w:rPr>
            </w:pPr>
            <w:r w:rsidRPr="00E74CFC">
              <w:rPr>
                <w:rFonts w:ascii="Times New Roman" w:hAnsi="Times New Roman" w:cs="Times New Roman"/>
                <w:sz w:val="14"/>
                <w:szCs w:val="14"/>
                <w:lang w:eastAsia="sk-SK"/>
              </w:rPr>
              <w:t>45 223 539</w:t>
            </w:r>
          </w:p>
        </w:tc>
        <w:tc>
          <w:tcPr>
            <w:tcW w:w="502" w:type="pct"/>
            <w:tcBorders>
              <w:top w:val="nil"/>
              <w:left w:val="nil"/>
              <w:bottom w:val="single" w:sz="4" w:space="0" w:color="auto"/>
              <w:right w:val="single" w:sz="4" w:space="0" w:color="auto"/>
            </w:tcBorders>
            <w:noWrap/>
            <w:textDirection w:val="lrTb"/>
            <w:vAlign w:val="bottom"/>
            <w:hideMark/>
          </w:tcPr>
          <w:p w:rsidR="00CB350B" w:rsidRPr="00E74CFC" w:rsidP="00257E12">
            <w:pPr>
              <w:bidi w:val="0"/>
              <w:jc w:val="right"/>
              <w:rPr>
                <w:rFonts w:ascii="Times New Roman" w:hAnsi="Times New Roman" w:cs="Times New Roman"/>
                <w:sz w:val="14"/>
                <w:szCs w:val="14"/>
                <w:lang w:eastAsia="sk-SK"/>
              </w:rPr>
            </w:pPr>
            <w:r w:rsidRPr="00E74CFC">
              <w:rPr>
                <w:rFonts w:ascii="Times New Roman" w:hAnsi="Times New Roman" w:cs="Times New Roman"/>
                <w:sz w:val="14"/>
                <w:szCs w:val="14"/>
                <w:lang w:eastAsia="sk-SK"/>
              </w:rPr>
              <w:t>45 083 294</w:t>
            </w:r>
          </w:p>
        </w:tc>
      </w:tr>
      <w:tr>
        <w:tblPrEx>
          <w:tblW w:w="5000" w:type="pct"/>
          <w:tblCellMar>
            <w:left w:w="70" w:type="dxa"/>
            <w:right w:w="70" w:type="dxa"/>
          </w:tblCellMar>
          <w:tblLook w:val="04A0"/>
        </w:tblPrEx>
        <w:trPr>
          <w:trHeight w:val="255"/>
        </w:trPr>
        <w:tc>
          <w:tcPr>
            <w:tcW w:w="1474"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 xml:space="preserve">zdroje EÚ </w:t>
            </w:r>
          </w:p>
        </w:tc>
        <w:tc>
          <w:tcPr>
            <w:tcW w:w="50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49 978</w:t>
            </w:r>
          </w:p>
        </w:tc>
        <w:tc>
          <w:tcPr>
            <w:tcW w:w="50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1 007 360</w:t>
            </w:r>
          </w:p>
        </w:tc>
        <w:tc>
          <w:tcPr>
            <w:tcW w:w="50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0</w:t>
            </w:r>
          </w:p>
        </w:tc>
        <w:tc>
          <w:tcPr>
            <w:tcW w:w="50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2 205 718</w:t>
            </w:r>
          </w:p>
        </w:tc>
        <w:tc>
          <w:tcPr>
            <w:tcW w:w="504" w:type="pct"/>
            <w:tcBorders>
              <w:top w:val="nil"/>
              <w:left w:val="nil"/>
              <w:bottom w:val="single" w:sz="4" w:space="0" w:color="auto"/>
              <w:right w:val="single" w:sz="4" w:space="0" w:color="auto"/>
            </w:tcBorders>
            <w:noWrap/>
            <w:textDirection w:val="lrTb"/>
            <w:vAlign w:val="bottom"/>
            <w:hideMark/>
          </w:tcPr>
          <w:p w:rsidR="00CB350B" w:rsidRPr="00867770" w:rsidP="00257E12">
            <w:pPr>
              <w:bidi w:val="0"/>
              <w:jc w:val="right"/>
              <w:rPr>
                <w:rFonts w:ascii="Times New Roman" w:hAnsi="Times New Roman" w:cs="Times New Roman"/>
                <w:sz w:val="14"/>
                <w:szCs w:val="14"/>
              </w:rPr>
            </w:pPr>
            <w:r w:rsidRPr="00867770">
              <w:rPr>
                <w:rFonts w:ascii="Times New Roman" w:hAnsi="Times New Roman" w:cs="Times New Roman"/>
                <w:sz w:val="14"/>
                <w:szCs w:val="14"/>
              </w:rPr>
              <w:t>0</w:t>
            </w:r>
          </w:p>
        </w:tc>
        <w:tc>
          <w:tcPr>
            <w:tcW w:w="504" w:type="pct"/>
            <w:tcBorders>
              <w:top w:val="nil"/>
              <w:left w:val="nil"/>
              <w:bottom w:val="single" w:sz="4" w:space="0" w:color="auto"/>
              <w:right w:val="single" w:sz="4" w:space="0" w:color="auto"/>
            </w:tcBorders>
            <w:noWrap/>
            <w:textDirection w:val="lrTb"/>
            <w:vAlign w:val="bottom"/>
            <w:hideMark/>
          </w:tcPr>
          <w:p w:rsidR="00CB350B" w:rsidRPr="00E74CFC" w:rsidP="00257E12">
            <w:pPr>
              <w:bidi w:val="0"/>
              <w:jc w:val="right"/>
              <w:rPr>
                <w:rFonts w:ascii="Times New Roman" w:hAnsi="Times New Roman" w:cs="Times New Roman"/>
                <w:sz w:val="14"/>
                <w:szCs w:val="14"/>
                <w:lang w:eastAsia="sk-SK"/>
              </w:rPr>
            </w:pPr>
            <w:r w:rsidRPr="00E74CFC">
              <w:rPr>
                <w:rFonts w:ascii="Times New Roman" w:hAnsi="Times New Roman" w:cs="Times New Roman"/>
                <w:sz w:val="14"/>
                <w:szCs w:val="14"/>
                <w:lang w:eastAsia="sk-SK"/>
              </w:rPr>
              <w:t>0</w:t>
            </w:r>
          </w:p>
        </w:tc>
        <w:tc>
          <w:tcPr>
            <w:tcW w:w="502" w:type="pct"/>
            <w:tcBorders>
              <w:top w:val="nil"/>
              <w:left w:val="nil"/>
              <w:bottom w:val="single" w:sz="4" w:space="0" w:color="auto"/>
              <w:right w:val="single" w:sz="4" w:space="0" w:color="auto"/>
            </w:tcBorders>
            <w:noWrap/>
            <w:textDirection w:val="lrTb"/>
            <w:vAlign w:val="bottom"/>
            <w:hideMark/>
          </w:tcPr>
          <w:p w:rsidR="00CB350B" w:rsidRPr="00E74CFC" w:rsidP="00257E12">
            <w:pPr>
              <w:bidi w:val="0"/>
              <w:jc w:val="right"/>
              <w:rPr>
                <w:rFonts w:ascii="Times New Roman" w:hAnsi="Times New Roman" w:cs="Times New Roman"/>
                <w:sz w:val="14"/>
                <w:szCs w:val="14"/>
                <w:lang w:eastAsia="sk-SK"/>
              </w:rPr>
            </w:pPr>
            <w:r w:rsidRPr="00E74CFC">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val="255"/>
        </w:trPr>
        <w:tc>
          <w:tcPr>
            <w:tcW w:w="1474"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spolufinancovanie zo ŠR</w:t>
            </w:r>
          </w:p>
        </w:tc>
        <w:tc>
          <w:tcPr>
            <w:tcW w:w="50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30 849</w:t>
            </w:r>
          </w:p>
        </w:tc>
        <w:tc>
          <w:tcPr>
            <w:tcW w:w="50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177 770</w:t>
            </w:r>
          </w:p>
        </w:tc>
        <w:tc>
          <w:tcPr>
            <w:tcW w:w="50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0</w:t>
            </w:r>
          </w:p>
        </w:tc>
        <w:tc>
          <w:tcPr>
            <w:tcW w:w="50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393 388</w:t>
            </w:r>
          </w:p>
        </w:tc>
        <w:tc>
          <w:tcPr>
            <w:tcW w:w="504" w:type="pct"/>
            <w:tcBorders>
              <w:top w:val="nil"/>
              <w:left w:val="nil"/>
              <w:bottom w:val="single" w:sz="4" w:space="0" w:color="auto"/>
              <w:right w:val="single" w:sz="4" w:space="0" w:color="auto"/>
            </w:tcBorders>
            <w:noWrap/>
            <w:textDirection w:val="lrTb"/>
            <w:vAlign w:val="bottom"/>
            <w:hideMark/>
          </w:tcPr>
          <w:p w:rsidR="00CB350B" w:rsidRPr="00867770" w:rsidP="00257E12">
            <w:pPr>
              <w:bidi w:val="0"/>
              <w:jc w:val="right"/>
              <w:rPr>
                <w:rFonts w:ascii="Times New Roman" w:hAnsi="Times New Roman" w:cs="Times New Roman"/>
                <w:sz w:val="14"/>
                <w:szCs w:val="14"/>
              </w:rPr>
            </w:pPr>
            <w:r w:rsidRPr="00867770">
              <w:rPr>
                <w:rFonts w:ascii="Times New Roman" w:hAnsi="Times New Roman" w:cs="Times New Roman"/>
                <w:sz w:val="14"/>
                <w:szCs w:val="14"/>
              </w:rPr>
              <w:t>0</w:t>
            </w:r>
          </w:p>
        </w:tc>
        <w:tc>
          <w:tcPr>
            <w:tcW w:w="504" w:type="pct"/>
            <w:tcBorders>
              <w:top w:val="nil"/>
              <w:left w:val="nil"/>
              <w:bottom w:val="single" w:sz="4" w:space="0" w:color="auto"/>
              <w:right w:val="single" w:sz="4" w:space="0" w:color="auto"/>
            </w:tcBorders>
            <w:noWrap/>
            <w:textDirection w:val="lrTb"/>
            <w:vAlign w:val="bottom"/>
            <w:hideMark/>
          </w:tcPr>
          <w:p w:rsidR="00CB350B" w:rsidRPr="00E74CFC" w:rsidP="00257E12">
            <w:pPr>
              <w:bidi w:val="0"/>
              <w:jc w:val="right"/>
              <w:rPr>
                <w:rFonts w:ascii="Times New Roman" w:hAnsi="Times New Roman" w:cs="Times New Roman"/>
                <w:sz w:val="14"/>
                <w:szCs w:val="14"/>
                <w:lang w:eastAsia="sk-SK"/>
              </w:rPr>
            </w:pPr>
            <w:r w:rsidRPr="00E74CFC">
              <w:rPr>
                <w:rFonts w:ascii="Times New Roman" w:hAnsi="Times New Roman" w:cs="Times New Roman"/>
                <w:sz w:val="14"/>
                <w:szCs w:val="14"/>
                <w:lang w:eastAsia="sk-SK"/>
              </w:rPr>
              <w:t>0</w:t>
            </w:r>
          </w:p>
        </w:tc>
        <w:tc>
          <w:tcPr>
            <w:tcW w:w="502" w:type="pct"/>
            <w:tcBorders>
              <w:top w:val="nil"/>
              <w:left w:val="nil"/>
              <w:bottom w:val="single" w:sz="4" w:space="0" w:color="auto"/>
              <w:right w:val="single" w:sz="4" w:space="0" w:color="auto"/>
            </w:tcBorders>
            <w:noWrap/>
            <w:textDirection w:val="lrTb"/>
            <w:vAlign w:val="bottom"/>
            <w:hideMark/>
          </w:tcPr>
          <w:p w:rsidR="00CB350B" w:rsidRPr="00E74CFC" w:rsidP="00257E12">
            <w:pPr>
              <w:bidi w:val="0"/>
              <w:jc w:val="right"/>
              <w:rPr>
                <w:rFonts w:ascii="Times New Roman" w:hAnsi="Times New Roman" w:cs="Times New Roman"/>
                <w:sz w:val="14"/>
                <w:szCs w:val="14"/>
                <w:lang w:eastAsia="sk-SK"/>
              </w:rPr>
            </w:pPr>
            <w:r w:rsidRPr="00E74CFC">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val="255"/>
        </w:trPr>
        <w:tc>
          <w:tcPr>
            <w:tcW w:w="1474"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iné zdroje</w:t>
            </w:r>
            <w:r w:rsidRPr="00122402">
              <w:rPr>
                <w:rFonts w:ascii="Times New Roman" w:hAnsi="Times New Roman" w:cs="Times New Roman"/>
                <w:sz w:val="14"/>
                <w:szCs w:val="14"/>
                <w:vertAlign w:val="superscript"/>
              </w:rPr>
              <w:t>*</w:t>
            </w:r>
          </w:p>
        </w:tc>
        <w:tc>
          <w:tcPr>
            <w:tcW w:w="50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1 088 711</w:t>
            </w:r>
          </w:p>
        </w:tc>
        <w:tc>
          <w:tcPr>
            <w:tcW w:w="50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234 377</w:t>
            </w:r>
          </w:p>
        </w:tc>
        <w:tc>
          <w:tcPr>
            <w:tcW w:w="50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6 752</w:t>
            </w:r>
          </w:p>
        </w:tc>
        <w:tc>
          <w:tcPr>
            <w:tcW w:w="50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6 752</w:t>
            </w:r>
          </w:p>
        </w:tc>
        <w:tc>
          <w:tcPr>
            <w:tcW w:w="504" w:type="pct"/>
            <w:tcBorders>
              <w:top w:val="nil"/>
              <w:left w:val="nil"/>
              <w:bottom w:val="single" w:sz="4" w:space="0" w:color="auto"/>
              <w:right w:val="single" w:sz="4" w:space="0" w:color="auto"/>
            </w:tcBorders>
            <w:noWrap/>
            <w:textDirection w:val="lrTb"/>
            <w:vAlign w:val="bottom"/>
            <w:hideMark/>
          </w:tcPr>
          <w:p w:rsidR="00CB350B" w:rsidRPr="00867770" w:rsidP="00257E12">
            <w:pPr>
              <w:bidi w:val="0"/>
              <w:jc w:val="right"/>
              <w:rPr>
                <w:rFonts w:ascii="Times New Roman" w:hAnsi="Times New Roman" w:cs="Times New Roman"/>
                <w:sz w:val="14"/>
                <w:szCs w:val="14"/>
              </w:rPr>
            </w:pPr>
            <w:r w:rsidRPr="00867770">
              <w:rPr>
                <w:rFonts w:ascii="Times New Roman" w:hAnsi="Times New Roman" w:cs="Times New Roman"/>
                <w:sz w:val="14"/>
                <w:szCs w:val="14"/>
              </w:rPr>
              <w:t>70 573</w:t>
            </w:r>
          </w:p>
        </w:tc>
        <w:tc>
          <w:tcPr>
            <w:tcW w:w="504" w:type="pct"/>
            <w:tcBorders>
              <w:top w:val="nil"/>
              <w:left w:val="nil"/>
              <w:bottom w:val="single" w:sz="4" w:space="0" w:color="auto"/>
              <w:right w:val="single" w:sz="4" w:space="0" w:color="auto"/>
            </w:tcBorders>
            <w:noWrap/>
            <w:textDirection w:val="lrTb"/>
            <w:vAlign w:val="bottom"/>
            <w:hideMark/>
          </w:tcPr>
          <w:p w:rsidR="00CB350B" w:rsidRPr="00E74CFC" w:rsidP="00257E12">
            <w:pPr>
              <w:bidi w:val="0"/>
              <w:jc w:val="right"/>
              <w:rPr>
                <w:rFonts w:ascii="Times New Roman" w:hAnsi="Times New Roman" w:cs="Times New Roman"/>
                <w:sz w:val="14"/>
                <w:szCs w:val="14"/>
                <w:lang w:eastAsia="sk-SK"/>
              </w:rPr>
            </w:pPr>
            <w:r w:rsidRPr="00E74CFC">
              <w:rPr>
                <w:rFonts w:ascii="Times New Roman" w:hAnsi="Times New Roman" w:cs="Times New Roman"/>
                <w:sz w:val="14"/>
                <w:szCs w:val="14"/>
                <w:lang w:eastAsia="sk-SK"/>
              </w:rPr>
              <w:t>141 146</w:t>
            </w:r>
          </w:p>
        </w:tc>
        <w:tc>
          <w:tcPr>
            <w:tcW w:w="502" w:type="pct"/>
            <w:tcBorders>
              <w:top w:val="nil"/>
              <w:left w:val="nil"/>
              <w:bottom w:val="single" w:sz="4" w:space="0" w:color="auto"/>
              <w:right w:val="single" w:sz="4" w:space="0" w:color="auto"/>
            </w:tcBorders>
            <w:noWrap/>
            <w:textDirection w:val="lrTb"/>
            <w:vAlign w:val="bottom"/>
            <w:hideMark/>
          </w:tcPr>
          <w:p w:rsidR="00CB350B" w:rsidRPr="00E74CFC" w:rsidP="00257E12">
            <w:pPr>
              <w:bidi w:val="0"/>
              <w:jc w:val="right"/>
              <w:rPr>
                <w:rFonts w:ascii="Times New Roman" w:hAnsi="Times New Roman" w:cs="Times New Roman"/>
                <w:sz w:val="14"/>
                <w:szCs w:val="14"/>
                <w:lang w:eastAsia="sk-SK"/>
              </w:rPr>
            </w:pPr>
            <w:r w:rsidRPr="00E74CFC">
              <w:rPr>
                <w:rFonts w:ascii="Times New Roman" w:hAnsi="Times New Roman" w:cs="Times New Roman"/>
                <w:sz w:val="14"/>
                <w:szCs w:val="14"/>
                <w:lang w:eastAsia="sk-SK"/>
              </w:rPr>
              <w:t>141 146</w:t>
            </w:r>
          </w:p>
        </w:tc>
      </w:tr>
    </w:tbl>
    <w:p w:rsidR="00CB350B" w:rsidRPr="003D0CF4" w:rsidP="00CB350B">
      <w:pPr>
        <w:bidi w:val="0"/>
        <w:jc w:val="both"/>
        <w:rPr>
          <w:rFonts w:ascii="Times New Roman" w:hAnsi="Times New Roman" w:cs="Times New Roman"/>
          <w:b/>
          <w:sz w:val="14"/>
          <w:szCs w:val="14"/>
        </w:rPr>
      </w:pPr>
      <w:r w:rsidRPr="003D0CF4">
        <w:rPr>
          <w:rFonts w:ascii="Times New Roman" w:hAnsi="Times New Roman" w:cs="Times New Roman"/>
          <w:sz w:val="14"/>
          <w:szCs w:val="14"/>
        </w:rPr>
        <w:t>*iné zdroje - Prechodný fond, Schengenský fond, Finančný mechanizmus EHP, Nórsky finančný mechanizmus</w:t>
      </w:r>
    </w:p>
    <w:p w:rsidR="00CB350B" w:rsidRPr="0004638E" w:rsidP="00CB350B">
      <w:pPr>
        <w:bidi w:val="0"/>
        <w:jc w:val="both"/>
        <w:rPr>
          <w:rFonts w:ascii="Times New Roman" w:hAnsi="Times New Roman" w:cs="Times New Roman"/>
          <w:b/>
        </w:rPr>
      </w:pPr>
    </w:p>
    <w:p w:rsidR="00CB350B" w:rsidRPr="00063075" w:rsidP="00CB350B">
      <w:pPr>
        <w:bidi w:val="0"/>
        <w:ind w:firstLine="708"/>
        <w:jc w:val="both"/>
        <w:rPr>
          <w:rFonts w:ascii="Times New Roman" w:hAnsi="Times New Roman" w:cs="Times New Roman"/>
        </w:rPr>
      </w:pPr>
      <w:r w:rsidRPr="00063075">
        <w:rPr>
          <w:rFonts w:ascii="Times New Roman" w:hAnsi="Times New Roman" w:cs="Times New Roman"/>
        </w:rPr>
        <w:t xml:space="preserve">Výdavky na inštitucionálnu podporu a kontrolu sú v roku 2012 </w:t>
      </w:r>
      <w:r>
        <w:rPr>
          <w:rFonts w:ascii="Times New Roman" w:hAnsi="Times New Roman" w:cs="Times New Roman"/>
        </w:rPr>
        <w:t>rozpočtované vo výške 49,5</w:t>
      </w:r>
      <w:r w:rsidRPr="00063075">
        <w:rPr>
          <w:rFonts w:ascii="Times New Roman" w:hAnsi="Times New Roman" w:cs="Times New Roman"/>
        </w:rPr>
        <w:t xml:space="preserve"> mil. eur</w:t>
      </w:r>
      <w:r>
        <w:rPr>
          <w:rFonts w:ascii="Times New Roman" w:hAnsi="Times New Roman" w:cs="Times New Roman"/>
        </w:rPr>
        <w:t>,</w:t>
      </w:r>
      <w:r w:rsidRPr="00063075">
        <w:rPr>
          <w:rFonts w:ascii="Times New Roman" w:hAnsi="Times New Roman" w:cs="Times New Roman"/>
        </w:rPr>
        <w:t xml:space="preserve"> čo predstavuje medziročný rast o</w:t>
      </w:r>
      <w:r>
        <w:rPr>
          <w:rFonts w:ascii="Times New Roman" w:hAnsi="Times New Roman" w:cs="Times New Roman"/>
        </w:rPr>
        <w:t xml:space="preserve"> 5,86 </w:t>
      </w:r>
      <w:r w:rsidRPr="00063075">
        <w:rPr>
          <w:rFonts w:ascii="Times New Roman" w:hAnsi="Times New Roman" w:cs="Times New Roman"/>
        </w:rPr>
        <w:t>%. Tieto prostriedky sú určené na pre</w:t>
      </w:r>
      <w:r>
        <w:rPr>
          <w:rFonts w:ascii="Times New Roman" w:hAnsi="Times New Roman" w:cs="Times New Roman"/>
        </w:rPr>
        <w:t>vádzku úradu MF SR vo výške 32,4</w:t>
      </w:r>
      <w:r w:rsidRPr="00063075">
        <w:rPr>
          <w:rFonts w:ascii="Times New Roman" w:hAnsi="Times New Roman" w:cs="Times New Roman"/>
        </w:rPr>
        <w:t xml:space="preserve"> mil. eur, správ finančnej kontroly vo výške 4,10</w:t>
      </w:r>
      <w:r>
        <w:rPr>
          <w:rFonts w:ascii="Times New Roman" w:hAnsi="Times New Roman" w:cs="Times New Roman"/>
        </w:rPr>
        <w:t> </w:t>
      </w:r>
      <w:r w:rsidRPr="00063075">
        <w:rPr>
          <w:rFonts w:ascii="Times New Roman" w:hAnsi="Times New Roman" w:cs="Times New Roman"/>
        </w:rPr>
        <w:t>mil.</w:t>
      </w:r>
      <w:r>
        <w:rPr>
          <w:rFonts w:ascii="Times New Roman" w:hAnsi="Times New Roman" w:cs="Times New Roman"/>
        </w:rPr>
        <w:t> </w:t>
      </w:r>
      <w:r w:rsidRPr="00063075">
        <w:rPr>
          <w:rFonts w:ascii="Times New Roman" w:hAnsi="Times New Roman" w:cs="Times New Roman"/>
        </w:rPr>
        <w:t>eur, DataCentra vo výške 2,82 mil. eur, Štátnej pokladnice vo výške 2,63 mil. eur, Agentúry riadenia dlhu a likvidity s rozpočtom 1,16 mil. eur.</w:t>
      </w:r>
    </w:p>
    <w:p w:rsidR="00CB350B" w:rsidRPr="00063075" w:rsidP="00CB350B">
      <w:pPr>
        <w:bidi w:val="0"/>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63075">
        <w:rPr>
          <w:rFonts w:ascii="Times New Roman" w:hAnsi="Times New Roman" w:cs="Times New Roman"/>
        </w:rPr>
        <w:t>Výdavky zo štátneho rozpočtu sú rozpočtované v danej oblasti pre nasledovné organizácie.</w:t>
      </w:r>
    </w:p>
    <w:p w:rsidR="00CB350B" w:rsidRPr="0004638E" w:rsidP="00CB350B">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905"/>
        <w:gridCol w:w="899"/>
        <w:gridCol w:w="901"/>
        <w:gridCol w:w="901"/>
        <w:gridCol w:w="901"/>
        <w:gridCol w:w="901"/>
        <w:gridCol w:w="901"/>
        <w:gridCol w:w="903"/>
      </w:tblGrid>
      <w:tr>
        <w:tblPrEx>
          <w:tblW w:w="5000" w:type="pct"/>
          <w:tblCellMar>
            <w:left w:w="70" w:type="dxa"/>
            <w:right w:w="70" w:type="dxa"/>
          </w:tblCellMar>
          <w:tblLook w:val="04A0"/>
        </w:tblPrEx>
        <w:trPr>
          <w:trHeight w:val="255"/>
        </w:trPr>
        <w:tc>
          <w:tcPr>
            <w:tcW w:w="1577"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v eurách</w:t>
            </w:r>
          </w:p>
        </w:tc>
        <w:tc>
          <w:tcPr>
            <w:tcW w:w="488"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2009 S</w:t>
            </w:r>
          </w:p>
        </w:tc>
        <w:tc>
          <w:tcPr>
            <w:tcW w:w="489"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2010 S</w:t>
            </w:r>
          </w:p>
        </w:tc>
        <w:tc>
          <w:tcPr>
            <w:tcW w:w="489"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2011 R</w:t>
            </w:r>
          </w:p>
        </w:tc>
        <w:tc>
          <w:tcPr>
            <w:tcW w:w="489"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2011 OS</w:t>
            </w:r>
          </w:p>
        </w:tc>
        <w:tc>
          <w:tcPr>
            <w:tcW w:w="489"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2012 N</w:t>
            </w:r>
          </w:p>
        </w:tc>
        <w:tc>
          <w:tcPr>
            <w:tcW w:w="489"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2013 N</w:t>
            </w:r>
          </w:p>
        </w:tc>
        <w:tc>
          <w:tcPr>
            <w:tcW w:w="490"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2014 N</w:t>
            </w:r>
          </w:p>
        </w:tc>
      </w:tr>
      <w:tr>
        <w:tblPrEx>
          <w:tblW w:w="5000" w:type="pct"/>
          <w:tblCellMar>
            <w:left w:w="70" w:type="dxa"/>
            <w:right w:w="70" w:type="dxa"/>
          </w:tblCellMar>
          <w:tblLook w:val="04A0"/>
        </w:tblPrEx>
        <w:trPr>
          <w:trHeight w:val="255"/>
        </w:trPr>
        <w:tc>
          <w:tcPr>
            <w:tcW w:w="1577"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b/>
                <w:bCs/>
                <w:sz w:val="14"/>
                <w:szCs w:val="14"/>
              </w:rPr>
            </w:pPr>
            <w:r w:rsidRPr="00122402">
              <w:rPr>
                <w:rFonts w:ascii="Times New Roman" w:hAnsi="Times New Roman" w:cs="Times New Roman"/>
                <w:b/>
                <w:bCs/>
                <w:sz w:val="14"/>
                <w:szCs w:val="14"/>
              </w:rPr>
              <w:t>Organizácie spolu</w:t>
            </w:r>
          </w:p>
        </w:tc>
        <w:tc>
          <w:tcPr>
            <w:tcW w:w="488"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sz w:val="14"/>
                <w:szCs w:val="14"/>
              </w:rPr>
            </w:pPr>
            <w:r w:rsidRPr="00122402">
              <w:rPr>
                <w:rFonts w:ascii="Times New Roman" w:hAnsi="Times New Roman" w:cs="Times New Roman"/>
                <w:b/>
                <w:bCs/>
                <w:sz w:val="14"/>
                <w:szCs w:val="14"/>
              </w:rPr>
              <w:t>16 134 051</w:t>
            </w:r>
          </w:p>
        </w:tc>
        <w:tc>
          <w:tcPr>
            <w:tcW w:w="489"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sz w:val="14"/>
                <w:szCs w:val="14"/>
              </w:rPr>
            </w:pPr>
            <w:r w:rsidRPr="00122402">
              <w:rPr>
                <w:rFonts w:ascii="Times New Roman" w:hAnsi="Times New Roman" w:cs="Times New Roman"/>
                <w:b/>
                <w:bCs/>
                <w:sz w:val="14"/>
                <w:szCs w:val="14"/>
              </w:rPr>
              <w:t>12 826 295</w:t>
            </w:r>
          </w:p>
        </w:tc>
        <w:tc>
          <w:tcPr>
            <w:tcW w:w="489"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sz w:val="14"/>
                <w:szCs w:val="14"/>
              </w:rPr>
            </w:pPr>
            <w:r w:rsidRPr="00122402">
              <w:rPr>
                <w:rFonts w:ascii="Times New Roman" w:hAnsi="Times New Roman" w:cs="Times New Roman"/>
                <w:b/>
                <w:bCs/>
                <w:sz w:val="14"/>
                <w:szCs w:val="14"/>
              </w:rPr>
              <w:t>10 928 273</w:t>
            </w:r>
          </w:p>
        </w:tc>
        <w:tc>
          <w:tcPr>
            <w:tcW w:w="489"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sz w:val="14"/>
                <w:szCs w:val="14"/>
              </w:rPr>
            </w:pPr>
            <w:r w:rsidRPr="00122402">
              <w:rPr>
                <w:rFonts w:ascii="Times New Roman" w:hAnsi="Times New Roman" w:cs="Times New Roman"/>
                <w:b/>
                <w:bCs/>
                <w:sz w:val="14"/>
                <w:szCs w:val="14"/>
              </w:rPr>
              <w:t>10 937 365</w:t>
            </w:r>
          </w:p>
        </w:tc>
        <w:tc>
          <w:tcPr>
            <w:tcW w:w="489" w:type="pct"/>
            <w:tcBorders>
              <w:top w:val="nil"/>
              <w:left w:val="nil"/>
              <w:bottom w:val="single" w:sz="4" w:space="0" w:color="auto"/>
              <w:right w:val="single" w:sz="4" w:space="0" w:color="auto"/>
            </w:tcBorders>
            <w:textDirection w:val="lrTb"/>
            <w:vAlign w:val="bottom"/>
            <w:hideMark/>
          </w:tcPr>
          <w:p w:rsidR="00CB350B" w:rsidRPr="000D715A" w:rsidP="00257E12">
            <w:pPr>
              <w:bidi w:val="0"/>
              <w:jc w:val="right"/>
              <w:rPr>
                <w:rFonts w:ascii="Times New Roman" w:hAnsi="Times New Roman" w:cs="Times New Roman"/>
                <w:b/>
                <w:bCs/>
                <w:sz w:val="14"/>
                <w:szCs w:val="14"/>
                <w:lang w:eastAsia="sk-SK"/>
              </w:rPr>
            </w:pPr>
            <w:r w:rsidRPr="000D715A">
              <w:rPr>
                <w:rFonts w:ascii="Times New Roman" w:hAnsi="Times New Roman" w:cs="Times New Roman"/>
                <w:b/>
                <w:bCs/>
                <w:sz w:val="14"/>
                <w:szCs w:val="14"/>
                <w:lang w:eastAsia="sk-SK"/>
              </w:rPr>
              <w:t>11 555 787</w:t>
            </w:r>
          </w:p>
        </w:tc>
        <w:tc>
          <w:tcPr>
            <w:tcW w:w="489" w:type="pct"/>
            <w:tcBorders>
              <w:top w:val="nil"/>
              <w:left w:val="nil"/>
              <w:bottom w:val="single" w:sz="4" w:space="0" w:color="auto"/>
              <w:right w:val="single" w:sz="4" w:space="0" w:color="auto"/>
            </w:tcBorders>
            <w:textDirection w:val="lrTb"/>
            <w:vAlign w:val="bottom"/>
            <w:hideMark/>
          </w:tcPr>
          <w:p w:rsidR="00CB350B" w:rsidRPr="000D715A" w:rsidP="00257E12">
            <w:pPr>
              <w:bidi w:val="0"/>
              <w:jc w:val="right"/>
              <w:rPr>
                <w:rFonts w:ascii="Times New Roman" w:hAnsi="Times New Roman" w:cs="Times New Roman"/>
                <w:b/>
                <w:bCs/>
                <w:sz w:val="14"/>
                <w:szCs w:val="14"/>
                <w:lang w:eastAsia="sk-SK"/>
              </w:rPr>
            </w:pPr>
            <w:r w:rsidRPr="000D715A">
              <w:rPr>
                <w:rFonts w:ascii="Times New Roman" w:hAnsi="Times New Roman" w:cs="Times New Roman"/>
                <w:b/>
                <w:bCs/>
                <w:sz w:val="14"/>
                <w:szCs w:val="14"/>
                <w:lang w:eastAsia="sk-SK"/>
              </w:rPr>
              <w:t>11 535 787</w:t>
            </w:r>
          </w:p>
        </w:tc>
        <w:tc>
          <w:tcPr>
            <w:tcW w:w="490" w:type="pct"/>
            <w:tcBorders>
              <w:top w:val="nil"/>
              <w:left w:val="nil"/>
              <w:bottom w:val="single" w:sz="4" w:space="0" w:color="auto"/>
              <w:right w:val="single" w:sz="4" w:space="0" w:color="auto"/>
            </w:tcBorders>
            <w:textDirection w:val="lrTb"/>
            <w:vAlign w:val="bottom"/>
            <w:hideMark/>
          </w:tcPr>
          <w:p w:rsidR="00CB350B" w:rsidRPr="000D715A" w:rsidP="00257E12">
            <w:pPr>
              <w:bidi w:val="0"/>
              <w:jc w:val="right"/>
              <w:rPr>
                <w:rFonts w:ascii="Times New Roman" w:hAnsi="Times New Roman" w:cs="Times New Roman"/>
                <w:b/>
                <w:bCs/>
                <w:sz w:val="14"/>
                <w:szCs w:val="14"/>
                <w:lang w:eastAsia="sk-SK"/>
              </w:rPr>
            </w:pPr>
            <w:r w:rsidRPr="000D715A">
              <w:rPr>
                <w:rFonts w:ascii="Times New Roman" w:hAnsi="Times New Roman" w:cs="Times New Roman"/>
                <w:b/>
                <w:bCs/>
                <w:sz w:val="14"/>
                <w:szCs w:val="14"/>
                <w:lang w:eastAsia="sk-SK"/>
              </w:rPr>
              <w:t>11 535 787</w:t>
            </w:r>
          </w:p>
        </w:tc>
      </w:tr>
      <w:tr>
        <w:tblPrEx>
          <w:tblW w:w="5000" w:type="pct"/>
          <w:tblCellMar>
            <w:left w:w="70" w:type="dxa"/>
            <w:right w:w="70" w:type="dxa"/>
          </w:tblCellMar>
          <w:tblLook w:val="04A0"/>
        </w:tblPrEx>
        <w:trPr>
          <w:trHeight w:val="255"/>
        </w:trPr>
        <w:tc>
          <w:tcPr>
            <w:tcW w:w="1577"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Správy fin.  kontroly Bratislava, Košice, Zvolen</w:t>
            </w:r>
          </w:p>
        </w:tc>
        <w:tc>
          <w:tcPr>
            <w:tcW w:w="488"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4 580 541</w:t>
            </w:r>
          </w:p>
        </w:tc>
        <w:tc>
          <w:tcPr>
            <w:tcW w:w="489"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4 116 423</w:t>
            </w:r>
          </w:p>
        </w:tc>
        <w:tc>
          <w:tcPr>
            <w:tcW w:w="489"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3 698 968</w:t>
            </w:r>
          </w:p>
        </w:tc>
        <w:tc>
          <w:tcPr>
            <w:tcW w:w="489"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3 708 060</w:t>
            </w:r>
          </w:p>
        </w:tc>
        <w:tc>
          <w:tcPr>
            <w:tcW w:w="489" w:type="pct"/>
            <w:tcBorders>
              <w:top w:val="nil"/>
              <w:left w:val="nil"/>
              <w:bottom w:val="single" w:sz="4" w:space="0" w:color="auto"/>
              <w:right w:val="single" w:sz="4" w:space="0" w:color="auto"/>
            </w:tcBorders>
            <w:textDirection w:val="lrTb"/>
            <w:vAlign w:val="bottom"/>
            <w:hideMark/>
          </w:tcPr>
          <w:p w:rsidR="00CB350B" w:rsidRPr="000D715A" w:rsidP="00257E12">
            <w:pPr>
              <w:bidi w:val="0"/>
              <w:jc w:val="right"/>
              <w:rPr>
                <w:rFonts w:ascii="Times New Roman" w:hAnsi="Times New Roman" w:cs="Times New Roman"/>
                <w:sz w:val="14"/>
                <w:szCs w:val="14"/>
                <w:lang w:eastAsia="sk-SK"/>
              </w:rPr>
            </w:pPr>
            <w:r w:rsidRPr="000D715A">
              <w:rPr>
                <w:rFonts w:ascii="Times New Roman" w:hAnsi="Times New Roman" w:cs="Times New Roman"/>
                <w:sz w:val="14"/>
                <w:szCs w:val="14"/>
                <w:lang w:eastAsia="sk-SK"/>
              </w:rPr>
              <w:t>4 101 951</w:t>
            </w:r>
          </w:p>
        </w:tc>
        <w:tc>
          <w:tcPr>
            <w:tcW w:w="489" w:type="pct"/>
            <w:tcBorders>
              <w:top w:val="nil"/>
              <w:left w:val="nil"/>
              <w:bottom w:val="single" w:sz="4" w:space="0" w:color="auto"/>
              <w:right w:val="single" w:sz="4" w:space="0" w:color="auto"/>
            </w:tcBorders>
            <w:textDirection w:val="lrTb"/>
            <w:vAlign w:val="bottom"/>
            <w:hideMark/>
          </w:tcPr>
          <w:p w:rsidR="00CB350B" w:rsidRPr="000D715A" w:rsidP="00257E12">
            <w:pPr>
              <w:bidi w:val="0"/>
              <w:jc w:val="right"/>
              <w:rPr>
                <w:rFonts w:ascii="Times New Roman" w:hAnsi="Times New Roman" w:cs="Times New Roman"/>
                <w:sz w:val="14"/>
                <w:szCs w:val="14"/>
                <w:lang w:eastAsia="sk-SK"/>
              </w:rPr>
            </w:pPr>
            <w:r w:rsidRPr="000D715A">
              <w:rPr>
                <w:rFonts w:ascii="Times New Roman" w:hAnsi="Times New Roman" w:cs="Times New Roman"/>
                <w:sz w:val="14"/>
                <w:szCs w:val="14"/>
                <w:lang w:eastAsia="sk-SK"/>
              </w:rPr>
              <w:t>4 101 951</w:t>
            </w:r>
          </w:p>
        </w:tc>
        <w:tc>
          <w:tcPr>
            <w:tcW w:w="490" w:type="pct"/>
            <w:tcBorders>
              <w:top w:val="nil"/>
              <w:left w:val="nil"/>
              <w:bottom w:val="single" w:sz="4" w:space="0" w:color="auto"/>
              <w:right w:val="single" w:sz="4" w:space="0" w:color="auto"/>
            </w:tcBorders>
            <w:textDirection w:val="lrTb"/>
            <w:vAlign w:val="bottom"/>
            <w:hideMark/>
          </w:tcPr>
          <w:p w:rsidR="00CB350B" w:rsidRPr="000D715A" w:rsidP="00257E12">
            <w:pPr>
              <w:bidi w:val="0"/>
              <w:jc w:val="right"/>
              <w:rPr>
                <w:rFonts w:ascii="Times New Roman" w:hAnsi="Times New Roman" w:cs="Times New Roman"/>
                <w:sz w:val="14"/>
                <w:szCs w:val="14"/>
                <w:lang w:eastAsia="sk-SK"/>
              </w:rPr>
            </w:pPr>
            <w:r w:rsidRPr="000D715A">
              <w:rPr>
                <w:rFonts w:ascii="Times New Roman" w:hAnsi="Times New Roman" w:cs="Times New Roman"/>
                <w:sz w:val="14"/>
                <w:szCs w:val="14"/>
                <w:lang w:eastAsia="sk-SK"/>
              </w:rPr>
              <w:t>4 101 951</w:t>
            </w:r>
          </w:p>
        </w:tc>
      </w:tr>
      <w:tr>
        <w:tblPrEx>
          <w:tblW w:w="5000" w:type="pct"/>
          <w:tblCellMar>
            <w:left w:w="70" w:type="dxa"/>
            <w:right w:w="70" w:type="dxa"/>
          </w:tblCellMar>
          <w:tblLook w:val="04A0"/>
        </w:tblPrEx>
        <w:trPr>
          <w:trHeight w:val="255"/>
        </w:trPr>
        <w:tc>
          <w:tcPr>
            <w:tcW w:w="1577"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VZD Tatranská Lomnica</w:t>
            </w:r>
          </w:p>
        </w:tc>
        <w:tc>
          <w:tcPr>
            <w:tcW w:w="488"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885 230</w:t>
            </w:r>
          </w:p>
        </w:tc>
        <w:tc>
          <w:tcPr>
            <w:tcW w:w="489"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1 072 541</w:t>
            </w:r>
          </w:p>
        </w:tc>
        <w:tc>
          <w:tcPr>
            <w:tcW w:w="489"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742 358</w:t>
            </w:r>
          </w:p>
        </w:tc>
        <w:tc>
          <w:tcPr>
            <w:tcW w:w="489"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742 358</w:t>
            </w:r>
          </w:p>
        </w:tc>
        <w:tc>
          <w:tcPr>
            <w:tcW w:w="489" w:type="pct"/>
            <w:tcBorders>
              <w:top w:val="nil"/>
              <w:left w:val="nil"/>
              <w:bottom w:val="single" w:sz="4" w:space="0" w:color="auto"/>
              <w:right w:val="single" w:sz="4" w:space="0" w:color="auto"/>
            </w:tcBorders>
            <w:textDirection w:val="lrTb"/>
            <w:vAlign w:val="bottom"/>
            <w:hideMark/>
          </w:tcPr>
          <w:p w:rsidR="00CB350B" w:rsidRPr="000D715A" w:rsidP="00257E12">
            <w:pPr>
              <w:bidi w:val="0"/>
              <w:jc w:val="right"/>
              <w:rPr>
                <w:rFonts w:ascii="Times New Roman" w:hAnsi="Times New Roman" w:cs="Times New Roman"/>
                <w:sz w:val="14"/>
                <w:szCs w:val="14"/>
                <w:lang w:eastAsia="sk-SK"/>
              </w:rPr>
            </w:pPr>
            <w:r w:rsidRPr="000D715A">
              <w:rPr>
                <w:rFonts w:ascii="Times New Roman" w:hAnsi="Times New Roman" w:cs="Times New Roman"/>
                <w:sz w:val="14"/>
                <w:szCs w:val="14"/>
                <w:lang w:eastAsia="sk-SK"/>
              </w:rPr>
              <w:t>838 147</w:t>
            </w:r>
          </w:p>
        </w:tc>
        <w:tc>
          <w:tcPr>
            <w:tcW w:w="489" w:type="pct"/>
            <w:tcBorders>
              <w:top w:val="nil"/>
              <w:left w:val="nil"/>
              <w:bottom w:val="single" w:sz="4" w:space="0" w:color="auto"/>
              <w:right w:val="single" w:sz="4" w:space="0" w:color="auto"/>
            </w:tcBorders>
            <w:textDirection w:val="lrTb"/>
            <w:vAlign w:val="bottom"/>
            <w:hideMark/>
          </w:tcPr>
          <w:p w:rsidR="00CB350B" w:rsidRPr="000D715A" w:rsidP="00257E12">
            <w:pPr>
              <w:bidi w:val="0"/>
              <w:jc w:val="right"/>
              <w:rPr>
                <w:rFonts w:ascii="Times New Roman" w:hAnsi="Times New Roman" w:cs="Times New Roman"/>
                <w:sz w:val="14"/>
                <w:szCs w:val="14"/>
                <w:lang w:eastAsia="sk-SK"/>
              </w:rPr>
            </w:pPr>
            <w:r w:rsidRPr="000D715A">
              <w:rPr>
                <w:rFonts w:ascii="Times New Roman" w:hAnsi="Times New Roman" w:cs="Times New Roman"/>
                <w:sz w:val="14"/>
                <w:szCs w:val="14"/>
                <w:lang w:eastAsia="sk-SK"/>
              </w:rPr>
              <w:t>838 147</w:t>
            </w:r>
          </w:p>
        </w:tc>
        <w:tc>
          <w:tcPr>
            <w:tcW w:w="490" w:type="pct"/>
            <w:tcBorders>
              <w:top w:val="nil"/>
              <w:left w:val="nil"/>
              <w:bottom w:val="single" w:sz="4" w:space="0" w:color="auto"/>
              <w:right w:val="single" w:sz="4" w:space="0" w:color="auto"/>
            </w:tcBorders>
            <w:textDirection w:val="lrTb"/>
            <w:vAlign w:val="bottom"/>
            <w:hideMark/>
          </w:tcPr>
          <w:p w:rsidR="00CB350B" w:rsidRPr="000D715A" w:rsidP="00257E12">
            <w:pPr>
              <w:bidi w:val="0"/>
              <w:jc w:val="right"/>
              <w:rPr>
                <w:rFonts w:ascii="Times New Roman" w:hAnsi="Times New Roman" w:cs="Times New Roman"/>
                <w:sz w:val="14"/>
                <w:szCs w:val="14"/>
                <w:lang w:eastAsia="sk-SK"/>
              </w:rPr>
            </w:pPr>
            <w:r w:rsidRPr="000D715A">
              <w:rPr>
                <w:rFonts w:ascii="Times New Roman" w:hAnsi="Times New Roman" w:cs="Times New Roman"/>
                <w:sz w:val="14"/>
                <w:szCs w:val="14"/>
                <w:lang w:eastAsia="sk-SK"/>
              </w:rPr>
              <w:t>838 147</w:t>
            </w:r>
          </w:p>
        </w:tc>
      </w:tr>
      <w:tr>
        <w:tblPrEx>
          <w:tblW w:w="5000" w:type="pct"/>
          <w:tblCellMar>
            <w:left w:w="70" w:type="dxa"/>
            <w:right w:w="70" w:type="dxa"/>
          </w:tblCellMar>
          <w:tblLook w:val="04A0"/>
        </w:tblPrEx>
        <w:trPr>
          <w:trHeight w:val="255"/>
        </w:trPr>
        <w:tc>
          <w:tcPr>
            <w:tcW w:w="1577"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ARDAL</w:t>
            </w:r>
          </w:p>
        </w:tc>
        <w:tc>
          <w:tcPr>
            <w:tcW w:w="488"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1 176 909</w:t>
            </w:r>
          </w:p>
        </w:tc>
        <w:tc>
          <w:tcPr>
            <w:tcW w:w="489"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1 076 057</w:t>
            </w:r>
          </w:p>
        </w:tc>
        <w:tc>
          <w:tcPr>
            <w:tcW w:w="489"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1 030 644</w:t>
            </w:r>
          </w:p>
        </w:tc>
        <w:tc>
          <w:tcPr>
            <w:tcW w:w="489"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1 030 644</w:t>
            </w:r>
          </w:p>
        </w:tc>
        <w:tc>
          <w:tcPr>
            <w:tcW w:w="489" w:type="pct"/>
            <w:tcBorders>
              <w:top w:val="nil"/>
              <w:left w:val="nil"/>
              <w:bottom w:val="single" w:sz="4" w:space="0" w:color="auto"/>
              <w:right w:val="single" w:sz="4" w:space="0" w:color="auto"/>
            </w:tcBorders>
            <w:textDirection w:val="lrTb"/>
            <w:vAlign w:val="bottom"/>
            <w:hideMark/>
          </w:tcPr>
          <w:p w:rsidR="00CB350B" w:rsidRPr="000D715A" w:rsidP="00257E12">
            <w:pPr>
              <w:bidi w:val="0"/>
              <w:jc w:val="right"/>
              <w:rPr>
                <w:rFonts w:ascii="Times New Roman" w:hAnsi="Times New Roman" w:cs="Times New Roman"/>
                <w:sz w:val="14"/>
                <w:szCs w:val="14"/>
                <w:lang w:eastAsia="sk-SK"/>
              </w:rPr>
            </w:pPr>
            <w:r w:rsidRPr="000D715A">
              <w:rPr>
                <w:rFonts w:ascii="Times New Roman" w:hAnsi="Times New Roman" w:cs="Times New Roman"/>
                <w:sz w:val="14"/>
                <w:szCs w:val="14"/>
                <w:lang w:eastAsia="sk-SK"/>
              </w:rPr>
              <w:t>1 163 062</w:t>
            </w:r>
          </w:p>
        </w:tc>
        <w:tc>
          <w:tcPr>
            <w:tcW w:w="489" w:type="pct"/>
            <w:tcBorders>
              <w:top w:val="nil"/>
              <w:left w:val="nil"/>
              <w:bottom w:val="single" w:sz="4" w:space="0" w:color="auto"/>
              <w:right w:val="single" w:sz="4" w:space="0" w:color="auto"/>
            </w:tcBorders>
            <w:textDirection w:val="lrTb"/>
            <w:vAlign w:val="bottom"/>
            <w:hideMark/>
          </w:tcPr>
          <w:p w:rsidR="00CB350B" w:rsidRPr="000D715A" w:rsidP="00257E12">
            <w:pPr>
              <w:bidi w:val="0"/>
              <w:jc w:val="right"/>
              <w:rPr>
                <w:rFonts w:ascii="Times New Roman" w:hAnsi="Times New Roman" w:cs="Times New Roman"/>
                <w:sz w:val="14"/>
                <w:szCs w:val="14"/>
                <w:lang w:eastAsia="sk-SK"/>
              </w:rPr>
            </w:pPr>
            <w:r w:rsidRPr="000D715A">
              <w:rPr>
                <w:rFonts w:ascii="Times New Roman" w:hAnsi="Times New Roman" w:cs="Times New Roman"/>
                <w:sz w:val="14"/>
                <w:szCs w:val="14"/>
                <w:lang w:eastAsia="sk-SK"/>
              </w:rPr>
              <w:t>1 163 062</w:t>
            </w:r>
          </w:p>
        </w:tc>
        <w:tc>
          <w:tcPr>
            <w:tcW w:w="490" w:type="pct"/>
            <w:tcBorders>
              <w:top w:val="nil"/>
              <w:left w:val="nil"/>
              <w:bottom w:val="single" w:sz="4" w:space="0" w:color="auto"/>
              <w:right w:val="single" w:sz="4" w:space="0" w:color="auto"/>
            </w:tcBorders>
            <w:textDirection w:val="lrTb"/>
            <w:vAlign w:val="bottom"/>
            <w:hideMark/>
          </w:tcPr>
          <w:p w:rsidR="00CB350B" w:rsidRPr="000D715A" w:rsidP="00257E12">
            <w:pPr>
              <w:bidi w:val="0"/>
              <w:jc w:val="right"/>
              <w:rPr>
                <w:rFonts w:ascii="Times New Roman" w:hAnsi="Times New Roman" w:cs="Times New Roman"/>
                <w:sz w:val="14"/>
                <w:szCs w:val="14"/>
                <w:lang w:eastAsia="sk-SK"/>
              </w:rPr>
            </w:pPr>
            <w:r w:rsidRPr="000D715A">
              <w:rPr>
                <w:rFonts w:ascii="Times New Roman" w:hAnsi="Times New Roman" w:cs="Times New Roman"/>
                <w:sz w:val="14"/>
                <w:szCs w:val="14"/>
                <w:lang w:eastAsia="sk-SK"/>
              </w:rPr>
              <w:t>1 163 062</w:t>
            </w:r>
          </w:p>
        </w:tc>
      </w:tr>
      <w:tr>
        <w:tblPrEx>
          <w:tblW w:w="5000" w:type="pct"/>
          <w:tblCellMar>
            <w:left w:w="70" w:type="dxa"/>
            <w:right w:w="70" w:type="dxa"/>
          </w:tblCellMar>
          <w:tblLook w:val="04A0"/>
        </w:tblPrEx>
        <w:trPr>
          <w:trHeight w:val="255"/>
        </w:trPr>
        <w:tc>
          <w:tcPr>
            <w:tcW w:w="1577"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Štátna pokladnica</w:t>
            </w:r>
            <w:r>
              <w:rPr>
                <w:rFonts w:ascii="Times New Roman" w:hAnsi="Times New Roman" w:cs="Times New Roman"/>
                <w:sz w:val="14"/>
                <w:szCs w:val="14"/>
              </w:rPr>
              <w:t>*</w:t>
            </w:r>
          </w:p>
        </w:tc>
        <w:tc>
          <w:tcPr>
            <w:tcW w:w="488"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2 936 260</w:t>
            </w:r>
          </w:p>
        </w:tc>
        <w:tc>
          <w:tcPr>
            <w:tcW w:w="489"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3 469 077</w:t>
            </w:r>
          </w:p>
        </w:tc>
        <w:tc>
          <w:tcPr>
            <w:tcW w:w="489"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2 719 384</w:t>
            </w:r>
          </w:p>
        </w:tc>
        <w:tc>
          <w:tcPr>
            <w:tcW w:w="489"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2 719 384</w:t>
            </w:r>
          </w:p>
        </w:tc>
        <w:tc>
          <w:tcPr>
            <w:tcW w:w="489" w:type="pct"/>
            <w:tcBorders>
              <w:top w:val="nil"/>
              <w:left w:val="nil"/>
              <w:bottom w:val="single" w:sz="4" w:space="0" w:color="auto"/>
              <w:right w:val="single" w:sz="4" w:space="0" w:color="auto"/>
            </w:tcBorders>
            <w:textDirection w:val="lrTb"/>
            <w:vAlign w:val="bottom"/>
            <w:hideMark/>
          </w:tcPr>
          <w:p w:rsidR="00CB350B" w:rsidRPr="000D715A" w:rsidP="00257E12">
            <w:pPr>
              <w:bidi w:val="0"/>
              <w:jc w:val="right"/>
              <w:rPr>
                <w:rFonts w:ascii="Times New Roman" w:hAnsi="Times New Roman" w:cs="Times New Roman"/>
                <w:sz w:val="14"/>
                <w:szCs w:val="14"/>
                <w:lang w:eastAsia="sk-SK"/>
              </w:rPr>
            </w:pPr>
            <w:r w:rsidRPr="000D715A">
              <w:rPr>
                <w:rFonts w:ascii="Times New Roman" w:hAnsi="Times New Roman" w:cs="Times New Roman"/>
                <w:sz w:val="14"/>
                <w:szCs w:val="14"/>
                <w:lang w:eastAsia="sk-SK"/>
              </w:rPr>
              <w:t>2 628 888</w:t>
            </w:r>
          </w:p>
        </w:tc>
        <w:tc>
          <w:tcPr>
            <w:tcW w:w="489" w:type="pct"/>
            <w:tcBorders>
              <w:top w:val="nil"/>
              <w:left w:val="nil"/>
              <w:bottom w:val="single" w:sz="4" w:space="0" w:color="auto"/>
              <w:right w:val="single" w:sz="4" w:space="0" w:color="auto"/>
            </w:tcBorders>
            <w:textDirection w:val="lrTb"/>
            <w:vAlign w:val="bottom"/>
            <w:hideMark/>
          </w:tcPr>
          <w:p w:rsidR="00CB350B" w:rsidRPr="000D715A" w:rsidP="00257E12">
            <w:pPr>
              <w:bidi w:val="0"/>
              <w:jc w:val="right"/>
              <w:rPr>
                <w:rFonts w:ascii="Times New Roman" w:hAnsi="Times New Roman" w:cs="Times New Roman"/>
                <w:sz w:val="14"/>
                <w:szCs w:val="14"/>
                <w:lang w:eastAsia="sk-SK"/>
              </w:rPr>
            </w:pPr>
            <w:r w:rsidRPr="000D715A">
              <w:rPr>
                <w:rFonts w:ascii="Times New Roman" w:hAnsi="Times New Roman" w:cs="Times New Roman"/>
                <w:sz w:val="14"/>
                <w:szCs w:val="14"/>
                <w:lang w:eastAsia="sk-SK"/>
              </w:rPr>
              <w:t>2 628 888</w:t>
            </w:r>
          </w:p>
        </w:tc>
        <w:tc>
          <w:tcPr>
            <w:tcW w:w="490" w:type="pct"/>
            <w:tcBorders>
              <w:top w:val="nil"/>
              <w:left w:val="nil"/>
              <w:bottom w:val="single" w:sz="4" w:space="0" w:color="auto"/>
              <w:right w:val="single" w:sz="4" w:space="0" w:color="auto"/>
            </w:tcBorders>
            <w:textDirection w:val="lrTb"/>
            <w:vAlign w:val="bottom"/>
            <w:hideMark/>
          </w:tcPr>
          <w:p w:rsidR="00CB350B" w:rsidRPr="000D715A" w:rsidP="00257E12">
            <w:pPr>
              <w:bidi w:val="0"/>
              <w:jc w:val="right"/>
              <w:rPr>
                <w:rFonts w:ascii="Times New Roman" w:hAnsi="Times New Roman" w:cs="Times New Roman"/>
                <w:sz w:val="14"/>
                <w:szCs w:val="14"/>
                <w:lang w:eastAsia="sk-SK"/>
              </w:rPr>
            </w:pPr>
            <w:r w:rsidRPr="000D715A">
              <w:rPr>
                <w:rFonts w:ascii="Times New Roman" w:hAnsi="Times New Roman" w:cs="Times New Roman"/>
                <w:sz w:val="14"/>
                <w:szCs w:val="14"/>
                <w:lang w:eastAsia="sk-SK"/>
              </w:rPr>
              <w:t>2 628 888</w:t>
            </w:r>
          </w:p>
        </w:tc>
      </w:tr>
      <w:tr>
        <w:tblPrEx>
          <w:tblW w:w="5000" w:type="pct"/>
          <w:tblCellMar>
            <w:left w:w="70" w:type="dxa"/>
            <w:right w:w="70" w:type="dxa"/>
          </w:tblCellMar>
          <w:tblLook w:val="04A0"/>
        </w:tblPrEx>
        <w:trPr>
          <w:trHeight w:val="255"/>
        </w:trPr>
        <w:tc>
          <w:tcPr>
            <w:tcW w:w="1577"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DataCentrum</w:t>
            </w:r>
            <w:r>
              <w:rPr>
                <w:rFonts w:ascii="Times New Roman" w:hAnsi="Times New Roman" w:cs="Times New Roman"/>
                <w:sz w:val="14"/>
                <w:szCs w:val="14"/>
              </w:rPr>
              <w:t>*</w:t>
            </w:r>
          </w:p>
        </w:tc>
        <w:tc>
          <w:tcPr>
            <w:tcW w:w="488"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6 555 111</w:t>
            </w:r>
          </w:p>
        </w:tc>
        <w:tc>
          <w:tcPr>
            <w:tcW w:w="489"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3 092 197</w:t>
            </w:r>
          </w:p>
        </w:tc>
        <w:tc>
          <w:tcPr>
            <w:tcW w:w="489"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2 736 919</w:t>
            </w:r>
          </w:p>
        </w:tc>
        <w:tc>
          <w:tcPr>
            <w:tcW w:w="489"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2 736 919</w:t>
            </w:r>
          </w:p>
        </w:tc>
        <w:tc>
          <w:tcPr>
            <w:tcW w:w="489" w:type="pct"/>
            <w:tcBorders>
              <w:top w:val="nil"/>
              <w:left w:val="nil"/>
              <w:bottom w:val="single" w:sz="4" w:space="0" w:color="auto"/>
              <w:right w:val="single" w:sz="4" w:space="0" w:color="auto"/>
            </w:tcBorders>
            <w:textDirection w:val="lrTb"/>
            <w:vAlign w:val="bottom"/>
            <w:hideMark/>
          </w:tcPr>
          <w:p w:rsidR="00CB350B" w:rsidRPr="000D715A" w:rsidP="00257E12">
            <w:pPr>
              <w:bidi w:val="0"/>
              <w:jc w:val="right"/>
              <w:rPr>
                <w:rFonts w:ascii="Times New Roman" w:hAnsi="Times New Roman" w:cs="Times New Roman"/>
                <w:sz w:val="14"/>
                <w:szCs w:val="14"/>
                <w:lang w:eastAsia="sk-SK"/>
              </w:rPr>
            </w:pPr>
            <w:r w:rsidRPr="000D715A">
              <w:rPr>
                <w:rFonts w:ascii="Times New Roman" w:hAnsi="Times New Roman" w:cs="Times New Roman"/>
                <w:sz w:val="14"/>
                <w:szCs w:val="14"/>
                <w:lang w:eastAsia="sk-SK"/>
              </w:rPr>
              <w:t>2 823 739</w:t>
            </w:r>
          </w:p>
        </w:tc>
        <w:tc>
          <w:tcPr>
            <w:tcW w:w="489" w:type="pct"/>
            <w:tcBorders>
              <w:top w:val="nil"/>
              <w:left w:val="nil"/>
              <w:bottom w:val="single" w:sz="4" w:space="0" w:color="auto"/>
              <w:right w:val="single" w:sz="4" w:space="0" w:color="auto"/>
            </w:tcBorders>
            <w:textDirection w:val="lrTb"/>
            <w:vAlign w:val="bottom"/>
            <w:hideMark/>
          </w:tcPr>
          <w:p w:rsidR="00CB350B" w:rsidRPr="000D715A" w:rsidP="00257E12">
            <w:pPr>
              <w:bidi w:val="0"/>
              <w:jc w:val="right"/>
              <w:rPr>
                <w:rFonts w:ascii="Times New Roman" w:hAnsi="Times New Roman" w:cs="Times New Roman"/>
                <w:sz w:val="14"/>
                <w:szCs w:val="14"/>
                <w:lang w:eastAsia="sk-SK"/>
              </w:rPr>
            </w:pPr>
            <w:r w:rsidRPr="000D715A">
              <w:rPr>
                <w:rFonts w:ascii="Times New Roman" w:hAnsi="Times New Roman" w:cs="Times New Roman"/>
                <w:sz w:val="14"/>
                <w:szCs w:val="14"/>
                <w:lang w:eastAsia="sk-SK"/>
              </w:rPr>
              <w:t>2 803 739</w:t>
            </w:r>
          </w:p>
        </w:tc>
        <w:tc>
          <w:tcPr>
            <w:tcW w:w="490" w:type="pct"/>
            <w:tcBorders>
              <w:top w:val="nil"/>
              <w:left w:val="nil"/>
              <w:bottom w:val="single" w:sz="4" w:space="0" w:color="auto"/>
              <w:right w:val="single" w:sz="4" w:space="0" w:color="auto"/>
            </w:tcBorders>
            <w:textDirection w:val="lrTb"/>
            <w:vAlign w:val="bottom"/>
            <w:hideMark/>
          </w:tcPr>
          <w:p w:rsidR="00CB350B" w:rsidRPr="000D715A" w:rsidP="00257E12">
            <w:pPr>
              <w:bidi w:val="0"/>
              <w:jc w:val="right"/>
              <w:rPr>
                <w:rFonts w:ascii="Times New Roman" w:hAnsi="Times New Roman" w:cs="Times New Roman"/>
                <w:sz w:val="14"/>
                <w:szCs w:val="14"/>
                <w:lang w:eastAsia="sk-SK"/>
              </w:rPr>
            </w:pPr>
            <w:r w:rsidRPr="000D715A">
              <w:rPr>
                <w:rFonts w:ascii="Times New Roman" w:hAnsi="Times New Roman" w:cs="Times New Roman"/>
                <w:sz w:val="14"/>
                <w:szCs w:val="14"/>
                <w:lang w:eastAsia="sk-SK"/>
              </w:rPr>
              <w:t>2 803 739</w:t>
            </w:r>
          </w:p>
        </w:tc>
      </w:tr>
    </w:tbl>
    <w:p w:rsidR="00CB350B" w:rsidRPr="00575C66" w:rsidP="00CB350B">
      <w:pPr>
        <w:bidi w:val="0"/>
        <w:jc w:val="both"/>
        <w:rPr>
          <w:rFonts w:ascii="Times New Roman" w:hAnsi="Times New Roman" w:cs="Times New Roman"/>
          <w:sz w:val="14"/>
          <w:szCs w:val="14"/>
        </w:rPr>
      </w:pPr>
      <w:r w:rsidRPr="00575C66">
        <w:rPr>
          <w:rFonts w:ascii="Times New Roman" w:hAnsi="Times New Roman" w:cs="Times New Roman"/>
          <w:sz w:val="14"/>
          <w:szCs w:val="14"/>
        </w:rPr>
        <w:t>*pri organizáciách Štátna pokladnica a DataCentrum sú uvedené len výdavky na prevádzku bez výdavkov na informačné systémy</w:t>
      </w:r>
    </w:p>
    <w:p w:rsidR="00CB350B" w:rsidRPr="00575C66" w:rsidP="00CB350B">
      <w:pPr>
        <w:bidi w:val="0"/>
        <w:jc w:val="both"/>
        <w:rPr>
          <w:rFonts w:ascii="Times New Roman" w:hAnsi="Times New Roman" w:cs="Times New Roman"/>
          <w:sz w:val="14"/>
          <w:szCs w:val="14"/>
        </w:rPr>
      </w:pPr>
    </w:p>
    <w:p w:rsidR="00CB350B" w:rsidP="00CB350B">
      <w:pPr>
        <w:bidi w:val="0"/>
        <w:ind w:firstLine="708"/>
        <w:jc w:val="both"/>
        <w:rPr>
          <w:rFonts w:ascii="Times New Roman" w:hAnsi="Times New Roman" w:cs="Times New Roman"/>
        </w:rPr>
      </w:pPr>
      <w:r w:rsidRPr="00063075">
        <w:rPr>
          <w:rFonts w:ascii="Times New Roman" w:hAnsi="Times New Roman" w:cs="Times New Roman"/>
        </w:rPr>
        <w:t>Výdavky na organizácie rezortu sú v roku 2012 rozpočtované vo výške 11,6 mil. eur, čo je rast o 5,74</w:t>
      </w:r>
      <w:r>
        <w:rPr>
          <w:rFonts w:ascii="Times New Roman" w:hAnsi="Times New Roman" w:cs="Times New Roman"/>
        </w:rPr>
        <w:t xml:space="preserve"> </w:t>
      </w:r>
      <w:r w:rsidRPr="00063075">
        <w:rPr>
          <w:rFonts w:ascii="Times New Roman" w:hAnsi="Times New Roman" w:cs="Times New Roman"/>
        </w:rPr>
        <w:t>% v porovnaní so schváleným rozpočtom v roku 2011, ale pokles o takmer 10</w:t>
      </w:r>
      <w:r>
        <w:rPr>
          <w:rFonts w:ascii="Times New Roman" w:hAnsi="Times New Roman" w:cs="Times New Roman"/>
        </w:rPr>
        <w:t xml:space="preserve"> </w:t>
      </w:r>
      <w:r w:rsidRPr="00063075">
        <w:rPr>
          <w:rFonts w:ascii="Times New Roman" w:hAnsi="Times New Roman" w:cs="Times New Roman"/>
        </w:rPr>
        <w:t>% v porovnaní so skutočnosťou v roku 2010.</w:t>
      </w:r>
    </w:p>
    <w:p w:rsidR="00CB350B" w:rsidP="00CB350B">
      <w:pPr>
        <w:bidi w:val="0"/>
        <w:ind w:firstLine="708"/>
        <w:jc w:val="both"/>
        <w:rPr>
          <w:rFonts w:ascii="Times New Roman" w:hAnsi="Times New Roman" w:cs="Times New Roman"/>
        </w:rPr>
      </w:pPr>
    </w:p>
    <w:p w:rsidR="00CB350B" w:rsidP="00CB350B">
      <w:pPr>
        <w:bidi w:val="0"/>
        <w:ind w:firstLine="708"/>
        <w:jc w:val="both"/>
        <w:rPr>
          <w:rFonts w:ascii="Times New Roman" w:hAnsi="Times New Roman" w:cs="Times New Roman"/>
        </w:rPr>
      </w:pPr>
      <w:r w:rsidRPr="0004638E">
        <w:rPr>
          <w:rFonts w:ascii="Times New Roman" w:hAnsi="Times New Roman" w:cs="Times New Roman"/>
        </w:rPr>
        <w:t>Výdavky na prevádzku úradu MF SR a na ostatné úlohy</w:t>
      </w:r>
      <w:r>
        <w:rPr>
          <w:rFonts w:ascii="Times New Roman" w:hAnsi="Times New Roman" w:cs="Times New Roman"/>
        </w:rPr>
        <w:t>.</w:t>
      </w:r>
    </w:p>
    <w:p w:rsidR="00CB350B" w:rsidRPr="0004638E" w:rsidP="00CB350B">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481"/>
        <w:gridCol w:w="961"/>
        <w:gridCol w:w="962"/>
        <w:gridCol w:w="962"/>
        <w:gridCol w:w="962"/>
        <w:gridCol w:w="962"/>
        <w:gridCol w:w="962"/>
        <w:gridCol w:w="960"/>
      </w:tblGrid>
      <w:tr>
        <w:tblPrEx>
          <w:tblW w:w="5000" w:type="pct"/>
          <w:tblCellMar>
            <w:left w:w="70" w:type="dxa"/>
            <w:right w:w="70" w:type="dxa"/>
          </w:tblCellMar>
          <w:tblLook w:val="04A0"/>
        </w:tblPrEx>
        <w:trPr>
          <w:trHeight w:val="255"/>
        </w:trPr>
        <w:tc>
          <w:tcPr>
            <w:tcW w:w="1347"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v eurách</w:t>
            </w:r>
          </w:p>
        </w:tc>
        <w:tc>
          <w:tcPr>
            <w:tcW w:w="522"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2009 S</w:t>
            </w:r>
          </w:p>
        </w:tc>
        <w:tc>
          <w:tcPr>
            <w:tcW w:w="522"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2010 S</w:t>
            </w:r>
          </w:p>
        </w:tc>
        <w:tc>
          <w:tcPr>
            <w:tcW w:w="522"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2011 R</w:t>
            </w:r>
          </w:p>
        </w:tc>
        <w:tc>
          <w:tcPr>
            <w:tcW w:w="522"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2011 OS</w:t>
            </w:r>
          </w:p>
        </w:tc>
        <w:tc>
          <w:tcPr>
            <w:tcW w:w="522"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2012 N</w:t>
            </w:r>
          </w:p>
        </w:tc>
        <w:tc>
          <w:tcPr>
            <w:tcW w:w="522"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2013 N</w:t>
            </w:r>
          </w:p>
        </w:tc>
        <w:tc>
          <w:tcPr>
            <w:tcW w:w="521"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bCs/>
                <w:sz w:val="14"/>
                <w:szCs w:val="14"/>
              </w:rPr>
            </w:pPr>
            <w:r w:rsidRPr="00122402">
              <w:rPr>
                <w:rFonts w:ascii="Times New Roman" w:hAnsi="Times New Roman" w:cs="Times New Roman"/>
                <w:b/>
                <w:bCs/>
                <w:sz w:val="14"/>
                <w:szCs w:val="14"/>
              </w:rPr>
              <w:t>2014 N</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b/>
                <w:bCs/>
                <w:sz w:val="14"/>
                <w:szCs w:val="14"/>
              </w:rPr>
            </w:pPr>
            <w:r w:rsidRPr="00122402">
              <w:rPr>
                <w:rFonts w:ascii="Times New Roman" w:hAnsi="Times New Roman" w:cs="Times New Roman"/>
                <w:b/>
                <w:bCs/>
                <w:sz w:val="14"/>
                <w:szCs w:val="14"/>
              </w:rPr>
              <w:t>Úrad MF SR</w:t>
            </w:r>
          </w:p>
        </w:tc>
        <w:tc>
          <w:tcPr>
            <w:tcW w:w="522"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sz w:val="14"/>
                <w:szCs w:val="14"/>
              </w:rPr>
            </w:pPr>
            <w:r w:rsidRPr="00122402">
              <w:rPr>
                <w:rFonts w:ascii="Times New Roman" w:hAnsi="Times New Roman" w:cs="Times New Roman"/>
                <w:b/>
                <w:bCs/>
                <w:sz w:val="14"/>
                <w:szCs w:val="14"/>
              </w:rPr>
              <w:t>50 248 277</w:t>
            </w:r>
          </w:p>
        </w:tc>
        <w:tc>
          <w:tcPr>
            <w:tcW w:w="522"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sz w:val="14"/>
                <w:szCs w:val="14"/>
              </w:rPr>
            </w:pPr>
            <w:r w:rsidRPr="00122402">
              <w:rPr>
                <w:rFonts w:ascii="Times New Roman" w:hAnsi="Times New Roman" w:cs="Times New Roman"/>
                <w:b/>
                <w:bCs/>
                <w:sz w:val="14"/>
                <w:szCs w:val="14"/>
              </w:rPr>
              <w:t>68 311 092</w:t>
            </w:r>
          </w:p>
        </w:tc>
        <w:tc>
          <w:tcPr>
            <w:tcW w:w="522"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sz w:val="14"/>
                <w:szCs w:val="14"/>
              </w:rPr>
            </w:pPr>
            <w:r w:rsidRPr="00122402">
              <w:rPr>
                <w:rFonts w:ascii="Times New Roman" w:hAnsi="Times New Roman" w:cs="Times New Roman"/>
                <w:b/>
                <w:bCs/>
                <w:sz w:val="14"/>
                <w:szCs w:val="14"/>
              </w:rPr>
              <w:t>35 801 985</w:t>
            </w:r>
          </w:p>
        </w:tc>
        <w:tc>
          <w:tcPr>
            <w:tcW w:w="522"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sz w:val="14"/>
                <w:szCs w:val="14"/>
              </w:rPr>
            </w:pPr>
            <w:r w:rsidRPr="00122402">
              <w:rPr>
                <w:rFonts w:ascii="Times New Roman" w:hAnsi="Times New Roman" w:cs="Times New Roman"/>
                <w:b/>
                <w:bCs/>
                <w:sz w:val="14"/>
                <w:szCs w:val="14"/>
              </w:rPr>
              <w:t>57 275 118</w:t>
            </w:r>
          </w:p>
        </w:tc>
        <w:tc>
          <w:tcPr>
            <w:tcW w:w="522" w:type="pct"/>
            <w:tcBorders>
              <w:top w:val="nil"/>
              <w:left w:val="nil"/>
              <w:bottom w:val="single" w:sz="4" w:space="0" w:color="auto"/>
              <w:right w:val="single" w:sz="4" w:space="0" w:color="auto"/>
            </w:tcBorders>
            <w:textDirection w:val="lrTb"/>
            <w:vAlign w:val="bottom"/>
            <w:hideMark/>
          </w:tcPr>
          <w:p w:rsidR="00CB350B" w:rsidP="00257E12">
            <w:pPr>
              <w:bidi w:val="0"/>
              <w:jc w:val="right"/>
              <w:rPr>
                <w:b/>
                <w:bCs/>
                <w:sz w:val="14"/>
                <w:szCs w:val="14"/>
              </w:rPr>
            </w:pPr>
            <w:r w:rsidRPr="00867770">
              <w:rPr>
                <w:rFonts w:ascii="Times New Roman" w:hAnsi="Times New Roman" w:cs="Times New Roman"/>
                <w:b/>
                <w:bCs/>
                <w:sz w:val="14"/>
                <w:szCs w:val="14"/>
              </w:rPr>
              <w:t>37 913 261</w:t>
            </w:r>
          </w:p>
        </w:tc>
        <w:tc>
          <w:tcPr>
            <w:tcW w:w="522" w:type="pct"/>
            <w:tcBorders>
              <w:top w:val="nil"/>
              <w:left w:val="nil"/>
              <w:bottom w:val="single" w:sz="4" w:space="0" w:color="auto"/>
              <w:right w:val="single" w:sz="4" w:space="0" w:color="auto"/>
            </w:tcBorders>
            <w:textDirection w:val="lrTb"/>
            <w:vAlign w:val="bottom"/>
            <w:hideMark/>
          </w:tcPr>
          <w:p w:rsidR="00CB350B" w:rsidRPr="0043431B" w:rsidP="00257E12">
            <w:pPr>
              <w:bidi w:val="0"/>
              <w:jc w:val="right"/>
              <w:rPr>
                <w:rFonts w:ascii="Times New Roman" w:hAnsi="Times New Roman" w:cs="Times New Roman"/>
                <w:b/>
                <w:bCs/>
                <w:sz w:val="14"/>
                <w:szCs w:val="14"/>
                <w:lang w:eastAsia="sk-SK"/>
              </w:rPr>
            </w:pPr>
            <w:r w:rsidRPr="0043431B">
              <w:rPr>
                <w:rFonts w:ascii="Times New Roman" w:hAnsi="Times New Roman" w:cs="Times New Roman"/>
                <w:b/>
                <w:bCs/>
                <w:sz w:val="14"/>
                <w:szCs w:val="14"/>
                <w:lang w:eastAsia="sk-SK"/>
              </w:rPr>
              <w:t>33 828 898</w:t>
            </w:r>
          </w:p>
        </w:tc>
        <w:tc>
          <w:tcPr>
            <w:tcW w:w="521" w:type="pct"/>
            <w:tcBorders>
              <w:top w:val="nil"/>
              <w:left w:val="nil"/>
              <w:bottom w:val="single" w:sz="4" w:space="0" w:color="auto"/>
              <w:right w:val="single" w:sz="4" w:space="0" w:color="auto"/>
            </w:tcBorders>
            <w:textDirection w:val="lrTb"/>
            <w:vAlign w:val="bottom"/>
            <w:hideMark/>
          </w:tcPr>
          <w:p w:rsidR="00CB350B" w:rsidRPr="0043431B" w:rsidP="00257E12">
            <w:pPr>
              <w:bidi w:val="0"/>
              <w:jc w:val="right"/>
              <w:rPr>
                <w:rFonts w:ascii="Times New Roman" w:hAnsi="Times New Roman" w:cs="Times New Roman"/>
                <w:b/>
                <w:bCs/>
                <w:sz w:val="14"/>
                <w:szCs w:val="14"/>
                <w:lang w:eastAsia="sk-SK"/>
              </w:rPr>
            </w:pPr>
            <w:r w:rsidRPr="0043431B">
              <w:rPr>
                <w:rFonts w:ascii="Times New Roman" w:hAnsi="Times New Roman" w:cs="Times New Roman"/>
                <w:b/>
                <w:bCs/>
                <w:sz w:val="14"/>
                <w:szCs w:val="14"/>
                <w:lang w:eastAsia="sk-SK"/>
              </w:rPr>
              <w:t>33 688 653</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výdavky ŠR na bežnú činnosť</w:t>
            </w:r>
          </w:p>
        </w:tc>
        <w:tc>
          <w:tcPr>
            <w:tcW w:w="522"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34 582 899</w:t>
            </w:r>
          </w:p>
        </w:tc>
        <w:tc>
          <w:tcPr>
            <w:tcW w:w="522"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37 169 227</w:t>
            </w:r>
          </w:p>
        </w:tc>
        <w:tc>
          <w:tcPr>
            <w:tcW w:w="522"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30 812 938</w:t>
            </w:r>
          </w:p>
        </w:tc>
        <w:tc>
          <w:tcPr>
            <w:tcW w:w="522"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39 975 022</w:t>
            </w:r>
          </w:p>
        </w:tc>
        <w:tc>
          <w:tcPr>
            <w:tcW w:w="522" w:type="pct"/>
            <w:tcBorders>
              <w:top w:val="nil"/>
              <w:left w:val="nil"/>
              <w:bottom w:val="single" w:sz="4" w:space="0" w:color="auto"/>
              <w:right w:val="single" w:sz="4" w:space="0" w:color="auto"/>
            </w:tcBorders>
            <w:noWrap/>
            <w:textDirection w:val="lrTb"/>
            <w:vAlign w:val="bottom"/>
            <w:hideMark/>
          </w:tcPr>
          <w:p w:rsidR="00CB350B" w:rsidRPr="00867770" w:rsidP="00257E12">
            <w:pPr>
              <w:bidi w:val="0"/>
              <w:jc w:val="right"/>
              <w:rPr>
                <w:rFonts w:ascii="Times New Roman" w:hAnsi="Times New Roman" w:cs="Times New Roman"/>
                <w:sz w:val="14"/>
                <w:szCs w:val="14"/>
              </w:rPr>
            </w:pPr>
            <w:r w:rsidRPr="00867770">
              <w:rPr>
                <w:rFonts w:ascii="Times New Roman" w:hAnsi="Times New Roman" w:cs="Times New Roman"/>
                <w:sz w:val="14"/>
                <w:szCs w:val="14"/>
              </w:rPr>
              <w:t>32 398 026</w:t>
            </w:r>
          </w:p>
        </w:tc>
        <w:tc>
          <w:tcPr>
            <w:tcW w:w="522" w:type="pct"/>
            <w:tcBorders>
              <w:top w:val="nil"/>
              <w:left w:val="nil"/>
              <w:bottom w:val="single" w:sz="4" w:space="0" w:color="auto"/>
              <w:right w:val="single" w:sz="4" w:space="0" w:color="auto"/>
            </w:tcBorders>
            <w:noWrap/>
            <w:textDirection w:val="lrTb"/>
            <w:vAlign w:val="bottom"/>
            <w:hideMark/>
          </w:tcPr>
          <w:p w:rsidR="00CB350B" w:rsidRPr="0043431B" w:rsidP="00257E12">
            <w:pPr>
              <w:bidi w:val="0"/>
              <w:jc w:val="right"/>
              <w:rPr>
                <w:rFonts w:ascii="Times New Roman" w:hAnsi="Times New Roman" w:cs="Times New Roman"/>
                <w:sz w:val="14"/>
                <w:szCs w:val="14"/>
                <w:lang w:eastAsia="sk-SK"/>
              </w:rPr>
            </w:pPr>
            <w:r w:rsidRPr="0043431B">
              <w:rPr>
                <w:rFonts w:ascii="Times New Roman" w:hAnsi="Times New Roman" w:cs="Times New Roman"/>
                <w:sz w:val="14"/>
                <w:szCs w:val="14"/>
                <w:lang w:eastAsia="sk-SK"/>
              </w:rPr>
              <w:t>32 136 887</w:t>
            </w:r>
          </w:p>
        </w:tc>
        <w:tc>
          <w:tcPr>
            <w:tcW w:w="521" w:type="pct"/>
            <w:tcBorders>
              <w:top w:val="nil"/>
              <w:left w:val="nil"/>
              <w:bottom w:val="single" w:sz="4" w:space="0" w:color="auto"/>
              <w:right w:val="single" w:sz="4" w:space="0" w:color="auto"/>
            </w:tcBorders>
            <w:noWrap/>
            <w:textDirection w:val="lrTb"/>
            <w:vAlign w:val="bottom"/>
            <w:hideMark/>
          </w:tcPr>
          <w:p w:rsidR="00CB350B" w:rsidRPr="0043431B" w:rsidP="00257E12">
            <w:pPr>
              <w:bidi w:val="0"/>
              <w:jc w:val="right"/>
              <w:rPr>
                <w:rFonts w:ascii="Times New Roman" w:hAnsi="Times New Roman" w:cs="Times New Roman"/>
                <w:sz w:val="14"/>
                <w:szCs w:val="14"/>
                <w:lang w:eastAsia="sk-SK"/>
              </w:rPr>
            </w:pPr>
            <w:r w:rsidRPr="0043431B">
              <w:rPr>
                <w:rFonts w:ascii="Times New Roman" w:hAnsi="Times New Roman" w:cs="Times New Roman"/>
                <w:sz w:val="14"/>
                <w:szCs w:val="14"/>
                <w:lang w:eastAsia="sk-SK"/>
              </w:rPr>
              <w:t>31 994 795</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výdavky ŠR na arbitráže</w:t>
            </w:r>
          </w:p>
        </w:tc>
        <w:tc>
          <w:tcPr>
            <w:tcW w:w="522"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9 192 854</w:t>
            </w:r>
          </w:p>
        </w:tc>
        <w:tc>
          <w:tcPr>
            <w:tcW w:w="522"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11 871 000</w:t>
            </w:r>
          </w:p>
        </w:tc>
        <w:tc>
          <w:tcPr>
            <w:tcW w:w="522"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0</w:t>
            </w:r>
          </w:p>
        </w:tc>
        <w:tc>
          <w:tcPr>
            <w:tcW w:w="522"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9 373 917</w:t>
            </w:r>
          </w:p>
        </w:tc>
        <w:tc>
          <w:tcPr>
            <w:tcW w:w="522" w:type="pct"/>
            <w:tcBorders>
              <w:top w:val="nil"/>
              <w:left w:val="nil"/>
              <w:bottom w:val="single" w:sz="4" w:space="0" w:color="auto"/>
              <w:right w:val="single" w:sz="4" w:space="0" w:color="auto"/>
            </w:tcBorders>
            <w:noWrap/>
            <w:textDirection w:val="lrTb"/>
            <w:vAlign w:val="bottom"/>
            <w:hideMark/>
          </w:tcPr>
          <w:p w:rsidR="00CB350B" w:rsidRPr="00867770" w:rsidP="00257E12">
            <w:pPr>
              <w:bidi w:val="0"/>
              <w:jc w:val="right"/>
              <w:rPr>
                <w:rFonts w:ascii="Times New Roman" w:hAnsi="Times New Roman" w:cs="Times New Roman"/>
                <w:sz w:val="14"/>
                <w:szCs w:val="14"/>
              </w:rPr>
            </w:pPr>
            <w:r w:rsidRPr="00867770">
              <w:rPr>
                <w:rFonts w:ascii="Times New Roman" w:hAnsi="Times New Roman" w:cs="Times New Roman"/>
                <w:sz w:val="14"/>
                <w:szCs w:val="14"/>
              </w:rPr>
              <w:t>0</w:t>
            </w:r>
          </w:p>
        </w:tc>
        <w:tc>
          <w:tcPr>
            <w:tcW w:w="522" w:type="pct"/>
            <w:tcBorders>
              <w:top w:val="nil"/>
              <w:left w:val="nil"/>
              <w:bottom w:val="single" w:sz="4" w:space="0" w:color="auto"/>
              <w:right w:val="single" w:sz="4" w:space="0" w:color="auto"/>
            </w:tcBorders>
            <w:noWrap/>
            <w:textDirection w:val="lrTb"/>
            <w:vAlign w:val="bottom"/>
            <w:hideMark/>
          </w:tcPr>
          <w:p w:rsidR="00CB350B" w:rsidRPr="0043431B" w:rsidP="00257E12">
            <w:pPr>
              <w:bidi w:val="0"/>
              <w:jc w:val="right"/>
              <w:rPr>
                <w:rFonts w:ascii="Times New Roman" w:hAnsi="Times New Roman" w:cs="Times New Roman"/>
                <w:sz w:val="14"/>
                <w:szCs w:val="14"/>
                <w:lang w:eastAsia="sk-SK"/>
              </w:rPr>
            </w:pPr>
            <w:r w:rsidRPr="0043431B">
              <w:rPr>
                <w:rFonts w:ascii="Times New Roman" w:hAnsi="Times New Roman" w:cs="Times New Roman"/>
                <w:sz w:val="14"/>
                <w:szCs w:val="14"/>
                <w:lang w:eastAsia="sk-SK"/>
              </w:rPr>
              <w:t>0</w:t>
            </w:r>
          </w:p>
        </w:tc>
        <w:tc>
          <w:tcPr>
            <w:tcW w:w="521" w:type="pct"/>
            <w:tcBorders>
              <w:top w:val="nil"/>
              <w:left w:val="nil"/>
              <w:bottom w:val="single" w:sz="4" w:space="0" w:color="auto"/>
              <w:right w:val="single" w:sz="4" w:space="0" w:color="auto"/>
            </w:tcBorders>
            <w:noWrap/>
            <w:textDirection w:val="lrTb"/>
            <w:vAlign w:val="bottom"/>
            <w:hideMark/>
          </w:tcPr>
          <w:p w:rsidR="00CB350B" w:rsidRPr="0043431B" w:rsidP="00257E12">
            <w:pPr>
              <w:bidi w:val="0"/>
              <w:jc w:val="right"/>
              <w:rPr>
                <w:rFonts w:ascii="Times New Roman" w:hAnsi="Times New Roman" w:cs="Times New Roman"/>
                <w:sz w:val="14"/>
                <w:szCs w:val="14"/>
                <w:lang w:eastAsia="sk-SK"/>
              </w:rPr>
            </w:pPr>
            <w:r w:rsidRPr="0043431B">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výdavky ŠR na prehrané súdne spory</w:t>
            </w:r>
          </w:p>
        </w:tc>
        <w:tc>
          <w:tcPr>
            <w:tcW w:w="522"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107 146</w:t>
            </w:r>
          </w:p>
        </w:tc>
        <w:tc>
          <w:tcPr>
            <w:tcW w:w="522"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12 803 306</w:t>
            </w:r>
          </w:p>
        </w:tc>
        <w:tc>
          <w:tcPr>
            <w:tcW w:w="522"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930 000</w:t>
            </w:r>
          </w:p>
        </w:tc>
        <w:tc>
          <w:tcPr>
            <w:tcW w:w="522"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930 000</w:t>
            </w:r>
          </w:p>
        </w:tc>
        <w:tc>
          <w:tcPr>
            <w:tcW w:w="522" w:type="pct"/>
            <w:tcBorders>
              <w:top w:val="nil"/>
              <w:left w:val="nil"/>
              <w:bottom w:val="single" w:sz="4" w:space="0" w:color="auto"/>
              <w:right w:val="single" w:sz="4" w:space="0" w:color="auto"/>
            </w:tcBorders>
            <w:noWrap/>
            <w:textDirection w:val="lrTb"/>
            <w:vAlign w:val="bottom"/>
            <w:hideMark/>
          </w:tcPr>
          <w:p w:rsidR="00CB350B" w:rsidRPr="00867770" w:rsidP="00257E12">
            <w:pPr>
              <w:bidi w:val="0"/>
              <w:jc w:val="right"/>
              <w:rPr>
                <w:rFonts w:ascii="Times New Roman" w:hAnsi="Times New Roman" w:cs="Times New Roman"/>
                <w:sz w:val="14"/>
                <w:szCs w:val="14"/>
              </w:rPr>
            </w:pPr>
            <w:r w:rsidRPr="00867770">
              <w:rPr>
                <w:rFonts w:ascii="Times New Roman" w:hAnsi="Times New Roman" w:cs="Times New Roman"/>
                <w:sz w:val="14"/>
                <w:szCs w:val="14"/>
              </w:rPr>
              <w:t>0</w:t>
            </w:r>
          </w:p>
        </w:tc>
        <w:tc>
          <w:tcPr>
            <w:tcW w:w="522" w:type="pct"/>
            <w:tcBorders>
              <w:top w:val="nil"/>
              <w:left w:val="nil"/>
              <w:bottom w:val="single" w:sz="4" w:space="0" w:color="auto"/>
              <w:right w:val="single" w:sz="4" w:space="0" w:color="auto"/>
            </w:tcBorders>
            <w:noWrap/>
            <w:textDirection w:val="lrTb"/>
            <w:vAlign w:val="bottom"/>
            <w:hideMark/>
          </w:tcPr>
          <w:p w:rsidR="00CB350B" w:rsidRPr="0043431B" w:rsidP="00257E12">
            <w:pPr>
              <w:bidi w:val="0"/>
              <w:jc w:val="right"/>
              <w:rPr>
                <w:rFonts w:ascii="Times New Roman" w:hAnsi="Times New Roman" w:cs="Times New Roman"/>
                <w:sz w:val="14"/>
                <w:szCs w:val="14"/>
                <w:lang w:eastAsia="sk-SK"/>
              </w:rPr>
            </w:pPr>
            <w:r w:rsidRPr="0043431B">
              <w:rPr>
                <w:rFonts w:ascii="Times New Roman" w:hAnsi="Times New Roman" w:cs="Times New Roman"/>
                <w:sz w:val="14"/>
                <w:szCs w:val="14"/>
                <w:lang w:eastAsia="sk-SK"/>
              </w:rPr>
              <w:t>0</w:t>
            </w:r>
          </w:p>
        </w:tc>
        <w:tc>
          <w:tcPr>
            <w:tcW w:w="521" w:type="pct"/>
            <w:tcBorders>
              <w:top w:val="nil"/>
              <w:left w:val="nil"/>
              <w:bottom w:val="single" w:sz="4" w:space="0" w:color="auto"/>
              <w:right w:val="single" w:sz="4" w:space="0" w:color="auto"/>
            </w:tcBorders>
            <w:noWrap/>
            <w:textDirection w:val="lrTb"/>
            <w:vAlign w:val="bottom"/>
            <w:hideMark/>
          </w:tcPr>
          <w:p w:rsidR="00CB350B" w:rsidRPr="0043431B" w:rsidP="00257E12">
            <w:pPr>
              <w:bidi w:val="0"/>
              <w:jc w:val="right"/>
              <w:rPr>
                <w:rFonts w:ascii="Times New Roman" w:hAnsi="Times New Roman" w:cs="Times New Roman"/>
                <w:sz w:val="14"/>
                <w:szCs w:val="14"/>
                <w:lang w:eastAsia="sk-SK"/>
              </w:rPr>
            </w:pPr>
            <w:r w:rsidRPr="0043431B">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noWrap/>
            <w:textDirection w:val="lrTb"/>
            <w:vAlign w:val="bottom"/>
            <w:hideMark/>
          </w:tcPr>
          <w:p w:rsidR="00CB350B" w:rsidRPr="002C47C4" w:rsidP="00257E12">
            <w:pPr>
              <w:bidi w:val="0"/>
              <w:rPr>
                <w:rFonts w:ascii="Times New Roman" w:hAnsi="Times New Roman" w:cs="Times New Roman"/>
                <w:sz w:val="14"/>
                <w:szCs w:val="14"/>
              </w:rPr>
            </w:pPr>
            <w:r w:rsidRPr="002C47C4">
              <w:rPr>
                <w:rFonts w:ascii="Times New Roman" w:hAnsi="Times New Roman" w:cs="Times New Roman"/>
                <w:sz w:val="14"/>
                <w:szCs w:val="14"/>
              </w:rPr>
              <w:t>výdavky ŠR na distribúciu kolkov</w:t>
            </w:r>
          </w:p>
        </w:tc>
        <w:tc>
          <w:tcPr>
            <w:tcW w:w="522" w:type="pct"/>
            <w:tcBorders>
              <w:top w:val="nil"/>
              <w:left w:val="nil"/>
              <w:bottom w:val="single" w:sz="4" w:space="0" w:color="auto"/>
              <w:right w:val="single" w:sz="4" w:space="0" w:color="auto"/>
            </w:tcBorders>
            <w:noWrap/>
            <w:textDirection w:val="lrTb"/>
            <w:vAlign w:val="bottom"/>
            <w:hideMark/>
          </w:tcPr>
          <w:p w:rsidR="00CB350B" w:rsidRPr="002C47C4" w:rsidP="00257E12">
            <w:pPr>
              <w:bidi w:val="0"/>
              <w:jc w:val="right"/>
              <w:rPr>
                <w:rFonts w:ascii="Times New Roman" w:hAnsi="Times New Roman" w:cs="Times New Roman"/>
                <w:sz w:val="14"/>
                <w:szCs w:val="14"/>
              </w:rPr>
            </w:pPr>
            <w:r w:rsidRPr="002C47C4">
              <w:rPr>
                <w:rFonts w:ascii="Times New Roman" w:hAnsi="Times New Roman" w:cs="Times New Roman"/>
                <w:sz w:val="14"/>
                <w:szCs w:val="14"/>
              </w:rPr>
              <w:t>5 173 307</w:t>
            </w:r>
          </w:p>
        </w:tc>
        <w:tc>
          <w:tcPr>
            <w:tcW w:w="522" w:type="pct"/>
            <w:tcBorders>
              <w:top w:val="nil"/>
              <w:left w:val="nil"/>
              <w:bottom w:val="single" w:sz="4" w:space="0" w:color="auto"/>
              <w:right w:val="single" w:sz="4" w:space="0" w:color="auto"/>
            </w:tcBorders>
            <w:noWrap/>
            <w:textDirection w:val="lrTb"/>
            <w:vAlign w:val="bottom"/>
            <w:hideMark/>
          </w:tcPr>
          <w:p w:rsidR="00CB350B" w:rsidRPr="002C47C4" w:rsidP="00257E12">
            <w:pPr>
              <w:bidi w:val="0"/>
              <w:jc w:val="right"/>
              <w:rPr>
                <w:rFonts w:ascii="Times New Roman" w:hAnsi="Times New Roman" w:cs="Times New Roman"/>
                <w:sz w:val="14"/>
                <w:szCs w:val="14"/>
              </w:rPr>
            </w:pPr>
            <w:r w:rsidRPr="002C47C4">
              <w:rPr>
                <w:rFonts w:ascii="Times New Roman" w:hAnsi="Times New Roman" w:cs="Times New Roman"/>
                <w:sz w:val="14"/>
                <w:szCs w:val="14"/>
              </w:rPr>
              <w:t>4 900 295</w:t>
            </w:r>
          </w:p>
        </w:tc>
        <w:tc>
          <w:tcPr>
            <w:tcW w:w="522" w:type="pct"/>
            <w:tcBorders>
              <w:top w:val="nil"/>
              <w:left w:val="nil"/>
              <w:bottom w:val="single" w:sz="4" w:space="0" w:color="auto"/>
              <w:right w:val="single" w:sz="4" w:space="0" w:color="auto"/>
            </w:tcBorders>
            <w:noWrap/>
            <w:textDirection w:val="lrTb"/>
            <w:vAlign w:val="bottom"/>
            <w:hideMark/>
          </w:tcPr>
          <w:p w:rsidR="00CB350B" w:rsidRPr="002C47C4" w:rsidP="00257E12">
            <w:pPr>
              <w:bidi w:val="0"/>
              <w:jc w:val="right"/>
              <w:rPr>
                <w:rFonts w:ascii="Times New Roman" w:hAnsi="Times New Roman" w:cs="Times New Roman"/>
                <w:sz w:val="14"/>
                <w:szCs w:val="14"/>
              </w:rPr>
            </w:pPr>
            <w:r w:rsidRPr="002C47C4">
              <w:rPr>
                <w:rFonts w:ascii="Times New Roman" w:hAnsi="Times New Roman" w:cs="Times New Roman"/>
                <w:sz w:val="14"/>
                <w:szCs w:val="14"/>
              </w:rPr>
              <w:t>3 888 421</w:t>
            </w:r>
          </w:p>
        </w:tc>
        <w:tc>
          <w:tcPr>
            <w:tcW w:w="522" w:type="pct"/>
            <w:tcBorders>
              <w:top w:val="nil"/>
              <w:left w:val="nil"/>
              <w:bottom w:val="single" w:sz="4" w:space="0" w:color="auto"/>
              <w:right w:val="single" w:sz="4" w:space="0" w:color="auto"/>
            </w:tcBorders>
            <w:noWrap/>
            <w:textDirection w:val="lrTb"/>
            <w:vAlign w:val="bottom"/>
            <w:hideMark/>
          </w:tcPr>
          <w:p w:rsidR="00CB350B" w:rsidRPr="002C47C4" w:rsidP="00257E12">
            <w:pPr>
              <w:bidi w:val="0"/>
              <w:jc w:val="right"/>
              <w:rPr>
                <w:rFonts w:ascii="Times New Roman" w:hAnsi="Times New Roman" w:cs="Times New Roman"/>
                <w:sz w:val="14"/>
                <w:szCs w:val="14"/>
              </w:rPr>
            </w:pPr>
            <w:r w:rsidRPr="002C47C4">
              <w:rPr>
                <w:rFonts w:ascii="Times New Roman" w:hAnsi="Times New Roman" w:cs="Times New Roman"/>
                <w:sz w:val="14"/>
                <w:szCs w:val="14"/>
              </w:rPr>
              <w:t>3 888 421</w:t>
            </w:r>
          </w:p>
        </w:tc>
        <w:tc>
          <w:tcPr>
            <w:tcW w:w="522" w:type="pct"/>
            <w:tcBorders>
              <w:top w:val="single" w:sz="4" w:space="0" w:color="auto"/>
              <w:left w:val="nil"/>
              <w:bottom w:val="single" w:sz="4" w:space="0" w:color="auto"/>
              <w:right w:val="single" w:sz="4" w:space="0" w:color="auto"/>
            </w:tcBorders>
            <w:noWrap/>
            <w:textDirection w:val="lrTb"/>
            <w:vAlign w:val="bottom"/>
            <w:hideMark/>
          </w:tcPr>
          <w:p w:rsidR="00CB350B" w:rsidRPr="00867770" w:rsidP="00257E12">
            <w:pPr>
              <w:bidi w:val="0"/>
              <w:jc w:val="right"/>
              <w:rPr>
                <w:rFonts w:ascii="Times New Roman" w:hAnsi="Times New Roman" w:cs="Times New Roman"/>
                <w:sz w:val="14"/>
                <w:szCs w:val="14"/>
              </w:rPr>
            </w:pPr>
            <w:r w:rsidRPr="00867770">
              <w:rPr>
                <w:rFonts w:ascii="Times New Roman" w:hAnsi="Times New Roman" w:cs="Times New Roman"/>
                <w:sz w:val="14"/>
                <w:szCs w:val="14"/>
              </w:rPr>
              <w:t>3 900 000</w:t>
            </w:r>
          </w:p>
        </w:tc>
        <w:tc>
          <w:tcPr>
            <w:tcW w:w="522" w:type="pct"/>
            <w:tcBorders>
              <w:top w:val="single" w:sz="4" w:space="0" w:color="auto"/>
              <w:left w:val="nil"/>
              <w:bottom w:val="single" w:sz="4" w:space="0" w:color="auto"/>
              <w:right w:val="single" w:sz="4" w:space="0" w:color="auto"/>
            </w:tcBorders>
            <w:noWrap/>
            <w:textDirection w:val="lrTb"/>
            <w:vAlign w:val="bottom"/>
            <w:hideMark/>
          </w:tcPr>
          <w:p w:rsidR="00CB350B" w:rsidRPr="0043431B" w:rsidP="00257E12">
            <w:pPr>
              <w:bidi w:val="0"/>
              <w:jc w:val="right"/>
              <w:rPr>
                <w:rFonts w:ascii="Times New Roman" w:hAnsi="Times New Roman" w:cs="Times New Roman"/>
                <w:sz w:val="14"/>
                <w:szCs w:val="14"/>
                <w:lang w:eastAsia="sk-SK"/>
              </w:rPr>
            </w:pPr>
            <w:r w:rsidRPr="0043431B">
              <w:rPr>
                <w:rFonts w:ascii="Times New Roman" w:hAnsi="Times New Roman" w:cs="Times New Roman"/>
                <w:sz w:val="14"/>
                <w:szCs w:val="14"/>
                <w:lang w:eastAsia="sk-SK"/>
              </w:rPr>
              <w:t>0</w:t>
            </w:r>
          </w:p>
        </w:tc>
        <w:tc>
          <w:tcPr>
            <w:tcW w:w="521" w:type="pct"/>
            <w:tcBorders>
              <w:top w:val="single" w:sz="4" w:space="0" w:color="auto"/>
              <w:left w:val="nil"/>
              <w:bottom w:val="single" w:sz="4" w:space="0" w:color="auto"/>
              <w:right w:val="single" w:sz="4" w:space="0" w:color="auto"/>
            </w:tcBorders>
            <w:noWrap/>
            <w:textDirection w:val="lrTb"/>
            <w:vAlign w:val="bottom"/>
            <w:hideMark/>
          </w:tcPr>
          <w:p w:rsidR="00CB350B" w:rsidRPr="0043431B" w:rsidP="00257E12">
            <w:pPr>
              <w:bidi w:val="0"/>
              <w:jc w:val="right"/>
              <w:rPr>
                <w:rFonts w:ascii="Times New Roman" w:hAnsi="Times New Roman" w:cs="Times New Roman"/>
                <w:sz w:val="14"/>
                <w:szCs w:val="14"/>
                <w:lang w:eastAsia="sk-SK"/>
              </w:rPr>
            </w:pPr>
            <w:r w:rsidRPr="0043431B">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výdavky ŠR na medzirezortné programy</w:t>
            </w:r>
          </w:p>
        </w:tc>
        <w:tc>
          <w:tcPr>
            <w:tcW w:w="522"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22 532</w:t>
            </w:r>
          </w:p>
        </w:tc>
        <w:tc>
          <w:tcPr>
            <w:tcW w:w="522"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147 757</w:t>
            </w:r>
          </w:p>
        </w:tc>
        <w:tc>
          <w:tcPr>
            <w:tcW w:w="522"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163 874</w:t>
            </w:r>
          </w:p>
        </w:tc>
        <w:tc>
          <w:tcPr>
            <w:tcW w:w="522"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501 900</w:t>
            </w:r>
          </w:p>
        </w:tc>
        <w:tc>
          <w:tcPr>
            <w:tcW w:w="522" w:type="pct"/>
            <w:tcBorders>
              <w:top w:val="nil"/>
              <w:left w:val="nil"/>
              <w:bottom w:val="single" w:sz="4" w:space="0" w:color="auto"/>
              <w:right w:val="single" w:sz="4" w:space="0" w:color="auto"/>
            </w:tcBorders>
            <w:noWrap/>
            <w:textDirection w:val="lrTb"/>
            <w:vAlign w:val="bottom"/>
            <w:hideMark/>
          </w:tcPr>
          <w:p w:rsidR="00CB350B" w:rsidRPr="00867770" w:rsidP="00257E12">
            <w:pPr>
              <w:bidi w:val="0"/>
              <w:jc w:val="right"/>
              <w:rPr>
                <w:rFonts w:ascii="Times New Roman" w:hAnsi="Times New Roman" w:cs="Times New Roman"/>
                <w:sz w:val="14"/>
                <w:szCs w:val="14"/>
              </w:rPr>
            </w:pPr>
            <w:r w:rsidRPr="00867770">
              <w:rPr>
                <w:rFonts w:ascii="Times New Roman" w:hAnsi="Times New Roman" w:cs="Times New Roman"/>
                <w:sz w:val="14"/>
                <w:szCs w:val="14"/>
              </w:rPr>
              <w:t>1 544 662</w:t>
            </w:r>
          </w:p>
        </w:tc>
        <w:tc>
          <w:tcPr>
            <w:tcW w:w="522" w:type="pct"/>
            <w:tcBorders>
              <w:top w:val="nil"/>
              <w:left w:val="nil"/>
              <w:bottom w:val="single" w:sz="4" w:space="0" w:color="auto"/>
              <w:right w:val="single" w:sz="4" w:space="0" w:color="auto"/>
            </w:tcBorders>
            <w:noWrap/>
            <w:textDirection w:val="lrTb"/>
            <w:vAlign w:val="bottom"/>
            <w:hideMark/>
          </w:tcPr>
          <w:p w:rsidR="00CB350B" w:rsidRPr="0043431B" w:rsidP="00257E12">
            <w:pPr>
              <w:bidi w:val="0"/>
              <w:jc w:val="right"/>
              <w:rPr>
                <w:rFonts w:ascii="Times New Roman" w:hAnsi="Times New Roman" w:cs="Times New Roman"/>
                <w:sz w:val="14"/>
                <w:szCs w:val="14"/>
                <w:lang w:eastAsia="sk-SK"/>
              </w:rPr>
            </w:pPr>
            <w:r w:rsidRPr="0043431B">
              <w:rPr>
                <w:rFonts w:ascii="Times New Roman" w:hAnsi="Times New Roman" w:cs="Times New Roman"/>
                <w:sz w:val="14"/>
                <w:szCs w:val="14"/>
                <w:lang w:eastAsia="sk-SK"/>
              </w:rPr>
              <w:t>1 550 865</w:t>
            </w:r>
          </w:p>
        </w:tc>
        <w:tc>
          <w:tcPr>
            <w:tcW w:w="521" w:type="pct"/>
            <w:tcBorders>
              <w:top w:val="nil"/>
              <w:left w:val="nil"/>
              <w:bottom w:val="single" w:sz="4" w:space="0" w:color="auto"/>
              <w:right w:val="single" w:sz="4" w:space="0" w:color="auto"/>
            </w:tcBorders>
            <w:noWrap/>
            <w:textDirection w:val="lrTb"/>
            <w:vAlign w:val="bottom"/>
            <w:hideMark/>
          </w:tcPr>
          <w:p w:rsidR="00CB350B" w:rsidRPr="0043431B" w:rsidP="00257E12">
            <w:pPr>
              <w:bidi w:val="0"/>
              <w:jc w:val="right"/>
              <w:rPr>
                <w:rFonts w:ascii="Times New Roman" w:hAnsi="Times New Roman" w:cs="Times New Roman"/>
                <w:sz w:val="14"/>
                <w:szCs w:val="14"/>
                <w:lang w:eastAsia="sk-SK"/>
              </w:rPr>
            </w:pPr>
            <w:r w:rsidRPr="0043431B">
              <w:rPr>
                <w:rFonts w:ascii="Times New Roman" w:hAnsi="Times New Roman" w:cs="Times New Roman"/>
                <w:sz w:val="14"/>
                <w:szCs w:val="14"/>
                <w:lang w:eastAsia="sk-SK"/>
              </w:rPr>
              <w:t>1 552 712</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 xml:space="preserve">zdroje EÚ </w:t>
            </w:r>
          </w:p>
        </w:tc>
        <w:tc>
          <w:tcPr>
            <w:tcW w:w="522"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49 978</w:t>
            </w:r>
          </w:p>
        </w:tc>
        <w:tc>
          <w:tcPr>
            <w:tcW w:w="522"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1 007 360</w:t>
            </w:r>
          </w:p>
        </w:tc>
        <w:tc>
          <w:tcPr>
            <w:tcW w:w="522"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0</w:t>
            </w:r>
          </w:p>
        </w:tc>
        <w:tc>
          <w:tcPr>
            <w:tcW w:w="522"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2 205 718</w:t>
            </w:r>
          </w:p>
        </w:tc>
        <w:tc>
          <w:tcPr>
            <w:tcW w:w="522" w:type="pct"/>
            <w:tcBorders>
              <w:top w:val="nil"/>
              <w:left w:val="nil"/>
              <w:bottom w:val="single" w:sz="4" w:space="0" w:color="auto"/>
              <w:right w:val="single" w:sz="4" w:space="0" w:color="auto"/>
            </w:tcBorders>
            <w:noWrap/>
            <w:textDirection w:val="lrTb"/>
            <w:vAlign w:val="bottom"/>
            <w:hideMark/>
          </w:tcPr>
          <w:p w:rsidR="00CB350B" w:rsidRPr="00867770" w:rsidP="00257E12">
            <w:pPr>
              <w:bidi w:val="0"/>
              <w:jc w:val="right"/>
              <w:rPr>
                <w:rFonts w:ascii="Times New Roman" w:hAnsi="Times New Roman" w:cs="Times New Roman"/>
                <w:sz w:val="14"/>
                <w:szCs w:val="14"/>
              </w:rPr>
            </w:pPr>
            <w:r w:rsidRPr="00867770">
              <w:rPr>
                <w:rFonts w:ascii="Times New Roman" w:hAnsi="Times New Roman" w:cs="Times New Roman"/>
                <w:sz w:val="14"/>
                <w:szCs w:val="14"/>
              </w:rPr>
              <w:t>0</w:t>
            </w:r>
          </w:p>
        </w:tc>
        <w:tc>
          <w:tcPr>
            <w:tcW w:w="522" w:type="pct"/>
            <w:tcBorders>
              <w:top w:val="nil"/>
              <w:left w:val="nil"/>
              <w:bottom w:val="single" w:sz="4" w:space="0" w:color="auto"/>
              <w:right w:val="single" w:sz="4" w:space="0" w:color="auto"/>
            </w:tcBorders>
            <w:noWrap/>
            <w:textDirection w:val="lrTb"/>
            <w:vAlign w:val="bottom"/>
            <w:hideMark/>
          </w:tcPr>
          <w:p w:rsidR="00CB350B" w:rsidRPr="0043431B" w:rsidP="00257E12">
            <w:pPr>
              <w:bidi w:val="0"/>
              <w:jc w:val="right"/>
              <w:rPr>
                <w:rFonts w:ascii="Times New Roman" w:hAnsi="Times New Roman" w:cs="Times New Roman"/>
                <w:sz w:val="14"/>
                <w:szCs w:val="14"/>
                <w:lang w:eastAsia="sk-SK"/>
              </w:rPr>
            </w:pPr>
            <w:r w:rsidRPr="0043431B">
              <w:rPr>
                <w:rFonts w:ascii="Times New Roman" w:hAnsi="Times New Roman" w:cs="Times New Roman"/>
                <w:sz w:val="14"/>
                <w:szCs w:val="14"/>
                <w:lang w:eastAsia="sk-SK"/>
              </w:rPr>
              <w:t>0</w:t>
            </w:r>
          </w:p>
        </w:tc>
        <w:tc>
          <w:tcPr>
            <w:tcW w:w="521" w:type="pct"/>
            <w:tcBorders>
              <w:top w:val="nil"/>
              <w:left w:val="nil"/>
              <w:bottom w:val="single" w:sz="4" w:space="0" w:color="auto"/>
              <w:right w:val="single" w:sz="4" w:space="0" w:color="auto"/>
            </w:tcBorders>
            <w:noWrap/>
            <w:textDirection w:val="lrTb"/>
            <w:vAlign w:val="bottom"/>
            <w:hideMark/>
          </w:tcPr>
          <w:p w:rsidR="00CB350B" w:rsidRPr="0043431B" w:rsidP="00257E12">
            <w:pPr>
              <w:bidi w:val="0"/>
              <w:jc w:val="right"/>
              <w:rPr>
                <w:rFonts w:ascii="Times New Roman" w:hAnsi="Times New Roman" w:cs="Times New Roman"/>
                <w:sz w:val="14"/>
                <w:szCs w:val="14"/>
                <w:lang w:eastAsia="sk-SK"/>
              </w:rPr>
            </w:pPr>
            <w:r w:rsidRPr="0043431B">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spolufinancovanie zo ŠR</w:t>
            </w:r>
          </w:p>
        </w:tc>
        <w:tc>
          <w:tcPr>
            <w:tcW w:w="522"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30 849</w:t>
            </w:r>
          </w:p>
        </w:tc>
        <w:tc>
          <w:tcPr>
            <w:tcW w:w="522"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177 770</w:t>
            </w:r>
          </w:p>
        </w:tc>
        <w:tc>
          <w:tcPr>
            <w:tcW w:w="522"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0</w:t>
            </w:r>
          </w:p>
        </w:tc>
        <w:tc>
          <w:tcPr>
            <w:tcW w:w="522"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393 388</w:t>
            </w:r>
          </w:p>
        </w:tc>
        <w:tc>
          <w:tcPr>
            <w:tcW w:w="522" w:type="pct"/>
            <w:tcBorders>
              <w:top w:val="nil"/>
              <w:left w:val="nil"/>
              <w:bottom w:val="single" w:sz="4" w:space="0" w:color="auto"/>
              <w:right w:val="single" w:sz="4" w:space="0" w:color="auto"/>
            </w:tcBorders>
            <w:noWrap/>
            <w:textDirection w:val="lrTb"/>
            <w:vAlign w:val="bottom"/>
            <w:hideMark/>
          </w:tcPr>
          <w:p w:rsidR="00CB350B" w:rsidRPr="00867770" w:rsidP="00257E12">
            <w:pPr>
              <w:bidi w:val="0"/>
              <w:jc w:val="right"/>
              <w:rPr>
                <w:rFonts w:ascii="Times New Roman" w:hAnsi="Times New Roman" w:cs="Times New Roman"/>
                <w:sz w:val="14"/>
                <w:szCs w:val="14"/>
              </w:rPr>
            </w:pPr>
            <w:r w:rsidRPr="00867770">
              <w:rPr>
                <w:rFonts w:ascii="Times New Roman" w:hAnsi="Times New Roman" w:cs="Times New Roman"/>
                <w:sz w:val="14"/>
                <w:szCs w:val="14"/>
              </w:rPr>
              <w:t>0</w:t>
            </w:r>
          </w:p>
        </w:tc>
        <w:tc>
          <w:tcPr>
            <w:tcW w:w="522" w:type="pct"/>
            <w:tcBorders>
              <w:top w:val="nil"/>
              <w:left w:val="nil"/>
              <w:bottom w:val="single" w:sz="4" w:space="0" w:color="auto"/>
              <w:right w:val="single" w:sz="4" w:space="0" w:color="auto"/>
            </w:tcBorders>
            <w:noWrap/>
            <w:textDirection w:val="lrTb"/>
            <w:vAlign w:val="bottom"/>
            <w:hideMark/>
          </w:tcPr>
          <w:p w:rsidR="00CB350B" w:rsidRPr="0043431B" w:rsidP="00257E12">
            <w:pPr>
              <w:bidi w:val="0"/>
              <w:jc w:val="right"/>
              <w:rPr>
                <w:rFonts w:ascii="Times New Roman" w:hAnsi="Times New Roman" w:cs="Times New Roman"/>
                <w:sz w:val="14"/>
                <w:szCs w:val="14"/>
                <w:lang w:eastAsia="sk-SK"/>
              </w:rPr>
            </w:pPr>
            <w:r w:rsidRPr="0043431B">
              <w:rPr>
                <w:rFonts w:ascii="Times New Roman" w:hAnsi="Times New Roman" w:cs="Times New Roman"/>
                <w:sz w:val="14"/>
                <w:szCs w:val="14"/>
                <w:lang w:eastAsia="sk-SK"/>
              </w:rPr>
              <w:t>0</w:t>
            </w:r>
          </w:p>
        </w:tc>
        <w:tc>
          <w:tcPr>
            <w:tcW w:w="521" w:type="pct"/>
            <w:tcBorders>
              <w:top w:val="nil"/>
              <w:left w:val="nil"/>
              <w:bottom w:val="single" w:sz="4" w:space="0" w:color="auto"/>
              <w:right w:val="single" w:sz="4" w:space="0" w:color="auto"/>
            </w:tcBorders>
            <w:noWrap/>
            <w:textDirection w:val="lrTb"/>
            <w:vAlign w:val="bottom"/>
            <w:hideMark/>
          </w:tcPr>
          <w:p w:rsidR="00CB350B" w:rsidRPr="0043431B" w:rsidP="00257E12">
            <w:pPr>
              <w:bidi w:val="0"/>
              <w:jc w:val="right"/>
              <w:rPr>
                <w:rFonts w:ascii="Times New Roman" w:hAnsi="Times New Roman" w:cs="Times New Roman"/>
                <w:sz w:val="14"/>
                <w:szCs w:val="14"/>
                <w:lang w:eastAsia="sk-SK"/>
              </w:rPr>
            </w:pPr>
            <w:r w:rsidRPr="0043431B">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sz w:val="14"/>
                <w:szCs w:val="14"/>
              </w:rPr>
            </w:pPr>
            <w:r w:rsidRPr="00122402">
              <w:rPr>
                <w:rFonts w:ascii="Times New Roman" w:hAnsi="Times New Roman" w:cs="Times New Roman"/>
                <w:sz w:val="14"/>
                <w:szCs w:val="14"/>
              </w:rPr>
              <w:t>iné zdroje</w:t>
            </w:r>
            <w:r w:rsidRPr="00122402">
              <w:rPr>
                <w:rFonts w:ascii="Times New Roman" w:hAnsi="Times New Roman" w:cs="Times New Roman"/>
                <w:sz w:val="14"/>
                <w:szCs w:val="14"/>
                <w:vertAlign w:val="superscript"/>
              </w:rPr>
              <w:t>*</w:t>
            </w:r>
          </w:p>
        </w:tc>
        <w:tc>
          <w:tcPr>
            <w:tcW w:w="522"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1 088 711</w:t>
            </w:r>
          </w:p>
        </w:tc>
        <w:tc>
          <w:tcPr>
            <w:tcW w:w="522"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234 377</w:t>
            </w:r>
          </w:p>
        </w:tc>
        <w:tc>
          <w:tcPr>
            <w:tcW w:w="522"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6 752</w:t>
            </w:r>
          </w:p>
        </w:tc>
        <w:tc>
          <w:tcPr>
            <w:tcW w:w="522"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sz w:val="14"/>
                <w:szCs w:val="14"/>
              </w:rPr>
            </w:pPr>
            <w:r w:rsidRPr="00122402">
              <w:rPr>
                <w:rFonts w:ascii="Times New Roman" w:hAnsi="Times New Roman" w:cs="Times New Roman"/>
                <w:sz w:val="14"/>
                <w:szCs w:val="14"/>
              </w:rPr>
              <w:t>6 752</w:t>
            </w:r>
          </w:p>
        </w:tc>
        <w:tc>
          <w:tcPr>
            <w:tcW w:w="522" w:type="pct"/>
            <w:tcBorders>
              <w:top w:val="nil"/>
              <w:left w:val="nil"/>
              <w:bottom w:val="single" w:sz="4" w:space="0" w:color="auto"/>
              <w:right w:val="single" w:sz="4" w:space="0" w:color="auto"/>
            </w:tcBorders>
            <w:noWrap/>
            <w:textDirection w:val="lrTb"/>
            <w:vAlign w:val="bottom"/>
            <w:hideMark/>
          </w:tcPr>
          <w:p w:rsidR="00CB350B" w:rsidRPr="00867770" w:rsidP="00257E12">
            <w:pPr>
              <w:bidi w:val="0"/>
              <w:jc w:val="right"/>
              <w:rPr>
                <w:rFonts w:ascii="Times New Roman" w:hAnsi="Times New Roman" w:cs="Times New Roman"/>
                <w:sz w:val="14"/>
                <w:szCs w:val="14"/>
              </w:rPr>
            </w:pPr>
            <w:r w:rsidRPr="00867770">
              <w:rPr>
                <w:rFonts w:ascii="Times New Roman" w:hAnsi="Times New Roman" w:cs="Times New Roman"/>
                <w:sz w:val="14"/>
                <w:szCs w:val="14"/>
              </w:rPr>
              <w:t>70 573</w:t>
            </w:r>
          </w:p>
        </w:tc>
        <w:tc>
          <w:tcPr>
            <w:tcW w:w="522" w:type="pct"/>
            <w:tcBorders>
              <w:top w:val="nil"/>
              <w:left w:val="nil"/>
              <w:bottom w:val="single" w:sz="4" w:space="0" w:color="auto"/>
              <w:right w:val="single" w:sz="4" w:space="0" w:color="auto"/>
            </w:tcBorders>
            <w:noWrap/>
            <w:textDirection w:val="lrTb"/>
            <w:vAlign w:val="bottom"/>
            <w:hideMark/>
          </w:tcPr>
          <w:p w:rsidR="00CB350B" w:rsidRPr="0043431B" w:rsidP="00257E12">
            <w:pPr>
              <w:bidi w:val="0"/>
              <w:jc w:val="right"/>
              <w:rPr>
                <w:rFonts w:ascii="Times New Roman" w:hAnsi="Times New Roman" w:cs="Times New Roman"/>
                <w:sz w:val="14"/>
                <w:szCs w:val="14"/>
                <w:lang w:eastAsia="sk-SK"/>
              </w:rPr>
            </w:pPr>
            <w:r w:rsidRPr="0043431B">
              <w:rPr>
                <w:rFonts w:ascii="Times New Roman" w:hAnsi="Times New Roman" w:cs="Times New Roman"/>
                <w:sz w:val="14"/>
                <w:szCs w:val="14"/>
                <w:lang w:eastAsia="sk-SK"/>
              </w:rPr>
              <w:t>141 146</w:t>
            </w:r>
          </w:p>
        </w:tc>
        <w:tc>
          <w:tcPr>
            <w:tcW w:w="521" w:type="pct"/>
            <w:tcBorders>
              <w:top w:val="nil"/>
              <w:left w:val="nil"/>
              <w:bottom w:val="single" w:sz="4" w:space="0" w:color="auto"/>
              <w:right w:val="single" w:sz="4" w:space="0" w:color="auto"/>
            </w:tcBorders>
            <w:noWrap/>
            <w:textDirection w:val="lrTb"/>
            <w:vAlign w:val="bottom"/>
            <w:hideMark/>
          </w:tcPr>
          <w:p w:rsidR="00CB350B" w:rsidRPr="0043431B" w:rsidP="00257E12">
            <w:pPr>
              <w:bidi w:val="0"/>
              <w:jc w:val="right"/>
              <w:rPr>
                <w:rFonts w:ascii="Times New Roman" w:hAnsi="Times New Roman" w:cs="Times New Roman"/>
                <w:sz w:val="14"/>
                <w:szCs w:val="14"/>
                <w:lang w:eastAsia="sk-SK"/>
              </w:rPr>
            </w:pPr>
            <w:r w:rsidRPr="0043431B">
              <w:rPr>
                <w:rFonts w:ascii="Times New Roman" w:hAnsi="Times New Roman" w:cs="Times New Roman"/>
                <w:sz w:val="14"/>
                <w:szCs w:val="14"/>
                <w:lang w:eastAsia="sk-SK"/>
              </w:rPr>
              <w:t>141 146</w:t>
            </w:r>
          </w:p>
        </w:tc>
      </w:tr>
    </w:tbl>
    <w:p w:rsidR="00CB350B" w:rsidRPr="0004638E" w:rsidP="00CB350B">
      <w:pPr>
        <w:bidi w:val="0"/>
        <w:jc w:val="both"/>
        <w:rPr>
          <w:rFonts w:ascii="Times New Roman" w:hAnsi="Times New Roman" w:cs="Times New Roman"/>
        </w:rPr>
      </w:pPr>
      <w:r w:rsidRPr="002C47C4">
        <w:rPr>
          <w:rFonts w:ascii="Times New Roman" w:hAnsi="Times New Roman" w:cs="Times New Roman"/>
          <w:sz w:val="14"/>
          <w:szCs w:val="14"/>
        </w:rPr>
        <w:t>*ine zdroje - Prechodný fond, Schengenský fond, Finančný mechanizmus EHP, Nórsky finančný mechanizmus</w:t>
      </w:r>
    </w:p>
    <w:p w:rsidR="00CB350B" w:rsidP="00CB350B">
      <w:pPr>
        <w:bidi w:val="0"/>
        <w:jc w:val="both"/>
        <w:rPr>
          <w:rFonts w:ascii="Times New Roman" w:hAnsi="Times New Roman" w:cs="Times New Roman"/>
        </w:rPr>
      </w:pPr>
    </w:p>
    <w:p w:rsidR="00CB350B" w:rsidRPr="00063075" w:rsidP="00CB350B">
      <w:pPr>
        <w:bidi w:val="0"/>
        <w:ind w:firstLine="708"/>
        <w:jc w:val="both"/>
        <w:rPr>
          <w:rFonts w:ascii="Times New Roman" w:hAnsi="Times New Roman" w:cs="Times New Roman"/>
        </w:rPr>
      </w:pPr>
      <w:r w:rsidRPr="0004638E">
        <w:rPr>
          <w:rFonts w:ascii="Times New Roman" w:hAnsi="Times New Roman" w:cs="Times New Roman"/>
        </w:rPr>
        <w:t>Výdavky úradu MF SR v roku 2012 rastú v porovnaní so schvále</w:t>
      </w:r>
      <w:r>
        <w:rPr>
          <w:rFonts w:ascii="Times New Roman" w:hAnsi="Times New Roman" w:cs="Times New Roman"/>
        </w:rPr>
        <w:t xml:space="preserve">ným rozpočtom v roku 2011 o 5,9 </w:t>
      </w:r>
      <w:r w:rsidRPr="0004638E">
        <w:rPr>
          <w:rFonts w:ascii="Times New Roman" w:hAnsi="Times New Roman" w:cs="Times New Roman"/>
        </w:rPr>
        <w:t>%</w:t>
      </w:r>
      <w:r>
        <w:rPr>
          <w:rFonts w:ascii="Times New Roman" w:hAnsi="Times New Roman" w:cs="Times New Roman"/>
        </w:rPr>
        <w:t>,</w:t>
      </w:r>
      <w:r w:rsidRPr="0004638E">
        <w:rPr>
          <w:rFonts w:ascii="Times New Roman" w:hAnsi="Times New Roman" w:cs="Times New Roman"/>
        </w:rPr>
        <w:t xml:space="preserve"> čo je spôsobené najmä rastom osobných výdavkov, ktoré boli na úrad presunuté z Finančnej správy SR z dôvodu reorganizácie. Bez presunutých prostriedkov by bol rozpočet úradu v roku 2012 približne na úrovni schváleného rozpočtu v roku 2011. Dosiahnutá skutočnosť výdavkov úradu v rokoch 2009, 2010 a očakávaná skutočnosť za rok 2011 je značne ovplyvnená výdavkami na arbitráže, na prebiehajúce a prehra</w:t>
      </w:r>
      <w:r>
        <w:rPr>
          <w:rFonts w:ascii="Times New Roman" w:hAnsi="Times New Roman" w:cs="Times New Roman"/>
        </w:rPr>
        <w:t>t</w:t>
      </w:r>
      <w:r w:rsidRPr="0004638E">
        <w:rPr>
          <w:rFonts w:ascii="Times New Roman" w:hAnsi="Times New Roman" w:cs="Times New Roman"/>
        </w:rPr>
        <w:t xml:space="preserve">é súdne spory. </w:t>
      </w:r>
      <w:r w:rsidRPr="00063075">
        <w:rPr>
          <w:rFonts w:ascii="Times New Roman" w:hAnsi="Times New Roman" w:cs="Times New Roman"/>
        </w:rPr>
        <w:t xml:space="preserve">Výdavky na bežnú činnosť </w:t>
      </w:r>
      <w:r>
        <w:rPr>
          <w:rFonts w:ascii="Times New Roman" w:hAnsi="Times New Roman" w:cs="Times New Roman"/>
        </w:rPr>
        <w:t xml:space="preserve">úradu klesajú v roku 2012 o 12,8 </w:t>
      </w:r>
      <w:r w:rsidRPr="00063075">
        <w:rPr>
          <w:rFonts w:ascii="Times New Roman" w:hAnsi="Times New Roman" w:cs="Times New Roman"/>
        </w:rPr>
        <w:t>% v porovnaní so skutočnosťou v roku 2010.</w:t>
      </w:r>
    </w:p>
    <w:p w:rsidR="00CB350B" w:rsidRPr="00063075"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63075">
        <w:rPr>
          <w:rFonts w:ascii="Times New Roman" w:hAnsi="Times New Roman" w:cs="Times New Roman"/>
        </w:rPr>
        <w:t xml:space="preserve">Na distribúciu kolkov je v roku 2012 v porovnaní so </w:t>
      </w:r>
      <w:r>
        <w:rPr>
          <w:rFonts w:ascii="Times New Roman" w:hAnsi="Times New Roman" w:cs="Times New Roman"/>
        </w:rPr>
        <w:t>s</w:t>
      </w:r>
      <w:r w:rsidRPr="00063075">
        <w:rPr>
          <w:rFonts w:ascii="Times New Roman" w:hAnsi="Times New Roman" w:cs="Times New Roman"/>
        </w:rPr>
        <w:t>chváleným rozpočtom roku 2011 rozpočtovaný približne rovnaký objem prostriedkov. V rokoch 2013 a 2014 už nebudú rozpočtované prostriedky na daný účel v nadväznosti na zmenu príslušnej legislatívy.</w:t>
      </w:r>
    </w:p>
    <w:p w:rsidR="00CB350B"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Medziročný rast výdavkov na medzirezortné programy je spôsobený najmä rastom výdavkov na ochranu kritickej infraštruktúry.</w:t>
      </w:r>
    </w:p>
    <w:p w:rsidR="00CB350B" w:rsidRPr="0004638E" w:rsidP="00CB350B">
      <w:pPr>
        <w:bidi w:val="0"/>
        <w:jc w:val="both"/>
        <w:rPr>
          <w:rFonts w:ascii="Times New Roman" w:hAnsi="Times New Roman" w:cs="Times New Roman"/>
          <w:b/>
        </w:rPr>
      </w:pPr>
      <w:r w:rsidRPr="00F43064">
        <w:rPr>
          <w:rFonts w:ascii="Times New Roman" w:hAnsi="Times New Roman" w:cs="Times New Roman"/>
          <w:b/>
          <w:bCs/>
          <w:lang w:eastAsia="sk-SK"/>
        </w:rPr>
        <w:t>  </w:t>
      </w:r>
    </w:p>
    <w:p w:rsidR="00CB350B" w:rsidRPr="0004638E" w:rsidP="00CB350B">
      <w:pPr>
        <w:pBdr>
          <w:bottom w:val="single" w:sz="4" w:space="1" w:color="auto"/>
        </w:pBdr>
        <w:bidi w:val="0"/>
        <w:jc w:val="both"/>
        <w:rPr>
          <w:rFonts w:ascii="Times New Roman" w:hAnsi="Times New Roman" w:cs="Times New Roman"/>
          <w:b/>
          <w:bCs/>
        </w:rPr>
      </w:pPr>
      <w:r w:rsidRPr="0004638E">
        <w:rPr>
          <w:rFonts w:ascii="Times New Roman" w:hAnsi="Times New Roman" w:cs="Times New Roman"/>
          <w:b/>
          <w:bCs/>
        </w:rPr>
        <w:t>Ministerstvo životného prostredia SR</w:t>
      </w:r>
    </w:p>
    <w:p w:rsidR="00CB350B" w:rsidRPr="0004638E" w:rsidP="00CB350B">
      <w:pPr>
        <w:bidi w:val="0"/>
        <w:jc w:val="both"/>
        <w:rPr>
          <w:rFonts w:ascii="Times New Roman" w:hAnsi="Times New Roman" w:cs="Times New Roman"/>
          <w:b/>
          <w:bCs/>
        </w:rPr>
      </w:pPr>
    </w:p>
    <w:tbl>
      <w:tblPr>
        <w:tblStyle w:val="TableNormal"/>
        <w:tblW w:w="5000" w:type="pct"/>
        <w:tblCellMar>
          <w:left w:w="70" w:type="dxa"/>
          <w:right w:w="70" w:type="dxa"/>
        </w:tblCellMar>
        <w:tblLook w:val="04A0"/>
      </w:tblPr>
      <w:tblGrid>
        <w:gridCol w:w="2197"/>
        <w:gridCol w:w="1003"/>
        <w:gridCol w:w="1002"/>
        <w:gridCol w:w="1002"/>
        <w:gridCol w:w="1002"/>
        <w:gridCol w:w="1002"/>
        <w:gridCol w:w="1002"/>
        <w:gridCol w:w="1002"/>
      </w:tblGrid>
      <w:tr>
        <w:tblPrEx>
          <w:tblW w:w="5000" w:type="pct"/>
          <w:tblCellMar>
            <w:left w:w="70" w:type="dxa"/>
            <w:right w:w="70" w:type="dxa"/>
          </w:tblCellMar>
          <w:tblLook w:val="04A0"/>
        </w:tblPrEx>
        <w:trPr>
          <w:trHeight w:val="270"/>
        </w:trPr>
        <w:tc>
          <w:tcPr>
            <w:tcW w:w="1192"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v eurách</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2009 S</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2010S**</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2011 R</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2011 OS</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2012 N</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2013 N</w:t>
            </w:r>
          </w:p>
        </w:tc>
        <w:tc>
          <w:tcPr>
            <w:tcW w:w="544" w:type="pct"/>
            <w:tcBorders>
              <w:top w:val="single" w:sz="4" w:space="0" w:color="auto"/>
              <w:left w:val="nil"/>
              <w:bottom w:val="single" w:sz="4" w:space="0" w:color="auto"/>
              <w:right w:val="single" w:sz="4" w:space="0" w:color="auto"/>
            </w:tcBorders>
            <w:noWrap/>
            <w:textDirection w:val="lrTb"/>
            <w:vAlign w:val="bottom"/>
            <w:hideMark/>
          </w:tcPr>
          <w:p w:rsidR="00CB350B" w:rsidRPr="00122402" w:rsidP="00257E12">
            <w:pPr>
              <w:bidi w:val="0"/>
              <w:jc w:val="center"/>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2014 N</w:t>
            </w:r>
          </w:p>
        </w:tc>
      </w:tr>
      <w:tr>
        <w:tblPrEx>
          <w:tblW w:w="5000" w:type="pct"/>
          <w:tblCellMar>
            <w:left w:w="70" w:type="dxa"/>
            <w:right w:w="70" w:type="dxa"/>
          </w:tblCellMar>
          <w:tblLook w:val="04A0"/>
        </w:tblPrEx>
        <w:trPr>
          <w:trHeight w:val="270"/>
        </w:trPr>
        <w:tc>
          <w:tcPr>
            <w:tcW w:w="1192"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Zdroje príslušnej kapitoly</w:t>
            </w:r>
          </w:p>
        </w:tc>
        <w:tc>
          <w:tcPr>
            <w:tcW w:w="544"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250 758 008</w:t>
            </w:r>
          </w:p>
        </w:tc>
        <w:tc>
          <w:tcPr>
            <w:tcW w:w="544"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208 318 542</w:t>
            </w:r>
          </w:p>
        </w:tc>
        <w:tc>
          <w:tcPr>
            <w:tcW w:w="544"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835 121 559</w:t>
            </w:r>
          </w:p>
        </w:tc>
        <w:tc>
          <w:tcPr>
            <w:tcW w:w="544"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340 375 946</w:t>
            </w:r>
          </w:p>
        </w:tc>
        <w:tc>
          <w:tcPr>
            <w:tcW w:w="544"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388 174 064</w:t>
            </w:r>
          </w:p>
        </w:tc>
        <w:tc>
          <w:tcPr>
            <w:tcW w:w="544"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451 333 326</w:t>
            </w:r>
          </w:p>
        </w:tc>
        <w:tc>
          <w:tcPr>
            <w:tcW w:w="544"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442 072 999</w:t>
            </w:r>
          </w:p>
        </w:tc>
      </w:tr>
      <w:tr>
        <w:tblPrEx>
          <w:tblW w:w="5000" w:type="pct"/>
          <w:tblCellMar>
            <w:left w:w="70" w:type="dxa"/>
            <w:right w:w="70" w:type="dxa"/>
          </w:tblCellMar>
          <w:tblLook w:val="04A0"/>
        </w:tblPrEx>
        <w:trPr>
          <w:trHeight w:val="270"/>
        </w:trPr>
        <w:tc>
          <w:tcPr>
            <w:tcW w:w="1192"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color w:val="000000"/>
                <w:sz w:val="14"/>
                <w:szCs w:val="14"/>
              </w:rPr>
            </w:pPr>
            <w:r w:rsidRPr="00122402">
              <w:rPr>
                <w:rFonts w:ascii="Times New Roman" w:hAnsi="Times New Roman" w:cs="Times New Roman"/>
                <w:color w:val="000000"/>
                <w:sz w:val="14"/>
                <w:szCs w:val="14"/>
              </w:rPr>
              <w:t>Vodné hospodárstvo</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145 898 136</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102 228 199</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428 690 435</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162 929 918</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241 005 340</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193 061 628</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275 276 792</w:t>
            </w:r>
          </w:p>
        </w:tc>
      </w:tr>
      <w:tr>
        <w:tblPrEx>
          <w:tblW w:w="5000" w:type="pct"/>
          <w:tblCellMar>
            <w:left w:w="70" w:type="dxa"/>
            <w:right w:w="70" w:type="dxa"/>
          </w:tblCellMar>
          <w:tblLook w:val="04A0"/>
        </w:tblPrEx>
        <w:trPr>
          <w:trHeight w:val="270"/>
        </w:trPr>
        <w:tc>
          <w:tcPr>
            <w:tcW w:w="1192"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color w:val="000000"/>
                <w:sz w:val="14"/>
                <w:szCs w:val="14"/>
              </w:rPr>
            </w:pPr>
            <w:r w:rsidRPr="00122402">
              <w:rPr>
                <w:rFonts w:ascii="Times New Roman" w:hAnsi="Times New Roman" w:cs="Times New Roman"/>
                <w:color w:val="000000"/>
                <w:sz w:val="14"/>
                <w:szCs w:val="14"/>
              </w:rPr>
              <w:t>Ochrana ovzdušia</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15 809 491</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28 017 993</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115 229 075</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39 846 012</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16 819 261</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49 489 207</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4 005 712</w:t>
            </w:r>
          </w:p>
        </w:tc>
      </w:tr>
      <w:tr>
        <w:tblPrEx>
          <w:tblW w:w="5000" w:type="pct"/>
          <w:tblCellMar>
            <w:left w:w="70" w:type="dxa"/>
            <w:right w:w="70" w:type="dxa"/>
          </w:tblCellMar>
          <w:tblLook w:val="04A0"/>
        </w:tblPrEx>
        <w:trPr>
          <w:trHeight w:val="270"/>
        </w:trPr>
        <w:tc>
          <w:tcPr>
            <w:tcW w:w="1192"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color w:val="000000"/>
                <w:sz w:val="14"/>
                <w:szCs w:val="14"/>
              </w:rPr>
            </w:pPr>
            <w:r w:rsidRPr="00122402">
              <w:rPr>
                <w:rFonts w:ascii="Times New Roman" w:hAnsi="Times New Roman" w:cs="Times New Roman"/>
                <w:color w:val="000000"/>
                <w:sz w:val="14"/>
                <w:szCs w:val="14"/>
              </w:rPr>
              <w:t>Odpadové hospodárstvo</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14 508 437</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36 601 924</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193 059 492</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62 468 169</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48 066 381</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143 376 480</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81 265 753</w:t>
            </w:r>
          </w:p>
        </w:tc>
      </w:tr>
      <w:tr>
        <w:tblPrEx>
          <w:tblW w:w="5000" w:type="pct"/>
          <w:tblCellMar>
            <w:left w:w="70" w:type="dxa"/>
            <w:right w:w="70" w:type="dxa"/>
          </w:tblCellMar>
          <w:tblLook w:val="04A0"/>
        </w:tblPrEx>
        <w:trPr>
          <w:trHeight w:val="270"/>
        </w:trPr>
        <w:tc>
          <w:tcPr>
            <w:tcW w:w="1192"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color w:val="000000"/>
                <w:sz w:val="14"/>
                <w:szCs w:val="14"/>
              </w:rPr>
            </w:pPr>
            <w:r w:rsidRPr="00122402">
              <w:rPr>
                <w:rFonts w:ascii="Times New Roman" w:hAnsi="Times New Roman" w:cs="Times New Roman"/>
                <w:color w:val="000000"/>
                <w:sz w:val="14"/>
                <w:szCs w:val="14"/>
              </w:rPr>
              <w:t>Ochrana prírody a krajiny</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18 255 601</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10 440 130</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47 413 609</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28 971 548</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38 628 094</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20 095 637</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41 491 668</w:t>
            </w:r>
          </w:p>
        </w:tc>
      </w:tr>
      <w:tr>
        <w:tblPrEx>
          <w:tblW w:w="5000" w:type="pct"/>
          <w:tblCellMar>
            <w:left w:w="70" w:type="dxa"/>
            <w:right w:w="70" w:type="dxa"/>
          </w:tblCellMar>
          <w:tblLook w:val="04A0"/>
        </w:tblPrEx>
        <w:trPr>
          <w:trHeight w:val="270"/>
        </w:trPr>
        <w:tc>
          <w:tcPr>
            <w:tcW w:w="1192" w:type="pct"/>
            <w:tcBorders>
              <w:top w:val="nil"/>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color w:val="000000"/>
                <w:sz w:val="14"/>
                <w:szCs w:val="14"/>
              </w:rPr>
            </w:pPr>
            <w:r w:rsidRPr="00122402">
              <w:rPr>
                <w:rFonts w:ascii="Times New Roman" w:hAnsi="Times New Roman" w:cs="Times New Roman"/>
                <w:color w:val="000000"/>
                <w:sz w:val="14"/>
                <w:szCs w:val="14"/>
              </w:rPr>
              <w:t>Administratíva</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56 286 343</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31 030 296</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50 728 948</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46 160 299</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43 654 988</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45 310 374</w:t>
            </w:r>
          </w:p>
        </w:tc>
        <w:tc>
          <w:tcPr>
            <w:tcW w:w="544"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40 033 074</w:t>
            </w:r>
          </w:p>
        </w:tc>
      </w:tr>
    </w:tbl>
    <w:p w:rsidR="00CB350B" w:rsidRPr="0004638E" w:rsidP="00CB350B">
      <w:pPr>
        <w:bidi w:val="0"/>
        <w:jc w:val="both"/>
        <w:rPr>
          <w:rFonts w:ascii="Times New Roman" w:hAnsi="Times New Roman" w:cs="Times New Roman"/>
          <w:sz w:val="14"/>
          <w:szCs w:val="14"/>
        </w:rPr>
      </w:pPr>
      <w:r w:rsidRPr="0004638E">
        <w:rPr>
          <w:rFonts w:ascii="Times New Roman" w:hAnsi="Times New Roman" w:cs="Times New Roman"/>
          <w:sz w:val="14"/>
          <w:szCs w:val="14"/>
        </w:rPr>
        <w:t>*  Prechodný fond, ISPA, Interreg III B, LIFE+, ETC, Finančný mechanizmus EHP, Nórsky finančný mechanizmus, Švajčiarsky finančný mechanizmus</w:t>
      </w:r>
    </w:p>
    <w:p w:rsidR="00CB350B" w:rsidRPr="0004638E" w:rsidP="00CB350B">
      <w:pPr>
        <w:bidi w:val="0"/>
        <w:jc w:val="both"/>
        <w:rPr>
          <w:rFonts w:ascii="Times New Roman" w:hAnsi="Times New Roman" w:cs="Times New Roman"/>
          <w:sz w:val="14"/>
          <w:szCs w:val="14"/>
        </w:rPr>
      </w:pPr>
      <w:r w:rsidRPr="0004638E">
        <w:rPr>
          <w:rFonts w:ascii="Times New Roman" w:hAnsi="Times New Roman" w:cs="Times New Roman"/>
          <w:sz w:val="14"/>
          <w:szCs w:val="14"/>
        </w:rPr>
        <w:t>** Čerpanie bolo ovplyvnené dočasným zánikom kapitoly MŽP SR</w:t>
      </w:r>
    </w:p>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Kapitola Ministerstvo životného prostredia SR (ďalej len „MŽP SR“) bude mať v roku 2012 k dispozícii celkové výdavky vo výške 38</w:t>
      </w:r>
      <w:r>
        <w:rPr>
          <w:rFonts w:ascii="Times New Roman" w:hAnsi="Times New Roman" w:cs="Times New Roman"/>
        </w:rPr>
        <w:t>8</w:t>
      </w:r>
      <w:r w:rsidRPr="0004638E">
        <w:rPr>
          <w:rFonts w:ascii="Times New Roman" w:hAnsi="Times New Roman" w:cs="Times New Roman"/>
        </w:rPr>
        <w:t xml:space="preserve"> mil. eur, v tom rozpočtové prostriedky predstavujú sumu 5</w:t>
      </w:r>
      <w:r>
        <w:rPr>
          <w:rFonts w:ascii="Times New Roman" w:hAnsi="Times New Roman" w:cs="Times New Roman"/>
        </w:rPr>
        <w:t>1</w:t>
      </w:r>
      <w:r w:rsidRPr="0004638E">
        <w:rPr>
          <w:rFonts w:ascii="Times New Roman" w:hAnsi="Times New Roman" w:cs="Times New Roman"/>
        </w:rPr>
        <w:t>,</w:t>
      </w:r>
      <w:r>
        <w:rPr>
          <w:rFonts w:ascii="Times New Roman" w:hAnsi="Times New Roman" w:cs="Times New Roman"/>
        </w:rPr>
        <w:t>8</w:t>
      </w:r>
      <w:r w:rsidRPr="0004638E">
        <w:rPr>
          <w:rFonts w:ascii="Times New Roman" w:hAnsi="Times New Roman" w:cs="Times New Roman"/>
        </w:rPr>
        <w:t xml:space="preserve">4 mil. eur a  výdavky EÚ a spolufinancovania zo štátneho rozpočtu sú v sume 332 mil. eur. </w:t>
      </w:r>
    </w:p>
    <w:p w:rsidR="00CB350B" w:rsidRPr="0004638E" w:rsidP="00CB350B">
      <w:pPr>
        <w:bidi w:val="0"/>
        <w:ind w:firstLine="708"/>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 xml:space="preserve">Rozpočtové prostriedky kapitoly v roku 2012 oproti </w:t>
      </w:r>
      <w:r>
        <w:rPr>
          <w:rFonts w:ascii="Times New Roman" w:hAnsi="Times New Roman" w:cs="Times New Roman"/>
        </w:rPr>
        <w:t xml:space="preserve">schválenému rozpočtu </w:t>
      </w:r>
      <w:r w:rsidRPr="0004638E">
        <w:rPr>
          <w:rFonts w:ascii="Times New Roman" w:hAnsi="Times New Roman" w:cs="Times New Roman"/>
        </w:rPr>
        <w:t xml:space="preserve">roku 2011 klesajú o 17,7 %, </w:t>
      </w:r>
      <w:r>
        <w:rPr>
          <w:rFonts w:ascii="Times New Roman" w:hAnsi="Times New Roman" w:cs="Times New Roman"/>
        </w:rPr>
        <w:t>čo</w:t>
      </w:r>
      <w:r w:rsidRPr="0004638E">
        <w:rPr>
          <w:rFonts w:ascii="Times New Roman" w:hAnsi="Times New Roman" w:cs="Times New Roman"/>
        </w:rPr>
        <w:t xml:space="preserve"> je spôsoben</w:t>
      </w:r>
      <w:r>
        <w:rPr>
          <w:rFonts w:ascii="Times New Roman" w:hAnsi="Times New Roman" w:cs="Times New Roman"/>
        </w:rPr>
        <w:t>é</w:t>
      </w:r>
      <w:r w:rsidRPr="0004638E">
        <w:rPr>
          <w:rFonts w:ascii="Times New Roman" w:hAnsi="Times New Roman" w:cs="Times New Roman"/>
        </w:rPr>
        <w:t xml:space="preserve"> nepremietnutím sumy 10 mil. eur určených </w:t>
      </w:r>
      <w:r>
        <w:rPr>
          <w:rFonts w:ascii="Times New Roman" w:hAnsi="Times New Roman" w:cs="Times New Roman"/>
        </w:rPr>
        <w:t>v roku 2011</w:t>
      </w:r>
      <w:r w:rsidRPr="0004638E">
        <w:rPr>
          <w:rFonts w:ascii="Times New Roman" w:hAnsi="Times New Roman" w:cs="Times New Roman"/>
        </w:rPr>
        <w:t xml:space="preserve"> </w:t>
      </w:r>
      <w:r>
        <w:rPr>
          <w:rFonts w:ascii="Times New Roman" w:hAnsi="Times New Roman" w:cs="Times New Roman"/>
        </w:rPr>
        <w:t xml:space="preserve">na </w:t>
      </w:r>
      <w:r w:rsidRPr="0004638E">
        <w:rPr>
          <w:rFonts w:ascii="Times New Roman" w:hAnsi="Times New Roman" w:cs="Times New Roman"/>
        </w:rPr>
        <w:t>čistiarne odpadových vôd</w:t>
      </w:r>
      <w:r>
        <w:rPr>
          <w:rFonts w:ascii="Times New Roman" w:hAnsi="Times New Roman" w:cs="Times New Roman"/>
        </w:rPr>
        <w:t>,</w:t>
      </w:r>
      <w:r w:rsidRPr="0004638E">
        <w:rPr>
          <w:rFonts w:ascii="Times New Roman" w:hAnsi="Times New Roman" w:cs="Times New Roman"/>
        </w:rPr>
        <w:t xml:space="preserve"> znížením prevádzkových výdavkov štátneho rozpočtu o 5 % a delimitáciou výdavkov určených na splnomocnenca vlády SR </w:t>
      </w:r>
      <w:r w:rsidRPr="0004638E">
        <w:rPr>
          <w:rStyle w:val="st1"/>
          <w:rFonts w:ascii="Times New Roman" w:hAnsi="Times New Roman"/>
        </w:rPr>
        <w:t xml:space="preserve"> </w:t>
      </w:r>
      <w:r w:rsidRPr="0004638E">
        <w:rPr>
          <w:rFonts w:ascii="Times New Roman" w:hAnsi="Times New Roman" w:cs="Times New Roman"/>
        </w:rPr>
        <w:t>pre výstavbu a prevádzku Sústavy vodných diel Gabčíkovo-Nagymaros do kapitoly M</w:t>
      </w:r>
      <w:r>
        <w:rPr>
          <w:rFonts w:ascii="Times New Roman" w:hAnsi="Times New Roman" w:cs="Times New Roman"/>
        </w:rPr>
        <w:t>i</w:t>
      </w:r>
      <w:r w:rsidRPr="0004638E">
        <w:rPr>
          <w:rFonts w:ascii="Times New Roman" w:hAnsi="Times New Roman" w:cs="Times New Roman"/>
        </w:rPr>
        <w:t xml:space="preserve">nisterstva dopravy, výstavby a regionálneho rozvoja SR. </w:t>
      </w:r>
    </w:p>
    <w:p w:rsidR="00CB350B" w:rsidRPr="0004638E" w:rsidP="00CB350B">
      <w:pPr>
        <w:bidi w:val="0"/>
        <w:jc w:val="both"/>
        <w:rPr>
          <w:rFonts w:ascii="Times New Roman" w:hAnsi="Times New Roman" w:cs="Times New Roman"/>
          <w:b/>
          <w:u w:val="single"/>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Výdavky kapitoly Ministerstva životného prostredia SR sú smerované do nasledujúcich oblastí.</w:t>
      </w:r>
    </w:p>
    <w:p w:rsidR="00257E12" w:rsidP="00CB350B">
      <w:pPr>
        <w:tabs>
          <w:tab w:val="left" w:pos="426"/>
        </w:tabs>
        <w:bidi w:val="0"/>
        <w:jc w:val="both"/>
        <w:rPr>
          <w:rFonts w:ascii="Times New Roman" w:hAnsi="Times New Roman" w:cs="Times New Roman"/>
          <w:b/>
          <w:u w:val="single"/>
        </w:rPr>
      </w:pPr>
    </w:p>
    <w:p w:rsidR="00D01F5D" w:rsidP="00CB350B">
      <w:pPr>
        <w:tabs>
          <w:tab w:val="left" w:pos="426"/>
        </w:tabs>
        <w:bidi w:val="0"/>
        <w:jc w:val="both"/>
        <w:rPr>
          <w:rFonts w:ascii="Times New Roman" w:hAnsi="Times New Roman" w:cs="Times New Roman"/>
          <w:b/>
          <w:u w:val="single"/>
        </w:rPr>
      </w:pPr>
    </w:p>
    <w:p w:rsidR="00D01F5D" w:rsidP="00CB350B">
      <w:pPr>
        <w:tabs>
          <w:tab w:val="left" w:pos="426"/>
        </w:tabs>
        <w:bidi w:val="0"/>
        <w:jc w:val="both"/>
        <w:rPr>
          <w:rFonts w:ascii="Times New Roman" w:hAnsi="Times New Roman" w:cs="Times New Roman"/>
          <w:b/>
          <w:u w:val="single"/>
        </w:rPr>
      </w:pPr>
    </w:p>
    <w:p w:rsidR="00D01F5D" w:rsidP="00CB350B">
      <w:pPr>
        <w:tabs>
          <w:tab w:val="left" w:pos="426"/>
        </w:tabs>
        <w:bidi w:val="0"/>
        <w:jc w:val="both"/>
        <w:rPr>
          <w:rFonts w:ascii="Times New Roman" w:hAnsi="Times New Roman" w:cs="Times New Roman"/>
          <w:b/>
          <w:u w:val="single"/>
        </w:rPr>
      </w:pPr>
    </w:p>
    <w:p w:rsidR="00D01F5D" w:rsidP="00CB350B">
      <w:pPr>
        <w:tabs>
          <w:tab w:val="left" w:pos="426"/>
        </w:tabs>
        <w:bidi w:val="0"/>
        <w:jc w:val="both"/>
        <w:rPr>
          <w:rFonts w:ascii="Times New Roman" w:hAnsi="Times New Roman" w:cs="Times New Roman"/>
          <w:b/>
          <w:u w:val="single"/>
        </w:rPr>
      </w:pPr>
    </w:p>
    <w:p w:rsidR="00D01F5D" w:rsidP="00CB350B">
      <w:pPr>
        <w:tabs>
          <w:tab w:val="left" w:pos="426"/>
        </w:tabs>
        <w:bidi w:val="0"/>
        <w:jc w:val="both"/>
        <w:rPr>
          <w:rFonts w:ascii="Times New Roman" w:hAnsi="Times New Roman" w:cs="Times New Roman"/>
          <w:b/>
          <w:u w:val="single"/>
        </w:rPr>
      </w:pPr>
    </w:p>
    <w:p w:rsidR="00D01F5D" w:rsidP="00CB350B">
      <w:pPr>
        <w:tabs>
          <w:tab w:val="left" w:pos="426"/>
        </w:tabs>
        <w:bidi w:val="0"/>
        <w:jc w:val="both"/>
        <w:rPr>
          <w:rFonts w:ascii="Times New Roman" w:hAnsi="Times New Roman" w:cs="Times New Roman"/>
          <w:b/>
          <w:u w:val="single"/>
        </w:rPr>
      </w:pPr>
    </w:p>
    <w:p w:rsidR="00D01F5D" w:rsidP="00CB350B">
      <w:pPr>
        <w:tabs>
          <w:tab w:val="left" w:pos="426"/>
        </w:tabs>
        <w:bidi w:val="0"/>
        <w:jc w:val="both"/>
        <w:rPr>
          <w:rFonts w:ascii="Times New Roman" w:hAnsi="Times New Roman" w:cs="Times New Roman"/>
          <w:b/>
          <w:u w:val="single"/>
        </w:rPr>
      </w:pPr>
    </w:p>
    <w:p w:rsidR="00D01F5D" w:rsidP="00CB350B">
      <w:pPr>
        <w:tabs>
          <w:tab w:val="left" w:pos="426"/>
        </w:tabs>
        <w:bidi w:val="0"/>
        <w:jc w:val="both"/>
        <w:rPr>
          <w:rFonts w:ascii="Times New Roman" w:hAnsi="Times New Roman" w:cs="Times New Roman"/>
          <w:b/>
          <w:u w:val="single"/>
        </w:rPr>
      </w:pPr>
    </w:p>
    <w:p w:rsidR="00D01F5D" w:rsidP="00CB350B">
      <w:pPr>
        <w:tabs>
          <w:tab w:val="left" w:pos="426"/>
        </w:tabs>
        <w:bidi w:val="0"/>
        <w:jc w:val="both"/>
        <w:rPr>
          <w:rFonts w:ascii="Times New Roman" w:hAnsi="Times New Roman" w:cs="Times New Roman"/>
          <w:b/>
          <w:u w:val="single"/>
        </w:rPr>
      </w:pPr>
    </w:p>
    <w:p w:rsidR="00D01F5D" w:rsidP="00CB350B">
      <w:pPr>
        <w:tabs>
          <w:tab w:val="left" w:pos="426"/>
        </w:tabs>
        <w:bidi w:val="0"/>
        <w:jc w:val="both"/>
        <w:rPr>
          <w:rFonts w:ascii="Times New Roman" w:hAnsi="Times New Roman" w:cs="Times New Roman"/>
          <w:b/>
          <w:u w:val="single"/>
        </w:rPr>
      </w:pPr>
    </w:p>
    <w:p w:rsidR="00D01F5D" w:rsidP="00CB350B">
      <w:pPr>
        <w:tabs>
          <w:tab w:val="left" w:pos="426"/>
        </w:tabs>
        <w:bidi w:val="0"/>
        <w:jc w:val="both"/>
        <w:rPr>
          <w:rFonts w:ascii="Times New Roman" w:hAnsi="Times New Roman" w:cs="Times New Roman"/>
          <w:b/>
          <w:u w:val="single"/>
        </w:rPr>
      </w:pPr>
    </w:p>
    <w:p w:rsidR="00D01F5D" w:rsidRPr="0004638E" w:rsidP="00CB350B">
      <w:pPr>
        <w:tabs>
          <w:tab w:val="left" w:pos="426"/>
        </w:tabs>
        <w:bidi w:val="0"/>
        <w:jc w:val="both"/>
        <w:rPr>
          <w:rFonts w:ascii="Times New Roman" w:hAnsi="Times New Roman" w:cs="Times New Roman"/>
          <w:b/>
          <w:u w:val="single"/>
        </w:rPr>
      </w:pPr>
    </w:p>
    <w:p w:rsidR="00CB350B" w:rsidRPr="0004638E" w:rsidP="00CB350B">
      <w:pPr>
        <w:tabs>
          <w:tab w:val="left" w:pos="426"/>
        </w:tabs>
        <w:bidi w:val="0"/>
        <w:jc w:val="both"/>
        <w:rPr>
          <w:rFonts w:ascii="Times New Roman" w:hAnsi="Times New Roman" w:cs="Times New Roman"/>
          <w:b/>
        </w:rPr>
      </w:pPr>
      <w:r w:rsidRPr="0004638E">
        <w:rPr>
          <w:rFonts w:ascii="Times New Roman" w:hAnsi="Times New Roman" w:cs="Times New Roman"/>
          <w:b/>
        </w:rPr>
        <w:t>Vodné hospodárstvo</w:t>
      </w:r>
    </w:p>
    <w:p w:rsidR="00CB350B" w:rsidRPr="0004638E" w:rsidP="00CB350B">
      <w:pPr>
        <w:tabs>
          <w:tab w:val="left" w:pos="426"/>
        </w:tabs>
        <w:bidi w:val="0"/>
        <w:jc w:val="both"/>
        <w:rPr>
          <w:rFonts w:ascii="Times New Roman" w:hAnsi="Times New Roman" w:cs="Times New Roman"/>
        </w:rPr>
      </w:pPr>
    </w:p>
    <w:tbl>
      <w:tblPr>
        <w:tblStyle w:val="TableNormal"/>
        <w:tblW w:w="0" w:type="auto"/>
        <w:tblInd w:w="-329" w:type="dxa"/>
        <w:tblLayout w:type="fixed"/>
        <w:tblCellMar>
          <w:left w:w="70" w:type="dxa"/>
          <w:right w:w="70" w:type="dxa"/>
        </w:tblCellMar>
        <w:tblLook w:val="04A0"/>
      </w:tblPr>
      <w:tblGrid>
        <w:gridCol w:w="152"/>
        <w:gridCol w:w="2620"/>
        <w:gridCol w:w="967"/>
        <w:gridCol w:w="967"/>
        <w:gridCol w:w="967"/>
        <w:gridCol w:w="667"/>
        <w:gridCol w:w="300"/>
        <w:gridCol w:w="967"/>
        <w:gridCol w:w="478"/>
        <w:gridCol w:w="489"/>
        <w:gridCol w:w="967"/>
      </w:tblGrid>
      <w:tr>
        <w:tblPrEx>
          <w:tblW w:w="0" w:type="auto"/>
          <w:tblInd w:w="-329" w:type="dxa"/>
          <w:tblLayout w:type="fixed"/>
          <w:tblCellMar>
            <w:left w:w="70" w:type="dxa"/>
            <w:right w:w="70" w:type="dxa"/>
          </w:tblCellMar>
          <w:tblLook w:val="04A0"/>
        </w:tblPrEx>
        <w:trPr>
          <w:gridBefore w:val="1"/>
          <w:wBefore w:w="152" w:type="dxa"/>
          <w:trHeight w:val="255"/>
        </w:trPr>
        <w:tc>
          <w:tcPr>
            <w:tcW w:w="2620"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v eurách </w:t>
            </w:r>
          </w:p>
        </w:tc>
        <w:tc>
          <w:tcPr>
            <w:tcW w:w="967" w:type="dxa"/>
            <w:tcBorders>
              <w:top w:val="single" w:sz="4" w:space="0" w:color="auto"/>
              <w:left w:val="nil"/>
              <w:bottom w:val="single" w:sz="4" w:space="0" w:color="auto"/>
              <w:right w:val="single" w:sz="4" w:space="0" w:color="auto"/>
            </w:tcBorders>
            <w:textDirection w:val="lrTb"/>
            <w:vAlign w:val="center"/>
            <w:hideMark/>
          </w:tcPr>
          <w:p w:rsidR="00CB350B" w:rsidRPr="00122402" w:rsidP="00257E12">
            <w:pPr>
              <w:bidi w:val="0"/>
              <w:jc w:val="center"/>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2009 S</w:t>
            </w:r>
          </w:p>
        </w:tc>
        <w:tc>
          <w:tcPr>
            <w:tcW w:w="967" w:type="dxa"/>
            <w:tcBorders>
              <w:top w:val="single" w:sz="4" w:space="0" w:color="auto"/>
              <w:left w:val="nil"/>
              <w:bottom w:val="single" w:sz="4" w:space="0" w:color="auto"/>
              <w:right w:val="single" w:sz="4" w:space="0" w:color="auto"/>
            </w:tcBorders>
            <w:noWrap/>
            <w:textDirection w:val="lrTb"/>
            <w:vAlign w:val="center"/>
            <w:hideMark/>
          </w:tcPr>
          <w:p w:rsidR="00CB350B" w:rsidRPr="00122402" w:rsidP="00257E12">
            <w:pPr>
              <w:bidi w:val="0"/>
              <w:jc w:val="center"/>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2010S**</w:t>
            </w:r>
          </w:p>
        </w:tc>
        <w:tc>
          <w:tcPr>
            <w:tcW w:w="967" w:type="dxa"/>
            <w:tcBorders>
              <w:top w:val="single" w:sz="4" w:space="0" w:color="auto"/>
              <w:left w:val="nil"/>
              <w:bottom w:val="single" w:sz="4" w:space="0" w:color="auto"/>
              <w:right w:val="single" w:sz="4" w:space="0" w:color="auto"/>
            </w:tcBorders>
            <w:noWrap/>
            <w:textDirection w:val="lrTb"/>
            <w:vAlign w:val="center"/>
            <w:hideMark/>
          </w:tcPr>
          <w:p w:rsidR="00CB350B" w:rsidRPr="00122402" w:rsidP="00257E12">
            <w:pPr>
              <w:bidi w:val="0"/>
              <w:jc w:val="center"/>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2011 R</w:t>
            </w:r>
          </w:p>
        </w:tc>
        <w:tc>
          <w:tcPr>
            <w:tcW w:w="967" w:type="dxa"/>
            <w:gridSpan w:val="2"/>
            <w:tcBorders>
              <w:top w:val="single" w:sz="4" w:space="0" w:color="auto"/>
              <w:left w:val="nil"/>
              <w:bottom w:val="single" w:sz="4" w:space="0" w:color="auto"/>
              <w:right w:val="single" w:sz="4" w:space="0" w:color="auto"/>
            </w:tcBorders>
            <w:textDirection w:val="lrTb"/>
            <w:vAlign w:val="center"/>
            <w:hideMark/>
          </w:tcPr>
          <w:p w:rsidR="00CB350B" w:rsidRPr="00122402" w:rsidP="00257E12">
            <w:pPr>
              <w:bidi w:val="0"/>
              <w:jc w:val="center"/>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2011 OS</w:t>
            </w:r>
          </w:p>
        </w:tc>
        <w:tc>
          <w:tcPr>
            <w:tcW w:w="967" w:type="dxa"/>
            <w:tcBorders>
              <w:top w:val="single" w:sz="4" w:space="0" w:color="auto"/>
              <w:left w:val="nil"/>
              <w:bottom w:val="single" w:sz="4" w:space="0" w:color="auto"/>
              <w:right w:val="single" w:sz="4" w:space="0" w:color="auto"/>
            </w:tcBorders>
            <w:noWrap/>
            <w:textDirection w:val="lrTb"/>
            <w:vAlign w:val="center"/>
            <w:hideMark/>
          </w:tcPr>
          <w:p w:rsidR="00CB350B" w:rsidRPr="00122402" w:rsidP="00257E12">
            <w:pPr>
              <w:bidi w:val="0"/>
              <w:jc w:val="center"/>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2012 N</w:t>
            </w:r>
          </w:p>
        </w:tc>
        <w:tc>
          <w:tcPr>
            <w:tcW w:w="967" w:type="dxa"/>
            <w:gridSpan w:val="2"/>
            <w:tcBorders>
              <w:top w:val="single" w:sz="4" w:space="0" w:color="auto"/>
              <w:left w:val="nil"/>
              <w:bottom w:val="single" w:sz="4" w:space="0" w:color="auto"/>
              <w:right w:val="single" w:sz="4" w:space="0" w:color="auto"/>
            </w:tcBorders>
            <w:noWrap/>
            <w:textDirection w:val="lrTb"/>
            <w:vAlign w:val="center"/>
            <w:hideMark/>
          </w:tcPr>
          <w:p w:rsidR="00CB350B" w:rsidRPr="00122402" w:rsidP="00257E12">
            <w:pPr>
              <w:bidi w:val="0"/>
              <w:jc w:val="center"/>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2013 N</w:t>
            </w:r>
          </w:p>
        </w:tc>
        <w:tc>
          <w:tcPr>
            <w:tcW w:w="967" w:type="dxa"/>
            <w:tcBorders>
              <w:top w:val="single" w:sz="4" w:space="0" w:color="auto"/>
              <w:left w:val="nil"/>
              <w:bottom w:val="single" w:sz="4" w:space="0" w:color="auto"/>
              <w:right w:val="single" w:sz="4" w:space="0" w:color="auto"/>
            </w:tcBorders>
            <w:noWrap/>
            <w:textDirection w:val="lrTb"/>
            <w:vAlign w:val="center"/>
            <w:hideMark/>
          </w:tcPr>
          <w:p w:rsidR="00CB350B" w:rsidRPr="00122402" w:rsidP="00257E12">
            <w:pPr>
              <w:bidi w:val="0"/>
              <w:jc w:val="center"/>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2014 N</w:t>
            </w:r>
          </w:p>
        </w:tc>
      </w:tr>
      <w:tr>
        <w:tblPrEx>
          <w:tblW w:w="0" w:type="auto"/>
          <w:tblInd w:w="-329" w:type="dxa"/>
          <w:tblLayout w:type="fixed"/>
          <w:tblCellMar>
            <w:left w:w="70" w:type="dxa"/>
            <w:right w:w="70" w:type="dxa"/>
          </w:tblCellMar>
          <w:tblLook w:val="04A0"/>
        </w:tblPrEx>
        <w:trPr>
          <w:gridBefore w:val="1"/>
          <w:wBefore w:w="152" w:type="dxa"/>
          <w:trHeight w:val="255"/>
        </w:trPr>
        <w:tc>
          <w:tcPr>
            <w:tcW w:w="2620"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122402" w:rsidP="00257E12">
            <w:pPr>
              <w:bidi w:val="0"/>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Vodné hospodárstvo</w:t>
            </w:r>
          </w:p>
        </w:tc>
        <w:tc>
          <w:tcPr>
            <w:tcW w:w="967" w:type="dxa"/>
            <w:tcBorders>
              <w:top w:val="nil"/>
              <w:left w:val="nil"/>
              <w:bottom w:val="single" w:sz="4" w:space="0" w:color="auto"/>
              <w:right w:val="single" w:sz="4" w:space="0" w:color="auto"/>
            </w:tcBorders>
            <w:noWrap/>
            <w:textDirection w:val="lrTb"/>
            <w:vAlign w:val="center"/>
            <w:hideMark/>
          </w:tcPr>
          <w:p w:rsidR="00CB350B" w:rsidRPr="00122402" w:rsidP="00257E12">
            <w:pPr>
              <w:bidi w:val="0"/>
              <w:jc w:val="right"/>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145 898 136</w:t>
            </w:r>
          </w:p>
        </w:tc>
        <w:tc>
          <w:tcPr>
            <w:tcW w:w="967" w:type="dxa"/>
            <w:tcBorders>
              <w:top w:val="nil"/>
              <w:left w:val="nil"/>
              <w:bottom w:val="single" w:sz="4" w:space="0" w:color="auto"/>
              <w:right w:val="single" w:sz="4" w:space="0" w:color="auto"/>
            </w:tcBorders>
            <w:noWrap/>
            <w:textDirection w:val="lrTb"/>
            <w:vAlign w:val="center"/>
            <w:hideMark/>
          </w:tcPr>
          <w:p w:rsidR="00CB350B" w:rsidRPr="00122402" w:rsidP="00257E12">
            <w:pPr>
              <w:bidi w:val="0"/>
              <w:jc w:val="right"/>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102 228 199</w:t>
            </w:r>
          </w:p>
        </w:tc>
        <w:tc>
          <w:tcPr>
            <w:tcW w:w="967" w:type="dxa"/>
            <w:tcBorders>
              <w:top w:val="nil"/>
              <w:left w:val="nil"/>
              <w:bottom w:val="single" w:sz="4" w:space="0" w:color="auto"/>
              <w:right w:val="single" w:sz="4" w:space="0" w:color="auto"/>
            </w:tcBorders>
            <w:noWrap/>
            <w:textDirection w:val="lrTb"/>
            <w:vAlign w:val="center"/>
            <w:hideMark/>
          </w:tcPr>
          <w:p w:rsidR="00CB350B" w:rsidRPr="00122402" w:rsidP="00257E12">
            <w:pPr>
              <w:bidi w:val="0"/>
              <w:jc w:val="right"/>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428 690 435</w:t>
            </w:r>
          </w:p>
        </w:tc>
        <w:tc>
          <w:tcPr>
            <w:tcW w:w="967" w:type="dxa"/>
            <w:gridSpan w:val="2"/>
            <w:tcBorders>
              <w:top w:val="nil"/>
              <w:left w:val="nil"/>
              <w:bottom w:val="single" w:sz="4" w:space="0" w:color="auto"/>
              <w:right w:val="single" w:sz="4" w:space="0" w:color="auto"/>
            </w:tcBorders>
            <w:noWrap/>
            <w:textDirection w:val="lrTb"/>
            <w:vAlign w:val="center"/>
            <w:hideMark/>
          </w:tcPr>
          <w:p w:rsidR="00CB350B" w:rsidRPr="00122402" w:rsidP="00257E12">
            <w:pPr>
              <w:bidi w:val="0"/>
              <w:jc w:val="right"/>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162 929 918</w:t>
            </w:r>
          </w:p>
        </w:tc>
        <w:tc>
          <w:tcPr>
            <w:tcW w:w="967" w:type="dxa"/>
            <w:tcBorders>
              <w:top w:val="nil"/>
              <w:left w:val="nil"/>
              <w:bottom w:val="single" w:sz="4" w:space="0" w:color="auto"/>
              <w:right w:val="single" w:sz="4" w:space="0" w:color="auto"/>
            </w:tcBorders>
            <w:noWrap/>
            <w:textDirection w:val="lrTb"/>
            <w:vAlign w:val="center"/>
            <w:hideMark/>
          </w:tcPr>
          <w:p w:rsidR="00CB350B" w:rsidRPr="00122402" w:rsidP="00257E12">
            <w:pPr>
              <w:bidi w:val="0"/>
              <w:jc w:val="right"/>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241 005 340</w:t>
            </w:r>
          </w:p>
        </w:tc>
        <w:tc>
          <w:tcPr>
            <w:tcW w:w="967" w:type="dxa"/>
            <w:gridSpan w:val="2"/>
            <w:tcBorders>
              <w:top w:val="nil"/>
              <w:left w:val="nil"/>
              <w:bottom w:val="single" w:sz="4" w:space="0" w:color="auto"/>
              <w:right w:val="single" w:sz="4" w:space="0" w:color="auto"/>
            </w:tcBorders>
            <w:noWrap/>
            <w:textDirection w:val="lrTb"/>
            <w:vAlign w:val="center"/>
            <w:hideMark/>
          </w:tcPr>
          <w:p w:rsidR="00CB350B" w:rsidRPr="00122402" w:rsidP="00257E12">
            <w:pPr>
              <w:bidi w:val="0"/>
              <w:jc w:val="right"/>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193 061 628</w:t>
            </w:r>
          </w:p>
        </w:tc>
        <w:tc>
          <w:tcPr>
            <w:tcW w:w="967" w:type="dxa"/>
            <w:tcBorders>
              <w:top w:val="nil"/>
              <w:left w:val="nil"/>
              <w:bottom w:val="single" w:sz="4" w:space="0" w:color="auto"/>
              <w:right w:val="single" w:sz="4" w:space="0" w:color="auto"/>
            </w:tcBorders>
            <w:noWrap/>
            <w:textDirection w:val="lrTb"/>
            <w:vAlign w:val="center"/>
            <w:hideMark/>
          </w:tcPr>
          <w:p w:rsidR="00CB350B" w:rsidRPr="00122402" w:rsidP="00257E12">
            <w:pPr>
              <w:bidi w:val="0"/>
              <w:jc w:val="right"/>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275 276 792</w:t>
            </w:r>
          </w:p>
        </w:tc>
      </w:tr>
      <w:tr>
        <w:tblPrEx>
          <w:tblW w:w="0" w:type="auto"/>
          <w:tblInd w:w="-329" w:type="dxa"/>
          <w:tblLayout w:type="fixed"/>
          <w:tblCellMar>
            <w:left w:w="70" w:type="dxa"/>
            <w:right w:w="70" w:type="dxa"/>
          </w:tblCellMar>
          <w:tblLook w:val="04A0"/>
        </w:tblPrEx>
        <w:trPr>
          <w:gridBefore w:val="1"/>
          <w:wBefore w:w="152" w:type="dxa"/>
          <w:trHeight w:val="255"/>
        </w:trPr>
        <w:tc>
          <w:tcPr>
            <w:tcW w:w="2620"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122402" w:rsidP="00257E12">
            <w:pPr>
              <w:bidi w:val="0"/>
              <w:rPr>
                <w:rFonts w:ascii="Times New Roman" w:hAnsi="Times New Roman" w:cs="Times New Roman"/>
                <w:color w:val="000000"/>
                <w:sz w:val="14"/>
                <w:szCs w:val="14"/>
              </w:rPr>
            </w:pPr>
            <w:r w:rsidRPr="00122402">
              <w:rPr>
                <w:rFonts w:ascii="Times New Roman" w:hAnsi="Times New Roman" w:cs="Times New Roman"/>
                <w:color w:val="000000"/>
                <w:sz w:val="14"/>
                <w:szCs w:val="14"/>
              </w:rPr>
              <w:t>rozpočtové zdroje kapitoly, v tom:</w:t>
            </w:r>
          </w:p>
        </w:tc>
        <w:tc>
          <w:tcPr>
            <w:tcW w:w="967" w:type="dxa"/>
            <w:tcBorders>
              <w:top w:val="nil"/>
              <w:left w:val="nil"/>
              <w:bottom w:val="single" w:sz="4" w:space="0" w:color="auto"/>
              <w:right w:val="single" w:sz="4" w:space="0" w:color="auto"/>
            </w:tcBorders>
            <w:noWrap/>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17 975 744</w:t>
            </w:r>
          </w:p>
        </w:tc>
        <w:tc>
          <w:tcPr>
            <w:tcW w:w="967" w:type="dxa"/>
            <w:tcBorders>
              <w:top w:val="nil"/>
              <w:left w:val="nil"/>
              <w:bottom w:val="single" w:sz="4" w:space="0" w:color="auto"/>
              <w:right w:val="single" w:sz="4" w:space="0" w:color="auto"/>
            </w:tcBorders>
            <w:noWrap/>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41 927 950</w:t>
            </w:r>
          </w:p>
        </w:tc>
        <w:tc>
          <w:tcPr>
            <w:tcW w:w="967" w:type="dxa"/>
            <w:tcBorders>
              <w:top w:val="nil"/>
              <w:left w:val="nil"/>
              <w:bottom w:val="single" w:sz="4" w:space="0" w:color="auto"/>
              <w:right w:val="single" w:sz="4" w:space="0" w:color="auto"/>
            </w:tcBorders>
            <w:noWrap/>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14 876 150</w:t>
            </w:r>
          </w:p>
        </w:tc>
        <w:tc>
          <w:tcPr>
            <w:tcW w:w="967" w:type="dxa"/>
            <w:gridSpan w:val="2"/>
            <w:tcBorders>
              <w:top w:val="nil"/>
              <w:left w:val="nil"/>
              <w:bottom w:val="single" w:sz="4" w:space="0" w:color="auto"/>
              <w:right w:val="single" w:sz="4" w:space="0" w:color="auto"/>
            </w:tcBorders>
            <w:noWrap/>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15 134 355</w:t>
            </w:r>
          </w:p>
        </w:tc>
        <w:tc>
          <w:tcPr>
            <w:tcW w:w="967" w:type="dxa"/>
            <w:tcBorders>
              <w:top w:val="nil"/>
              <w:left w:val="nil"/>
              <w:bottom w:val="single" w:sz="4" w:space="0" w:color="auto"/>
              <w:right w:val="single" w:sz="4" w:space="0" w:color="auto"/>
            </w:tcBorders>
            <w:noWrap/>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4 901 150</w:t>
            </w:r>
          </w:p>
        </w:tc>
        <w:tc>
          <w:tcPr>
            <w:tcW w:w="967" w:type="dxa"/>
            <w:gridSpan w:val="2"/>
            <w:tcBorders>
              <w:top w:val="nil"/>
              <w:left w:val="nil"/>
              <w:bottom w:val="single" w:sz="4" w:space="0" w:color="auto"/>
              <w:right w:val="single" w:sz="4" w:space="0" w:color="auto"/>
            </w:tcBorders>
            <w:noWrap/>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4 901 150</w:t>
            </w:r>
          </w:p>
        </w:tc>
        <w:tc>
          <w:tcPr>
            <w:tcW w:w="967" w:type="dxa"/>
            <w:tcBorders>
              <w:top w:val="nil"/>
              <w:left w:val="nil"/>
              <w:bottom w:val="single" w:sz="4" w:space="0" w:color="auto"/>
              <w:right w:val="single" w:sz="4" w:space="0" w:color="auto"/>
            </w:tcBorders>
            <w:noWrap/>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4 901 150</w:t>
            </w:r>
          </w:p>
        </w:tc>
      </w:tr>
      <w:tr>
        <w:tblPrEx>
          <w:tblW w:w="0" w:type="auto"/>
          <w:tblInd w:w="-329" w:type="dxa"/>
          <w:tblLayout w:type="fixed"/>
          <w:tblCellMar>
            <w:left w:w="70" w:type="dxa"/>
            <w:right w:w="70" w:type="dxa"/>
          </w:tblCellMar>
          <w:tblLook w:val="04A0"/>
        </w:tblPrEx>
        <w:trPr>
          <w:gridBefore w:val="1"/>
          <w:wBefore w:w="152" w:type="dxa"/>
          <w:trHeight w:val="255"/>
        </w:trPr>
        <w:tc>
          <w:tcPr>
            <w:tcW w:w="2620"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122402" w:rsidP="00257E12">
            <w:pPr>
              <w:bidi w:val="0"/>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Výskumný ústav vodného hospodárstva</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2 981 902</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2 233 672</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1 996 862</w:t>
            </w:r>
          </w:p>
        </w:tc>
        <w:tc>
          <w:tcPr>
            <w:tcW w:w="967" w:type="dxa"/>
            <w:gridSpan w:val="2"/>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1 996 862</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1 996 862</w:t>
            </w:r>
          </w:p>
        </w:tc>
        <w:tc>
          <w:tcPr>
            <w:tcW w:w="967" w:type="dxa"/>
            <w:gridSpan w:val="2"/>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1 996 862</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1 996 862</w:t>
            </w:r>
          </w:p>
        </w:tc>
      </w:tr>
      <w:tr>
        <w:tblPrEx>
          <w:tblW w:w="0" w:type="auto"/>
          <w:tblInd w:w="-329" w:type="dxa"/>
          <w:tblLayout w:type="fixed"/>
          <w:tblCellMar>
            <w:left w:w="70" w:type="dxa"/>
            <w:right w:w="70" w:type="dxa"/>
          </w:tblCellMar>
          <w:tblLook w:val="04A0"/>
        </w:tblPrEx>
        <w:trPr>
          <w:gridBefore w:val="1"/>
          <w:wBefore w:w="152" w:type="dxa"/>
          <w:trHeight w:val="255"/>
        </w:trPr>
        <w:tc>
          <w:tcPr>
            <w:tcW w:w="2620"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122402" w:rsidP="00257E12">
            <w:pPr>
              <w:bidi w:val="0"/>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S</w:t>
            </w:r>
            <w:r>
              <w:rPr>
                <w:rFonts w:ascii="Times New Roman" w:hAnsi="Times New Roman" w:cs="Times New Roman"/>
                <w:i/>
                <w:color w:val="000000"/>
                <w:sz w:val="14"/>
                <w:szCs w:val="14"/>
              </w:rPr>
              <w:t>lovenský hydrometeorologický ústav</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6 330 765</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4 839 360</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2 806 624</w:t>
            </w:r>
          </w:p>
        </w:tc>
        <w:tc>
          <w:tcPr>
            <w:tcW w:w="967" w:type="dxa"/>
            <w:gridSpan w:val="2"/>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2 806 624</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2 904 288</w:t>
            </w:r>
          </w:p>
        </w:tc>
        <w:tc>
          <w:tcPr>
            <w:tcW w:w="967" w:type="dxa"/>
            <w:gridSpan w:val="2"/>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2 904 288</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2 904 288</w:t>
            </w:r>
          </w:p>
        </w:tc>
      </w:tr>
      <w:tr>
        <w:tblPrEx>
          <w:tblW w:w="0" w:type="auto"/>
          <w:tblInd w:w="-329" w:type="dxa"/>
          <w:tblLayout w:type="fixed"/>
          <w:tblCellMar>
            <w:left w:w="70" w:type="dxa"/>
            <w:right w:w="70" w:type="dxa"/>
          </w:tblCellMar>
          <w:tblLook w:val="04A0"/>
        </w:tblPrEx>
        <w:trPr>
          <w:gridBefore w:val="1"/>
          <w:wBefore w:w="152" w:type="dxa"/>
          <w:trHeight w:val="255"/>
        </w:trPr>
        <w:tc>
          <w:tcPr>
            <w:tcW w:w="2620"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122402" w:rsidP="00257E12">
            <w:pPr>
              <w:bidi w:val="0"/>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Ústredný orgán - aparát (ČOV, povodne)</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8 663 077</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34 854 918</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10 072 664</w:t>
            </w:r>
          </w:p>
        </w:tc>
        <w:tc>
          <w:tcPr>
            <w:tcW w:w="967" w:type="dxa"/>
            <w:gridSpan w:val="2"/>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10 330 869</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0</w:t>
            </w:r>
          </w:p>
        </w:tc>
        <w:tc>
          <w:tcPr>
            <w:tcW w:w="967" w:type="dxa"/>
            <w:gridSpan w:val="2"/>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0</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0</w:t>
            </w:r>
          </w:p>
        </w:tc>
      </w:tr>
      <w:tr>
        <w:tblPrEx>
          <w:tblW w:w="0" w:type="auto"/>
          <w:tblInd w:w="-329" w:type="dxa"/>
          <w:tblLayout w:type="fixed"/>
          <w:tblCellMar>
            <w:left w:w="70" w:type="dxa"/>
            <w:right w:w="70" w:type="dxa"/>
          </w:tblCellMar>
          <w:tblLook w:val="04A0"/>
        </w:tblPrEx>
        <w:trPr>
          <w:gridBefore w:val="1"/>
          <w:wBefore w:w="152" w:type="dxa"/>
          <w:trHeight w:val="255"/>
        </w:trPr>
        <w:tc>
          <w:tcPr>
            <w:tcW w:w="2620"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122402" w:rsidP="00257E12">
            <w:pPr>
              <w:bidi w:val="0"/>
              <w:rPr>
                <w:rFonts w:ascii="Times New Roman" w:hAnsi="Times New Roman" w:cs="Times New Roman"/>
                <w:color w:val="000000"/>
                <w:sz w:val="14"/>
                <w:szCs w:val="14"/>
              </w:rPr>
            </w:pPr>
            <w:r w:rsidRPr="00122402">
              <w:rPr>
                <w:rFonts w:ascii="Times New Roman" w:hAnsi="Times New Roman" w:cs="Times New Roman"/>
                <w:color w:val="000000"/>
                <w:sz w:val="14"/>
                <w:szCs w:val="14"/>
              </w:rPr>
              <w:t xml:space="preserve">zdroje EÚ </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27 785 811</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8 699 385</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367 293 743</w:t>
            </w:r>
          </w:p>
        </w:tc>
        <w:tc>
          <w:tcPr>
            <w:tcW w:w="967" w:type="dxa"/>
            <w:gridSpan w:val="2"/>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123 167 277</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205 006 844</w:t>
            </w:r>
          </w:p>
        </w:tc>
        <w:tc>
          <w:tcPr>
            <w:tcW w:w="967" w:type="dxa"/>
            <w:gridSpan w:val="2"/>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161 839 952</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230 160 091</w:t>
            </w:r>
          </w:p>
        </w:tc>
      </w:tr>
      <w:tr>
        <w:tblPrEx>
          <w:tblW w:w="0" w:type="auto"/>
          <w:tblInd w:w="-329" w:type="dxa"/>
          <w:tblLayout w:type="fixed"/>
          <w:tblCellMar>
            <w:left w:w="70" w:type="dxa"/>
            <w:right w:w="70" w:type="dxa"/>
          </w:tblCellMar>
          <w:tblLook w:val="04A0"/>
        </w:tblPrEx>
        <w:trPr>
          <w:gridBefore w:val="1"/>
          <w:wBefore w:w="152" w:type="dxa"/>
          <w:trHeight w:val="255"/>
        </w:trPr>
        <w:tc>
          <w:tcPr>
            <w:tcW w:w="2620"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122402" w:rsidP="00257E12">
            <w:pPr>
              <w:bidi w:val="0"/>
              <w:rPr>
                <w:rFonts w:ascii="Times New Roman" w:hAnsi="Times New Roman" w:cs="Times New Roman"/>
                <w:color w:val="000000"/>
                <w:sz w:val="14"/>
                <w:szCs w:val="14"/>
              </w:rPr>
            </w:pPr>
            <w:r w:rsidRPr="00122402">
              <w:rPr>
                <w:rFonts w:ascii="Times New Roman" w:hAnsi="Times New Roman" w:cs="Times New Roman"/>
                <w:color w:val="000000"/>
                <w:sz w:val="14"/>
                <w:szCs w:val="14"/>
              </w:rPr>
              <w:t>spolufinancovanie zo ŠR</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4 814 207</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2 671 642</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46 438 641</w:t>
            </w:r>
          </w:p>
        </w:tc>
        <w:tc>
          <w:tcPr>
            <w:tcW w:w="967" w:type="dxa"/>
            <w:gridSpan w:val="2"/>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11 776 274</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31 097 346</w:t>
            </w:r>
          </w:p>
        </w:tc>
        <w:tc>
          <w:tcPr>
            <w:tcW w:w="967" w:type="dxa"/>
            <w:gridSpan w:val="2"/>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26 320 526</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40 215 551</w:t>
            </w:r>
          </w:p>
        </w:tc>
      </w:tr>
      <w:tr>
        <w:tblPrEx>
          <w:tblW w:w="0" w:type="auto"/>
          <w:tblInd w:w="-329" w:type="dxa"/>
          <w:tblLayout w:type="fixed"/>
          <w:tblCellMar>
            <w:left w:w="70" w:type="dxa"/>
            <w:right w:w="70" w:type="dxa"/>
          </w:tblCellMar>
          <w:tblLook w:val="04A0"/>
        </w:tblPrEx>
        <w:trPr>
          <w:gridBefore w:val="1"/>
          <w:wBefore w:w="152" w:type="dxa"/>
          <w:trHeight w:val="255"/>
        </w:trPr>
        <w:tc>
          <w:tcPr>
            <w:tcW w:w="2620"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color w:val="000000"/>
                <w:sz w:val="14"/>
                <w:szCs w:val="14"/>
              </w:rPr>
            </w:pPr>
            <w:r w:rsidRPr="00122402">
              <w:rPr>
                <w:rFonts w:ascii="Times New Roman" w:hAnsi="Times New Roman" w:cs="Times New Roman"/>
                <w:color w:val="000000"/>
                <w:sz w:val="14"/>
                <w:szCs w:val="14"/>
              </w:rPr>
              <w:t>presun z minulých rokov</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95 322 374</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48 929 223</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0</w:t>
            </w:r>
          </w:p>
        </w:tc>
        <w:tc>
          <w:tcPr>
            <w:tcW w:w="967" w:type="dxa"/>
            <w:gridSpan w:val="2"/>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12 770 111</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0</w:t>
            </w:r>
          </w:p>
        </w:tc>
        <w:tc>
          <w:tcPr>
            <w:tcW w:w="967" w:type="dxa"/>
            <w:gridSpan w:val="2"/>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0</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0</w:t>
            </w:r>
          </w:p>
        </w:tc>
      </w:tr>
      <w:tr>
        <w:tblPrEx>
          <w:tblW w:w="0" w:type="auto"/>
          <w:tblInd w:w="-329" w:type="dxa"/>
          <w:tblLayout w:type="fixed"/>
          <w:tblCellMar>
            <w:left w:w="70" w:type="dxa"/>
            <w:right w:w="70" w:type="dxa"/>
          </w:tblCellMar>
          <w:tblLook w:val="04A0"/>
        </w:tblPrEx>
        <w:trPr>
          <w:gridBefore w:val="1"/>
          <w:wBefore w:w="152" w:type="dxa"/>
          <w:trHeight w:val="255"/>
        </w:trPr>
        <w:tc>
          <w:tcPr>
            <w:tcW w:w="2620"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122402" w:rsidP="00257E12">
            <w:pPr>
              <w:bidi w:val="0"/>
              <w:rPr>
                <w:rFonts w:ascii="Times New Roman" w:hAnsi="Times New Roman" w:cs="Times New Roman"/>
                <w:color w:val="000000"/>
                <w:sz w:val="14"/>
                <w:szCs w:val="14"/>
              </w:rPr>
            </w:pPr>
            <w:r w:rsidRPr="00122402">
              <w:rPr>
                <w:rFonts w:ascii="Times New Roman" w:hAnsi="Times New Roman" w:cs="Times New Roman"/>
                <w:color w:val="000000"/>
                <w:sz w:val="14"/>
                <w:szCs w:val="14"/>
              </w:rPr>
              <w:t>iné  zdroje*</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0</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0</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81 901</w:t>
            </w:r>
          </w:p>
        </w:tc>
        <w:tc>
          <w:tcPr>
            <w:tcW w:w="967" w:type="dxa"/>
            <w:gridSpan w:val="2"/>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81 901</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0</w:t>
            </w:r>
          </w:p>
        </w:tc>
        <w:tc>
          <w:tcPr>
            <w:tcW w:w="967" w:type="dxa"/>
            <w:gridSpan w:val="2"/>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0</w:t>
            </w:r>
          </w:p>
        </w:tc>
        <w:tc>
          <w:tcPr>
            <w:tcW w:w="967" w:type="dxa"/>
            <w:tcBorders>
              <w:top w:val="nil"/>
              <w:left w:val="nil"/>
              <w:bottom w:val="single" w:sz="4" w:space="0" w:color="auto"/>
              <w:right w:val="single" w:sz="4" w:space="0" w:color="auto"/>
            </w:tcBorders>
            <w:textDirection w:val="lrTb"/>
            <w:vAlign w:val="center"/>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0</w:t>
            </w:r>
          </w:p>
        </w:tc>
      </w:tr>
      <w:tr>
        <w:tblPrEx>
          <w:tblW w:w="0" w:type="auto"/>
          <w:jc w:val="center"/>
          <w:tblInd w:w="-329" w:type="dxa"/>
          <w:tblLayout w:type="fixed"/>
          <w:tblCellMar>
            <w:left w:w="70" w:type="dxa"/>
            <w:right w:w="70" w:type="dxa"/>
          </w:tblCellMar>
          <w:tblLook w:val="04A0"/>
        </w:tblPrEx>
        <w:trPr>
          <w:gridAfter w:val="2"/>
          <w:wAfter w:w="1456" w:type="dxa"/>
          <w:trHeight w:val="153"/>
          <w:jc w:val="center"/>
        </w:trPr>
        <w:tc>
          <w:tcPr>
            <w:tcW w:w="8085" w:type="dxa"/>
            <w:gridSpan w:val="9"/>
            <w:tcBorders>
              <w:top w:val="nil"/>
              <w:left w:val="nil"/>
              <w:bottom w:val="nil"/>
              <w:right w:val="nil"/>
            </w:tcBorders>
            <w:noWrap/>
            <w:textDirection w:val="lrTb"/>
            <w:vAlign w:val="top"/>
            <w:hideMark/>
          </w:tcPr>
          <w:p w:rsidR="00CB350B" w:rsidRPr="0004638E" w:rsidP="00257E12">
            <w:pPr>
              <w:bidi w:val="0"/>
              <w:jc w:val="both"/>
              <w:rPr>
                <w:rFonts w:ascii="Times New Roman" w:hAnsi="Times New Roman" w:cs="Times New Roman"/>
                <w:sz w:val="14"/>
                <w:szCs w:val="14"/>
              </w:rPr>
            </w:pPr>
            <w:r w:rsidRPr="0004638E">
              <w:rPr>
                <w:rFonts w:ascii="Times New Roman" w:hAnsi="Times New Roman" w:cs="Times New Roman"/>
                <w:color w:val="000000"/>
                <w:sz w:val="14"/>
                <w:szCs w:val="14"/>
              </w:rPr>
              <w:t xml:space="preserve">    </w:t>
            </w:r>
            <w:r w:rsidRPr="0004638E">
              <w:rPr>
                <w:rFonts w:ascii="Times New Roman" w:hAnsi="Times New Roman" w:cs="Times New Roman"/>
                <w:sz w:val="14"/>
                <w:szCs w:val="14"/>
              </w:rPr>
              <w:t>*  Prechodný fond, ISPA, Interreg III B, LIFE+, ETC, Finančný mechanizmus EHP, Nórsky finančný mechanizmus, ŠFM</w:t>
            </w:r>
          </w:p>
        </w:tc>
      </w:tr>
      <w:tr>
        <w:tblPrEx>
          <w:tblW w:w="0" w:type="auto"/>
          <w:jc w:val="center"/>
          <w:tblInd w:w="-329" w:type="dxa"/>
          <w:tblLayout w:type="fixed"/>
          <w:tblCellMar>
            <w:left w:w="70" w:type="dxa"/>
            <w:right w:w="70" w:type="dxa"/>
          </w:tblCellMar>
          <w:tblLook w:val="04A0"/>
        </w:tblPrEx>
        <w:trPr>
          <w:gridAfter w:val="5"/>
          <w:wAfter w:w="3201" w:type="dxa"/>
          <w:trHeight w:val="130"/>
          <w:jc w:val="center"/>
        </w:trPr>
        <w:tc>
          <w:tcPr>
            <w:tcW w:w="6340" w:type="dxa"/>
            <w:gridSpan w:val="6"/>
            <w:tcBorders>
              <w:top w:val="nil"/>
              <w:left w:val="nil"/>
              <w:bottom w:val="nil"/>
              <w:right w:val="nil"/>
            </w:tcBorders>
            <w:noWrap/>
            <w:textDirection w:val="lrTb"/>
            <w:vAlign w:val="top"/>
            <w:hideMark/>
          </w:tcPr>
          <w:p w:rsidR="00CB350B" w:rsidRPr="0004638E" w:rsidP="00257E12">
            <w:pPr>
              <w:bidi w:val="0"/>
              <w:rPr>
                <w:rFonts w:ascii="Times New Roman" w:hAnsi="Times New Roman" w:cs="Times New Roman"/>
                <w:color w:val="000000"/>
                <w:sz w:val="14"/>
                <w:szCs w:val="14"/>
              </w:rPr>
            </w:pPr>
            <w:r w:rsidRPr="0004638E">
              <w:rPr>
                <w:rFonts w:ascii="Times New Roman" w:hAnsi="Times New Roman" w:cs="Times New Roman"/>
                <w:color w:val="000000"/>
                <w:sz w:val="14"/>
                <w:szCs w:val="14"/>
              </w:rPr>
              <w:t xml:space="preserve">     ** Čerpanie bolo ovplyvnené dočasným zánikom kapitoly MŽP SR</w:t>
            </w:r>
          </w:p>
        </w:tc>
      </w:tr>
    </w:tbl>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Celkové výdavky smerujúce do vodného hospodárstva klesajú v porovnaní so schváleným rozpočtom roku 2011 o 43,8 %. Výdavky EÚ klesajú o 44,2 %, spolufinancovani</w:t>
      </w:r>
      <w:r>
        <w:rPr>
          <w:rFonts w:ascii="Times New Roman" w:hAnsi="Times New Roman" w:cs="Times New Roman"/>
        </w:rPr>
        <w:t>e</w:t>
      </w:r>
      <w:r w:rsidRPr="0004638E">
        <w:rPr>
          <w:rFonts w:ascii="Times New Roman" w:hAnsi="Times New Roman" w:cs="Times New Roman"/>
        </w:rPr>
        <w:t xml:space="preserve"> kles</w:t>
      </w:r>
      <w:r>
        <w:rPr>
          <w:rFonts w:ascii="Times New Roman" w:hAnsi="Times New Roman" w:cs="Times New Roman"/>
        </w:rPr>
        <w:t>á</w:t>
      </w:r>
      <w:r w:rsidRPr="0004638E">
        <w:rPr>
          <w:rFonts w:ascii="Times New Roman" w:hAnsi="Times New Roman" w:cs="Times New Roman"/>
        </w:rPr>
        <w:t xml:space="preserve"> medziročne o 33 % a výdavky štátneho rozpočtu klesajú o 67 %. Pokles v oblasti výdavkov štátneho rozpočtu je spôsobený nepremietnutím sumy 10 mil. eur do oblasti kapitálových výdavkov, určených v roku 2011 na čistiarne odpadových vôd. Výdavky za </w:t>
      </w:r>
      <w:r>
        <w:rPr>
          <w:rFonts w:ascii="Times New Roman" w:hAnsi="Times New Roman" w:cs="Times New Roman"/>
        </w:rPr>
        <w:t xml:space="preserve">túto </w:t>
      </w:r>
      <w:r w:rsidRPr="0004638E">
        <w:rPr>
          <w:rFonts w:ascii="Times New Roman" w:hAnsi="Times New Roman" w:cs="Times New Roman"/>
        </w:rPr>
        <w:t>oblasť</w:t>
      </w:r>
      <w:r>
        <w:rPr>
          <w:rFonts w:ascii="Times New Roman" w:hAnsi="Times New Roman" w:cs="Times New Roman"/>
        </w:rPr>
        <w:t xml:space="preserve"> sú</w:t>
      </w:r>
      <w:r w:rsidRPr="0004638E">
        <w:rPr>
          <w:rFonts w:ascii="Times New Roman" w:hAnsi="Times New Roman" w:cs="Times New Roman"/>
        </w:rPr>
        <w:t xml:space="preserve"> celkovo určené na konkrétne projekty budovania a rekonštrukcie infraštruktúry vodného hospodárstva (preventívne </w:t>
      </w:r>
      <w:r w:rsidRPr="0004638E">
        <w:rPr>
          <w:rFonts w:ascii="Times New Roman" w:hAnsi="Times New Roman" w:cs="Times New Roman"/>
          <w:bCs/>
        </w:rPr>
        <w:t>protipovodňové opatrenia</w:t>
      </w:r>
      <w:r w:rsidRPr="0004638E">
        <w:rPr>
          <w:rFonts w:ascii="Times New Roman" w:hAnsi="Times New Roman" w:cs="Times New Roman"/>
        </w:rPr>
        <w:t xml:space="preserve">, dobudovanie a prevádzka povodňového varovného a predpovedného systému, </w:t>
      </w:r>
      <w:r w:rsidRPr="0004638E">
        <w:rPr>
          <w:rFonts w:ascii="Times New Roman" w:hAnsi="Times New Roman" w:cs="Times New Roman"/>
          <w:bCs/>
        </w:rPr>
        <w:t>zásobovanie vodou</w:t>
      </w:r>
      <w:r w:rsidRPr="0004638E">
        <w:rPr>
          <w:rFonts w:ascii="Times New Roman" w:hAnsi="Times New Roman" w:cs="Times New Roman"/>
        </w:rPr>
        <w:t xml:space="preserve">, </w:t>
      </w:r>
      <w:r w:rsidRPr="0004638E">
        <w:rPr>
          <w:rFonts w:ascii="Times New Roman" w:hAnsi="Times New Roman" w:cs="Times New Roman"/>
          <w:bCs/>
        </w:rPr>
        <w:t>odvádzanie a čistenie odpadových vôd</w:t>
      </w:r>
      <w:r w:rsidRPr="0004638E">
        <w:rPr>
          <w:rFonts w:ascii="Times New Roman" w:hAnsi="Times New Roman" w:cs="Times New Roman"/>
        </w:rPr>
        <w:t>).</w:t>
      </w:r>
    </w:p>
    <w:p w:rsidR="00CB350B" w:rsidRPr="0004638E" w:rsidP="00CB350B">
      <w:pPr>
        <w:tabs>
          <w:tab w:val="left" w:pos="426"/>
        </w:tabs>
        <w:bidi w:val="0"/>
        <w:jc w:val="both"/>
        <w:rPr>
          <w:rFonts w:ascii="Times New Roman" w:hAnsi="Times New Roman" w:cs="Times New Roman"/>
          <w:b/>
        </w:rPr>
      </w:pPr>
    </w:p>
    <w:p w:rsidR="00CB350B" w:rsidRPr="0004638E" w:rsidP="00CB350B">
      <w:pPr>
        <w:tabs>
          <w:tab w:val="left" w:pos="426"/>
        </w:tabs>
        <w:bidi w:val="0"/>
        <w:jc w:val="both"/>
        <w:rPr>
          <w:rFonts w:ascii="Times New Roman" w:hAnsi="Times New Roman" w:cs="Times New Roman"/>
          <w:b/>
        </w:rPr>
      </w:pPr>
      <w:r w:rsidRPr="0004638E">
        <w:rPr>
          <w:rFonts w:ascii="Times New Roman" w:hAnsi="Times New Roman" w:cs="Times New Roman"/>
          <w:b/>
        </w:rPr>
        <w:t>Ochrana ovzdušia</w:t>
      </w:r>
    </w:p>
    <w:p w:rsidR="00CB350B" w:rsidRPr="0004638E" w:rsidP="00CB350B">
      <w:pPr>
        <w:tabs>
          <w:tab w:val="left" w:pos="426"/>
        </w:tabs>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733"/>
        <w:gridCol w:w="847"/>
        <w:gridCol w:w="964"/>
        <w:gridCol w:w="925"/>
        <w:gridCol w:w="848"/>
        <w:gridCol w:w="940"/>
        <w:gridCol w:w="1056"/>
        <w:gridCol w:w="899"/>
      </w:tblGrid>
      <w:tr>
        <w:tblPrEx>
          <w:tblW w:w="5000" w:type="pct"/>
          <w:tblCellMar>
            <w:left w:w="70" w:type="dxa"/>
            <w:right w:w="70" w:type="dxa"/>
          </w:tblCellMar>
          <w:tblLook w:val="04A0"/>
        </w:tblPrEx>
        <w:trPr>
          <w:trHeight w:val="255"/>
        </w:trPr>
        <w:tc>
          <w:tcPr>
            <w:tcW w:w="148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v eurách </w:t>
            </w:r>
          </w:p>
        </w:tc>
        <w:tc>
          <w:tcPr>
            <w:tcW w:w="460" w:type="pct"/>
            <w:tcBorders>
              <w:top w:val="single" w:sz="4" w:space="0" w:color="auto"/>
              <w:left w:val="nil"/>
              <w:bottom w:val="single" w:sz="4" w:space="0" w:color="auto"/>
              <w:right w:val="single" w:sz="4" w:space="0" w:color="auto"/>
            </w:tcBorders>
            <w:textDirection w:val="lrTb"/>
            <w:vAlign w:val="center"/>
            <w:hideMark/>
          </w:tcPr>
          <w:p w:rsidR="00CB350B" w:rsidRPr="00122402" w:rsidP="00257E12">
            <w:pPr>
              <w:bidi w:val="0"/>
              <w:jc w:val="center"/>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2009 S</w:t>
            </w:r>
          </w:p>
        </w:tc>
        <w:tc>
          <w:tcPr>
            <w:tcW w:w="523" w:type="pct"/>
            <w:tcBorders>
              <w:top w:val="single" w:sz="4" w:space="0" w:color="auto"/>
              <w:left w:val="nil"/>
              <w:bottom w:val="single" w:sz="4" w:space="0" w:color="auto"/>
              <w:right w:val="single" w:sz="4" w:space="0" w:color="auto"/>
            </w:tcBorders>
            <w:noWrap/>
            <w:textDirection w:val="lrTb"/>
            <w:vAlign w:val="center"/>
            <w:hideMark/>
          </w:tcPr>
          <w:p w:rsidR="00CB350B" w:rsidRPr="00122402" w:rsidP="00257E12">
            <w:pPr>
              <w:bidi w:val="0"/>
              <w:jc w:val="center"/>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2010S*</w:t>
            </w:r>
          </w:p>
        </w:tc>
        <w:tc>
          <w:tcPr>
            <w:tcW w:w="502" w:type="pct"/>
            <w:tcBorders>
              <w:top w:val="single" w:sz="4" w:space="0" w:color="auto"/>
              <w:left w:val="nil"/>
              <w:bottom w:val="single" w:sz="4" w:space="0" w:color="auto"/>
              <w:right w:val="single" w:sz="4" w:space="0" w:color="auto"/>
            </w:tcBorders>
            <w:noWrap/>
            <w:textDirection w:val="lrTb"/>
            <w:vAlign w:val="center"/>
            <w:hideMark/>
          </w:tcPr>
          <w:p w:rsidR="00CB350B" w:rsidRPr="00122402" w:rsidP="00257E12">
            <w:pPr>
              <w:bidi w:val="0"/>
              <w:jc w:val="center"/>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2011 R</w:t>
            </w:r>
          </w:p>
        </w:tc>
        <w:tc>
          <w:tcPr>
            <w:tcW w:w="460" w:type="pct"/>
            <w:tcBorders>
              <w:top w:val="single" w:sz="4" w:space="0" w:color="auto"/>
              <w:left w:val="nil"/>
              <w:bottom w:val="single" w:sz="4" w:space="0" w:color="auto"/>
              <w:right w:val="single" w:sz="4" w:space="0" w:color="auto"/>
            </w:tcBorders>
            <w:textDirection w:val="lrTb"/>
            <w:vAlign w:val="center"/>
            <w:hideMark/>
          </w:tcPr>
          <w:p w:rsidR="00CB350B" w:rsidRPr="00122402" w:rsidP="00257E12">
            <w:pPr>
              <w:bidi w:val="0"/>
              <w:jc w:val="center"/>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2011 OS</w:t>
            </w:r>
          </w:p>
        </w:tc>
        <w:tc>
          <w:tcPr>
            <w:tcW w:w="510" w:type="pct"/>
            <w:tcBorders>
              <w:top w:val="single" w:sz="4" w:space="0" w:color="auto"/>
              <w:left w:val="nil"/>
              <w:bottom w:val="single" w:sz="4" w:space="0" w:color="auto"/>
              <w:right w:val="single" w:sz="4" w:space="0" w:color="auto"/>
            </w:tcBorders>
            <w:noWrap/>
            <w:textDirection w:val="lrTb"/>
            <w:vAlign w:val="center"/>
            <w:hideMark/>
          </w:tcPr>
          <w:p w:rsidR="00CB350B" w:rsidRPr="00122402" w:rsidP="00257E12">
            <w:pPr>
              <w:bidi w:val="0"/>
              <w:jc w:val="center"/>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2012 N</w:t>
            </w:r>
          </w:p>
        </w:tc>
        <w:tc>
          <w:tcPr>
            <w:tcW w:w="573" w:type="pct"/>
            <w:tcBorders>
              <w:top w:val="single" w:sz="4" w:space="0" w:color="auto"/>
              <w:left w:val="nil"/>
              <w:bottom w:val="single" w:sz="4" w:space="0" w:color="auto"/>
              <w:right w:val="single" w:sz="4" w:space="0" w:color="auto"/>
            </w:tcBorders>
            <w:noWrap/>
            <w:textDirection w:val="lrTb"/>
            <w:vAlign w:val="center"/>
            <w:hideMark/>
          </w:tcPr>
          <w:p w:rsidR="00CB350B" w:rsidRPr="00122402" w:rsidP="00257E12">
            <w:pPr>
              <w:bidi w:val="0"/>
              <w:jc w:val="center"/>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2013 N</w:t>
            </w:r>
          </w:p>
        </w:tc>
        <w:tc>
          <w:tcPr>
            <w:tcW w:w="489" w:type="pct"/>
            <w:tcBorders>
              <w:top w:val="single" w:sz="4" w:space="0" w:color="auto"/>
              <w:left w:val="nil"/>
              <w:bottom w:val="single" w:sz="4" w:space="0" w:color="auto"/>
              <w:right w:val="single" w:sz="4" w:space="0" w:color="auto"/>
            </w:tcBorders>
            <w:noWrap/>
            <w:textDirection w:val="lrTb"/>
            <w:vAlign w:val="center"/>
            <w:hideMark/>
          </w:tcPr>
          <w:p w:rsidR="00CB350B" w:rsidRPr="00122402" w:rsidP="00257E12">
            <w:pPr>
              <w:bidi w:val="0"/>
              <w:jc w:val="center"/>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2014 N</w:t>
            </w:r>
          </w:p>
        </w:tc>
      </w:tr>
      <w:tr>
        <w:tblPrEx>
          <w:tblW w:w="5000" w:type="pct"/>
          <w:tblCellMar>
            <w:left w:w="70" w:type="dxa"/>
            <w:right w:w="70" w:type="dxa"/>
          </w:tblCellMar>
          <w:tblLook w:val="04A0"/>
        </w:tblPrEx>
        <w:trPr>
          <w:trHeight w:val="255"/>
        </w:trPr>
        <w:tc>
          <w:tcPr>
            <w:tcW w:w="1484" w:type="pct"/>
            <w:tcBorders>
              <w:top w:val="single" w:sz="4" w:space="0" w:color="auto"/>
              <w:left w:val="single" w:sz="4" w:space="0" w:color="auto"/>
              <w:bottom w:val="single" w:sz="4" w:space="0" w:color="auto"/>
              <w:right w:val="single" w:sz="4" w:space="0" w:color="auto"/>
            </w:tcBorders>
            <w:textDirection w:val="lrTb"/>
            <w:vAlign w:val="bottom"/>
            <w:hideMark/>
          </w:tcPr>
          <w:p w:rsidR="00CB350B" w:rsidRPr="00122402" w:rsidP="00257E12">
            <w:pPr>
              <w:bidi w:val="0"/>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Ochrana ovzdušia</w:t>
            </w:r>
          </w:p>
        </w:tc>
        <w:tc>
          <w:tcPr>
            <w:tcW w:w="460" w:type="pct"/>
            <w:tcBorders>
              <w:top w:val="nil"/>
              <w:left w:val="nil"/>
              <w:bottom w:val="single" w:sz="4" w:space="0" w:color="auto"/>
              <w:right w:val="single" w:sz="4" w:space="0" w:color="auto"/>
            </w:tcBorders>
            <w:noWrap/>
            <w:textDirection w:val="lrTb"/>
            <w:vAlign w:val="center"/>
            <w:hideMark/>
          </w:tcPr>
          <w:p w:rsidR="00CB350B" w:rsidRPr="00122402" w:rsidP="00257E12">
            <w:pPr>
              <w:bidi w:val="0"/>
              <w:jc w:val="right"/>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15 809 491</w:t>
            </w:r>
          </w:p>
        </w:tc>
        <w:tc>
          <w:tcPr>
            <w:tcW w:w="523" w:type="pct"/>
            <w:tcBorders>
              <w:top w:val="nil"/>
              <w:left w:val="nil"/>
              <w:bottom w:val="single" w:sz="4" w:space="0" w:color="auto"/>
              <w:right w:val="single" w:sz="4" w:space="0" w:color="auto"/>
            </w:tcBorders>
            <w:noWrap/>
            <w:textDirection w:val="lrTb"/>
            <w:vAlign w:val="center"/>
            <w:hideMark/>
          </w:tcPr>
          <w:p w:rsidR="00CB350B" w:rsidRPr="00122402" w:rsidP="00257E12">
            <w:pPr>
              <w:bidi w:val="0"/>
              <w:jc w:val="right"/>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28 017 993</w:t>
            </w:r>
          </w:p>
        </w:tc>
        <w:tc>
          <w:tcPr>
            <w:tcW w:w="502" w:type="pct"/>
            <w:tcBorders>
              <w:top w:val="nil"/>
              <w:left w:val="nil"/>
              <w:bottom w:val="single" w:sz="4" w:space="0" w:color="auto"/>
              <w:right w:val="single" w:sz="4" w:space="0" w:color="auto"/>
            </w:tcBorders>
            <w:noWrap/>
            <w:textDirection w:val="lrTb"/>
            <w:vAlign w:val="center"/>
            <w:hideMark/>
          </w:tcPr>
          <w:p w:rsidR="00CB350B" w:rsidRPr="00122402" w:rsidP="00257E12">
            <w:pPr>
              <w:bidi w:val="0"/>
              <w:jc w:val="right"/>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115 229 075</w:t>
            </w:r>
          </w:p>
        </w:tc>
        <w:tc>
          <w:tcPr>
            <w:tcW w:w="460" w:type="pct"/>
            <w:tcBorders>
              <w:top w:val="nil"/>
              <w:left w:val="nil"/>
              <w:bottom w:val="single" w:sz="4" w:space="0" w:color="auto"/>
              <w:right w:val="single" w:sz="4" w:space="0" w:color="auto"/>
            </w:tcBorders>
            <w:noWrap/>
            <w:textDirection w:val="lrTb"/>
            <w:vAlign w:val="center"/>
            <w:hideMark/>
          </w:tcPr>
          <w:p w:rsidR="00CB350B" w:rsidRPr="00122402" w:rsidP="00257E12">
            <w:pPr>
              <w:bidi w:val="0"/>
              <w:jc w:val="right"/>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39 846 012</w:t>
            </w:r>
          </w:p>
        </w:tc>
        <w:tc>
          <w:tcPr>
            <w:tcW w:w="510" w:type="pct"/>
            <w:tcBorders>
              <w:top w:val="nil"/>
              <w:left w:val="nil"/>
              <w:bottom w:val="single" w:sz="4" w:space="0" w:color="auto"/>
              <w:right w:val="single" w:sz="4" w:space="0" w:color="auto"/>
            </w:tcBorders>
            <w:noWrap/>
            <w:textDirection w:val="lrTb"/>
            <w:vAlign w:val="center"/>
            <w:hideMark/>
          </w:tcPr>
          <w:p w:rsidR="00CB350B" w:rsidRPr="00122402" w:rsidP="00257E12">
            <w:pPr>
              <w:bidi w:val="0"/>
              <w:jc w:val="right"/>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16 819 261</w:t>
            </w:r>
          </w:p>
        </w:tc>
        <w:tc>
          <w:tcPr>
            <w:tcW w:w="573" w:type="pct"/>
            <w:tcBorders>
              <w:top w:val="nil"/>
              <w:left w:val="nil"/>
              <w:bottom w:val="single" w:sz="4" w:space="0" w:color="auto"/>
              <w:right w:val="single" w:sz="4" w:space="0" w:color="auto"/>
            </w:tcBorders>
            <w:noWrap/>
            <w:textDirection w:val="lrTb"/>
            <w:vAlign w:val="center"/>
            <w:hideMark/>
          </w:tcPr>
          <w:p w:rsidR="00CB350B" w:rsidRPr="00122402" w:rsidP="00257E12">
            <w:pPr>
              <w:bidi w:val="0"/>
              <w:jc w:val="right"/>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49 489 207</w:t>
            </w:r>
          </w:p>
        </w:tc>
        <w:tc>
          <w:tcPr>
            <w:tcW w:w="489" w:type="pct"/>
            <w:tcBorders>
              <w:top w:val="nil"/>
              <w:left w:val="nil"/>
              <w:bottom w:val="single" w:sz="4" w:space="0" w:color="auto"/>
              <w:right w:val="single" w:sz="4" w:space="0" w:color="auto"/>
            </w:tcBorders>
            <w:noWrap/>
            <w:textDirection w:val="lrTb"/>
            <w:vAlign w:val="center"/>
            <w:hideMark/>
          </w:tcPr>
          <w:p w:rsidR="00CB350B" w:rsidRPr="00122402" w:rsidP="00257E12">
            <w:pPr>
              <w:bidi w:val="0"/>
              <w:jc w:val="right"/>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4 005 712</w:t>
            </w:r>
          </w:p>
        </w:tc>
      </w:tr>
      <w:tr>
        <w:tblPrEx>
          <w:tblW w:w="5000" w:type="pct"/>
          <w:tblCellMar>
            <w:left w:w="70" w:type="dxa"/>
            <w:right w:w="70" w:type="dxa"/>
          </w:tblCellMar>
          <w:tblLook w:val="04A0"/>
        </w:tblPrEx>
        <w:trPr>
          <w:trHeight w:val="255"/>
        </w:trPr>
        <w:tc>
          <w:tcPr>
            <w:tcW w:w="1484" w:type="pct"/>
            <w:tcBorders>
              <w:top w:val="single" w:sz="4" w:space="0" w:color="auto"/>
              <w:left w:val="single" w:sz="4" w:space="0" w:color="auto"/>
              <w:bottom w:val="single" w:sz="4" w:space="0" w:color="auto"/>
              <w:right w:val="single" w:sz="4" w:space="0" w:color="auto"/>
            </w:tcBorders>
            <w:textDirection w:val="lrTb"/>
            <w:vAlign w:val="bottom"/>
            <w:hideMark/>
          </w:tcPr>
          <w:p w:rsidR="00CB350B" w:rsidRPr="00122402" w:rsidP="00257E12">
            <w:pPr>
              <w:bidi w:val="0"/>
              <w:rPr>
                <w:rFonts w:ascii="Times New Roman" w:hAnsi="Times New Roman" w:cs="Times New Roman"/>
                <w:color w:val="000000"/>
                <w:sz w:val="14"/>
                <w:szCs w:val="14"/>
              </w:rPr>
            </w:pPr>
            <w:r w:rsidRPr="00122402">
              <w:rPr>
                <w:rFonts w:ascii="Times New Roman" w:hAnsi="Times New Roman" w:cs="Times New Roman"/>
                <w:color w:val="000000"/>
                <w:sz w:val="14"/>
                <w:szCs w:val="14"/>
              </w:rPr>
              <w:t>rozpočtové zdroje kapitoly, v tom:</w:t>
            </w:r>
          </w:p>
        </w:tc>
        <w:tc>
          <w:tcPr>
            <w:tcW w:w="460"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3 349 973</w:t>
            </w:r>
          </w:p>
        </w:tc>
        <w:tc>
          <w:tcPr>
            <w:tcW w:w="523"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2 513 026</w:t>
            </w:r>
          </w:p>
        </w:tc>
        <w:tc>
          <w:tcPr>
            <w:tcW w:w="502"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3 906 431</w:t>
            </w:r>
          </w:p>
        </w:tc>
        <w:tc>
          <w:tcPr>
            <w:tcW w:w="460"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3 618 226</w:t>
            </w:r>
          </w:p>
        </w:tc>
        <w:tc>
          <w:tcPr>
            <w:tcW w:w="510"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4 005 712</w:t>
            </w:r>
          </w:p>
        </w:tc>
        <w:tc>
          <w:tcPr>
            <w:tcW w:w="573"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4 005 712</w:t>
            </w:r>
          </w:p>
        </w:tc>
        <w:tc>
          <w:tcPr>
            <w:tcW w:w="489"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4 005 712</w:t>
            </w:r>
          </w:p>
        </w:tc>
      </w:tr>
      <w:tr>
        <w:tblPrEx>
          <w:tblW w:w="5000" w:type="pct"/>
          <w:tblCellMar>
            <w:left w:w="70" w:type="dxa"/>
            <w:right w:w="70" w:type="dxa"/>
          </w:tblCellMar>
          <w:tblLook w:val="04A0"/>
        </w:tblPrEx>
        <w:trPr>
          <w:trHeight w:val="255"/>
        </w:trPr>
        <w:tc>
          <w:tcPr>
            <w:tcW w:w="1484" w:type="pct"/>
            <w:tcBorders>
              <w:top w:val="single" w:sz="4" w:space="0" w:color="auto"/>
              <w:left w:val="single" w:sz="4" w:space="0" w:color="auto"/>
              <w:bottom w:val="single" w:sz="4" w:space="0" w:color="auto"/>
              <w:right w:val="single" w:sz="4" w:space="0" w:color="auto"/>
            </w:tcBorders>
            <w:textDirection w:val="lrTb"/>
            <w:vAlign w:val="bottom"/>
            <w:hideMark/>
          </w:tcPr>
          <w:p w:rsidR="00CB350B" w:rsidRPr="00122402" w:rsidP="00257E12">
            <w:pPr>
              <w:bidi w:val="0"/>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S</w:t>
            </w:r>
            <w:r>
              <w:rPr>
                <w:rFonts w:ascii="Times New Roman" w:hAnsi="Times New Roman" w:cs="Times New Roman"/>
                <w:i/>
                <w:color w:val="000000"/>
                <w:sz w:val="14"/>
                <w:szCs w:val="14"/>
              </w:rPr>
              <w:t>lovenský hydrometeorologický ústav</w:t>
            </w:r>
          </w:p>
        </w:tc>
        <w:tc>
          <w:tcPr>
            <w:tcW w:w="460"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3 349 973</w:t>
            </w:r>
          </w:p>
        </w:tc>
        <w:tc>
          <w:tcPr>
            <w:tcW w:w="523"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2 513 026</w:t>
            </w:r>
          </w:p>
        </w:tc>
        <w:tc>
          <w:tcPr>
            <w:tcW w:w="502"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3 906 431</w:t>
            </w:r>
          </w:p>
        </w:tc>
        <w:tc>
          <w:tcPr>
            <w:tcW w:w="460"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3 618 226</w:t>
            </w:r>
          </w:p>
        </w:tc>
        <w:tc>
          <w:tcPr>
            <w:tcW w:w="510"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4 005 712</w:t>
            </w:r>
          </w:p>
        </w:tc>
        <w:tc>
          <w:tcPr>
            <w:tcW w:w="573"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4 005 712</w:t>
            </w:r>
          </w:p>
        </w:tc>
        <w:tc>
          <w:tcPr>
            <w:tcW w:w="489"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4 005 712</w:t>
            </w:r>
          </w:p>
        </w:tc>
      </w:tr>
      <w:tr>
        <w:tblPrEx>
          <w:tblW w:w="5000" w:type="pct"/>
          <w:tblCellMar>
            <w:left w:w="70" w:type="dxa"/>
            <w:right w:w="70" w:type="dxa"/>
          </w:tblCellMar>
          <w:tblLook w:val="04A0"/>
        </w:tblPrEx>
        <w:trPr>
          <w:trHeight w:val="255"/>
        </w:trPr>
        <w:tc>
          <w:tcPr>
            <w:tcW w:w="1484" w:type="pct"/>
            <w:tcBorders>
              <w:top w:val="single" w:sz="4" w:space="0" w:color="auto"/>
              <w:left w:val="single" w:sz="4" w:space="0" w:color="auto"/>
              <w:bottom w:val="single" w:sz="4" w:space="0" w:color="auto"/>
              <w:right w:val="single" w:sz="4" w:space="0" w:color="auto"/>
            </w:tcBorders>
            <w:textDirection w:val="lrTb"/>
            <w:vAlign w:val="bottom"/>
            <w:hideMark/>
          </w:tcPr>
          <w:p w:rsidR="00CB350B" w:rsidRPr="00122402" w:rsidP="00257E12">
            <w:pPr>
              <w:bidi w:val="0"/>
              <w:rPr>
                <w:rFonts w:ascii="Times New Roman" w:hAnsi="Times New Roman" w:cs="Times New Roman"/>
                <w:color w:val="000000"/>
                <w:sz w:val="14"/>
                <w:szCs w:val="14"/>
              </w:rPr>
            </w:pPr>
            <w:r w:rsidRPr="00122402">
              <w:rPr>
                <w:rFonts w:ascii="Times New Roman" w:hAnsi="Times New Roman" w:cs="Times New Roman"/>
                <w:color w:val="000000"/>
                <w:sz w:val="14"/>
                <w:szCs w:val="14"/>
              </w:rPr>
              <w:t xml:space="preserve">zdroje EÚ </w:t>
            </w:r>
          </w:p>
        </w:tc>
        <w:tc>
          <w:tcPr>
            <w:tcW w:w="460"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3 883 864</w:t>
            </w:r>
          </w:p>
        </w:tc>
        <w:tc>
          <w:tcPr>
            <w:tcW w:w="523"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7 227 344</w:t>
            </w:r>
          </w:p>
        </w:tc>
        <w:tc>
          <w:tcPr>
            <w:tcW w:w="502"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97 832 101</w:t>
            </w:r>
          </w:p>
        </w:tc>
        <w:tc>
          <w:tcPr>
            <w:tcW w:w="460"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32 806 749</w:t>
            </w:r>
          </w:p>
        </w:tc>
        <w:tc>
          <w:tcPr>
            <w:tcW w:w="510"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11 218 389</w:t>
            </w:r>
          </w:p>
        </w:tc>
        <w:tc>
          <w:tcPr>
            <w:tcW w:w="573"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38 535 593</w:t>
            </w:r>
          </w:p>
        </w:tc>
        <w:tc>
          <w:tcPr>
            <w:tcW w:w="489"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5"/>
        </w:trPr>
        <w:tc>
          <w:tcPr>
            <w:tcW w:w="1484" w:type="pct"/>
            <w:tcBorders>
              <w:top w:val="single" w:sz="4" w:space="0" w:color="auto"/>
              <w:left w:val="single" w:sz="4" w:space="0" w:color="auto"/>
              <w:bottom w:val="single" w:sz="4" w:space="0" w:color="auto"/>
              <w:right w:val="single" w:sz="4" w:space="0" w:color="auto"/>
            </w:tcBorders>
            <w:textDirection w:val="lrTb"/>
            <w:vAlign w:val="bottom"/>
            <w:hideMark/>
          </w:tcPr>
          <w:p w:rsidR="00CB350B" w:rsidRPr="00122402" w:rsidP="00257E12">
            <w:pPr>
              <w:bidi w:val="0"/>
              <w:rPr>
                <w:rFonts w:ascii="Times New Roman" w:hAnsi="Times New Roman" w:cs="Times New Roman"/>
                <w:color w:val="000000"/>
                <w:sz w:val="14"/>
                <w:szCs w:val="14"/>
              </w:rPr>
            </w:pPr>
            <w:r w:rsidRPr="00122402">
              <w:rPr>
                <w:rFonts w:ascii="Times New Roman" w:hAnsi="Times New Roman" w:cs="Times New Roman"/>
                <w:color w:val="000000"/>
                <w:sz w:val="14"/>
                <w:szCs w:val="14"/>
              </w:rPr>
              <w:t>spolufinancovanie zo ŠR</w:t>
            </w:r>
          </w:p>
        </w:tc>
        <w:tc>
          <w:tcPr>
            <w:tcW w:w="460"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1 353 994</w:t>
            </w:r>
          </w:p>
        </w:tc>
        <w:tc>
          <w:tcPr>
            <w:tcW w:w="523"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1 064 739</w:t>
            </w:r>
          </w:p>
        </w:tc>
        <w:tc>
          <w:tcPr>
            <w:tcW w:w="502"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13 490 543</w:t>
            </w:r>
          </w:p>
        </w:tc>
        <w:tc>
          <w:tcPr>
            <w:tcW w:w="460"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3 421 038</w:t>
            </w:r>
          </w:p>
        </w:tc>
        <w:tc>
          <w:tcPr>
            <w:tcW w:w="510"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1 595 160</w:t>
            </w:r>
          </w:p>
        </w:tc>
        <w:tc>
          <w:tcPr>
            <w:tcW w:w="573"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6 947 902</w:t>
            </w:r>
          </w:p>
        </w:tc>
        <w:tc>
          <w:tcPr>
            <w:tcW w:w="489"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5"/>
        </w:trPr>
        <w:tc>
          <w:tcPr>
            <w:tcW w:w="148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color w:val="000000"/>
                <w:sz w:val="14"/>
                <w:szCs w:val="14"/>
              </w:rPr>
            </w:pPr>
            <w:r w:rsidRPr="00122402">
              <w:rPr>
                <w:rFonts w:ascii="Times New Roman" w:hAnsi="Times New Roman" w:cs="Times New Roman"/>
                <w:color w:val="000000"/>
                <w:sz w:val="14"/>
                <w:szCs w:val="14"/>
              </w:rPr>
              <w:t>presun z minulých rokov</w:t>
            </w:r>
          </w:p>
        </w:tc>
        <w:tc>
          <w:tcPr>
            <w:tcW w:w="460"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7 221 660</w:t>
            </w:r>
          </w:p>
        </w:tc>
        <w:tc>
          <w:tcPr>
            <w:tcW w:w="523"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17 212 883</w:t>
            </w:r>
          </w:p>
        </w:tc>
        <w:tc>
          <w:tcPr>
            <w:tcW w:w="502"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0</w:t>
            </w:r>
          </w:p>
        </w:tc>
        <w:tc>
          <w:tcPr>
            <w:tcW w:w="460"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0</w:t>
            </w:r>
          </w:p>
        </w:tc>
        <w:tc>
          <w:tcPr>
            <w:tcW w:w="510"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0</w:t>
            </w:r>
          </w:p>
        </w:tc>
        <w:tc>
          <w:tcPr>
            <w:tcW w:w="573"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0</w:t>
            </w:r>
          </w:p>
        </w:tc>
        <w:tc>
          <w:tcPr>
            <w:tcW w:w="489"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0</w:t>
            </w:r>
          </w:p>
        </w:tc>
      </w:tr>
    </w:tbl>
    <w:p w:rsidR="00CB350B" w:rsidRPr="00575C66" w:rsidP="00CB350B">
      <w:pPr>
        <w:tabs>
          <w:tab w:val="left" w:pos="426"/>
        </w:tabs>
        <w:bidi w:val="0"/>
        <w:jc w:val="both"/>
        <w:rPr>
          <w:rFonts w:ascii="Times New Roman" w:hAnsi="Times New Roman" w:cs="Times New Roman"/>
          <w:color w:val="000000"/>
          <w:sz w:val="14"/>
          <w:szCs w:val="14"/>
        </w:rPr>
      </w:pPr>
      <w:r w:rsidRPr="00E167C4">
        <w:rPr>
          <w:rFonts w:ascii="Times New Roman" w:hAnsi="Times New Roman" w:cs="Times New Roman"/>
          <w:color w:val="000000"/>
          <w:sz w:val="16"/>
          <w:szCs w:val="16"/>
        </w:rPr>
        <w:t xml:space="preserve">  </w:t>
      </w:r>
      <w:r w:rsidRPr="00575C66">
        <w:rPr>
          <w:rFonts w:ascii="Times New Roman" w:hAnsi="Times New Roman" w:cs="Times New Roman"/>
          <w:color w:val="000000"/>
          <w:sz w:val="14"/>
          <w:szCs w:val="14"/>
        </w:rPr>
        <w:t>* Čerpanie bolo ovplyvnené dočasným zánikom kapitoly MŽP SR</w:t>
      </w:r>
    </w:p>
    <w:p w:rsidR="00CB350B" w:rsidRPr="00575C66" w:rsidP="00CB350B">
      <w:pPr>
        <w:tabs>
          <w:tab w:val="left" w:pos="426"/>
        </w:tabs>
        <w:bidi w:val="0"/>
        <w:jc w:val="both"/>
        <w:rPr>
          <w:rFonts w:ascii="Times New Roman" w:hAnsi="Times New Roman" w:cs="Times New Roman"/>
          <w:sz w:val="14"/>
          <w:szCs w:val="14"/>
        </w:rPr>
      </w:pPr>
    </w:p>
    <w:p w:rsidR="00CB350B" w:rsidRPr="0004638E" w:rsidP="00CB350B">
      <w:pPr>
        <w:tabs>
          <w:tab w:val="left" w:pos="709"/>
        </w:tabs>
        <w:bidi w:val="0"/>
        <w:jc w:val="both"/>
        <w:rPr>
          <w:rFonts w:ascii="Times New Roman" w:hAnsi="Times New Roman" w:cs="Times New Roman"/>
        </w:rPr>
      </w:pPr>
      <w:r>
        <w:rPr>
          <w:rFonts w:ascii="Times New Roman" w:hAnsi="Times New Roman" w:cs="Times New Roman"/>
        </w:rPr>
        <w:tab/>
      </w:r>
      <w:r w:rsidRPr="0004638E">
        <w:rPr>
          <w:rFonts w:ascii="Times New Roman" w:hAnsi="Times New Roman" w:cs="Times New Roman"/>
        </w:rPr>
        <w:t xml:space="preserve">Celkové výdavky smerujúce do ochrany ovzdušia klesajú v porovnaní so schváleným rozpočtom  roku 2011 o 85,4 %. Výdavky EÚ klesajú o 88,5 %, spolufinancovania klesajú medziročne o 88,2 % a výdavky štátneho rozpočtu rastú o 2,5 %. Zvýšené výdavky zo štátneho rozpočtu v tejto oblasti sú spôsobené rozhodnutím kapitoly rozpísať svojim príspevkovým organizáciám celkovo o 3 % vyššie transfery v porovnaní so schváleným rozpočtom roku 2011, a to na úkor kategórie tovarov a služieb. Kapitola uskutočnila uvedený nárast výdavkov z dôvodu potreby zabezpečenia obligatórnych výdavkov svojich podriadených organizácií, v tomto prípade </w:t>
      </w:r>
      <w:r>
        <w:rPr>
          <w:rFonts w:ascii="Times New Roman" w:hAnsi="Times New Roman" w:cs="Times New Roman"/>
        </w:rPr>
        <w:t>Slovenského hydrometeorologického ústavu.</w:t>
      </w:r>
      <w:r w:rsidRPr="0004638E">
        <w:rPr>
          <w:rFonts w:ascii="Times New Roman" w:hAnsi="Times New Roman" w:cs="Times New Roman"/>
        </w:rPr>
        <w:t xml:space="preserve"> Výdavky za oblasť celkovo smerujú na financovanie konkrétnych projektov </w:t>
      </w:r>
      <w:r w:rsidRPr="0004638E">
        <w:rPr>
          <w:rFonts w:ascii="Times New Roman" w:hAnsi="Times New Roman" w:cs="Times New Roman"/>
          <w:bCs/>
        </w:rPr>
        <w:t>znižovania emisií znečisťujúcich látok</w:t>
      </w:r>
      <w:r w:rsidRPr="0004638E">
        <w:rPr>
          <w:rFonts w:ascii="Times New Roman" w:hAnsi="Times New Roman" w:cs="Times New Roman"/>
        </w:rPr>
        <w:t xml:space="preserve">, znižovanie emisií </w:t>
      </w:r>
      <w:r w:rsidRPr="0004638E">
        <w:rPr>
          <w:rFonts w:ascii="Times New Roman" w:hAnsi="Times New Roman" w:cs="Times New Roman"/>
          <w:bCs/>
        </w:rPr>
        <w:t>skleníkových plynov</w:t>
      </w:r>
      <w:r w:rsidRPr="0004638E">
        <w:rPr>
          <w:rFonts w:ascii="Times New Roman" w:hAnsi="Times New Roman" w:cs="Times New Roman"/>
        </w:rPr>
        <w:t xml:space="preserve">, </w:t>
      </w:r>
      <w:r w:rsidRPr="0004638E">
        <w:rPr>
          <w:rFonts w:ascii="Times New Roman" w:hAnsi="Times New Roman" w:cs="Times New Roman"/>
          <w:bCs/>
        </w:rPr>
        <w:t>ekologizáciu verejnej dopravy</w:t>
      </w:r>
      <w:r w:rsidRPr="0004638E">
        <w:rPr>
          <w:rFonts w:ascii="Times New Roman" w:hAnsi="Times New Roman" w:cs="Times New Roman"/>
        </w:rPr>
        <w:t xml:space="preserve">, výrobu </w:t>
      </w:r>
      <w:r w:rsidRPr="0004638E">
        <w:rPr>
          <w:rFonts w:ascii="Times New Roman" w:hAnsi="Times New Roman" w:cs="Times New Roman"/>
          <w:bCs/>
        </w:rPr>
        <w:t>energie z obnoviteľných zdrojov</w:t>
      </w:r>
      <w:r w:rsidRPr="0004638E">
        <w:rPr>
          <w:rFonts w:ascii="Times New Roman" w:hAnsi="Times New Roman" w:cs="Times New Roman"/>
        </w:rPr>
        <w:t xml:space="preserve"> a zvýšenie </w:t>
      </w:r>
      <w:r w:rsidRPr="0004638E">
        <w:rPr>
          <w:rFonts w:ascii="Times New Roman" w:hAnsi="Times New Roman" w:cs="Times New Roman"/>
          <w:bCs/>
        </w:rPr>
        <w:t>energetickej efektívnosti</w:t>
      </w:r>
      <w:r w:rsidRPr="0004638E">
        <w:rPr>
          <w:rFonts w:ascii="Times New Roman" w:hAnsi="Times New Roman" w:cs="Times New Roman"/>
        </w:rPr>
        <w:t xml:space="preserve">. </w:t>
      </w:r>
    </w:p>
    <w:p w:rsidR="00CB350B" w:rsidP="00CB350B">
      <w:pPr>
        <w:bidi w:val="0"/>
        <w:jc w:val="both"/>
        <w:rPr>
          <w:rFonts w:ascii="Times New Roman" w:hAnsi="Times New Roman" w:cs="Times New Roman"/>
        </w:rPr>
      </w:pPr>
    </w:p>
    <w:p w:rsidR="00257E12" w:rsidP="00CB350B">
      <w:pPr>
        <w:bidi w:val="0"/>
        <w:jc w:val="both"/>
        <w:rPr>
          <w:rFonts w:ascii="Times New Roman" w:hAnsi="Times New Roman" w:cs="Times New Roman"/>
        </w:rPr>
      </w:pPr>
    </w:p>
    <w:p w:rsidR="00257E12" w:rsidP="00CB350B">
      <w:pPr>
        <w:bidi w:val="0"/>
        <w:jc w:val="both"/>
        <w:rPr>
          <w:rFonts w:ascii="Times New Roman" w:hAnsi="Times New Roman" w:cs="Times New Roman"/>
        </w:rPr>
      </w:pPr>
    </w:p>
    <w:p w:rsidR="00257E12" w:rsidP="00CB350B">
      <w:pPr>
        <w:bidi w:val="0"/>
        <w:jc w:val="both"/>
        <w:rPr>
          <w:rFonts w:ascii="Times New Roman" w:hAnsi="Times New Roman" w:cs="Times New Roman"/>
        </w:rPr>
      </w:pPr>
    </w:p>
    <w:p w:rsidR="00257E12" w:rsidP="00CB350B">
      <w:pPr>
        <w:bidi w:val="0"/>
        <w:jc w:val="both"/>
        <w:rPr>
          <w:rFonts w:ascii="Times New Roman" w:hAnsi="Times New Roman" w:cs="Times New Roman"/>
        </w:rPr>
      </w:pPr>
    </w:p>
    <w:p w:rsidR="00257E12" w:rsidRPr="0004638E" w:rsidP="00CB350B">
      <w:pPr>
        <w:bidi w:val="0"/>
        <w:jc w:val="both"/>
        <w:rPr>
          <w:rFonts w:ascii="Times New Roman" w:hAnsi="Times New Roman" w:cs="Times New Roman"/>
        </w:rPr>
      </w:pPr>
    </w:p>
    <w:p w:rsidR="00CB350B" w:rsidRPr="0004638E" w:rsidP="00CB350B">
      <w:pPr>
        <w:bidi w:val="0"/>
        <w:jc w:val="both"/>
        <w:rPr>
          <w:rFonts w:ascii="Times New Roman" w:hAnsi="Times New Roman" w:cs="Times New Roman"/>
          <w:b/>
        </w:rPr>
      </w:pPr>
      <w:r w:rsidRPr="0004638E">
        <w:rPr>
          <w:rFonts w:ascii="Times New Roman" w:hAnsi="Times New Roman" w:cs="Times New Roman"/>
          <w:b/>
        </w:rPr>
        <w:t>Odpadové hospodárstvo</w:t>
      </w:r>
    </w:p>
    <w:p w:rsidR="00CB350B" w:rsidRPr="0004638E" w:rsidP="00CB350B">
      <w:pPr>
        <w:bidi w:val="0"/>
        <w:jc w:val="both"/>
        <w:rPr>
          <w:rFonts w:ascii="Times New Roman" w:hAnsi="Times New Roman" w:cs="Times New Roman"/>
        </w:rPr>
      </w:pPr>
    </w:p>
    <w:tbl>
      <w:tblPr>
        <w:tblStyle w:val="TableNormal"/>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707"/>
        <w:gridCol w:w="931"/>
        <w:gridCol w:w="931"/>
        <w:gridCol w:w="932"/>
        <w:gridCol w:w="931"/>
        <w:gridCol w:w="932"/>
        <w:gridCol w:w="931"/>
        <w:gridCol w:w="932"/>
      </w:tblGrid>
      <w:tr>
        <w:tblPrEx>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255"/>
        </w:trPr>
        <w:tc>
          <w:tcPr>
            <w:tcW w:w="2707"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textDirection w:val="lrTb"/>
            <w:vAlign w:val="bottom"/>
            <w:hideMark/>
          </w:tcPr>
          <w:p w:rsidR="00CB350B" w:rsidRPr="00122402" w:rsidP="00257E12">
            <w:pPr>
              <w:bidi w:val="0"/>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v eurách </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center"/>
            <w:hideMark/>
          </w:tcPr>
          <w:p w:rsidR="00CB350B" w:rsidRPr="00122402" w:rsidP="00257E12">
            <w:pPr>
              <w:bidi w:val="0"/>
              <w:jc w:val="center"/>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2009 S</w:t>
            </w:r>
          </w:p>
        </w:tc>
        <w:tc>
          <w:tcPr>
            <w:tcW w:w="93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textDirection w:val="lrTb"/>
            <w:vAlign w:val="center"/>
            <w:hideMark/>
          </w:tcPr>
          <w:p w:rsidR="00CB350B" w:rsidRPr="00122402" w:rsidP="00257E12">
            <w:pPr>
              <w:bidi w:val="0"/>
              <w:jc w:val="center"/>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2010S*</w:t>
            </w:r>
          </w:p>
        </w:tc>
        <w:tc>
          <w:tcPr>
            <w:tcW w:w="932"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textDirection w:val="lrTb"/>
            <w:vAlign w:val="center"/>
            <w:hideMark/>
          </w:tcPr>
          <w:p w:rsidR="00CB350B" w:rsidRPr="00122402" w:rsidP="00257E12">
            <w:pPr>
              <w:bidi w:val="0"/>
              <w:jc w:val="center"/>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2011 R</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center"/>
            <w:hideMark/>
          </w:tcPr>
          <w:p w:rsidR="00CB350B" w:rsidRPr="00122402" w:rsidP="00257E12">
            <w:pPr>
              <w:bidi w:val="0"/>
              <w:jc w:val="center"/>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2011 OS</w:t>
            </w:r>
          </w:p>
        </w:tc>
        <w:tc>
          <w:tcPr>
            <w:tcW w:w="932"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textDirection w:val="lrTb"/>
            <w:vAlign w:val="center"/>
            <w:hideMark/>
          </w:tcPr>
          <w:p w:rsidR="00CB350B" w:rsidRPr="00122402" w:rsidP="00257E12">
            <w:pPr>
              <w:bidi w:val="0"/>
              <w:jc w:val="center"/>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2012 N</w:t>
            </w:r>
          </w:p>
        </w:tc>
        <w:tc>
          <w:tcPr>
            <w:tcW w:w="93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textDirection w:val="lrTb"/>
            <w:vAlign w:val="center"/>
            <w:hideMark/>
          </w:tcPr>
          <w:p w:rsidR="00CB350B" w:rsidRPr="00122402" w:rsidP="00257E12">
            <w:pPr>
              <w:bidi w:val="0"/>
              <w:jc w:val="center"/>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2013 N</w:t>
            </w:r>
          </w:p>
        </w:tc>
        <w:tc>
          <w:tcPr>
            <w:tcW w:w="932"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textDirection w:val="lrTb"/>
            <w:vAlign w:val="center"/>
            <w:hideMark/>
          </w:tcPr>
          <w:p w:rsidR="00CB350B" w:rsidRPr="00122402" w:rsidP="00257E12">
            <w:pPr>
              <w:bidi w:val="0"/>
              <w:jc w:val="center"/>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2014 N</w:t>
            </w:r>
          </w:p>
        </w:tc>
      </w:tr>
      <w:tr>
        <w:tblPrEx>
          <w:tblW w:w="9227" w:type="dxa"/>
          <w:tblLayout w:type="fixed"/>
          <w:tblCellMar>
            <w:left w:w="0" w:type="dxa"/>
            <w:right w:w="0" w:type="dxa"/>
          </w:tblCellMar>
          <w:tblLook w:val="04A0"/>
        </w:tblPrEx>
        <w:trPr>
          <w:trHeight w:val="255"/>
        </w:trPr>
        <w:tc>
          <w:tcPr>
            <w:tcW w:w="2707"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CB350B" w:rsidRPr="00122402" w:rsidP="00257E12">
            <w:pPr>
              <w:bidi w:val="0"/>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Odpadové hospodárstvo</w:t>
            </w:r>
          </w:p>
        </w:tc>
        <w:tc>
          <w:tcPr>
            <w:tcW w:w="93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textDirection w:val="lrTb"/>
            <w:vAlign w:val="center"/>
            <w:hideMark/>
          </w:tcPr>
          <w:p w:rsidR="00CB350B" w:rsidRPr="00122402" w:rsidP="00257E12">
            <w:pPr>
              <w:bidi w:val="0"/>
              <w:jc w:val="right"/>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14 508 437</w:t>
            </w:r>
          </w:p>
        </w:tc>
        <w:tc>
          <w:tcPr>
            <w:tcW w:w="93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textDirection w:val="lrTb"/>
            <w:vAlign w:val="center"/>
            <w:hideMark/>
          </w:tcPr>
          <w:p w:rsidR="00CB350B" w:rsidRPr="00122402" w:rsidP="00257E12">
            <w:pPr>
              <w:bidi w:val="0"/>
              <w:jc w:val="right"/>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36 601 924</w:t>
            </w:r>
          </w:p>
        </w:tc>
        <w:tc>
          <w:tcPr>
            <w:tcW w:w="932"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textDirection w:val="lrTb"/>
            <w:vAlign w:val="center"/>
            <w:hideMark/>
          </w:tcPr>
          <w:p w:rsidR="00CB350B" w:rsidRPr="00122402" w:rsidP="00257E12">
            <w:pPr>
              <w:bidi w:val="0"/>
              <w:jc w:val="right"/>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193 059 492</w:t>
            </w:r>
          </w:p>
        </w:tc>
        <w:tc>
          <w:tcPr>
            <w:tcW w:w="93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textDirection w:val="lrTb"/>
            <w:vAlign w:val="center"/>
            <w:hideMark/>
          </w:tcPr>
          <w:p w:rsidR="00CB350B" w:rsidRPr="00122402" w:rsidP="00257E12">
            <w:pPr>
              <w:bidi w:val="0"/>
              <w:jc w:val="right"/>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62 468 169</w:t>
            </w:r>
          </w:p>
        </w:tc>
        <w:tc>
          <w:tcPr>
            <w:tcW w:w="932"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textDirection w:val="lrTb"/>
            <w:vAlign w:val="center"/>
            <w:hideMark/>
          </w:tcPr>
          <w:p w:rsidR="00CB350B" w:rsidRPr="00122402" w:rsidP="00257E12">
            <w:pPr>
              <w:bidi w:val="0"/>
              <w:jc w:val="right"/>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48 066 381</w:t>
            </w:r>
          </w:p>
        </w:tc>
        <w:tc>
          <w:tcPr>
            <w:tcW w:w="93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textDirection w:val="lrTb"/>
            <w:vAlign w:val="center"/>
            <w:hideMark/>
          </w:tcPr>
          <w:p w:rsidR="00CB350B" w:rsidRPr="00122402" w:rsidP="00257E12">
            <w:pPr>
              <w:bidi w:val="0"/>
              <w:jc w:val="right"/>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143 376 480</w:t>
            </w:r>
          </w:p>
        </w:tc>
        <w:tc>
          <w:tcPr>
            <w:tcW w:w="932"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textDirection w:val="lrTb"/>
            <w:vAlign w:val="center"/>
            <w:hideMark/>
          </w:tcPr>
          <w:p w:rsidR="00CB350B" w:rsidRPr="00122402" w:rsidP="00257E12">
            <w:pPr>
              <w:bidi w:val="0"/>
              <w:jc w:val="right"/>
              <w:rPr>
                <w:rFonts w:ascii="Times New Roman" w:hAnsi="Times New Roman" w:cs="Times New Roman"/>
                <w:b/>
                <w:bCs/>
                <w:color w:val="000000"/>
                <w:sz w:val="14"/>
                <w:szCs w:val="14"/>
              </w:rPr>
            </w:pPr>
            <w:r w:rsidRPr="00122402">
              <w:rPr>
                <w:rFonts w:ascii="Times New Roman" w:hAnsi="Times New Roman" w:cs="Times New Roman"/>
                <w:b/>
                <w:bCs/>
                <w:color w:val="000000"/>
                <w:sz w:val="14"/>
                <w:szCs w:val="14"/>
              </w:rPr>
              <w:t>81 265 753</w:t>
            </w:r>
          </w:p>
        </w:tc>
      </w:tr>
      <w:tr>
        <w:tblPrEx>
          <w:tblW w:w="9227" w:type="dxa"/>
          <w:tblLayout w:type="fixed"/>
          <w:tblCellMar>
            <w:left w:w="0" w:type="dxa"/>
            <w:right w:w="0" w:type="dxa"/>
          </w:tblCellMar>
          <w:tblLook w:val="04A0"/>
        </w:tblPrEx>
        <w:trPr>
          <w:trHeight w:val="255"/>
        </w:trPr>
        <w:tc>
          <w:tcPr>
            <w:tcW w:w="2707"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CB350B" w:rsidRPr="00122402" w:rsidP="00257E12">
            <w:pPr>
              <w:bidi w:val="0"/>
              <w:rPr>
                <w:rFonts w:ascii="Times New Roman" w:hAnsi="Times New Roman" w:cs="Times New Roman"/>
                <w:color w:val="000000"/>
                <w:sz w:val="14"/>
                <w:szCs w:val="14"/>
              </w:rPr>
            </w:pPr>
            <w:r w:rsidRPr="00122402">
              <w:rPr>
                <w:rFonts w:ascii="Times New Roman" w:hAnsi="Times New Roman" w:cs="Times New Roman"/>
                <w:color w:val="000000"/>
                <w:sz w:val="14"/>
                <w:szCs w:val="14"/>
              </w:rPr>
              <w:t xml:space="preserve">zdroje EÚ </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602 177</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13 832 374</w:t>
            </w:r>
          </w:p>
        </w:tc>
        <w:tc>
          <w:tcPr>
            <w:tcW w:w="932"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165 268 823</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55 420 794</w:t>
            </w:r>
          </w:p>
        </w:tc>
        <w:tc>
          <w:tcPr>
            <w:tcW w:w="932"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41 914 270</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122 220 283</w:t>
            </w:r>
          </w:p>
        </w:tc>
        <w:tc>
          <w:tcPr>
            <w:tcW w:w="932"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69 075 890</w:t>
            </w:r>
          </w:p>
        </w:tc>
      </w:tr>
      <w:tr>
        <w:tblPrEx>
          <w:tblW w:w="9227" w:type="dxa"/>
          <w:tblLayout w:type="fixed"/>
          <w:tblCellMar>
            <w:left w:w="0" w:type="dxa"/>
            <w:right w:w="0" w:type="dxa"/>
          </w:tblCellMar>
          <w:tblLook w:val="04A0"/>
        </w:tblPrEx>
        <w:trPr>
          <w:trHeight w:val="255"/>
        </w:trPr>
        <w:tc>
          <w:tcPr>
            <w:tcW w:w="2707"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CB350B" w:rsidRPr="00122402" w:rsidP="00257E12">
            <w:pPr>
              <w:bidi w:val="0"/>
              <w:rPr>
                <w:rFonts w:ascii="Times New Roman" w:hAnsi="Times New Roman" w:cs="Times New Roman"/>
                <w:color w:val="000000"/>
                <w:sz w:val="14"/>
                <w:szCs w:val="14"/>
              </w:rPr>
            </w:pPr>
            <w:r w:rsidRPr="00122402">
              <w:rPr>
                <w:rFonts w:ascii="Times New Roman" w:hAnsi="Times New Roman" w:cs="Times New Roman"/>
                <w:color w:val="000000"/>
                <w:sz w:val="14"/>
                <w:szCs w:val="14"/>
              </w:rPr>
              <w:t>spolufinancovanie zo ŠR</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0</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217 403</w:t>
            </w:r>
          </w:p>
        </w:tc>
        <w:tc>
          <w:tcPr>
            <w:tcW w:w="932"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27 790 669</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7 047 376</w:t>
            </w:r>
          </w:p>
        </w:tc>
        <w:tc>
          <w:tcPr>
            <w:tcW w:w="932"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6 152 111</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21 156 197</w:t>
            </w:r>
          </w:p>
        </w:tc>
        <w:tc>
          <w:tcPr>
            <w:tcW w:w="932"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12 189 863</w:t>
            </w:r>
          </w:p>
        </w:tc>
      </w:tr>
      <w:tr>
        <w:tblPrEx>
          <w:tblW w:w="9227" w:type="dxa"/>
          <w:tblLayout w:type="fixed"/>
          <w:tblCellMar>
            <w:left w:w="0" w:type="dxa"/>
            <w:right w:w="0" w:type="dxa"/>
          </w:tblCellMar>
          <w:tblLook w:val="04A0"/>
        </w:tblPrEx>
        <w:trPr>
          <w:trHeight w:val="255"/>
        </w:trPr>
        <w:tc>
          <w:tcPr>
            <w:tcW w:w="2707"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textDirection w:val="lrTb"/>
            <w:vAlign w:val="bottom"/>
            <w:hideMark/>
          </w:tcPr>
          <w:p w:rsidR="00CB350B" w:rsidRPr="00122402" w:rsidP="00257E12">
            <w:pPr>
              <w:bidi w:val="0"/>
              <w:rPr>
                <w:rFonts w:ascii="Times New Roman" w:hAnsi="Times New Roman" w:cs="Times New Roman"/>
                <w:color w:val="000000"/>
                <w:sz w:val="14"/>
                <w:szCs w:val="14"/>
              </w:rPr>
            </w:pPr>
            <w:r w:rsidRPr="00122402">
              <w:rPr>
                <w:rFonts w:ascii="Times New Roman" w:hAnsi="Times New Roman" w:cs="Times New Roman"/>
                <w:color w:val="000000"/>
                <w:sz w:val="14"/>
                <w:szCs w:val="14"/>
              </w:rPr>
              <w:t>presun z minulých rokov</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13 906 260</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22 552 147</w:t>
            </w:r>
          </w:p>
        </w:tc>
        <w:tc>
          <w:tcPr>
            <w:tcW w:w="932"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0</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0</w:t>
            </w:r>
          </w:p>
        </w:tc>
        <w:tc>
          <w:tcPr>
            <w:tcW w:w="932"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0</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0</w:t>
            </w:r>
          </w:p>
        </w:tc>
        <w:tc>
          <w:tcPr>
            <w:tcW w:w="932"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bottom"/>
            <w:hideMark/>
          </w:tcPr>
          <w:p w:rsidR="00CB350B" w:rsidRPr="00122402" w:rsidP="00257E12">
            <w:pPr>
              <w:bidi w:val="0"/>
              <w:jc w:val="right"/>
              <w:rPr>
                <w:rFonts w:ascii="Times New Roman" w:hAnsi="Times New Roman" w:cs="Times New Roman"/>
                <w:color w:val="000000"/>
                <w:sz w:val="14"/>
                <w:szCs w:val="14"/>
              </w:rPr>
            </w:pPr>
            <w:r w:rsidRPr="00122402">
              <w:rPr>
                <w:rFonts w:ascii="Times New Roman" w:hAnsi="Times New Roman" w:cs="Times New Roman"/>
                <w:color w:val="000000"/>
                <w:sz w:val="14"/>
                <w:szCs w:val="14"/>
              </w:rPr>
              <w:t>0</w:t>
            </w:r>
          </w:p>
        </w:tc>
      </w:tr>
    </w:tbl>
    <w:p w:rsidR="00CB350B" w:rsidRPr="00575C66" w:rsidP="00CB350B">
      <w:pPr>
        <w:bidi w:val="0"/>
        <w:jc w:val="both"/>
        <w:rPr>
          <w:rFonts w:ascii="Times New Roman" w:hAnsi="Times New Roman" w:cs="Times New Roman"/>
          <w:color w:val="000000"/>
          <w:sz w:val="14"/>
          <w:szCs w:val="14"/>
        </w:rPr>
      </w:pPr>
      <w:r w:rsidRPr="00E167C4">
        <w:rPr>
          <w:rFonts w:ascii="Times New Roman" w:hAnsi="Times New Roman" w:cs="Times New Roman"/>
          <w:color w:val="000000"/>
          <w:sz w:val="16"/>
          <w:szCs w:val="16"/>
        </w:rPr>
        <w:t xml:space="preserve"> </w:t>
      </w:r>
      <w:r w:rsidRPr="00575C66">
        <w:rPr>
          <w:rFonts w:ascii="Times New Roman" w:hAnsi="Times New Roman" w:cs="Times New Roman"/>
          <w:color w:val="000000"/>
          <w:sz w:val="14"/>
          <w:szCs w:val="14"/>
        </w:rPr>
        <w:t>* Čerpanie bolo ovplyvnené dočasným zánikom kapitoly MŽP SR</w:t>
      </w:r>
    </w:p>
    <w:p w:rsidR="00CB350B" w:rsidRPr="0004638E" w:rsidP="00CB350B">
      <w:pPr>
        <w:bidi w:val="0"/>
        <w:jc w:val="both"/>
        <w:rPr>
          <w:rFonts w:ascii="Times New Roman" w:hAnsi="Times New Roman" w:cs="Times New Roman"/>
          <w:b/>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Na odpadové hospodárstvo a environmentálne rizikové faktory sa v roku 2012 rozpočtujú prostriedky o 75,1 % nižšie ako v schválenom rozpočte na rok 2011 a tvoria ich iba prostriedky EÚ a spolufinancovanie. Tieto prostriedky slúžia na dobudovanie infraštruktúry odpadového hospodárstva (</w:t>
      </w:r>
      <w:r w:rsidRPr="0004638E">
        <w:rPr>
          <w:rFonts w:ascii="Times New Roman" w:hAnsi="Times New Roman" w:cs="Times New Roman"/>
          <w:bCs/>
        </w:rPr>
        <w:t>recyklácia odpadov</w:t>
      </w:r>
      <w:r w:rsidRPr="0004638E">
        <w:rPr>
          <w:rFonts w:ascii="Times New Roman" w:hAnsi="Times New Roman" w:cs="Times New Roman"/>
        </w:rPr>
        <w:t xml:space="preserve">, uzatváranie a rekultivácia </w:t>
      </w:r>
      <w:r w:rsidRPr="0004638E">
        <w:rPr>
          <w:rFonts w:ascii="Times New Roman" w:hAnsi="Times New Roman" w:cs="Times New Roman"/>
          <w:bCs/>
        </w:rPr>
        <w:t>skládok odpadov</w:t>
      </w:r>
      <w:r w:rsidRPr="0004638E">
        <w:rPr>
          <w:rFonts w:ascii="Times New Roman" w:hAnsi="Times New Roman" w:cs="Times New Roman"/>
        </w:rPr>
        <w:t xml:space="preserve">) a elimináciu negatívnych vplyvov </w:t>
      </w:r>
      <w:r w:rsidRPr="0004638E">
        <w:rPr>
          <w:rFonts w:ascii="Times New Roman" w:hAnsi="Times New Roman" w:cs="Times New Roman"/>
          <w:bCs/>
        </w:rPr>
        <w:t>environmentálnych záťaží</w:t>
      </w:r>
      <w:r w:rsidRPr="0004638E">
        <w:rPr>
          <w:rFonts w:ascii="Times New Roman" w:hAnsi="Times New Roman" w:cs="Times New Roman"/>
        </w:rPr>
        <w:t>.</w:t>
      </w:r>
    </w:p>
    <w:p w:rsidR="00CB350B" w:rsidRPr="0004638E" w:rsidP="00CB350B">
      <w:pPr>
        <w:bidi w:val="0"/>
        <w:jc w:val="both"/>
        <w:rPr>
          <w:rFonts w:ascii="Times New Roman" w:hAnsi="Times New Roman" w:cs="Times New Roman"/>
        </w:rPr>
      </w:pPr>
    </w:p>
    <w:p w:rsidR="00CB350B" w:rsidRPr="0004638E" w:rsidP="00CB350B">
      <w:pPr>
        <w:bidi w:val="0"/>
        <w:jc w:val="both"/>
        <w:rPr>
          <w:rFonts w:ascii="Times New Roman" w:hAnsi="Times New Roman" w:cs="Times New Roman"/>
          <w:b/>
        </w:rPr>
      </w:pPr>
      <w:r w:rsidRPr="0004638E">
        <w:rPr>
          <w:rFonts w:ascii="Times New Roman" w:hAnsi="Times New Roman" w:cs="Times New Roman"/>
          <w:b/>
        </w:rPr>
        <w:t>Ochrana prírody a krajiny</w:t>
      </w:r>
    </w:p>
    <w:p w:rsidR="00CB350B" w:rsidRPr="0004638E" w:rsidP="00CB350B">
      <w:pPr>
        <w:bidi w:val="0"/>
        <w:jc w:val="both"/>
        <w:rPr>
          <w:rFonts w:ascii="Times New Roman" w:hAnsi="Times New Roman" w:cs="Times New Roman"/>
        </w:rPr>
      </w:pPr>
    </w:p>
    <w:tbl>
      <w:tblPr>
        <w:tblStyle w:val="TableNormal"/>
        <w:tblW w:w="5000" w:type="pct"/>
        <w:tblInd w:w="-64" w:type="dxa"/>
        <w:tblLayout w:type="fixed"/>
        <w:tblCellMar>
          <w:left w:w="70" w:type="dxa"/>
          <w:right w:w="70" w:type="dxa"/>
        </w:tblCellMar>
        <w:tblLook w:val="04A0"/>
      </w:tblPr>
      <w:tblGrid>
        <w:gridCol w:w="140"/>
        <w:gridCol w:w="2624"/>
        <w:gridCol w:w="921"/>
        <w:gridCol w:w="921"/>
        <w:gridCol w:w="921"/>
        <w:gridCol w:w="227"/>
        <w:gridCol w:w="695"/>
        <w:gridCol w:w="921"/>
        <w:gridCol w:w="720"/>
        <w:gridCol w:w="201"/>
        <w:gridCol w:w="921"/>
      </w:tblGrid>
      <w:tr>
        <w:tblPrEx>
          <w:tblW w:w="5000" w:type="pct"/>
          <w:tblInd w:w="-64" w:type="dxa"/>
          <w:tblLayout w:type="fixed"/>
          <w:tblCellMar>
            <w:left w:w="70" w:type="dxa"/>
            <w:right w:w="70" w:type="dxa"/>
          </w:tblCellMar>
          <w:tblLook w:val="04A0"/>
        </w:tblPrEx>
        <w:trPr>
          <w:gridBefore w:val="1"/>
          <w:wBefore w:w="140" w:type="dxa"/>
          <w:trHeight w:val="255"/>
        </w:trPr>
        <w:tc>
          <w:tcPr>
            <w:tcW w:w="142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4C481B" w:rsidP="00257E12">
            <w:pPr>
              <w:bidi w:val="0"/>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v eurách </w:t>
            </w:r>
          </w:p>
        </w:tc>
        <w:tc>
          <w:tcPr>
            <w:tcW w:w="500" w:type="pct"/>
            <w:tcBorders>
              <w:top w:val="single" w:sz="4" w:space="0" w:color="auto"/>
              <w:left w:val="nil"/>
              <w:bottom w:val="single" w:sz="4" w:space="0" w:color="auto"/>
              <w:right w:val="single" w:sz="4" w:space="0" w:color="auto"/>
            </w:tcBorders>
            <w:textDirection w:val="lrTb"/>
            <w:vAlign w:val="center"/>
            <w:hideMark/>
          </w:tcPr>
          <w:p w:rsidR="00CB350B" w:rsidRPr="004C481B" w:rsidP="00257E12">
            <w:pPr>
              <w:bidi w:val="0"/>
              <w:jc w:val="center"/>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2009 S</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4C481B" w:rsidP="00257E12">
            <w:pPr>
              <w:bidi w:val="0"/>
              <w:jc w:val="center"/>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2010S**</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4C481B" w:rsidP="00257E12">
            <w:pPr>
              <w:bidi w:val="0"/>
              <w:jc w:val="center"/>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2011 R</w:t>
            </w:r>
          </w:p>
        </w:tc>
        <w:tc>
          <w:tcPr>
            <w:tcW w:w="500" w:type="pct"/>
            <w:gridSpan w:val="2"/>
            <w:tcBorders>
              <w:top w:val="single" w:sz="4" w:space="0" w:color="auto"/>
              <w:left w:val="nil"/>
              <w:bottom w:val="single" w:sz="4" w:space="0" w:color="auto"/>
              <w:right w:val="single" w:sz="4" w:space="0" w:color="auto"/>
            </w:tcBorders>
            <w:textDirection w:val="lrTb"/>
            <w:vAlign w:val="center"/>
            <w:hideMark/>
          </w:tcPr>
          <w:p w:rsidR="00CB350B" w:rsidRPr="004C481B" w:rsidP="00257E12">
            <w:pPr>
              <w:bidi w:val="0"/>
              <w:jc w:val="center"/>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2011 OS</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4C481B" w:rsidP="00257E12">
            <w:pPr>
              <w:bidi w:val="0"/>
              <w:jc w:val="center"/>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2012 N</w:t>
            </w:r>
          </w:p>
        </w:tc>
        <w:tc>
          <w:tcPr>
            <w:tcW w:w="500" w:type="pct"/>
            <w:gridSpan w:val="2"/>
            <w:tcBorders>
              <w:top w:val="single" w:sz="4" w:space="0" w:color="auto"/>
              <w:left w:val="nil"/>
              <w:bottom w:val="single" w:sz="4" w:space="0" w:color="auto"/>
              <w:right w:val="single" w:sz="4" w:space="0" w:color="auto"/>
            </w:tcBorders>
            <w:noWrap/>
            <w:textDirection w:val="lrTb"/>
            <w:vAlign w:val="center"/>
            <w:hideMark/>
          </w:tcPr>
          <w:p w:rsidR="00CB350B" w:rsidRPr="004C481B" w:rsidP="00257E12">
            <w:pPr>
              <w:bidi w:val="0"/>
              <w:jc w:val="center"/>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2013 N</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4C481B" w:rsidP="00257E12">
            <w:pPr>
              <w:bidi w:val="0"/>
              <w:jc w:val="center"/>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2014 N</w:t>
            </w:r>
          </w:p>
        </w:tc>
      </w:tr>
      <w:tr>
        <w:tblPrEx>
          <w:tblW w:w="5000" w:type="pct"/>
          <w:tblInd w:w="-64" w:type="dxa"/>
          <w:tblLayout w:type="fixed"/>
          <w:tblCellMar>
            <w:left w:w="70" w:type="dxa"/>
            <w:right w:w="70" w:type="dxa"/>
          </w:tblCellMar>
          <w:tblLook w:val="04A0"/>
        </w:tblPrEx>
        <w:trPr>
          <w:gridBefore w:val="1"/>
          <w:wBefore w:w="140" w:type="dxa"/>
          <w:trHeight w:val="255"/>
        </w:trPr>
        <w:tc>
          <w:tcPr>
            <w:tcW w:w="1424" w:type="pct"/>
            <w:tcBorders>
              <w:top w:val="nil"/>
              <w:left w:val="single" w:sz="4" w:space="0" w:color="auto"/>
              <w:bottom w:val="single" w:sz="4" w:space="0" w:color="auto"/>
              <w:right w:val="single" w:sz="4" w:space="0" w:color="auto"/>
            </w:tcBorders>
            <w:textDirection w:val="lrTb"/>
            <w:vAlign w:val="bottom"/>
            <w:hideMark/>
          </w:tcPr>
          <w:p w:rsidR="00CB350B" w:rsidRPr="004C481B" w:rsidP="00257E12">
            <w:pPr>
              <w:bidi w:val="0"/>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Ochrana prírody a krajiny</w:t>
            </w:r>
          </w:p>
        </w:tc>
        <w:tc>
          <w:tcPr>
            <w:tcW w:w="500"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18 255 601</w:t>
            </w:r>
          </w:p>
        </w:tc>
        <w:tc>
          <w:tcPr>
            <w:tcW w:w="500"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10 440 130</w:t>
            </w:r>
          </w:p>
        </w:tc>
        <w:tc>
          <w:tcPr>
            <w:tcW w:w="500"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47 413 609</w:t>
            </w:r>
          </w:p>
        </w:tc>
        <w:tc>
          <w:tcPr>
            <w:tcW w:w="500" w:type="pct"/>
            <w:gridSpan w:val="2"/>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28 971 548</w:t>
            </w:r>
          </w:p>
        </w:tc>
        <w:tc>
          <w:tcPr>
            <w:tcW w:w="500"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38 628 094</w:t>
            </w:r>
          </w:p>
        </w:tc>
        <w:tc>
          <w:tcPr>
            <w:tcW w:w="500" w:type="pct"/>
            <w:gridSpan w:val="2"/>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20 095 637</w:t>
            </w:r>
          </w:p>
        </w:tc>
        <w:tc>
          <w:tcPr>
            <w:tcW w:w="500"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41 491 668</w:t>
            </w:r>
          </w:p>
        </w:tc>
      </w:tr>
      <w:tr>
        <w:tblPrEx>
          <w:tblW w:w="5000" w:type="pct"/>
          <w:tblInd w:w="-64" w:type="dxa"/>
          <w:tblLayout w:type="fixed"/>
          <w:tblCellMar>
            <w:left w:w="70" w:type="dxa"/>
            <w:right w:w="70" w:type="dxa"/>
          </w:tblCellMar>
          <w:tblLook w:val="04A0"/>
        </w:tblPrEx>
        <w:trPr>
          <w:gridBefore w:val="1"/>
          <w:wBefore w:w="140" w:type="dxa"/>
          <w:trHeight w:val="255"/>
        </w:trPr>
        <w:tc>
          <w:tcPr>
            <w:tcW w:w="1424" w:type="pct"/>
            <w:tcBorders>
              <w:top w:val="single" w:sz="4" w:space="0" w:color="auto"/>
              <w:left w:val="single" w:sz="4" w:space="0" w:color="auto"/>
              <w:bottom w:val="single" w:sz="4" w:space="0" w:color="auto"/>
              <w:right w:val="single" w:sz="4" w:space="0" w:color="auto"/>
            </w:tcBorders>
            <w:textDirection w:val="lrTb"/>
            <w:vAlign w:val="bottom"/>
            <w:hideMark/>
          </w:tcPr>
          <w:p w:rsidR="00CB350B" w:rsidRPr="004C481B" w:rsidP="00257E12">
            <w:pPr>
              <w:bidi w:val="0"/>
              <w:rPr>
                <w:rFonts w:ascii="Times New Roman" w:hAnsi="Times New Roman" w:cs="Times New Roman"/>
                <w:b/>
                <w:color w:val="000000"/>
                <w:sz w:val="14"/>
                <w:szCs w:val="14"/>
              </w:rPr>
            </w:pPr>
            <w:r w:rsidRPr="004C481B">
              <w:rPr>
                <w:rFonts w:ascii="Times New Roman" w:hAnsi="Times New Roman" w:cs="Times New Roman"/>
                <w:b/>
                <w:color w:val="000000"/>
                <w:sz w:val="14"/>
                <w:szCs w:val="14"/>
              </w:rPr>
              <w:t>rozpočtové zdroje kapitoly , v tom:</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CB350B" w:rsidRPr="004C481B" w:rsidP="00257E12">
            <w:pPr>
              <w:bidi w:val="0"/>
              <w:jc w:val="right"/>
              <w:rPr>
                <w:rFonts w:ascii="Times New Roman" w:hAnsi="Times New Roman" w:cs="Times New Roman"/>
                <w:b/>
                <w:color w:val="000000"/>
                <w:sz w:val="14"/>
                <w:szCs w:val="14"/>
              </w:rPr>
            </w:pPr>
            <w:r w:rsidRPr="004C481B">
              <w:rPr>
                <w:rFonts w:ascii="Times New Roman" w:hAnsi="Times New Roman" w:cs="Times New Roman"/>
                <w:b/>
                <w:color w:val="000000"/>
                <w:sz w:val="14"/>
                <w:szCs w:val="14"/>
              </w:rPr>
              <w:t>14 729 639</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CB350B" w:rsidRPr="004C481B" w:rsidP="00257E12">
            <w:pPr>
              <w:bidi w:val="0"/>
              <w:jc w:val="right"/>
              <w:rPr>
                <w:rFonts w:ascii="Times New Roman" w:hAnsi="Times New Roman" w:cs="Times New Roman"/>
                <w:b/>
                <w:color w:val="000000"/>
                <w:sz w:val="14"/>
                <w:szCs w:val="14"/>
              </w:rPr>
            </w:pPr>
            <w:r w:rsidRPr="004C481B">
              <w:rPr>
                <w:rFonts w:ascii="Times New Roman" w:hAnsi="Times New Roman" w:cs="Times New Roman"/>
                <w:b/>
                <w:color w:val="000000"/>
                <w:sz w:val="14"/>
                <w:szCs w:val="14"/>
              </w:rPr>
              <w:t>6 485 244</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CB350B" w:rsidRPr="004C481B" w:rsidP="00257E12">
            <w:pPr>
              <w:bidi w:val="0"/>
              <w:jc w:val="right"/>
              <w:rPr>
                <w:rFonts w:ascii="Times New Roman" w:hAnsi="Times New Roman" w:cs="Times New Roman"/>
                <w:b/>
                <w:color w:val="000000"/>
                <w:sz w:val="14"/>
                <w:szCs w:val="14"/>
              </w:rPr>
            </w:pPr>
            <w:r w:rsidRPr="004C481B">
              <w:rPr>
                <w:rFonts w:ascii="Times New Roman" w:hAnsi="Times New Roman" w:cs="Times New Roman"/>
                <w:b/>
                <w:color w:val="000000"/>
                <w:sz w:val="14"/>
                <w:szCs w:val="14"/>
              </w:rPr>
              <w:t>8 488 480</w:t>
            </w:r>
          </w:p>
        </w:tc>
        <w:tc>
          <w:tcPr>
            <w:tcW w:w="500"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4C481B" w:rsidP="00257E12">
            <w:pPr>
              <w:bidi w:val="0"/>
              <w:jc w:val="right"/>
              <w:rPr>
                <w:rFonts w:ascii="Times New Roman" w:hAnsi="Times New Roman" w:cs="Times New Roman"/>
                <w:b/>
                <w:color w:val="000000"/>
                <w:sz w:val="14"/>
                <w:szCs w:val="14"/>
              </w:rPr>
            </w:pPr>
            <w:r w:rsidRPr="004C481B">
              <w:rPr>
                <w:rFonts w:ascii="Times New Roman" w:hAnsi="Times New Roman" w:cs="Times New Roman"/>
                <w:b/>
                <w:color w:val="000000"/>
                <w:sz w:val="14"/>
                <w:szCs w:val="14"/>
              </w:rPr>
              <w:t>8 518 480</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CB350B" w:rsidRPr="004C481B" w:rsidP="00257E12">
            <w:pPr>
              <w:bidi w:val="0"/>
              <w:jc w:val="right"/>
              <w:rPr>
                <w:rFonts w:ascii="Times New Roman" w:hAnsi="Times New Roman" w:cs="Times New Roman"/>
                <w:b/>
                <w:color w:val="000000"/>
                <w:sz w:val="14"/>
                <w:szCs w:val="14"/>
              </w:rPr>
            </w:pPr>
            <w:r w:rsidRPr="004C481B">
              <w:rPr>
                <w:rFonts w:ascii="Times New Roman" w:hAnsi="Times New Roman" w:cs="Times New Roman"/>
                <w:b/>
                <w:color w:val="000000"/>
                <w:sz w:val="14"/>
                <w:szCs w:val="14"/>
              </w:rPr>
              <w:t>9 265 390</w:t>
            </w:r>
          </w:p>
        </w:tc>
        <w:tc>
          <w:tcPr>
            <w:tcW w:w="500"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4C481B" w:rsidP="00257E12">
            <w:pPr>
              <w:bidi w:val="0"/>
              <w:jc w:val="right"/>
              <w:rPr>
                <w:rFonts w:ascii="Times New Roman" w:hAnsi="Times New Roman" w:cs="Times New Roman"/>
                <w:b/>
                <w:color w:val="000000"/>
                <w:sz w:val="14"/>
                <w:szCs w:val="14"/>
              </w:rPr>
            </w:pPr>
            <w:r w:rsidRPr="004C481B">
              <w:rPr>
                <w:rFonts w:ascii="Times New Roman" w:hAnsi="Times New Roman" w:cs="Times New Roman"/>
                <w:b/>
                <w:color w:val="000000"/>
                <w:sz w:val="14"/>
                <w:szCs w:val="14"/>
              </w:rPr>
              <w:t>9 265 390</w:t>
            </w:r>
          </w:p>
        </w:tc>
        <w:tc>
          <w:tcPr>
            <w:tcW w:w="500" w:type="pct"/>
            <w:tcBorders>
              <w:top w:val="single" w:sz="4" w:space="0" w:color="auto"/>
              <w:left w:val="nil"/>
              <w:bottom w:val="single" w:sz="4" w:space="0" w:color="auto"/>
              <w:right w:val="single" w:sz="4" w:space="0" w:color="auto"/>
            </w:tcBorders>
            <w:noWrap/>
            <w:textDirection w:val="lrTb"/>
            <w:vAlign w:val="bottom"/>
            <w:hideMark/>
          </w:tcPr>
          <w:p w:rsidR="00CB350B" w:rsidRPr="004C481B" w:rsidP="00257E12">
            <w:pPr>
              <w:bidi w:val="0"/>
              <w:jc w:val="right"/>
              <w:rPr>
                <w:rFonts w:ascii="Times New Roman" w:hAnsi="Times New Roman" w:cs="Times New Roman"/>
                <w:b/>
                <w:color w:val="000000"/>
                <w:sz w:val="14"/>
                <w:szCs w:val="14"/>
              </w:rPr>
            </w:pPr>
            <w:r w:rsidRPr="004C481B">
              <w:rPr>
                <w:rFonts w:ascii="Times New Roman" w:hAnsi="Times New Roman" w:cs="Times New Roman"/>
                <w:b/>
                <w:color w:val="000000"/>
                <w:sz w:val="14"/>
                <w:szCs w:val="14"/>
              </w:rPr>
              <w:t>9 265 390</w:t>
            </w:r>
          </w:p>
        </w:tc>
      </w:tr>
      <w:tr>
        <w:tblPrEx>
          <w:tblW w:w="5000" w:type="pct"/>
          <w:tblInd w:w="-64" w:type="dxa"/>
          <w:tblLayout w:type="fixed"/>
          <w:tblCellMar>
            <w:left w:w="70" w:type="dxa"/>
            <w:right w:w="70" w:type="dxa"/>
          </w:tblCellMar>
          <w:tblLook w:val="04A0"/>
        </w:tblPrEx>
        <w:trPr>
          <w:gridBefore w:val="1"/>
          <w:wBefore w:w="140" w:type="dxa"/>
          <w:trHeight w:val="255"/>
        </w:trPr>
        <w:tc>
          <w:tcPr>
            <w:tcW w:w="142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Aparát - šp. služby, na náhradu</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2 272 815</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420 006</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1 075 905</w:t>
            </w:r>
          </w:p>
        </w:tc>
        <w:tc>
          <w:tcPr>
            <w:tcW w:w="500" w:type="pct"/>
            <w:gridSpan w:val="2"/>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965 905</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1 400 000</w:t>
            </w:r>
          </w:p>
        </w:tc>
        <w:tc>
          <w:tcPr>
            <w:tcW w:w="500" w:type="pct"/>
            <w:gridSpan w:val="2"/>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1 400 000</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1 400 000</w:t>
            </w:r>
          </w:p>
        </w:tc>
      </w:tr>
      <w:tr>
        <w:tblPrEx>
          <w:tblW w:w="5000" w:type="pct"/>
          <w:tblInd w:w="-64" w:type="dxa"/>
          <w:tblLayout w:type="fixed"/>
          <w:tblCellMar>
            <w:left w:w="70" w:type="dxa"/>
            <w:right w:w="70" w:type="dxa"/>
          </w:tblCellMar>
          <w:tblLook w:val="04A0"/>
        </w:tblPrEx>
        <w:trPr>
          <w:gridBefore w:val="1"/>
          <w:wBefore w:w="140" w:type="dxa"/>
          <w:trHeight w:val="255"/>
        </w:trPr>
        <w:tc>
          <w:tcPr>
            <w:tcW w:w="142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Štátny geologický ústav Dionýza Štúra</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4 478 817</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2 976 629</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2 678 966</w:t>
            </w:r>
          </w:p>
        </w:tc>
        <w:tc>
          <w:tcPr>
            <w:tcW w:w="500" w:type="pct"/>
            <w:gridSpan w:val="2"/>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2 708 966</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2 742 000</w:t>
            </w:r>
          </w:p>
        </w:tc>
        <w:tc>
          <w:tcPr>
            <w:tcW w:w="500" w:type="pct"/>
            <w:gridSpan w:val="2"/>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2 742 000</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2 742 000</w:t>
            </w:r>
          </w:p>
        </w:tc>
      </w:tr>
      <w:tr>
        <w:tblPrEx>
          <w:tblW w:w="5000" w:type="pct"/>
          <w:tblInd w:w="-64" w:type="dxa"/>
          <w:tblLayout w:type="fixed"/>
          <w:tblCellMar>
            <w:left w:w="70" w:type="dxa"/>
            <w:right w:w="70" w:type="dxa"/>
          </w:tblCellMar>
          <w:tblLook w:val="04A0"/>
        </w:tblPrEx>
        <w:trPr>
          <w:gridBefore w:val="1"/>
          <w:wBefore w:w="140" w:type="dxa"/>
          <w:trHeight w:val="255"/>
        </w:trPr>
        <w:tc>
          <w:tcPr>
            <w:tcW w:w="142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Slovenské banské múzeum</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1 197 508</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458 982</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372 328</w:t>
            </w:r>
          </w:p>
        </w:tc>
        <w:tc>
          <w:tcPr>
            <w:tcW w:w="500" w:type="pct"/>
            <w:gridSpan w:val="2"/>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422 328</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472 000</w:t>
            </w:r>
          </w:p>
        </w:tc>
        <w:tc>
          <w:tcPr>
            <w:tcW w:w="500" w:type="pct"/>
            <w:gridSpan w:val="2"/>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472 000</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472 000</w:t>
            </w:r>
          </w:p>
        </w:tc>
      </w:tr>
      <w:tr>
        <w:tblPrEx>
          <w:tblW w:w="5000" w:type="pct"/>
          <w:tblInd w:w="-64" w:type="dxa"/>
          <w:tblLayout w:type="fixed"/>
          <w:tblCellMar>
            <w:left w:w="70" w:type="dxa"/>
            <w:right w:w="70" w:type="dxa"/>
          </w:tblCellMar>
          <w:tblLook w:val="04A0"/>
        </w:tblPrEx>
        <w:trPr>
          <w:gridBefore w:val="1"/>
          <w:wBefore w:w="140" w:type="dxa"/>
          <w:trHeight w:val="255"/>
        </w:trPr>
        <w:tc>
          <w:tcPr>
            <w:tcW w:w="142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ZOO Bojnice</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969 889</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694 961</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646 600</w:t>
            </w:r>
          </w:p>
        </w:tc>
        <w:tc>
          <w:tcPr>
            <w:tcW w:w="500" w:type="pct"/>
            <w:gridSpan w:val="2"/>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686 600</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729 390</w:t>
            </w:r>
          </w:p>
        </w:tc>
        <w:tc>
          <w:tcPr>
            <w:tcW w:w="500" w:type="pct"/>
            <w:gridSpan w:val="2"/>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729 390</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729 390</w:t>
            </w:r>
          </w:p>
        </w:tc>
      </w:tr>
      <w:tr>
        <w:tblPrEx>
          <w:tblW w:w="5000" w:type="pct"/>
          <w:tblInd w:w="-64" w:type="dxa"/>
          <w:tblLayout w:type="fixed"/>
          <w:tblCellMar>
            <w:left w:w="70" w:type="dxa"/>
            <w:right w:w="70" w:type="dxa"/>
          </w:tblCellMar>
          <w:tblLook w:val="04A0"/>
        </w:tblPrEx>
        <w:trPr>
          <w:gridBefore w:val="1"/>
          <w:wBefore w:w="140" w:type="dxa"/>
          <w:trHeight w:val="255"/>
        </w:trPr>
        <w:tc>
          <w:tcPr>
            <w:tcW w:w="142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Štátna ochrana prírody SR</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5 129 716</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1 460 732</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3 282 973</w:t>
            </w:r>
          </w:p>
        </w:tc>
        <w:tc>
          <w:tcPr>
            <w:tcW w:w="500" w:type="pct"/>
            <w:gridSpan w:val="2"/>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3 282 973</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3 460 000</w:t>
            </w:r>
          </w:p>
        </w:tc>
        <w:tc>
          <w:tcPr>
            <w:tcW w:w="500" w:type="pct"/>
            <w:gridSpan w:val="2"/>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3 460 000</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3 460 000</w:t>
            </w:r>
          </w:p>
        </w:tc>
      </w:tr>
      <w:tr>
        <w:tblPrEx>
          <w:tblW w:w="5000" w:type="pct"/>
          <w:tblInd w:w="-64" w:type="dxa"/>
          <w:tblLayout w:type="fixed"/>
          <w:tblCellMar>
            <w:left w:w="70" w:type="dxa"/>
            <w:right w:w="70" w:type="dxa"/>
          </w:tblCellMar>
          <w:tblLook w:val="04A0"/>
        </w:tblPrEx>
        <w:trPr>
          <w:gridBefore w:val="1"/>
          <w:wBefore w:w="140" w:type="dxa"/>
          <w:trHeight w:val="255"/>
        </w:trPr>
        <w:tc>
          <w:tcPr>
            <w:tcW w:w="142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Slovenské múzeum ochrany prírody a jaskyniarstva</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680 894</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473 935</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431 708</w:t>
            </w:r>
          </w:p>
        </w:tc>
        <w:tc>
          <w:tcPr>
            <w:tcW w:w="500" w:type="pct"/>
            <w:gridSpan w:val="2"/>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451 708</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462 000</w:t>
            </w:r>
          </w:p>
        </w:tc>
        <w:tc>
          <w:tcPr>
            <w:tcW w:w="500" w:type="pct"/>
            <w:gridSpan w:val="2"/>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462 000</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i/>
                <w:color w:val="000000"/>
                <w:sz w:val="14"/>
                <w:szCs w:val="14"/>
              </w:rPr>
            </w:pPr>
            <w:r w:rsidRPr="00122402">
              <w:rPr>
                <w:rFonts w:ascii="Times New Roman" w:hAnsi="Times New Roman" w:cs="Times New Roman"/>
                <w:i/>
                <w:color w:val="000000"/>
                <w:sz w:val="14"/>
                <w:szCs w:val="14"/>
              </w:rPr>
              <w:t>462 000</w:t>
            </w:r>
          </w:p>
        </w:tc>
      </w:tr>
      <w:tr>
        <w:tblPrEx>
          <w:tblW w:w="5000" w:type="pct"/>
          <w:tblInd w:w="-64" w:type="dxa"/>
          <w:tblLayout w:type="fixed"/>
          <w:tblCellMar>
            <w:left w:w="70" w:type="dxa"/>
            <w:right w:w="70" w:type="dxa"/>
          </w:tblCellMar>
          <w:tblLook w:val="04A0"/>
        </w:tblPrEx>
        <w:trPr>
          <w:gridBefore w:val="1"/>
          <w:wBefore w:w="140" w:type="dxa"/>
          <w:trHeight w:val="255"/>
        </w:trPr>
        <w:tc>
          <w:tcPr>
            <w:tcW w:w="142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 xml:space="preserve">zdroje EÚ </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0</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0</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27 587 091</w:t>
            </w:r>
          </w:p>
        </w:tc>
        <w:tc>
          <w:tcPr>
            <w:tcW w:w="500" w:type="pct"/>
            <w:gridSpan w:val="2"/>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9 250 979</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18 373 188</w:t>
            </w:r>
          </w:p>
        </w:tc>
        <w:tc>
          <w:tcPr>
            <w:tcW w:w="500" w:type="pct"/>
            <w:gridSpan w:val="2"/>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2 525 196</w:t>
            </w:r>
          </w:p>
        </w:tc>
        <w:tc>
          <w:tcPr>
            <w:tcW w:w="500" w:type="pct"/>
            <w:tcBorders>
              <w:top w:val="nil"/>
              <w:left w:val="nil"/>
              <w:bottom w:val="single" w:sz="4" w:space="0" w:color="auto"/>
              <w:right w:val="single" w:sz="4" w:space="0" w:color="auto"/>
            </w:tcBorders>
            <w:noWrap/>
            <w:textDirection w:val="lrTb"/>
            <w:vAlign w:val="bottom"/>
            <w:hideMark/>
          </w:tcPr>
          <w:p w:rsidR="00CB350B" w:rsidRPr="00122402" w:rsidP="00257E12">
            <w:pPr>
              <w:bidi w:val="0"/>
              <w:jc w:val="right"/>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25 419 097</w:t>
            </w:r>
          </w:p>
        </w:tc>
      </w:tr>
      <w:tr>
        <w:tblPrEx>
          <w:tblW w:w="5000" w:type="pct"/>
          <w:tblInd w:w="-64" w:type="dxa"/>
          <w:tblLayout w:type="fixed"/>
          <w:tblCellMar>
            <w:left w:w="70" w:type="dxa"/>
            <w:right w:w="70" w:type="dxa"/>
          </w:tblCellMar>
          <w:tblLook w:val="04A0"/>
        </w:tblPrEx>
        <w:trPr>
          <w:gridBefore w:val="1"/>
          <w:wBefore w:w="140" w:type="dxa"/>
          <w:trHeight w:val="255"/>
        </w:trPr>
        <w:tc>
          <w:tcPr>
            <w:tcW w:w="1424" w:type="pct"/>
            <w:tcBorders>
              <w:top w:val="single" w:sz="4" w:space="0" w:color="auto"/>
              <w:left w:val="single" w:sz="4" w:space="0" w:color="auto"/>
              <w:bottom w:val="single" w:sz="4" w:space="0" w:color="auto"/>
              <w:right w:val="single" w:sz="4" w:space="0" w:color="auto"/>
            </w:tcBorders>
            <w:textDirection w:val="lrTb"/>
            <w:vAlign w:val="bottom"/>
            <w:hideMark/>
          </w:tcPr>
          <w:p w:rsidR="00CB350B" w:rsidRPr="00122402" w:rsidP="00257E12">
            <w:pPr>
              <w:bidi w:val="0"/>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spolufinancovanie zo ŠR</w:t>
            </w:r>
          </w:p>
        </w:tc>
        <w:tc>
          <w:tcPr>
            <w:tcW w:w="500"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1 010 905</w:t>
            </w:r>
          </w:p>
        </w:tc>
        <w:tc>
          <w:tcPr>
            <w:tcW w:w="500"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160 320</w:t>
            </w:r>
          </w:p>
        </w:tc>
        <w:tc>
          <w:tcPr>
            <w:tcW w:w="500"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7 751 242</w:t>
            </w:r>
          </w:p>
        </w:tc>
        <w:tc>
          <w:tcPr>
            <w:tcW w:w="500" w:type="pct"/>
            <w:gridSpan w:val="2"/>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1 965 621</w:t>
            </w:r>
          </w:p>
        </w:tc>
        <w:tc>
          <w:tcPr>
            <w:tcW w:w="500"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6 901 994</w:t>
            </w:r>
          </w:p>
        </w:tc>
        <w:tc>
          <w:tcPr>
            <w:tcW w:w="500" w:type="pct"/>
            <w:gridSpan w:val="2"/>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4 295 622</w:t>
            </w:r>
          </w:p>
        </w:tc>
        <w:tc>
          <w:tcPr>
            <w:tcW w:w="500"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6 336 555</w:t>
            </w:r>
          </w:p>
        </w:tc>
      </w:tr>
      <w:tr>
        <w:tblPrEx>
          <w:tblW w:w="5000" w:type="pct"/>
          <w:tblInd w:w="-64" w:type="dxa"/>
          <w:tblLayout w:type="fixed"/>
          <w:tblCellMar>
            <w:left w:w="70" w:type="dxa"/>
            <w:right w:w="70" w:type="dxa"/>
          </w:tblCellMar>
          <w:tblLook w:val="04A0"/>
        </w:tblPrEx>
        <w:trPr>
          <w:gridBefore w:val="1"/>
          <w:wBefore w:w="140" w:type="dxa"/>
          <w:trHeight w:val="255"/>
        </w:trPr>
        <w:tc>
          <w:tcPr>
            <w:tcW w:w="142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122402" w:rsidP="00257E12">
            <w:pPr>
              <w:bidi w:val="0"/>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presun z minulých rokov</w:t>
            </w:r>
          </w:p>
        </w:tc>
        <w:tc>
          <w:tcPr>
            <w:tcW w:w="500"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2 509 104</w:t>
            </w:r>
          </w:p>
        </w:tc>
        <w:tc>
          <w:tcPr>
            <w:tcW w:w="500"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3 794 566</w:t>
            </w:r>
          </w:p>
        </w:tc>
        <w:tc>
          <w:tcPr>
            <w:tcW w:w="500"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0</w:t>
            </w:r>
          </w:p>
        </w:tc>
        <w:tc>
          <w:tcPr>
            <w:tcW w:w="500" w:type="pct"/>
            <w:gridSpan w:val="2"/>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5 649 672</w:t>
            </w:r>
          </w:p>
        </w:tc>
        <w:tc>
          <w:tcPr>
            <w:tcW w:w="500"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0</w:t>
            </w:r>
          </w:p>
        </w:tc>
        <w:tc>
          <w:tcPr>
            <w:tcW w:w="500" w:type="pct"/>
            <w:gridSpan w:val="2"/>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0</w:t>
            </w:r>
          </w:p>
        </w:tc>
        <w:tc>
          <w:tcPr>
            <w:tcW w:w="500"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0</w:t>
            </w:r>
          </w:p>
        </w:tc>
      </w:tr>
      <w:tr>
        <w:tblPrEx>
          <w:tblW w:w="5000" w:type="pct"/>
          <w:tblInd w:w="-64" w:type="dxa"/>
          <w:tblLayout w:type="fixed"/>
          <w:tblCellMar>
            <w:left w:w="70" w:type="dxa"/>
            <w:right w:w="70" w:type="dxa"/>
          </w:tblCellMar>
          <w:tblLook w:val="04A0"/>
        </w:tblPrEx>
        <w:trPr>
          <w:gridBefore w:val="1"/>
          <w:wBefore w:w="140" w:type="dxa"/>
          <w:trHeight w:val="255"/>
        </w:trPr>
        <w:tc>
          <w:tcPr>
            <w:tcW w:w="1424" w:type="pct"/>
            <w:tcBorders>
              <w:top w:val="single" w:sz="4" w:space="0" w:color="auto"/>
              <w:left w:val="single" w:sz="4" w:space="0" w:color="auto"/>
              <w:bottom w:val="single" w:sz="4" w:space="0" w:color="auto"/>
              <w:right w:val="single" w:sz="4" w:space="0" w:color="auto"/>
            </w:tcBorders>
            <w:textDirection w:val="lrTb"/>
            <w:vAlign w:val="bottom"/>
            <w:hideMark/>
          </w:tcPr>
          <w:p w:rsidR="00CB350B" w:rsidRPr="00122402" w:rsidP="00257E12">
            <w:pPr>
              <w:bidi w:val="0"/>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iné  zdroje*</w:t>
            </w:r>
          </w:p>
        </w:tc>
        <w:tc>
          <w:tcPr>
            <w:tcW w:w="500"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5 954</w:t>
            </w:r>
          </w:p>
        </w:tc>
        <w:tc>
          <w:tcPr>
            <w:tcW w:w="500"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0</w:t>
            </w:r>
          </w:p>
        </w:tc>
        <w:tc>
          <w:tcPr>
            <w:tcW w:w="500"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3 586 796</w:t>
            </w:r>
          </w:p>
        </w:tc>
        <w:tc>
          <w:tcPr>
            <w:tcW w:w="500" w:type="pct"/>
            <w:gridSpan w:val="2"/>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3 586 796</w:t>
            </w:r>
          </w:p>
        </w:tc>
        <w:tc>
          <w:tcPr>
            <w:tcW w:w="500"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4 087 522</w:t>
            </w:r>
          </w:p>
        </w:tc>
        <w:tc>
          <w:tcPr>
            <w:tcW w:w="500" w:type="pct"/>
            <w:gridSpan w:val="2"/>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4 009 429</w:t>
            </w:r>
          </w:p>
        </w:tc>
        <w:tc>
          <w:tcPr>
            <w:tcW w:w="500" w:type="pct"/>
            <w:tcBorders>
              <w:top w:val="nil"/>
              <w:left w:val="nil"/>
              <w:bottom w:val="single" w:sz="4" w:space="0" w:color="auto"/>
              <w:right w:val="single" w:sz="4" w:space="0" w:color="auto"/>
            </w:tcBorders>
            <w:textDirection w:val="lrTb"/>
            <w:vAlign w:val="bottom"/>
            <w:hideMark/>
          </w:tcPr>
          <w:p w:rsidR="00CB350B" w:rsidRPr="00122402" w:rsidP="00257E12">
            <w:pPr>
              <w:bidi w:val="0"/>
              <w:jc w:val="right"/>
              <w:rPr>
                <w:rFonts w:ascii="Times New Roman" w:hAnsi="Times New Roman" w:cs="Times New Roman"/>
                <w:b/>
                <w:color w:val="000000"/>
                <w:sz w:val="14"/>
                <w:szCs w:val="14"/>
              </w:rPr>
            </w:pPr>
            <w:r w:rsidRPr="00122402">
              <w:rPr>
                <w:rFonts w:ascii="Times New Roman" w:hAnsi="Times New Roman" w:cs="Times New Roman"/>
                <w:b/>
                <w:color w:val="000000"/>
                <w:sz w:val="14"/>
                <w:szCs w:val="14"/>
              </w:rPr>
              <w:t>470 626</w:t>
            </w:r>
          </w:p>
        </w:tc>
      </w:tr>
      <w:tr>
        <w:tblPrEx>
          <w:tblW w:w="5000" w:type="pct"/>
          <w:jc w:val="center"/>
          <w:tblLayout w:type="fixed"/>
          <w:tblCellMar>
            <w:left w:w="70" w:type="dxa"/>
            <w:right w:w="70" w:type="dxa"/>
          </w:tblCellMar>
          <w:tblLook w:val="04A0"/>
        </w:tblPrEx>
        <w:trPr>
          <w:gridAfter w:val="2"/>
          <w:wAfter w:w="609" w:type="dxa"/>
          <w:trHeight w:val="153"/>
          <w:jc w:val="center"/>
        </w:trPr>
        <w:tc>
          <w:tcPr>
            <w:tcW w:w="4391" w:type="pct"/>
            <w:gridSpan w:val="9"/>
            <w:tcBorders>
              <w:top w:val="nil"/>
              <w:left w:val="nil"/>
              <w:bottom w:val="nil"/>
              <w:right w:val="nil"/>
            </w:tcBorders>
            <w:noWrap/>
            <w:textDirection w:val="lrTb"/>
            <w:vAlign w:val="top"/>
            <w:hideMark/>
          </w:tcPr>
          <w:p w:rsidR="00CB350B" w:rsidRPr="0004638E" w:rsidP="00257E12">
            <w:pPr>
              <w:bidi w:val="0"/>
              <w:jc w:val="both"/>
              <w:rPr>
                <w:rFonts w:ascii="Times New Roman" w:hAnsi="Times New Roman" w:cs="Times New Roman"/>
                <w:sz w:val="14"/>
                <w:szCs w:val="14"/>
              </w:rPr>
            </w:pPr>
            <w:r w:rsidRPr="0004638E">
              <w:rPr>
                <w:rFonts w:ascii="Times New Roman" w:hAnsi="Times New Roman" w:cs="Times New Roman"/>
                <w:color w:val="000000"/>
                <w:sz w:val="14"/>
                <w:szCs w:val="14"/>
              </w:rPr>
              <w:t xml:space="preserve">    </w:t>
            </w:r>
            <w:r w:rsidRPr="0004638E">
              <w:rPr>
                <w:rFonts w:ascii="Times New Roman" w:hAnsi="Times New Roman" w:cs="Times New Roman"/>
                <w:sz w:val="14"/>
                <w:szCs w:val="14"/>
              </w:rPr>
              <w:t>*  Prechodný fond, ISPA, Interreg III B, LIFE+, ETC, Finančný mechanizmus EHP, Nórsky finančný mechanizmus, ŠFM</w:t>
            </w:r>
          </w:p>
        </w:tc>
      </w:tr>
      <w:tr>
        <w:tblPrEx>
          <w:tblW w:w="5000" w:type="pct"/>
          <w:jc w:val="center"/>
          <w:tblLayout w:type="fixed"/>
          <w:tblCellMar>
            <w:left w:w="70" w:type="dxa"/>
            <w:right w:w="70" w:type="dxa"/>
          </w:tblCellMar>
          <w:tblLook w:val="04A0"/>
        </w:tblPrEx>
        <w:trPr>
          <w:gridAfter w:val="5"/>
          <w:wAfter w:w="1877" w:type="dxa"/>
          <w:trHeight w:val="180"/>
          <w:jc w:val="center"/>
        </w:trPr>
        <w:tc>
          <w:tcPr>
            <w:tcW w:w="3123" w:type="pct"/>
            <w:gridSpan w:val="6"/>
            <w:tcBorders>
              <w:top w:val="nil"/>
              <w:left w:val="nil"/>
              <w:bottom w:val="nil"/>
              <w:right w:val="nil"/>
            </w:tcBorders>
            <w:noWrap/>
            <w:textDirection w:val="lrTb"/>
            <w:vAlign w:val="top"/>
            <w:hideMark/>
          </w:tcPr>
          <w:p w:rsidR="00CB350B" w:rsidRPr="0004638E" w:rsidP="00257E12">
            <w:pPr>
              <w:bidi w:val="0"/>
              <w:rPr>
                <w:rFonts w:ascii="Times New Roman" w:hAnsi="Times New Roman" w:cs="Times New Roman"/>
                <w:color w:val="000000"/>
                <w:sz w:val="14"/>
                <w:szCs w:val="14"/>
              </w:rPr>
            </w:pPr>
            <w:r w:rsidRPr="0004638E">
              <w:rPr>
                <w:rFonts w:ascii="Times New Roman" w:hAnsi="Times New Roman" w:cs="Times New Roman"/>
                <w:color w:val="000000"/>
                <w:sz w:val="14"/>
                <w:szCs w:val="14"/>
              </w:rPr>
              <w:t xml:space="preserve">       ** Čerpanie bolo ovplyvnené dočasným zánikom kapitoly MŽP SR</w:t>
            </w:r>
          </w:p>
        </w:tc>
      </w:tr>
    </w:tbl>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Na</w:t>
      </w:r>
      <w:r w:rsidRPr="0004638E">
        <w:rPr>
          <w:rFonts w:ascii="Times New Roman" w:hAnsi="Times New Roman" w:cs="Times New Roman"/>
          <w:bCs/>
        </w:rPr>
        <w:t xml:space="preserve"> </w:t>
      </w:r>
      <w:r w:rsidRPr="0004638E">
        <w:rPr>
          <w:rFonts w:ascii="Times New Roman" w:hAnsi="Times New Roman" w:cs="Times New Roman"/>
        </w:rPr>
        <w:t xml:space="preserve">ochranu prírody a krajiny sa v roku 2012  výdavky rozpočtujú o 18,5 % nižšie ako v schválenom rozpočte roku 2011 a sú to vlastné prostriedky kapitoly s medziročným nárastom 9,2 %, prostriedky EÚ s poklesom 33,4 %, spolufinancovanie prostriedkov EÚ, ktoré klesajú o 10,9 % a prostriedky finančného nástroja pre životné prostredie LIFE+, určené hlavne na </w:t>
      </w:r>
      <w:r w:rsidRPr="0004638E">
        <w:rPr>
          <w:rFonts w:ascii="Times New Roman" w:hAnsi="Times New Roman" w:cs="Times New Roman"/>
          <w:bCs/>
        </w:rPr>
        <w:t>dobudovanie infraštruktúry ochrany prírody</w:t>
      </w:r>
      <w:r w:rsidRPr="0004638E">
        <w:rPr>
          <w:rFonts w:ascii="Times New Roman" w:hAnsi="Times New Roman" w:cs="Times New Roman"/>
        </w:rPr>
        <w:t xml:space="preserve"> (sústava chránených území NATURA 2000). Zvýšené výdavky zo štátneho rozpočtu v tejto oblasti sú spôsobené rozhodnutím kapitoly rozpísať príspevkovým organizáciám, uvedeným v tabuľke celkovo o 3 % vyššie transfery v porovnaní so schváleným rozpočtom roku 2011, a to na úkor kategórie tovarov a služieb. Kapitola uskutočnila uvedený nárast výdavkov z dôvodu potreby zabezpečenia obligatórnych výdavkov svojich podriadených organizácií.</w:t>
      </w:r>
    </w:p>
    <w:p w:rsidR="00CB350B" w:rsidP="00CB350B">
      <w:pPr>
        <w:bidi w:val="0"/>
        <w:jc w:val="both"/>
        <w:rPr>
          <w:rFonts w:ascii="Times New Roman" w:hAnsi="Times New Roman" w:cs="Times New Roman"/>
          <w:b/>
        </w:rPr>
      </w:pPr>
    </w:p>
    <w:p w:rsidR="00257E12" w:rsidP="00CB350B">
      <w:pPr>
        <w:bidi w:val="0"/>
        <w:jc w:val="both"/>
        <w:rPr>
          <w:rFonts w:ascii="Times New Roman" w:hAnsi="Times New Roman" w:cs="Times New Roman"/>
          <w:b/>
        </w:rPr>
      </w:pPr>
    </w:p>
    <w:p w:rsidR="00257E12" w:rsidP="00CB350B">
      <w:pPr>
        <w:bidi w:val="0"/>
        <w:jc w:val="both"/>
        <w:rPr>
          <w:rFonts w:ascii="Times New Roman" w:hAnsi="Times New Roman" w:cs="Times New Roman"/>
          <w:b/>
        </w:rPr>
      </w:pPr>
    </w:p>
    <w:p w:rsidR="00257E12" w:rsidP="00CB350B">
      <w:pPr>
        <w:bidi w:val="0"/>
        <w:jc w:val="both"/>
        <w:rPr>
          <w:rFonts w:ascii="Times New Roman" w:hAnsi="Times New Roman" w:cs="Times New Roman"/>
          <w:b/>
        </w:rPr>
      </w:pPr>
    </w:p>
    <w:p w:rsidR="00257E12" w:rsidP="00CB350B">
      <w:pPr>
        <w:bidi w:val="0"/>
        <w:jc w:val="both"/>
        <w:rPr>
          <w:rFonts w:ascii="Times New Roman" w:hAnsi="Times New Roman" w:cs="Times New Roman"/>
          <w:b/>
        </w:rPr>
      </w:pPr>
    </w:p>
    <w:p w:rsidR="00257E12" w:rsidP="00CB350B">
      <w:pPr>
        <w:bidi w:val="0"/>
        <w:jc w:val="both"/>
        <w:rPr>
          <w:rFonts w:ascii="Times New Roman" w:hAnsi="Times New Roman" w:cs="Times New Roman"/>
          <w:b/>
        </w:rPr>
      </w:pPr>
    </w:p>
    <w:p w:rsidR="00257E12" w:rsidP="00CB350B">
      <w:pPr>
        <w:bidi w:val="0"/>
        <w:jc w:val="both"/>
        <w:rPr>
          <w:rFonts w:ascii="Times New Roman" w:hAnsi="Times New Roman" w:cs="Times New Roman"/>
          <w:b/>
        </w:rPr>
      </w:pPr>
    </w:p>
    <w:p w:rsidR="00257E12" w:rsidP="00CB350B">
      <w:pPr>
        <w:bidi w:val="0"/>
        <w:jc w:val="both"/>
        <w:rPr>
          <w:rFonts w:ascii="Times New Roman" w:hAnsi="Times New Roman" w:cs="Times New Roman"/>
          <w:b/>
        </w:rPr>
      </w:pPr>
    </w:p>
    <w:p w:rsidR="00257E12" w:rsidRPr="0004638E" w:rsidP="00CB350B">
      <w:pPr>
        <w:bidi w:val="0"/>
        <w:jc w:val="both"/>
        <w:rPr>
          <w:rFonts w:ascii="Times New Roman" w:hAnsi="Times New Roman" w:cs="Times New Roman"/>
          <w:b/>
        </w:rPr>
      </w:pPr>
    </w:p>
    <w:p w:rsidR="00CB350B" w:rsidRPr="0004638E" w:rsidP="00CB350B">
      <w:pPr>
        <w:bidi w:val="0"/>
        <w:jc w:val="both"/>
        <w:rPr>
          <w:rFonts w:ascii="Times New Roman" w:hAnsi="Times New Roman" w:cs="Times New Roman"/>
          <w:b/>
        </w:rPr>
      </w:pPr>
      <w:r w:rsidRPr="0004638E">
        <w:rPr>
          <w:rFonts w:ascii="Times New Roman" w:hAnsi="Times New Roman" w:cs="Times New Roman"/>
          <w:b/>
        </w:rPr>
        <w:t>Administratíva</w:t>
      </w:r>
    </w:p>
    <w:p w:rsidR="00CB350B" w:rsidRPr="0004638E" w:rsidP="00CB350B">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050"/>
        <w:gridCol w:w="1023"/>
        <w:gridCol w:w="1023"/>
        <w:gridCol w:w="1023"/>
        <w:gridCol w:w="1023"/>
        <w:gridCol w:w="1023"/>
        <w:gridCol w:w="1023"/>
        <w:gridCol w:w="1024"/>
      </w:tblGrid>
      <w:tr>
        <w:tblPrEx>
          <w:tblW w:w="5000" w:type="pct"/>
          <w:tblCellMar>
            <w:left w:w="70" w:type="dxa"/>
            <w:right w:w="70" w:type="dxa"/>
          </w:tblCellMar>
          <w:tblLook w:val="04A0"/>
        </w:tblPrEx>
        <w:trPr>
          <w:trHeight w:val="270"/>
        </w:trPr>
        <w:tc>
          <w:tcPr>
            <w:tcW w:w="1113"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4C481B" w:rsidP="00257E12">
            <w:pPr>
              <w:bidi w:val="0"/>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v eurách </w:t>
            </w:r>
          </w:p>
        </w:tc>
        <w:tc>
          <w:tcPr>
            <w:tcW w:w="555" w:type="pct"/>
            <w:tcBorders>
              <w:top w:val="single" w:sz="4" w:space="0" w:color="auto"/>
              <w:left w:val="nil"/>
              <w:bottom w:val="single" w:sz="4" w:space="0" w:color="auto"/>
              <w:right w:val="single" w:sz="4" w:space="0" w:color="auto"/>
            </w:tcBorders>
            <w:textDirection w:val="lrTb"/>
            <w:vAlign w:val="center"/>
            <w:hideMark/>
          </w:tcPr>
          <w:p w:rsidR="00CB350B" w:rsidRPr="004C481B" w:rsidP="00257E12">
            <w:pPr>
              <w:bidi w:val="0"/>
              <w:jc w:val="center"/>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2009 S</w:t>
            </w:r>
          </w:p>
        </w:tc>
        <w:tc>
          <w:tcPr>
            <w:tcW w:w="555" w:type="pct"/>
            <w:tcBorders>
              <w:top w:val="single" w:sz="4" w:space="0" w:color="auto"/>
              <w:left w:val="nil"/>
              <w:bottom w:val="single" w:sz="4" w:space="0" w:color="auto"/>
              <w:right w:val="single" w:sz="4" w:space="0" w:color="auto"/>
            </w:tcBorders>
            <w:noWrap/>
            <w:textDirection w:val="lrTb"/>
            <w:vAlign w:val="center"/>
            <w:hideMark/>
          </w:tcPr>
          <w:p w:rsidR="00CB350B" w:rsidRPr="004C481B" w:rsidP="00257E12">
            <w:pPr>
              <w:bidi w:val="0"/>
              <w:jc w:val="center"/>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2010S**</w:t>
            </w:r>
          </w:p>
        </w:tc>
        <w:tc>
          <w:tcPr>
            <w:tcW w:w="555" w:type="pct"/>
            <w:tcBorders>
              <w:top w:val="single" w:sz="4" w:space="0" w:color="auto"/>
              <w:left w:val="nil"/>
              <w:bottom w:val="single" w:sz="4" w:space="0" w:color="auto"/>
              <w:right w:val="single" w:sz="4" w:space="0" w:color="auto"/>
            </w:tcBorders>
            <w:noWrap/>
            <w:textDirection w:val="lrTb"/>
            <w:vAlign w:val="center"/>
            <w:hideMark/>
          </w:tcPr>
          <w:p w:rsidR="00CB350B" w:rsidRPr="004C481B" w:rsidP="00257E12">
            <w:pPr>
              <w:bidi w:val="0"/>
              <w:jc w:val="center"/>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2011 R</w:t>
            </w:r>
          </w:p>
        </w:tc>
        <w:tc>
          <w:tcPr>
            <w:tcW w:w="555" w:type="pct"/>
            <w:tcBorders>
              <w:top w:val="single" w:sz="4" w:space="0" w:color="auto"/>
              <w:left w:val="nil"/>
              <w:bottom w:val="single" w:sz="4" w:space="0" w:color="auto"/>
              <w:right w:val="single" w:sz="4" w:space="0" w:color="auto"/>
            </w:tcBorders>
            <w:textDirection w:val="lrTb"/>
            <w:vAlign w:val="center"/>
            <w:hideMark/>
          </w:tcPr>
          <w:p w:rsidR="00CB350B" w:rsidRPr="004C481B" w:rsidP="00257E12">
            <w:pPr>
              <w:bidi w:val="0"/>
              <w:jc w:val="center"/>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2011 OS</w:t>
            </w:r>
          </w:p>
        </w:tc>
        <w:tc>
          <w:tcPr>
            <w:tcW w:w="555" w:type="pct"/>
            <w:tcBorders>
              <w:top w:val="single" w:sz="4" w:space="0" w:color="auto"/>
              <w:left w:val="nil"/>
              <w:bottom w:val="single" w:sz="4" w:space="0" w:color="auto"/>
              <w:right w:val="single" w:sz="4" w:space="0" w:color="auto"/>
            </w:tcBorders>
            <w:noWrap/>
            <w:textDirection w:val="lrTb"/>
            <w:vAlign w:val="center"/>
            <w:hideMark/>
          </w:tcPr>
          <w:p w:rsidR="00CB350B" w:rsidRPr="004C481B" w:rsidP="00257E12">
            <w:pPr>
              <w:bidi w:val="0"/>
              <w:jc w:val="center"/>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2012 N</w:t>
            </w:r>
          </w:p>
        </w:tc>
        <w:tc>
          <w:tcPr>
            <w:tcW w:w="555" w:type="pct"/>
            <w:tcBorders>
              <w:top w:val="single" w:sz="4" w:space="0" w:color="auto"/>
              <w:left w:val="nil"/>
              <w:bottom w:val="single" w:sz="4" w:space="0" w:color="auto"/>
              <w:right w:val="single" w:sz="4" w:space="0" w:color="auto"/>
            </w:tcBorders>
            <w:noWrap/>
            <w:textDirection w:val="lrTb"/>
            <w:vAlign w:val="center"/>
            <w:hideMark/>
          </w:tcPr>
          <w:p w:rsidR="00CB350B" w:rsidRPr="004C481B" w:rsidP="00257E12">
            <w:pPr>
              <w:bidi w:val="0"/>
              <w:jc w:val="center"/>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2013 N</w:t>
            </w:r>
          </w:p>
        </w:tc>
        <w:tc>
          <w:tcPr>
            <w:tcW w:w="556" w:type="pct"/>
            <w:tcBorders>
              <w:top w:val="single" w:sz="4" w:space="0" w:color="auto"/>
              <w:left w:val="nil"/>
              <w:bottom w:val="single" w:sz="4" w:space="0" w:color="auto"/>
              <w:right w:val="single" w:sz="4" w:space="0" w:color="auto"/>
            </w:tcBorders>
            <w:noWrap/>
            <w:textDirection w:val="lrTb"/>
            <w:vAlign w:val="center"/>
            <w:hideMark/>
          </w:tcPr>
          <w:p w:rsidR="00CB350B" w:rsidRPr="004C481B" w:rsidP="00257E12">
            <w:pPr>
              <w:bidi w:val="0"/>
              <w:jc w:val="center"/>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2014 N</w:t>
            </w:r>
          </w:p>
        </w:tc>
      </w:tr>
      <w:tr>
        <w:tblPrEx>
          <w:tblW w:w="5000" w:type="pct"/>
          <w:tblCellMar>
            <w:left w:w="70" w:type="dxa"/>
            <w:right w:w="70" w:type="dxa"/>
          </w:tblCellMar>
          <w:tblLook w:val="04A0"/>
        </w:tblPrEx>
        <w:trPr>
          <w:trHeight w:val="270"/>
        </w:trPr>
        <w:tc>
          <w:tcPr>
            <w:tcW w:w="1113" w:type="pct"/>
            <w:tcBorders>
              <w:top w:val="nil"/>
              <w:left w:val="single" w:sz="4" w:space="0" w:color="auto"/>
              <w:bottom w:val="single" w:sz="4" w:space="0" w:color="auto"/>
              <w:right w:val="single" w:sz="4" w:space="0" w:color="auto"/>
            </w:tcBorders>
            <w:textDirection w:val="lrTb"/>
            <w:vAlign w:val="bottom"/>
            <w:hideMark/>
          </w:tcPr>
          <w:p w:rsidR="00CB350B" w:rsidRPr="004C481B" w:rsidP="00257E12">
            <w:pPr>
              <w:bidi w:val="0"/>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Administratíva</w:t>
            </w:r>
          </w:p>
        </w:tc>
        <w:tc>
          <w:tcPr>
            <w:tcW w:w="555"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56 286 343</w:t>
            </w:r>
          </w:p>
        </w:tc>
        <w:tc>
          <w:tcPr>
            <w:tcW w:w="555"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31 030 296</w:t>
            </w:r>
          </w:p>
        </w:tc>
        <w:tc>
          <w:tcPr>
            <w:tcW w:w="555"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50 728 948</w:t>
            </w:r>
          </w:p>
        </w:tc>
        <w:tc>
          <w:tcPr>
            <w:tcW w:w="555"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46 160 299</w:t>
            </w:r>
          </w:p>
        </w:tc>
        <w:tc>
          <w:tcPr>
            <w:tcW w:w="555"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43 654 988</w:t>
            </w:r>
          </w:p>
        </w:tc>
        <w:tc>
          <w:tcPr>
            <w:tcW w:w="555"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45 310 374</w:t>
            </w:r>
          </w:p>
        </w:tc>
        <w:tc>
          <w:tcPr>
            <w:tcW w:w="556"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40 033 074</w:t>
            </w:r>
          </w:p>
        </w:tc>
      </w:tr>
      <w:tr>
        <w:tblPrEx>
          <w:tblW w:w="5000" w:type="pct"/>
          <w:tblCellMar>
            <w:left w:w="70" w:type="dxa"/>
            <w:right w:w="70" w:type="dxa"/>
          </w:tblCellMar>
          <w:tblLook w:val="04A0"/>
        </w:tblPrEx>
        <w:trPr>
          <w:trHeight w:val="270"/>
        </w:trPr>
        <w:tc>
          <w:tcPr>
            <w:tcW w:w="1113" w:type="pct"/>
            <w:tcBorders>
              <w:top w:val="nil"/>
              <w:left w:val="single" w:sz="4" w:space="0" w:color="auto"/>
              <w:bottom w:val="single" w:sz="4" w:space="0" w:color="auto"/>
              <w:right w:val="single" w:sz="4" w:space="0" w:color="auto"/>
            </w:tcBorders>
            <w:noWrap/>
            <w:textDirection w:val="lrTb"/>
            <w:vAlign w:val="bottom"/>
            <w:hideMark/>
          </w:tcPr>
          <w:p w:rsidR="00CB350B" w:rsidRPr="004C481B" w:rsidP="00257E12">
            <w:pPr>
              <w:bidi w:val="0"/>
              <w:rPr>
                <w:rFonts w:ascii="Times New Roman" w:hAnsi="Times New Roman" w:cs="Times New Roman"/>
                <w:color w:val="000000"/>
                <w:sz w:val="14"/>
                <w:szCs w:val="14"/>
              </w:rPr>
            </w:pPr>
            <w:r w:rsidRPr="004C481B">
              <w:rPr>
                <w:rFonts w:ascii="Times New Roman" w:hAnsi="Times New Roman" w:cs="Times New Roman"/>
                <w:color w:val="000000"/>
                <w:sz w:val="14"/>
                <w:szCs w:val="14"/>
              </w:rPr>
              <w:t>rozpočtové zdroje kapitoly</w:t>
            </w:r>
          </w:p>
        </w:tc>
        <w:tc>
          <w:tcPr>
            <w:tcW w:w="555"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42 558 462</w:t>
            </w:r>
          </w:p>
        </w:tc>
        <w:tc>
          <w:tcPr>
            <w:tcW w:w="555"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27 231 517</w:t>
            </w:r>
          </w:p>
        </w:tc>
        <w:tc>
          <w:tcPr>
            <w:tcW w:w="555"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35 652 813</w:t>
            </w:r>
          </w:p>
        </w:tc>
        <w:tc>
          <w:tcPr>
            <w:tcW w:w="555"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35 652 813</w:t>
            </w:r>
          </w:p>
        </w:tc>
        <w:tc>
          <w:tcPr>
            <w:tcW w:w="555"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33 622 386</w:t>
            </w:r>
          </w:p>
        </w:tc>
        <w:tc>
          <w:tcPr>
            <w:tcW w:w="555"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33 652 404</w:t>
            </w:r>
          </w:p>
        </w:tc>
        <w:tc>
          <w:tcPr>
            <w:tcW w:w="556"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33 662 117</w:t>
            </w:r>
          </w:p>
        </w:tc>
      </w:tr>
      <w:tr>
        <w:tblPrEx>
          <w:tblW w:w="5000" w:type="pct"/>
          <w:tblCellMar>
            <w:left w:w="70" w:type="dxa"/>
            <w:right w:w="70" w:type="dxa"/>
          </w:tblCellMar>
          <w:tblLook w:val="04A0"/>
        </w:tblPrEx>
        <w:trPr>
          <w:trHeight w:val="270"/>
        </w:trPr>
        <w:tc>
          <w:tcPr>
            <w:tcW w:w="1113" w:type="pct"/>
            <w:tcBorders>
              <w:top w:val="nil"/>
              <w:left w:val="single" w:sz="4" w:space="0" w:color="auto"/>
              <w:bottom w:val="single" w:sz="4" w:space="0" w:color="auto"/>
              <w:right w:val="single" w:sz="4" w:space="0" w:color="auto"/>
            </w:tcBorders>
            <w:noWrap/>
            <w:textDirection w:val="lrTb"/>
            <w:vAlign w:val="bottom"/>
            <w:hideMark/>
          </w:tcPr>
          <w:p w:rsidR="00CB350B" w:rsidRPr="004C481B" w:rsidP="00257E12">
            <w:pPr>
              <w:bidi w:val="0"/>
              <w:rPr>
                <w:rFonts w:ascii="Times New Roman" w:hAnsi="Times New Roman" w:cs="Times New Roman"/>
                <w:color w:val="000000"/>
                <w:sz w:val="14"/>
                <w:szCs w:val="14"/>
              </w:rPr>
            </w:pPr>
            <w:r w:rsidRPr="004C481B">
              <w:rPr>
                <w:rFonts w:ascii="Times New Roman" w:hAnsi="Times New Roman" w:cs="Times New Roman"/>
                <w:color w:val="000000"/>
                <w:sz w:val="14"/>
                <w:szCs w:val="14"/>
              </w:rPr>
              <w:t xml:space="preserve">zdroje EÚ </w:t>
            </w:r>
          </w:p>
        </w:tc>
        <w:tc>
          <w:tcPr>
            <w:tcW w:w="555"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9 303 467</w:t>
            </w:r>
          </w:p>
        </w:tc>
        <w:tc>
          <w:tcPr>
            <w:tcW w:w="555"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816 215</w:t>
            </w:r>
          </w:p>
        </w:tc>
        <w:tc>
          <w:tcPr>
            <w:tcW w:w="555"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12 197 490</w:t>
            </w:r>
          </w:p>
        </w:tc>
        <w:tc>
          <w:tcPr>
            <w:tcW w:w="555"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7 869 910</w:t>
            </w:r>
          </w:p>
        </w:tc>
        <w:tc>
          <w:tcPr>
            <w:tcW w:w="555"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8 449 532</w:t>
            </w:r>
          </w:p>
        </w:tc>
        <w:tc>
          <w:tcPr>
            <w:tcW w:w="555"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6 587 049</w:t>
            </w:r>
          </w:p>
        </w:tc>
        <w:tc>
          <w:tcPr>
            <w:tcW w:w="556"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5 391 277</w:t>
            </w:r>
          </w:p>
        </w:tc>
      </w:tr>
      <w:tr>
        <w:tblPrEx>
          <w:tblW w:w="5000" w:type="pct"/>
          <w:tblCellMar>
            <w:left w:w="70" w:type="dxa"/>
            <w:right w:w="70" w:type="dxa"/>
          </w:tblCellMar>
          <w:tblLook w:val="04A0"/>
        </w:tblPrEx>
        <w:trPr>
          <w:trHeight w:val="270"/>
        </w:trPr>
        <w:tc>
          <w:tcPr>
            <w:tcW w:w="1113" w:type="pct"/>
            <w:tcBorders>
              <w:top w:val="single" w:sz="4" w:space="0" w:color="auto"/>
              <w:left w:val="single" w:sz="4" w:space="0" w:color="auto"/>
              <w:bottom w:val="single" w:sz="4" w:space="0" w:color="auto"/>
              <w:right w:val="single" w:sz="4" w:space="0" w:color="auto"/>
            </w:tcBorders>
            <w:textDirection w:val="lrTb"/>
            <w:vAlign w:val="bottom"/>
            <w:hideMark/>
          </w:tcPr>
          <w:p w:rsidR="00CB350B" w:rsidRPr="004C481B" w:rsidP="00257E12">
            <w:pPr>
              <w:bidi w:val="0"/>
              <w:rPr>
                <w:rFonts w:ascii="Times New Roman" w:hAnsi="Times New Roman" w:cs="Times New Roman"/>
                <w:color w:val="000000"/>
                <w:sz w:val="14"/>
                <w:szCs w:val="14"/>
              </w:rPr>
            </w:pPr>
            <w:r w:rsidRPr="004C481B">
              <w:rPr>
                <w:rFonts w:ascii="Times New Roman" w:hAnsi="Times New Roman" w:cs="Times New Roman"/>
                <w:color w:val="000000"/>
                <w:sz w:val="14"/>
                <w:szCs w:val="14"/>
              </w:rPr>
              <w:t>spolufinancovanie zo ŠR</w:t>
            </w:r>
          </w:p>
        </w:tc>
        <w:tc>
          <w:tcPr>
            <w:tcW w:w="555"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832 676</w:t>
            </w:r>
          </w:p>
        </w:tc>
        <w:tc>
          <w:tcPr>
            <w:tcW w:w="555"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387 074</w:t>
            </w:r>
          </w:p>
        </w:tc>
        <w:tc>
          <w:tcPr>
            <w:tcW w:w="555"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2 840 444</w:t>
            </w:r>
          </w:p>
        </w:tc>
        <w:tc>
          <w:tcPr>
            <w:tcW w:w="555"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2 546 513</w:t>
            </w:r>
          </w:p>
        </w:tc>
        <w:tc>
          <w:tcPr>
            <w:tcW w:w="555"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1 583 070</w:t>
            </w:r>
          </w:p>
        </w:tc>
        <w:tc>
          <w:tcPr>
            <w:tcW w:w="555"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5 070 921</w:t>
            </w:r>
          </w:p>
        </w:tc>
        <w:tc>
          <w:tcPr>
            <w:tcW w:w="556"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979 680</w:t>
            </w:r>
          </w:p>
        </w:tc>
      </w:tr>
      <w:tr>
        <w:tblPrEx>
          <w:tblW w:w="5000" w:type="pct"/>
          <w:tblCellMar>
            <w:left w:w="70" w:type="dxa"/>
            <w:right w:w="70" w:type="dxa"/>
          </w:tblCellMar>
          <w:tblLook w:val="04A0"/>
        </w:tblPrEx>
        <w:trPr>
          <w:trHeight w:val="270"/>
        </w:trPr>
        <w:tc>
          <w:tcPr>
            <w:tcW w:w="1113" w:type="pct"/>
            <w:tcBorders>
              <w:top w:val="nil"/>
              <w:left w:val="single" w:sz="4" w:space="0" w:color="auto"/>
              <w:bottom w:val="single" w:sz="4" w:space="0" w:color="auto"/>
              <w:right w:val="single" w:sz="4" w:space="0" w:color="auto"/>
            </w:tcBorders>
            <w:noWrap/>
            <w:textDirection w:val="lrTb"/>
            <w:vAlign w:val="bottom"/>
            <w:hideMark/>
          </w:tcPr>
          <w:p w:rsidR="00CB350B" w:rsidRPr="004C481B" w:rsidP="00257E12">
            <w:pPr>
              <w:bidi w:val="0"/>
              <w:rPr>
                <w:rFonts w:ascii="Times New Roman" w:hAnsi="Times New Roman" w:cs="Times New Roman"/>
                <w:color w:val="000000"/>
                <w:sz w:val="14"/>
                <w:szCs w:val="14"/>
              </w:rPr>
            </w:pPr>
            <w:r w:rsidRPr="004C481B">
              <w:rPr>
                <w:rFonts w:ascii="Times New Roman" w:hAnsi="Times New Roman" w:cs="Times New Roman"/>
                <w:color w:val="000000"/>
                <w:sz w:val="14"/>
                <w:szCs w:val="14"/>
              </w:rPr>
              <w:t>presun z minulých rokov</w:t>
            </w:r>
          </w:p>
        </w:tc>
        <w:tc>
          <w:tcPr>
            <w:tcW w:w="555"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3 372 280</w:t>
            </w:r>
          </w:p>
        </w:tc>
        <w:tc>
          <w:tcPr>
            <w:tcW w:w="555"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1 491 749</w:t>
            </w:r>
          </w:p>
        </w:tc>
        <w:tc>
          <w:tcPr>
            <w:tcW w:w="555"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0</w:t>
            </w:r>
          </w:p>
        </w:tc>
        <w:tc>
          <w:tcPr>
            <w:tcW w:w="555"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52 862</w:t>
            </w:r>
          </w:p>
        </w:tc>
        <w:tc>
          <w:tcPr>
            <w:tcW w:w="555"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0</w:t>
            </w:r>
          </w:p>
        </w:tc>
        <w:tc>
          <w:tcPr>
            <w:tcW w:w="555"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0</w:t>
            </w:r>
          </w:p>
        </w:tc>
        <w:tc>
          <w:tcPr>
            <w:tcW w:w="556"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70"/>
        </w:trPr>
        <w:tc>
          <w:tcPr>
            <w:tcW w:w="1113" w:type="pct"/>
            <w:tcBorders>
              <w:top w:val="nil"/>
              <w:left w:val="single" w:sz="4" w:space="0" w:color="auto"/>
              <w:bottom w:val="single" w:sz="4" w:space="0" w:color="auto"/>
              <w:right w:val="single" w:sz="4" w:space="0" w:color="auto"/>
            </w:tcBorders>
            <w:textDirection w:val="lrTb"/>
            <w:vAlign w:val="bottom"/>
            <w:hideMark/>
          </w:tcPr>
          <w:p w:rsidR="00CB350B" w:rsidRPr="004C481B" w:rsidP="00257E12">
            <w:pPr>
              <w:bidi w:val="0"/>
              <w:rPr>
                <w:rFonts w:ascii="Times New Roman" w:hAnsi="Times New Roman" w:cs="Times New Roman"/>
                <w:color w:val="000000"/>
                <w:sz w:val="14"/>
                <w:szCs w:val="14"/>
              </w:rPr>
            </w:pPr>
            <w:r w:rsidRPr="004C481B">
              <w:rPr>
                <w:rFonts w:ascii="Times New Roman" w:hAnsi="Times New Roman" w:cs="Times New Roman"/>
                <w:color w:val="000000"/>
                <w:sz w:val="14"/>
                <w:szCs w:val="14"/>
              </w:rPr>
              <w:t>iné  zdroje*</w:t>
            </w:r>
          </w:p>
        </w:tc>
        <w:tc>
          <w:tcPr>
            <w:tcW w:w="555"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219 458</w:t>
            </w:r>
          </w:p>
        </w:tc>
        <w:tc>
          <w:tcPr>
            <w:tcW w:w="555"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1 103 740</w:t>
            </w:r>
          </w:p>
        </w:tc>
        <w:tc>
          <w:tcPr>
            <w:tcW w:w="555"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38 201</w:t>
            </w:r>
          </w:p>
        </w:tc>
        <w:tc>
          <w:tcPr>
            <w:tcW w:w="555"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38 201</w:t>
            </w:r>
          </w:p>
        </w:tc>
        <w:tc>
          <w:tcPr>
            <w:tcW w:w="555"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0</w:t>
            </w:r>
          </w:p>
        </w:tc>
        <w:tc>
          <w:tcPr>
            <w:tcW w:w="555"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0</w:t>
            </w:r>
          </w:p>
        </w:tc>
        <w:tc>
          <w:tcPr>
            <w:tcW w:w="556"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0</w:t>
            </w:r>
          </w:p>
        </w:tc>
      </w:tr>
    </w:tbl>
    <w:p w:rsidR="00CB350B" w:rsidP="00CB350B">
      <w:pPr>
        <w:bidi w:val="0"/>
        <w:jc w:val="both"/>
        <w:rPr>
          <w:rFonts w:ascii="Times New Roman" w:hAnsi="Times New Roman" w:cs="Times New Roman"/>
          <w:sz w:val="14"/>
          <w:szCs w:val="14"/>
        </w:rPr>
      </w:pPr>
      <w:r w:rsidRPr="0004638E">
        <w:rPr>
          <w:rFonts w:ascii="Times New Roman" w:hAnsi="Times New Roman" w:cs="Times New Roman"/>
          <w:sz w:val="14"/>
          <w:szCs w:val="14"/>
        </w:rPr>
        <w:t>*  Prechodný fond, ISPA, Interreg III B, LIFE+, ETC, Finančný mechanizmus EHP, Nórsky finančný mechanizmus, ŠFM</w:t>
      </w:r>
    </w:p>
    <w:p w:rsidR="00CB350B" w:rsidRPr="0004638E" w:rsidP="00CB350B">
      <w:pPr>
        <w:bidi w:val="0"/>
        <w:jc w:val="both"/>
        <w:rPr>
          <w:rFonts w:ascii="Times New Roman" w:hAnsi="Times New Roman" w:cs="Times New Roman"/>
        </w:rPr>
      </w:pPr>
      <w:r w:rsidRPr="0004638E">
        <w:rPr>
          <w:rFonts w:ascii="Times New Roman" w:hAnsi="Times New Roman" w:cs="Times New Roman"/>
          <w:color w:val="000000"/>
          <w:sz w:val="14"/>
          <w:szCs w:val="14"/>
        </w:rPr>
        <w:t>** Čerpanie bolo ovplyvnené dočasným zánikom kapitoly MŽP SR</w:t>
      </w:r>
    </w:p>
    <w:p w:rsidR="00CB350B" w:rsidP="00CB350B">
      <w:pPr>
        <w:bidi w:val="0"/>
        <w:jc w:val="both"/>
        <w:rPr>
          <w:rFonts w:ascii="Times New Roman" w:hAnsi="Times New Roman" w:cs="Times New Roman"/>
          <w:bCs/>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bCs/>
        </w:rPr>
        <w:t>Na inštitucionálnu podporu</w:t>
      </w:r>
      <w:r w:rsidRPr="0004638E">
        <w:rPr>
          <w:rFonts w:ascii="Times New Roman" w:hAnsi="Times New Roman" w:cs="Times New Roman"/>
        </w:rPr>
        <w:t xml:space="preserve"> chránených oblastí je v roku 2012 spolu vyčlenených 4</w:t>
      </w:r>
      <w:r>
        <w:rPr>
          <w:rFonts w:ascii="Times New Roman" w:hAnsi="Times New Roman" w:cs="Times New Roman"/>
        </w:rPr>
        <w:t>3</w:t>
      </w:r>
      <w:r w:rsidRPr="0004638E">
        <w:rPr>
          <w:rFonts w:ascii="Times New Roman" w:hAnsi="Times New Roman" w:cs="Times New Roman"/>
        </w:rPr>
        <w:t>,</w:t>
      </w:r>
      <w:r>
        <w:rPr>
          <w:rFonts w:ascii="Times New Roman" w:hAnsi="Times New Roman" w:cs="Times New Roman"/>
        </w:rPr>
        <w:t>7 </w:t>
      </w:r>
      <w:r w:rsidRPr="0004638E">
        <w:rPr>
          <w:rFonts w:ascii="Times New Roman" w:hAnsi="Times New Roman" w:cs="Times New Roman"/>
        </w:rPr>
        <w:t xml:space="preserve">mil. </w:t>
      </w:r>
      <w:r>
        <w:rPr>
          <w:rFonts w:ascii="Times New Roman" w:hAnsi="Times New Roman" w:cs="Times New Roman"/>
        </w:rPr>
        <w:t>eur</w:t>
      </w:r>
      <w:r w:rsidRPr="0004638E">
        <w:rPr>
          <w:rFonts w:ascii="Times New Roman" w:hAnsi="Times New Roman" w:cs="Times New Roman"/>
        </w:rPr>
        <w:t>, čo predstavuje v porovnaní so schváleným rozpočtom roku 2011 pokles o</w:t>
      </w:r>
      <w:r>
        <w:rPr>
          <w:rFonts w:ascii="Times New Roman" w:hAnsi="Times New Roman" w:cs="Times New Roman"/>
        </w:rPr>
        <w:t> 13,9 </w:t>
      </w:r>
      <w:r w:rsidRPr="0004638E">
        <w:rPr>
          <w:rFonts w:ascii="Times New Roman" w:hAnsi="Times New Roman" w:cs="Times New Roman"/>
        </w:rPr>
        <w:t xml:space="preserve">% a tvoria ich prostriedky štátneho rozpočtu s medziročným poklesom </w:t>
      </w:r>
      <w:r>
        <w:rPr>
          <w:rFonts w:ascii="Times New Roman" w:hAnsi="Times New Roman" w:cs="Times New Roman"/>
        </w:rPr>
        <w:t>5,7</w:t>
      </w:r>
      <w:r w:rsidRPr="0004638E">
        <w:rPr>
          <w:rFonts w:ascii="Times New Roman" w:hAnsi="Times New Roman" w:cs="Times New Roman"/>
        </w:rPr>
        <w:t xml:space="preserve"> % a prostriedky EÚ s medziročným poklesom na úrovni 33,3 %. </w:t>
      </w:r>
    </w:p>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Výdavky štátneho rozpočtu určené na administratívu smerujú do nasledujúcich oblastí.</w:t>
      </w:r>
    </w:p>
    <w:p w:rsidR="00CB350B" w:rsidRPr="0004638E" w:rsidP="00CB350B">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672"/>
        <w:gridCol w:w="935"/>
        <w:gridCol w:w="935"/>
        <w:gridCol w:w="934"/>
        <w:gridCol w:w="934"/>
        <w:gridCol w:w="934"/>
        <w:gridCol w:w="934"/>
        <w:gridCol w:w="934"/>
      </w:tblGrid>
      <w:tr>
        <w:tblPrEx>
          <w:tblW w:w="5000" w:type="pct"/>
          <w:tblCellMar>
            <w:left w:w="70" w:type="dxa"/>
            <w:right w:w="70" w:type="dxa"/>
          </w:tblCellMar>
          <w:tblLook w:val="04A0"/>
        </w:tblPrEx>
        <w:trPr>
          <w:trHeight w:val="270"/>
        </w:trPr>
        <w:tc>
          <w:tcPr>
            <w:tcW w:w="1450"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4C481B" w:rsidP="00257E12">
            <w:pPr>
              <w:bidi w:val="0"/>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v eurách </w:t>
            </w:r>
          </w:p>
        </w:tc>
        <w:tc>
          <w:tcPr>
            <w:tcW w:w="507" w:type="pct"/>
            <w:tcBorders>
              <w:top w:val="single" w:sz="4" w:space="0" w:color="auto"/>
              <w:left w:val="nil"/>
              <w:bottom w:val="single" w:sz="4" w:space="0" w:color="auto"/>
              <w:right w:val="single" w:sz="4" w:space="0" w:color="auto"/>
            </w:tcBorders>
            <w:textDirection w:val="lrTb"/>
            <w:vAlign w:val="center"/>
            <w:hideMark/>
          </w:tcPr>
          <w:p w:rsidR="00CB350B" w:rsidRPr="004C481B" w:rsidP="00257E12">
            <w:pPr>
              <w:bidi w:val="0"/>
              <w:jc w:val="center"/>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2009 S</w:t>
            </w:r>
          </w:p>
        </w:tc>
        <w:tc>
          <w:tcPr>
            <w:tcW w:w="507" w:type="pct"/>
            <w:tcBorders>
              <w:top w:val="single" w:sz="4" w:space="0" w:color="auto"/>
              <w:left w:val="nil"/>
              <w:bottom w:val="single" w:sz="4" w:space="0" w:color="auto"/>
              <w:right w:val="single" w:sz="4" w:space="0" w:color="auto"/>
            </w:tcBorders>
            <w:noWrap/>
            <w:textDirection w:val="lrTb"/>
            <w:vAlign w:val="center"/>
            <w:hideMark/>
          </w:tcPr>
          <w:p w:rsidR="00CB350B" w:rsidRPr="004C481B" w:rsidP="00257E12">
            <w:pPr>
              <w:bidi w:val="0"/>
              <w:jc w:val="center"/>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2010S*</w:t>
            </w:r>
          </w:p>
        </w:tc>
        <w:tc>
          <w:tcPr>
            <w:tcW w:w="507" w:type="pct"/>
            <w:tcBorders>
              <w:top w:val="single" w:sz="4" w:space="0" w:color="auto"/>
              <w:left w:val="nil"/>
              <w:bottom w:val="single" w:sz="4" w:space="0" w:color="auto"/>
              <w:right w:val="single" w:sz="4" w:space="0" w:color="auto"/>
            </w:tcBorders>
            <w:noWrap/>
            <w:textDirection w:val="lrTb"/>
            <w:vAlign w:val="center"/>
            <w:hideMark/>
          </w:tcPr>
          <w:p w:rsidR="00CB350B" w:rsidRPr="004C481B" w:rsidP="00257E12">
            <w:pPr>
              <w:bidi w:val="0"/>
              <w:jc w:val="center"/>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2011 R</w:t>
            </w:r>
          </w:p>
        </w:tc>
        <w:tc>
          <w:tcPr>
            <w:tcW w:w="507" w:type="pct"/>
            <w:tcBorders>
              <w:top w:val="single" w:sz="4" w:space="0" w:color="auto"/>
              <w:left w:val="nil"/>
              <w:bottom w:val="single" w:sz="4" w:space="0" w:color="auto"/>
              <w:right w:val="single" w:sz="4" w:space="0" w:color="auto"/>
            </w:tcBorders>
            <w:textDirection w:val="lrTb"/>
            <w:vAlign w:val="center"/>
            <w:hideMark/>
          </w:tcPr>
          <w:p w:rsidR="00CB350B" w:rsidRPr="004C481B" w:rsidP="00257E12">
            <w:pPr>
              <w:bidi w:val="0"/>
              <w:jc w:val="center"/>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2011 OS</w:t>
            </w:r>
          </w:p>
        </w:tc>
        <w:tc>
          <w:tcPr>
            <w:tcW w:w="507" w:type="pct"/>
            <w:tcBorders>
              <w:top w:val="single" w:sz="4" w:space="0" w:color="auto"/>
              <w:left w:val="nil"/>
              <w:bottom w:val="single" w:sz="4" w:space="0" w:color="auto"/>
              <w:right w:val="single" w:sz="4" w:space="0" w:color="auto"/>
            </w:tcBorders>
            <w:noWrap/>
            <w:textDirection w:val="lrTb"/>
            <w:vAlign w:val="center"/>
            <w:hideMark/>
          </w:tcPr>
          <w:p w:rsidR="00CB350B" w:rsidRPr="004C481B" w:rsidP="00257E12">
            <w:pPr>
              <w:bidi w:val="0"/>
              <w:jc w:val="center"/>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2012 N</w:t>
            </w:r>
          </w:p>
        </w:tc>
        <w:tc>
          <w:tcPr>
            <w:tcW w:w="507" w:type="pct"/>
            <w:tcBorders>
              <w:top w:val="single" w:sz="4" w:space="0" w:color="auto"/>
              <w:left w:val="nil"/>
              <w:bottom w:val="single" w:sz="4" w:space="0" w:color="auto"/>
              <w:right w:val="single" w:sz="4" w:space="0" w:color="auto"/>
            </w:tcBorders>
            <w:noWrap/>
            <w:textDirection w:val="lrTb"/>
            <w:vAlign w:val="center"/>
            <w:hideMark/>
          </w:tcPr>
          <w:p w:rsidR="00CB350B" w:rsidRPr="004C481B" w:rsidP="00257E12">
            <w:pPr>
              <w:bidi w:val="0"/>
              <w:jc w:val="center"/>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2013 N</w:t>
            </w:r>
          </w:p>
        </w:tc>
        <w:tc>
          <w:tcPr>
            <w:tcW w:w="507" w:type="pct"/>
            <w:tcBorders>
              <w:top w:val="single" w:sz="4" w:space="0" w:color="auto"/>
              <w:left w:val="nil"/>
              <w:bottom w:val="single" w:sz="4" w:space="0" w:color="auto"/>
              <w:right w:val="single" w:sz="4" w:space="0" w:color="auto"/>
            </w:tcBorders>
            <w:noWrap/>
            <w:textDirection w:val="lrTb"/>
            <w:vAlign w:val="center"/>
            <w:hideMark/>
          </w:tcPr>
          <w:p w:rsidR="00CB350B" w:rsidRPr="004C481B" w:rsidP="00257E12">
            <w:pPr>
              <w:bidi w:val="0"/>
              <w:jc w:val="center"/>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2014 N</w:t>
            </w:r>
          </w:p>
        </w:tc>
      </w:tr>
      <w:tr>
        <w:tblPrEx>
          <w:tblW w:w="5000" w:type="pct"/>
          <w:tblCellMar>
            <w:left w:w="70" w:type="dxa"/>
            <w:right w:w="70" w:type="dxa"/>
          </w:tblCellMar>
          <w:tblLook w:val="04A0"/>
        </w:tblPrEx>
        <w:trPr>
          <w:trHeight w:val="270"/>
        </w:trPr>
        <w:tc>
          <w:tcPr>
            <w:tcW w:w="1450" w:type="pct"/>
            <w:tcBorders>
              <w:top w:val="nil"/>
              <w:left w:val="single" w:sz="4" w:space="0" w:color="auto"/>
              <w:bottom w:val="single" w:sz="4" w:space="0" w:color="auto"/>
              <w:right w:val="single" w:sz="4" w:space="0" w:color="auto"/>
            </w:tcBorders>
            <w:textDirection w:val="lrTb"/>
            <w:vAlign w:val="bottom"/>
            <w:hideMark/>
          </w:tcPr>
          <w:p w:rsidR="00CB350B" w:rsidRPr="004C481B" w:rsidP="00257E12">
            <w:pPr>
              <w:bidi w:val="0"/>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Administratíva v tom:</w:t>
            </w:r>
          </w:p>
        </w:tc>
        <w:tc>
          <w:tcPr>
            <w:tcW w:w="507"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42 558 462</w:t>
            </w:r>
          </w:p>
        </w:tc>
        <w:tc>
          <w:tcPr>
            <w:tcW w:w="507"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27 231 517</w:t>
            </w:r>
          </w:p>
        </w:tc>
        <w:tc>
          <w:tcPr>
            <w:tcW w:w="507"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35 652 813</w:t>
            </w:r>
          </w:p>
        </w:tc>
        <w:tc>
          <w:tcPr>
            <w:tcW w:w="507"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35 652 813</w:t>
            </w:r>
          </w:p>
        </w:tc>
        <w:tc>
          <w:tcPr>
            <w:tcW w:w="507"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33 622 386</w:t>
            </w:r>
          </w:p>
        </w:tc>
        <w:tc>
          <w:tcPr>
            <w:tcW w:w="507"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33 652 404</w:t>
            </w:r>
          </w:p>
        </w:tc>
        <w:tc>
          <w:tcPr>
            <w:tcW w:w="507"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33 662 117</w:t>
            </w:r>
          </w:p>
        </w:tc>
      </w:tr>
      <w:tr>
        <w:tblPrEx>
          <w:tblW w:w="5000" w:type="pct"/>
          <w:tblCellMar>
            <w:left w:w="70" w:type="dxa"/>
            <w:right w:w="70" w:type="dxa"/>
          </w:tblCellMar>
          <w:tblLook w:val="04A0"/>
        </w:tblPrEx>
        <w:trPr>
          <w:trHeight w:val="270"/>
        </w:trPr>
        <w:tc>
          <w:tcPr>
            <w:tcW w:w="1450" w:type="pct"/>
            <w:tcBorders>
              <w:top w:val="nil"/>
              <w:left w:val="single" w:sz="4" w:space="0" w:color="auto"/>
              <w:bottom w:val="single" w:sz="4" w:space="0" w:color="auto"/>
              <w:right w:val="single" w:sz="4" w:space="0" w:color="auto"/>
            </w:tcBorders>
            <w:noWrap/>
            <w:textDirection w:val="lrTb"/>
            <w:vAlign w:val="bottom"/>
            <w:hideMark/>
          </w:tcPr>
          <w:p w:rsidR="00CB350B" w:rsidRPr="004C481B" w:rsidP="00257E12">
            <w:pPr>
              <w:bidi w:val="0"/>
              <w:rPr>
                <w:rFonts w:ascii="Times New Roman" w:hAnsi="Times New Roman" w:cs="Times New Roman"/>
                <w:color w:val="000000"/>
                <w:sz w:val="14"/>
                <w:szCs w:val="14"/>
              </w:rPr>
            </w:pPr>
            <w:r w:rsidRPr="004C481B">
              <w:rPr>
                <w:rFonts w:ascii="Times New Roman" w:hAnsi="Times New Roman" w:cs="Times New Roman"/>
                <w:color w:val="000000"/>
                <w:sz w:val="14"/>
                <w:szCs w:val="14"/>
              </w:rPr>
              <w:t>Ústredný orgán - aparát</w:t>
            </w:r>
          </w:p>
        </w:tc>
        <w:tc>
          <w:tcPr>
            <w:tcW w:w="507"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14 311 065</w:t>
            </w:r>
          </w:p>
        </w:tc>
        <w:tc>
          <w:tcPr>
            <w:tcW w:w="507"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10 234 586</w:t>
            </w:r>
          </w:p>
        </w:tc>
        <w:tc>
          <w:tcPr>
            <w:tcW w:w="507"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12 245 029</w:t>
            </w:r>
          </w:p>
        </w:tc>
        <w:tc>
          <w:tcPr>
            <w:tcW w:w="507"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12 245 029</w:t>
            </w:r>
          </w:p>
        </w:tc>
        <w:tc>
          <w:tcPr>
            <w:tcW w:w="507"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10 524 717</w:t>
            </w:r>
          </w:p>
        </w:tc>
        <w:tc>
          <w:tcPr>
            <w:tcW w:w="507"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10 554 735</w:t>
            </w:r>
          </w:p>
        </w:tc>
        <w:tc>
          <w:tcPr>
            <w:tcW w:w="507"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10 564 448</w:t>
            </w:r>
          </w:p>
        </w:tc>
      </w:tr>
      <w:tr>
        <w:tblPrEx>
          <w:tblW w:w="5000" w:type="pct"/>
          <w:tblCellMar>
            <w:left w:w="70" w:type="dxa"/>
            <w:right w:w="70" w:type="dxa"/>
          </w:tblCellMar>
          <w:tblLook w:val="04A0"/>
        </w:tblPrEx>
        <w:trPr>
          <w:trHeight w:val="270"/>
        </w:trPr>
        <w:tc>
          <w:tcPr>
            <w:tcW w:w="1450" w:type="pct"/>
            <w:tcBorders>
              <w:top w:val="nil"/>
              <w:left w:val="single" w:sz="4" w:space="0" w:color="auto"/>
              <w:bottom w:val="single" w:sz="4" w:space="0" w:color="auto"/>
              <w:right w:val="single" w:sz="4" w:space="0" w:color="auto"/>
            </w:tcBorders>
            <w:noWrap/>
            <w:textDirection w:val="lrTb"/>
            <w:vAlign w:val="bottom"/>
            <w:hideMark/>
          </w:tcPr>
          <w:p w:rsidR="00CB350B" w:rsidRPr="004C481B" w:rsidP="00257E12">
            <w:pPr>
              <w:bidi w:val="0"/>
              <w:rPr>
                <w:rFonts w:ascii="Times New Roman" w:hAnsi="Times New Roman" w:cs="Times New Roman"/>
                <w:color w:val="000000"/>
                <w:sz w:val="14"/>
                <w:szCs w:val="14"/>
              </w:rPr>
            </w:pPr>
            <w:r w:rsidRPr="004C481B">
              <w:rPr>
                <w:rFonts w:ascii="Times New Roman" w:hAnsi="Times New Roman" w:cs="Times New Roman"/>
                <w:color w:val="000000"/>
                <w:sz w:val="14"/>
                <w:szCs w:val="14"/>
              </w:rPr>
              <w:t>Slovenská inšpekcia životného prostredia</w:t>
            </w:r>
          </w:p>
        </w:tc>
        <w:tc>
          <w:tcPr>
            <w:tcW w:w="507"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4 741 066</w:t>
            </w:r>
          </w:p>
        </w:tc>
        <w:tc>
          <w:tcPr>
            <w:tcW w:w="507"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4 483 866</w:t>
            </w:r>
          </w:p>
        </w:tc>
        <w:tc>
          <w:tcPr>
            <w:tcW w:w="507"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4 073 271</w:t>
            </w:r>
          </w:p>
        </w:tc>
        <w:tc>
          <w:tcPr>
            <w:tcW w:w="507"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4 073 271</w:t>
            </w:r>
          </w:p>
        </w:tc>
        <w:tc>
          <w:tcPr>
            <w:tcW w:w="507"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4 186 571</w:t>
            </w:r>
          </w:p>
        </w:tc>
        <w:tc>
          <w:tcPr>
            <w:tcW w:w="507"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4 186 571</w:t>
            </w:r>
          </w:p>
        </w:tc>
        <w:tc>
          <w:tcPr>
            <w:tcW w:w="507" w:type="pct"/>
            <w:tcBorders>
              <w:top w:val="nil"/>
              <w:left w:val="nil"/>
              <w:bottom w:val="single" w:sz="4" w:space="0" w:color="auto"/>
              <w:right w:val="single" w:sz="4" w:space="0" w:color="auto"/>
            </w:tcBorders>
            <w:noWrap/>
            <w:textDirection w:val="lrTb"/>
            <w:vAlign w:val="center"/>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4 186 571</w:t>
            </w:r>
          </w:p>
        </w:tc>
      </w:tr>
      <w:tr>
        <w:tblPrEx>
          <w:tblW w:w="5000" w:type="pct"/>
          <w:tblCellMar>
            <w:left w:w="70" w:type="dxa"/>
            <w:right w:w="70" w:type="dxa"/>
          </w:tblCellMar>
          <w:tblLook w:val="04A0"/>
        </w:tblPrEx>
        <w:trPr>
          <w:trHeight w:val="270"/>
        </w:trPr>
        <w:tc>
          <w:tcPr>
            <w:tcW w:w="1450" w:type="pct"/>
            <w:tcBorders>
              <w:top w:val="nil"/>
              <w:left w:val="single" w:sz="4" w:space="0" w:color="auto"/>
              <w:bottom w:val="single" w:sz="4" w:space="0" w:color="auto"/>
              <w:right w:val="single" w:sz="4" w:space="0" w:color="auto"/>
            </w:tcBorders>
            <w:noWrap/>
            <w:textDirection w:val="lrTb"/>
            <w:vAlign w:val="bottom"/>
            <w:hideMark/>
          </w:tcPr>
          <w:p w:rsidR="00CB350B" w:rsidRPr="004C481B" w:rsidP="00257E12">
            <w:pPr>
              <w:bidi w:val="0"/>
              <w:rPr>
                <w:rFonts w:ascii="Times New Roman" w:hAnsi="Times New Roman" w:cs="Times New Roman"/>
                <w:color w:val="000000"/>
                <w:sz w:val="14"/>
                <w:szCs w:val="14"/>
              </w:rPr>
            </w:pPr>
            <w:r w:rsidRPr="004C481B">
              <w:rPr>
                <w:rFonts w:ascii="Times New Roman" w:hAnsi="Times New Roman" w:cs="Times New Roman"/>
                <w:color w:val="000000"/>
                <w:sz w:val="14"/>
                <w:szCs w:val="14"/>
              </w:rPr>
              <w:t>Slovenská agentúra životného prostredia</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4 223 872</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3 292 528</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3 037 370</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3 037 370</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2 960 000</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2 960 000</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2 960 000</w:t>
            </w:r>
          </w:p>
        </w:tc>
      </w:tr>
      <w:tr>
        <w:tblPrEx>
          <w:tblW w:w="5000" w:type="pct"/>
          <w:tblCellMar>
            <w:left w:w="70" w:type="dxa"/>
            <w:right w:w="70" w:type="dxa"/>
          </w:tblCellMar>
          <w:tblLook w:val="04A0"/>
        </w:tblPrEx>
        <w:trPr>
          <w:trHeight w:val="270"/>
        </w:trPr>
        <w:tc>
          <w:tcPr>
            <w:tcW w:w="1450" w:type="pct"/>
            <w:tcBorders>
              <w:top w:val="nil"/>
              <w:left w:val="single" w:sz="4" w:space="0" w:color="auto"/>
              <w:bottom w:val="single" w:sz="4" w:space="0" w:color="auto"/>
              <w:right w:val="single" w:sz="4" w:space="0" w:color="auto"/>
            </w:tcBorders>
            <w:noWrap/>
            <w:textDirection w:val="lrTb"/>
            <w:vAlign w:val="bottom"/>
            <w:hideMark/>
          </w:tcPr>
          <w:p w:rsidR="00CB350B" w:rsidRPr="004C481B" w:rsidP="00257E12">
            <w:pPr>
              <w:bidi w:val="0"/>
              <w:rPr>
                <w:rFonts w:ascii="Times New Roman" w:hAnsi="Times New Roman" w:cs="Times New Roman"/>
                <w:color w:val="000000"/>
                <w:sz w:val="14"/>
                <w:szCs w:val="14"/>
              </w:rPr>
            </w:pPr>
            <w:r w:rsidRPr="004C481B">
              <w:rPr>
                <w:rFonts w:ascii="Times New Roman" w:hAnsi="Times New Roman" w:cs="Times New Roman"/>
                <w:color w:val="000000"/>
                <w:sz w:val="14"/>
                <w:szCs w:val="14"/>
              </w:rPr>
              <w:t>Krajské úrady ŽP</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16 472 569</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7 003 245</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13 792 420</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13 792 420</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14 040 448</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14 040 448</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14 040 448</w:t>
            </w:r>
          </w:p>
        </w:tc>
      </w:tr>
      <w:tr>
        <w:tblPrEx>
          <w:tblW w:w="5000" w:type="pct"/>
          <w:tblCellMar>
            <w:left w:w="70" w:type="dxa"/>
            <w:right w:w="70" w:type="dxa"/>
          </w:tblCellMar>
          <w:tblLook w:val="04A0"/>
        </w:tblPrEx>
        <w:trPr>
          <w:trHeight w:val="270"/>
        </w:trPr>
        <w:tc>
          <w:tcPr>
            <w:tcW w:w="1450" w:type="pct"/>
            <w:tcBorders>
              <w:top w:val="nil"/>
              <w:left w:val="single" w:sz="4" w:space="0" w:color="auto"/>
              <w:bottom w:val="single" w:sz="4" w:space="0" w:color="auto"/>
              <w:right w:val="single" w:sz="4" w:space="0" w:color="auto"/>
            </w:tcBorders>
            <w:noWrap/>
            <w:textDirection w:val="lrTb"/>
            <w:vAlign w:val="bottom"/>
            <w:hideMark/>
          </w:tcPr>
          <w:p w:rsidR="00CB350B" w:rsidRPr="004C481B" w:rsidP="00257E12">
            <w:pPr>
              <w:bidi w:val="0"/>
              <w:rPr>
                <w:rFonts w:ascii="Times New Roman" w:hAnsi="Times New Roman" w:cs="Times New Roman"/>
                <w:color w:val="000000"/>
                <w:sz w:val="14"/>
                <w:szCs w:val="14"/>
              </w:rPr>
            </w:pPr>
            <w:r w:rsidRPr="004C481B">
              <w:rPr>
                <w:rFonts w:ascii="Times New Roman" w:hAnsi="Times New Roman" w:cs="Times New Roman"/>
                <w:color w:val="000000"/>
                <w:sz w:val="14"/>
                <w:szCs w:val="14"/>
              </w:rPr>
              <w:t>Prenesený výkon štátnej správy</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1 091 442</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686 009</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618 571</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618 571</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587 650</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587 650</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587 650</w:t>
            </w:r>
          </w:p>
        </w:tc>
      </w:tr>
      <w:tr>
        <w:tblPrEx>
          <w:tblW w:w="5000" w:type="pct"/>
          <w:tblCellMar>
            <w:left w:w="70" w:type="dxa"/>
            <w:right w:w="70" w:type="dxa"/>
          </w:tblCellMar>
          <w:tblLook w:val="04A0"/>
        </w:tblPrEx>
        <w:trPr>
          <w:trHeight w:val="295"/>
        </w:trPr>
        <w:tc>
          <w:tcPr>
            <w:tcW w:w="1450" w:type="pct"/>
            <w:tcBorders>
              <w:top w:val="nil"/>
              <w:left w:val="single" w:sz="4" w:space="0" w:color="auto"/>
              <w:bottom w:val="single" w:sz="4" w:space="0" w:color="auto"/>
              <w:right w:val="single" w:sz="4" w:space="0" w:color="auto"/>
            </w:tcBorders>
            <w:textDirection w:val="lrTb"/>
            <w:vAlign w:val="bottom"/>
            <w:hideMark/>
          </w:tcPr>
          <w:p w:rsidR="00CB350B" w:rsidRPr="004C481B" w:rsidP="00257E12">
            <w:pPr>
              <w:bidi w:val="0"/>
              <w:rPr>
                <w:rFonts w:ascii="Times New Roman" w:hAnsi="Times New Roman" w:cs="Times New Roman"/>
                <w:color w:val="000000"/>
                <w:sz w:val="14"/>
                <w:szCs w:val="14"/>
              </w:rPr>
            </w:pPr>
            <w:r w:rsidRPr="004C481B">
              <w:rPr>
                <w:rFonts w:ascii="Times New Roman" w:hAnsi="Times New Roman" w:cs="Times New Roman"/>
                <w:color w:val="000000"/>
                <w:sz w:val="14"/>
                <w:szCs w:val="14"/>
              </w:rPr>
              <w:t>Plnenie medzinárodných zmlúv Gabčíkovo - Nagymaros</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626 402</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497 900</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568 543</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568 543</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0</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0</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70"/>
        </w:trPr>
        <w:tc>
          <w:tcPr>
            <w:tcW w:w="1450" w:type="pct"/>
            <w:tcBorders>
              <w:top w:val="nil"/>
              <w:left w:val="single" w:sz="4" w:space="0" w:color="auto"/>
              <w:bottom w:val="single" w:sz="4" w:space="0" w:color="auto"/>
              <w:right w:val="single" w:sz="4" w:space="0" w:color="auto"/>
            </w:tcBorders>
            <w:textDirection w:val="lrTb"/>
            <w:vAlign w:val="bottom"/>
            <w:hideMark/>
          </w:tcPr>
          <w:p w:rsidR="00CB350B" w:rsidRPr="004C481B" w:rsidP="00257E12">
            <w:pPr>
              <w:bidi w:val="0"/>
              <w:rPr>
                <w:rFonts w:ascii="Times New Roman" w:hAnsi="Times New Roman" w:cs="Times New Roman"/>
                <w:color w:val="000000"/>
                <w:sz w:val="14"/>
                <w:szCs w:val="14"/>
              </w:rPr>
            </w:pPr>
            <w:r w:rsidRPr="004C481B">
              <w:rPr>
                <w:rFonts w:ascii="Times New Roman" w:hAnsi="Times New Roman" w:cs="Times New Roman"/>
                <w:color w:val="000000"/>
                <w:sz w:val="14"/>
                <w:szCs w:val="14"/>
              </w:rPr>
              <w:t>Príspevky SR do MO</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811 027</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743 545</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940 000</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940 000</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970 000</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970 000</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970 000</w:t>
            </w:r>
          </w:p>
        </w:tc>
      </w:tr>
      <w:tr>
        <w:tblPrEx>
          <w:tblW w:w="5000" w:type="pct"/>
          <w:tblCellMar>
            <w:left w:w="70" w:type="dxa"/>
            <w:right w:w="70" w:type="dxa"/>
          </w:tblCellMar>
          <w:tblLook w:val="04A0"/>
        </w:tblPrEx>
        <w:trPr>
          <w:trHeight w:val="270"/>
        </w:trPr>
        <w:tc>
          <w:tcPr>
            <w:tcW w:w="1450" w:type="pct"/>
            <w:tcBorders>
              <w:top w:val="nil"/>
              <w:left w:val="single" w:sz="4" w:space="0" w:color="auto"/>
              <w:bottom w:val="single" w:sz="4" w:space="0" w:color="auto"/>
              <w:right w:val="single" w:sz="4" w:space="0" w:color="auto"/>
            </w:tcBorders>
            <w:textDirection w:val="lrTb"/>
            <w:vAlign w:val="bottom"/>
            <w:hideMark/>
          </w:tcPr>
          <w:p w:rsidR="00CB350B" w:rsidRPr="004C481B" w:rsidP="00257E12">
            <w:pPr>
              <w:bidi w:val="0"/>
              <w:rPr>
                <w:rFonts w:ascii="Times New Roman" w:hAnsi="Times New Roman" w:cs="Times New Roman"/>
                <w:color w:val="000000"/>
                <w:sz w:val="14"/>
                <w:szCs w:val="14"/>
              </w:rPr>
            </w:pPr>
            <w:r w:rsidRPr="004C481B">
              <w:rPr>
                <w:rFonts w:ascii="Times New Roman" w:hAnsi="Times New Roman" w:cs="Times New Roman"/>
                <w:color w:val="000000"/>
                <w:sz w:val="14"/>
                <w:szCs w:val="14"/>
              </w:rPr>
              <w:t>Oficiálna rozvojová pomoc</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64 808</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114 188</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185 000</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185 000</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170 000</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170 000</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170 000</w:t>
            </w:r>
          </w:p>
        </w:tc>
      </w:tr>
      <w:tr>
        <w:tblPrEx>
          <w:tblW w:w="5000" w:type="pct"/>
          <w:tblCellMar>
            <w:left w:w="70" w:type="dxa"/>
            <w:right w:w="70" w:type="dxa"/>
          </w:tblCellMar>
          <w:tblLook w:val="04A0"/>
        </w:tblPrEx>
        <w:trPr>
          <w:trHeight w:val="270"/>
        </w:trPr>
        <w:tc>
          <w:tcPr>
            <w:tcW w:w="1450" w:type="pct"/>
            <w:tcBorders>
              <w:top w:val="nil"/>
              <w:left w:val="single" w:sz="4" w:space="0" w:color="auto"/>
              <w:bottom w:val="single" w:sz="4" w:space="0" w:color="auto"/>
              <w:right w:val="single" w:sz="4" w:space="0" w:color="auto"/>
            </w:tcBorders>
            <w:textDirection w:val="lrTb"/>
            <w:vAlign w:val="bottom"/>
            <w:hideMark/>
          </w:tcPr>
          <w:p w:rsidR="00CB350B" w:rsidRPr="004C481B" w:rsidP="00257E12">
            <w:pPr>
              <w:bidi w:val="0"/>
              <w:rPr>
                <w:rFonts w:ascii="Times New Roman" w:hAnsi="Times New Roman" w:cs="Times New Roman"/>
                <w:color w:val="000000"/>
                <w:sz w:val="14"/>
                <w:szCs w:val="14"/>
              </w:rPr>
            </w:pPr>
            <w:r w:rsidRPr="004C481B">
              <w:rPr>
                <w:rFonts w:ascii="Times New Roman" w:hAnsi="Times New Roman" w:cs="Times New Roman"/>
                <w:color w:val="000000"/>
                <w:sz w:val="14"/>
                <w:szCs w:val="14"/>
              </w:rPr>
              <w:t>Hospodárska mobilizácia</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216 210</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175 650</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192 609</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192 609</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183 000</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183 000</w:t>
            </w:r>
          </w:p>
        </w:tc>
        <w:tc>
          <w:tcPr>
            <w:tcW w:w="507" w:type="pct"/>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183 000</w:t>
            </w:r>
          </w:p>
        </w:tc>
      </w:tr>
    </w:tbl>
    <w:p w:rsidR="00CB350B" w:rsidRPr="00575C66" w:rsidP="00CB350B">
      <w:pPr>
        <w:bidi w:val="0"/>
        <w:jc w:val="both"/>
        <w:rPr>
          <w:rFonts w:ascii="Times New Roman" w:hAnsi="Times New Roman" w:cs="Times New Roman"/>
          <w:color w:val="000000"/>
          <w:sz w:val="14"/>
          <w:szCs w:val="14"/>
        </w:rPr>
      </w:pPr>
      <w:r w:rsidRPr="00575C66">
        <w:rPr>
          <w:rFonts w:ascii="Times New Roman" w:hAnsi="Times New Roman" w:cs="Times New Roman"/>
          <w:color w:val="000000"/>
          <w:sz w:val="14"/>
          <w:szCs w:val="14"/>
        </w:rPr>
        <w:t>* Čerpanie bolo ovplyvnené dočasným zánikom kapitoly MŽP SR</w:t>
      </w:r>
    </w:p>
    <w:p w:rsidR="00CB350B" w:rsidRPr="00575C66" w:rsidP="00CB350B">
      <w:pPr>
        <w:bidi w:val="0"/>
        <w:jc w:val="both"/>
        <w:rPr>
          <w:rFonts w:ascii="Times New Roman" w:hAnsi="Times New Roman" w:cs="Times New Roman"/>
          <w:sz w:val="14"/>
          <w:szCs w:val="14"/>
        </w:rPr>
      </w:pPr>
    </w:p>
    <w:p w:rsidR="00CB350B" w:rsidP="00CB350B">
      <w:pPr>
        <w:bidi w:val="0"/>
        <w:ind w:firstLine="708"/>
        <w:jc w:val="both"/>
      </w:pPr>
      <w:r w:rsidRPr="0004638E">
        <w:rPr>
          <w:rFonts w:ascii="Times New Roman" w:hAnsi="Times New Roman" w:cs="Times New Roman"/>
        </w:rPr>
        <w:t>Výdavky určené na inštitucionálnu podporu pokrývajú najmä činnosti vykonávané ústredným orgánom, Slovenskou inšpekciou životného prostredia, Slovenskou agentúrou životného prostredia, špecializovanou miestnou štátnou správou - úradmi životného prostredia. Okrem týchto výdavkov na administratívu sem patria prostriedky určené na výchovu, vzdelávanie, propagáciu, prieskum, výskum, vývoj, technickú pomoc, prostriedky určené na plnenie medzinárodných zmlúv v súvislosti s výstavbou vodných diel Gabčíkovo – Nagymaros, ktoré sú od roku 2012 delimitované do kapitoly Ministerstva dopravy, výstavby a regionálneho rozvoja SR, ďalej výdavky na oficiálnu rozvojovú pomoc, hospodársku mobilizáciu a príspevky medzinárodným organizáciám</w:t>
      </w:r>
    </w:p>
    <w:p w:rsidR="00CB350B" w:rsidP="00CB350B">
      <w:pPr>
        <w:bidi w:val="0"/>
        <w:jc w:val="both"/>
        <w:rPr>
          <w:rFonts w:ascii="Times New Roman" w:hAnsi="Times New Roman" w:cs="Times New Roman"/>
          <w:b/>
        </w:rPr>
      </w:pPr>
    </w:p>
    <w:p w:rsidR="00CB350B" w:rsidRPr="0004638E" w:rsidP="00CB350B">
      <w:pPr>
        <w:pBdr>
          <w:bottom w:val="single" w:sz="4" w:space="1" w:color="auto"/>
        </w:pBdr>
        <w:bidi w:val="0"/>
        <w:jc w:val="both"/>
        <w:rPr>
          <w:rFonts w:ascii="Times New Roman" w:hAnsi="Times New Roman" w:cs="Times New Roman"/>
          <w:b/>
          <w:bCs/>
        </w:rPr>
      </w:pPr>
      <w:r w:rsidRPr="0004638E">
        <w:rPr>
          <w:rFonts w:ascii="Times New Roman" w:hAnsi="Times New Roman" w:cs="Times New Roman"/>
          <w:b/>
          <w:bCs/>
        </w:rPr>
        <w:t>Ministerstvo spravodlivosti SR</w:t>
      </w:r>
    </w:p>
    <w:p w:rsidR="00CB350B" w:rsidRPr="0004638E" w:rsidP="00CB350B">
      <w:pPr>
        <w:bidi w:val="0"/>
        <w:rPr>
          <w:rFonts w:ascii="Times New Roman" w:hAnsi="Times New Roman" w:cs="Times New Roman"/>
        </w:rPr>
      </w:pPr>
    </w:p>
    <w:tbl>
      <w:tblPr>
        <w:tblStyle w:val="TableNormal"/>
        <w:tblW w:w="9077" w:type="dxa"/>
        <w:tblInd w:w="65" w:type="dxa"/>
        <w:tblLayout w:type="fixed"/>
        <w:tblCellMar>
          <w:left w:w="70" w:type="dxa"/>
          <w:right w:w="70" w:type="dxa"/>
        </w:tblCellMar>
        <w:tblLook w:val="04A0"/>
      </w:tblPr>
      <w:tblGrid>
        <w:gridCol w:w="2132"/>
        <w:gridCol w:w="992"/>
        <w:gridCol w:w="992"/>
        <w:gridCol w:w="992"/>
        <w:gridCol w:w="992"/>
        <w:gridCol w:w="992"/>
        <w:gridCol w:w="992"/>
        <w:gridCol w:w="993"/>
      </w:tblGrid>
      <w:tr>
        <w:tblPrEx>
          <w:tblW w:w="9077" w:type="dxa"/>
          <w:tblInd w:w="65" w:type="dxa"/>
          <w:tblLayout w:type="fixed"/>
          <w:tblCellMar>
            <w:left w:w="70" w:type="dxa"/>
            <w:right w:w="70" w:type="dxa"/>
          </w:tblCellMar>
          <w:tblLook w:val="04A0"/>
        </w:tblPrEx>
        <w:trPr>
          <w:trHeight w:val="273"/>
        </w:trPr>
        <w:tc>
          <w:tcPr>
            <w:tcW w:w="213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705F5" w:rsidP="00257E12">
            <w:pPr>
              <w:bidi w:val="0"/>
              <w:rPr>
                <w:rFonts w:ascii="Times New Roman" w:hAnsi="Times New Roman" w:cs="Times New Roman"/>
                <w:b/>
                <w:color w:val="000000"/>
                <w:sz w:val="14"/>
                <w:szCs w:val="14"/>
                <w:lang w:eastAsia="sk-SK"/>
              </w:rPr>
            </w:pPr>
            <w:r w:rsidRPr="009705F5">
              <w:rPr>
                <w:rFonts w:ascii="Times New Roman" w:hAnsi="Times New Roman" w:cs="Times New Roman"/>
                <w:b/>
                <w:color w:val="000000"/>
                <w:sz w:val="14"/>
                <w:szCs w:val="14"/>
                <w:lang w:eastAsia="sk-SK"/>
              </w:rPr>
              <w:t> </w:t>
            </w:r>
            <w:r w:rsidRPr="009705F5">
              <w:rPr>
                <w:rFonts w:ascii="Times New Roman" w:hAnsi="Times New Roman" w:cs="Times New Roman"/>
                <w:b/>
                <w:bCs/>
                <w:color w:val="000000"/>
                <w:sz w:val="14"/>
                <w:szCs w:val="14"/>
                <w:lang w:eastAsia="sk-SK"/>
              </w:rPr>
              <w:t>v</w:t>
            </w:r>
            <w:r>
              <w:rPr>
                <w:rFonts w:ascii="Times New Roman" w:hAnsi="Times New Roman" w:cs="Times New Roman"/>
                <w:b/>
                <w:bCs/>
                <w:color w:val="000000"/>
                <w:sz w:val="14"/>
                <w:szCs w:val="14"/>
                <w:lang w:eastAsia="sk-SK"/>
              </w:rPr>
              <w:t> </w:t>
            </w:r>
            <w:r w:rsidRPr="009705F5">
              <w:rPr>
                <w:rFonts w:ascii="Times New Roman" w:hAnsi="Times New Roman" w:cs="Times New Roman"/>
                <w:b/>
                <w:bCs/>
                <w:color w:val="000000"/>
                <w:sz w:val="14"/>
                <w:szCs w:val="14"/>
                <w:lang w:eastAsia="sk-SK"/>
              </w:rPr>
              <w:t>eurách</w:t>
            </w:r>
          </w:p>
        </w:tc>
        <w:tc>
          <w:tcPr>
            <w:tcW w:w="992" w:type="dxa"/>
            <w:tcBorders>
              <w:top w:val="single" w:sz="4" w:space="0" w:color="auto"/>
              <w:left w:val="nil"/>
              <w:bottom w:val="single" w:sz="4" w:space="0" w:color="auto"/>
              <w:right w:val="single" w:sz="4" w:space="0" w:color="auto"/>
            </w:tcBorders>
            <w:noWrap/>
            <w:textDirection w:val="lrTb"/>
            <w:vAlign w:val="bottom"/>
            <w:hideMark/>
          </w:tcPr>
          <w:p w:rsidR="00CB350B" w:rsidRPr="009705F5" w:rsidP="00257E12">
            <w:pPr>
              <w:bidi w:val="0"/>
              <w:jc w:val="center"/>
              <w:rPr>
                <w:rFonts w:ascii="Times New Roman" w:hAnsi="Times New Roman" w:cs="Times New Roman"/>
                <w:b/>
                <w:color w:val="000000"/>
                <w:sz w:val="14"/>
                <w:szCs w:val="14"/>
                <w:lang w:eastAsia="sk-SK"/>
              </w:rPr>
            </w:pPr>
            <w:r w:rsidRPr="009705F5">
              <w:rPr>
                <w:rFonts w:ascii="Times New Roman" w:hAnsi="Times New Roman" w:cs="Times New Roman"/>
                <w:b/>
                <w:color w:val="000000"/>
                <w:sz w:val="14"/>
                <w:szCs w:val="14"/>
                <w:lang w:eastAsia="sk-SK"/>
              </w:rPr>
              <w:t>2009 S</w:t>
            </w:r>
          </w:p>
        </w:tc>
        <w:tc>
          <w:tcPr>
            <w:tcW w:w="992" w:type="dxa"/>
            <w:tcBorders>
              <w:top w:val="single" w:sz="4" w:space="0" w:color="auto"/>
              <w:left w:val="nil"/>
              <w:bottom w:val="single" w:sz="4" w:space="0" w:color="auto"/>
              <w:right w:val="single" w:sz="4" w:space="0" w:color="auto"/>
            </w:tcBorders>
            <w:noWrap/>
            <w:textDirection w:val="lrTb"/>
            <w:vAlign w:val="bottom"/>
            <w:hideMark/>
          </w:tcPr>
          <w:p w:rsidR="00CB350B" w:rsidRPr="009705F5" w:rsidP="00257E12">
            <w:pPr>
              <w:bidi w:val="0"/>
              <w:jc w:val="center"/>
              <w:rPr>
                <w:rFonts w:ascii="Times New Roman" w:hAnsi="Times New Roman" w:cs="Times New Roman"/>
                <w:b/>
                <w:color w:val="000000"/>
                <w:sz w:val="14"/>
                <w:szCs w:val="14"/>
                <w:lang w:eastAsia="sk-SK"/>
              </w:rPr>
            </w:pPr>
            <w:r w:rsidRPr="009705F5">
              <w:rPr>
                <w:rFonts w:ascii="Times New Roman" w:hAnsi="Times New Roman" w:cs="Times New Roman"/>
                <w:b/>
                <w:color w:val="000000"/>
                <w:sz w:val="14"/>
                <w:szCs w:val="14"/>
                <w:lang w:eastAsia="sk-SK"/>
              </w:rPr>
              <w:t>2010</w:t>
            </w:r>
            <w:r>
              <w:rPr>
                <w:rFonts w:ascii="Times New Roman" w:hAnsi="Times New Roman" w:cs="Times New Roman"/>
                <w:b/>
                <w:color w:val="000000"/>
                <w:sz w:val="14"/>
                <w:szCs w:val="14"/>
                <w:lang w:eastAsia="sk-SK"/>
              </w:rPr>
              <w:t xml:space="preserve"> </w:t>
            </w:r>
            <w:r w:rsidRPr="009705F5">
              <w:rPr>
                <w:rFonts w:ascii="Times New Roman" w:hAnsi="Times New Roman" w:cs="Times New Roman"/>
                <w:b/>
                <w:color w:val="000000"/>
                <w:sz w:val="14"/>
                <w:szCs w:val="14"/>
                <w:lang w:eastAsia="sk-SK"/>
              </w:rPr>
              <w:t>S</w:t>
            </w:r>
          </w:p>
        </w:tc>
        <w:tc>
          <w:tcPr>
            <w:tcW w:w="992" w:type="dxa"/>
            <w:tcBorders>
              <w:top w:val="single" w:sz="4" w:space="0" w:color="auto"/>
              <w:left w:val="nil"/>
              <w:bottom w:val="single" w:sz="4" w:space="0" w:color="auto"/>
              <w:right w:val="single" w:sz="4" w:space="0" w:color="auto"/>
            </w:tcBorders>
            <w:noWrap/>
            <w:textDirection w:val="lrTb"/>
            <w:vAlign w:val="bottom"/>
            <w:hideMark/>
          </w:tcPr>
          <w:p w:rsidR="00CB350B" w:rsidRPr="009705F5" w:rsidP="00257E12">
            <w:pPr>
              <w:bidi w:val="0"/>
              <w:jc w:val="center"/>
              <w:rPr>
                <w:rFonts w:ascii="Times New Roman" w:hAnsi="Times New Roman" w:cs="Times New Roman"/>
                <w:b/>
                <w:color w:val="000000"/>
                <w:sz w:val="14"/>
                <w:szCs w:val="14"/>
                <w:lang w:eastAsia="sk-SK"/>
              </w:rPr>
            </w:pPr>
            <w:r w:rsidRPr="009705F5">
              <w:rPr>
                <w:rFonts w:ascii="Times New Roman" w:hAnsi="Times New Roman" w:cs="Times New Roman"/>
                <w:b/>
                <w:color w:val="000000"/>
                <w:sz w:val="14"/>
                <w:szCs w:val="14"/>
                <w:lang w:eastAsia="sk-SK"/>
              </w:rPr>
              <w:t>2011 R</w:t>
            </w:r>
          </w:p>
        </w:tc>
        <w:tc>
          <w:tcPr>
            <w:tcW w:w="992" w:type="dxa"/>
            <w:tcBorders>
              <w:top w:val="single" w:sz="4" w:space="0" w:color="auto"/>
              <w:left w:val="nil"/>
              <w:bottom w:val="single" w:sz="4" w:space="0" w:color="auto"/>
              <w:right w:val="single" w:sz="4" w:space="0" w:color="auto"/>
            </w:tcBorders>
            <w:noWrap/>
            <w:textDirection w:val="lrTb"/>
            <w:vAlign w:val="bottom"/>
            <w:hideMark/>
          </w:tcPr>
          <w:p w:rsidR="00CB350B" w:rsidRPr="009705F5" w:rsidP="00257E12">
            <w:pPr>
              <w:bidi w:val="0"/>
              <w:jc w:val="center"/>
              <w:rPr>
                <w:rFonts w:ascii="Times New Roman" w:hAnsi="Times New Roman" w:cs="Times New Roman"/>
                <w:b/>
                <w:color w:val="000000"/>
                <w:sz w:val="14"/>
                <w:szCs w:val="14"/>
                <w:lang w:eastAsia="sk-SK"/>
              </w:rPr>
            </w:pPr>
            <w:r w:rsidRPr="009705F5">
              <w:rPr>
                <w:rFonts w:ascii="Times New Roman" w:hAnsi="Times New Roman" w:cs="Times New Roman"/>
                <w:b/>
                <w:color w:val="000000"/>
                <w:sz w:val="14"/>
                <w:szCs w:val="14"/>
                <w:lang w:eastAsia="sk-SK"/>
              </w:rPr>
              <w:t>2011 OS</w:t>
            </w:r>
          </w:p>
        </w:tc>
        <w:tc>
          <w:tcPr>
            <w:tcW w:w="992" w:type="dxa"/>
            <w:tcBorders>
              <w:top w:val="single" w:sz="4" w:space="0" w:color="auto"/>
              <w:left w:val="nil"/>
              <w:bottom w:val="single" w:sz="4" w:space="0" w:color="auto"/>
              <w:right w:val="single" w:sz="4" w:space="0" w:color="auto"/>
            </w:tcBorders>
            <w:noWrap/>
            <w:textDirection w:val="lrTb"/>
            <w:vAlign w:val="bottom"/>
            <w:hideMark/>
          </w:tcPr>
          <w:p w:rsidR="00CB350B" w:rsidRPr="009705F5" w:rsidP="00257E12">
            <w:pPr>
              <w:bidi w:val="0"/>
              <w:jc w:val="center"/>
              <w:rPr>
                <w:rFonts w:ascii="Times New Roman" w:hAnsi="Times New Roman" w:cs="Times New Roman"/>
                <w:b/>
                <w:color w:val="000000"/>
                <w:sz w:val="14"/>
                <w:szCs w:val="14"/>
                <w:lang w:eastAsia="sk-SK"/>
              </w:rPr>
            </w:pPr>
            <w:r w:rsidRPr="009705F5">
              <w:rPr>
                <w:rFonts w:ascii="Times New Roman" w:hAnsi="Times New Roman" w:cs="Times New Roman"/>
                <w:b/>
                <w:color w:val="000000"/>
                <w:sz w:val="14"/>
                <w:szCs w:val="14"/>
                <w:lang w:eastAsia="sk-SK"/>
              </w:rPr>
              <w:t>2012 N</w:t>
            </w:r>
          </w:p>
        </w:tc>
        <w:tc>
          <w:tcPr>
            <w:tcW w:w="992" w:type="dxa"/>
            <w:tcBorders>
              <w:top w:val="single" w:sz="4" w:space="0" w:color="auto"/>
              <w:left w:val="nil"/>
              <w:bottom w:val="single" w:sz="4" w:space="0" w:color="auto"/>
              <w:right w:val="single" w:sz="4" w:space="0" w:color="auto"/>
            </w:tcBorders>
            <w:noWrap/>
            <w:textDirection w:val="lrTb"/>
            <w:vAlign w:val="bottom"/>
            <w:hideMark/>
          </w:tcPr>
          <w:p w:rsidR="00CB350B" w:rsidRPr="009705F5" w:rsidP="00257E12">
            <w:pPr>
              <w:bidi w:val="0"/>
              <w:jc w:val="center"/>
              <w:rPr>
                <w:rFonts w:ascii="Times New Roman" w:hAnsi="Times New Roman" w:cs="Times New Roman"/>
                <w:b/>
                <w:color w:val="000000"/>
                <w:sz w:val="14"/>
                <w:szCs w:val="14"/>
                <w:lang w:eastAsia="sk-SK"/>
              </w:rPr>
            </w:pPr>
            <w:r w:rsidRPr="009705F5">
              <w:rPr>
                <w:rFonts w:ascii="Times New Roman" w:hAnsi="Times New Roman" w:cs="Times New Roman"/>
                <w:b/>
                <w:color w:val="000000"/>
                <w:sz w:val="14"/>
                <w:szCs w:val="14"/>
                <w:lang w:eastAsia="sk-SK"/>
              </w:rPr>
              <w:t>2013 N</w:t>
            </w:r>
          </w:p>
        </w:tc>
        <w:tc>
          <w:tcPr>
            <w:tcW w:w="993" w:type="dxa"/>
            <w:tcBorders>
              <w:top w:val="single" w:sz="4" w:space="0" w:color="auto"/>
              <w:left w:val="nil"/>
              <w:bottom w:val="single" w:sz="4" w:space="0" w:color="auto"/>
              <w:right w:val="single" w:sz="4" w:space="0" w:color="auto"/>
            </w:tcBorders>
            <w:noWrap/>
            <w:textDirection w:val="lrTb"/>
            <w:vAlign w:val="bottom"/>
            <w:hideMark/>
          </w:tcPr>
          <w:p w:rsidR="00CB350B" w:rsidRPr="009705F5" w:rsidP="00257E12">
            <w:pPr>
              <w:bidi w:val="0"/>
              <w:jc w:val="center"/>
              <w:rPr>
                <w:rFonts w:ascii="Times New Roman" w:hAnsi="Times New Roman" w:cs="Times New Roman"/>
                <w:b/>
                <w:color w:val="000000"/>
                <w:sz w:val="14"/>
                <w:szCs w:val="14"/>
                <w:lang w:eastAsia="sk-SK"/>
              </w:rPr>
            </w:pPr>
            <w:r w:rsidRPr="009705F5">
              <w:rPr>
                <w:rFonts w:ascii="Times New Roman" w:hAnsi="Times New Roman" w:cs="Times New Roman"/>
                <w:b/>
                <w:color w:val="000000"/>
                <w:sz w:val="14"/>
                <w:szCs w:val="14"/>
                <w:lang w:eastAsia="sk-SK"/>
              </w:rPr>
              <w:t>2014 N</w:t>
            </w:r>
          </w:p>
        </w:tc>
      </w:tr>
      <w:tr>
        <w:tblPrEx>
          <w:tblW w:w="9077" w:type="dxa"/>
          <w:tblInd w:w="65" w:type="dxa"/>
          <w:tblLayout w:type="fixed"/>
          <w:tblCellMar>
            <w:left w:w="70" w:type="dxa"/>
            <w:right w:w="70" w:type="dxa"/>
          </w:tblCellMar>
          <w:tblLook w:val="04A0"/>
        </w:tblPrEx>
        <w:trPr>
          <w:trHeight w:val="273"/>
        </w:trPr>
        <w:tc>
          <w:tcPr>
            <w:tcW w:w="213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4C481B" w:rsidP="00257E12">
            <w:pPr>
              <w:bidi w:val="0"/>
              <w:rPr>
                <w:rFonts w:ascii="Times New Roman" w:hAnsi="Times New Roman" w:cs="Times New Roman"/>
                <w:b/>
                <w:bCs/>
                <w:color w:val="000000"/>
                <w:sz w:val="14"/>
                <w:szCs w:val="14"/>
                <w:lang w:eastAsia="sk-SK"/>
              </w:rPr>
            </w:pPr>
            <w:r w:rsidRPr="004C481B">
              <w:rPr>
                <w:rFonts w:ascii="Times New Roman" w:hAnsi="Times New Roman" w:cs="Times New Roman"/>
                <w:b/>
                <w:bCs/>
                <w:color w:val="000000"/>
                <w:sz w:val="14"/>
                <w:szCs w:val="14"/>
                <w:lang w:eastAsia="sk-SK"/>
              </w:rPr>
              <w:t>Ministerstvo spravodlivosti SR</w:t>
            </w:r>
          </w:p>
        </w:tc>
        <w:tc>
          <w:tcPr>
            <w:tcW w:w="992" w:type="dxa"/>
            <w:tcBorders>
              <w:top w:val="single" w:sz="4" w:space="0" w:color="auto"/>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280 385 746</w:t>
            </w:r>
          </w:p>
        </w:tc>
        <w:tc>
          <w:tcPr>
            <w:tcW w:w="992" w:type="dxa"/>
            <w:tcBorders>
              <w:top w:val="single" w:sz="4" w:space="0" w:color="auto"/>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302 246 622</w:t>
            </w:r>
          </w:p>
        </w:tc>
        <w:tc>
          <w:tcPr>
            <w:tcW w:w="992" w:type="dxa"/>
            <w:tcBorders>
              <w:top w:val="single" w:sz="4" w:space="0" w:color="auto"/>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288 639 168</w:t>
            </w:r>
          </w:p>
        </w:tc>
        <w:tc>
          <w:tcPr>
            <w:tcW w:w="992" w:type="dxa"/>
            <w:tcBorders>
              <w:top w:val="single" w:sz="4" w:space="0" w:color="auto"/>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b/>
                <w:bCs/>
                <w:color w:val="000000"/>
                <w:sz w:val="14"/>
                <w:szCs w:val="14"/>
              </w:rPr>
            </w:pPr>
            <w:r w:rsidRPr="004C481B">
              <w:rPr>
                <w:rFonts w:ascii="Times New Roman" w:hAnsi="Times New Roman" w:cs="Times New Roman"/>
                <w:b/>
                <w:bCs/>
                <w:color w:val="000000"/>
                <w:sz w:val="14"/>
                <w:szCs w:val="14"/>
              </w:rPr>
              <w:t>291 805 043</w:t>
            </w:r>
          </w:p>
        </w:tc>
        <w:tc>
          <w:tcPr>
            <w:tcW w:w="992" w:type="dxa"/>
            <w:tcBorders>
              <w:top w:val="single" w:sz="4" w:space="0" w:color="auto"/>
              <w:left w:val="nil"/>
              <w:bottom w:val="single" w:sz="4" w:space="0" w:color="auto"/>
              <w:right w:val="single" w:sz="4" w:space="0" w:color="auto"/>
            </w:tcBorders>
            <w:textDirection w:val="lrTb"/>
            <w:vAlign w:val="bottom"/>
            <w:hideMark/>
          </w:tcPr>
          <w:p w:rsidR="00CB350B" w:rsidRPr="001F2EE6" w:rsidP="00257E12">
            <w:pPr>
              <w:bidi w:val="0"/>
              <w:jc w:val="right"/>
              <w:rPr>
                <w:rFonts w:ascii="Times New Roman" w:hAnsi="Times New Roman" w:cs="Times New Roman"/>
                <w:b/>
                <w:bCs/>
                <w:color w:val="000000"/>
                <w:sz w:val="14"/>
                <w:szCs w:val="14"/>
              </w:rPr>
            </w:pPr>
            <w:r w:rsidRPr="001F2EE6">
              <w:rPr>
                <w:rFonts w:ascii="Times New Roman" w:hAnsi="Times New Roman" w:cs="Times New Roman"/>
                <w:b/>
                <w:bCs/>
                <w:color w:val="000000"/>
                <w:sz w:val="14"/>
                <w:szCs w:val="14"/>
              </w:rPr>
              <w:t>309 063 156</w:t>
            </w:r>
          </w:p>
        </w:tc>
        <w:tc>
          <w:tcPr>
            <w:tcW w:w="992" w:type="dxa"/>
            <w:tcBorders>
              <w:top w:val="single" w:sz="4" w:space="0" w:color="auto"/>
              <w:left w:val="nil"/>
              <w:bottom w:val="single" w:sz="4" w:space="0" w:color="auto"/>
              <w:right w:val="single" w:sz="4" w:space="0" w:color="auto"/>
            </w:tcBorders>
            <w:textDirection w:val="lrTb"/>
            <w:vAlign w:val="bottom"/>
            <w:hideMark/>
          </w:tcPr>
          <w:p w:rsidR="00CB350B" w:rsidRPr="001F2EE6" w:rsidP="00257E12">
            <w:pPr>
              <w:bidi w:val="0"/>
              <w:jc w:val="right"/>
              <w:rPr>
                <w:rFonts w:ascii="Times New Roman" w:hAnsi="Times New Roman" w:cs="Times New Roman"/>
                <w:b/>
                <w:bCs/>
                <w:color w:val="000000"/>
                <w:sz w:val="14"/>
                <w:szCs w:val="14"/>
              </w:rPr>
            </w:pPr>
            <w:r w:rsidRPr="001F2EE6">
              <w:rPr>
                <w:rFonts w:ascii="Times New Roman" w:hAnsi="Times New Roman" w:cs="Times New Roman"/>
                <w:b/>
                <w:bCs/>
                <w:color w:val="000000"/>
                <w:sz w:val="14"/>
                <w:szCs w:val="14"/>
              </w:rPr>
              <w:t>323 943 799</w:t>
            </w:r>
          </w:p>
        </w:tc>
        <w:tc>
          <w:tcPr>
            <w:tcW w:w="993" w:type="dxa"/>
            <w:tcBorders>
              <w:top w:val="single" w:sz="4" w:space="0" w:color="auto"/>
              <w:left w:val="nil"/>
              <w:bottom w:val="single" w:sz="4" w:space="0" w:color="auto"/>
              <w:right w:val="single" w:sz="4" w:space="0" w:color="auto"/>
            </w:tcBorders>
            <w:textDirection w:val="lrTb"/>
            <w:vAlign w:val="bottom"/>
            <w:hideMark/>
          </w:tcPr>
          <w:p w:rsidR="00CB350B" w:rsidRPr="001F2EE6" w:rsidP="00257E12">
            <w:pPr>
              <w:bidi w:val="0"/>
              <w:jc w:val="right"/>
              <w:rPr>
                <w:rFonts w:ascii="Times New Roman" w:hAnsi="Times New Roman" w:cs="Times New Roman"/>
                <w:b/>
                <w:bCs/>
                <w:color w:val="000000"/>
                <w:sz w:val="14"/>
                <w:szCs w:val="14"/>
              </w:rPr>
            </w:pPr>
            <w:r w:rsidRPr="001F2EE6">
              <w:rPr>
                <w:rFonts w:ascii="Times New Roman" w:hAnsi="Times New Roman" w:cs="Times New Roman"/>
                <w:b/>
                <w:bCs/>
                <w:color w:val="000000"/>
                <w:sz w:val="14"/>
                <w:szCs w:val="14"/>
              </w:rPr>
              <w:t>333 801 035</w:t>
            </w:r>
          </w:p>
        </w:tc>
      </w:tr>
      <w:tr>
        <w:tblPrEx>
          <w:tblW w:w="9077" w:type="dxa"/>
          <w:tblInd w:w="65" w:type="dxa"/>
          <w:tblLayout w:type="fixed"/>
          <w:tblCellMar>
            <w:left w:w="70" w:type="dxa"/>
            <w:right w:w="70" w:type="dxa"/>
          </w:tblCellMar>
          <w:tblLook w:val="04A0"/>
        </w:tblPrEx>
        <w:trPr>
          <w:trHeight w:val="273"/>
        </w:trPr>
        <w:tc>
          <w:tcPr>
            <w:tcW w:w="2132" w:type="dxa"/>
            <w:tcBorders>
              <w:top w:val="nil"/>
              <w:left w:val="single" w:sz="4" w:space="0" w:color="auto"/>
              <w:bottom w:val="single" w:sz="4" w:space="0" w:color="auto"/>
              <w:right w:val="single" w:sz="4" w:space="0" w:color="auto"/>
            </w:tcBorders>
            <w:noWrap/>
            <w:textDirection w:val="lrTb"/>
            <w:vAlign w:val="bottom"/>
            <w:hideMark/>
          </w:tcPr>
          <w:p w:rsidR="00CB350B" w:rsidRPr="004C481B" w:rsidP="00257E12">
            <w:pPr>
              <w:bidi w:val="0"/>
              <w:rPr>
                <w:rFonts w:ascii="Times New Roman" w:hAnsi="Times New Roman" w:cs="Times New Roman"/>
                <w:sz w:val="14"/>
                <w:szCs w:val="14"/>
                <w:lang w:eastAsia="sk-SK"/>
              </w:rPr>
            </w:pPr>
            <w:r w:rsidRPr="004C481B">
              <w:rPr>
                <w:rFonts w:ascii="Times New Roman" w:hAnsi="Times New Roman" w:cs="Times New Roman"/>
                <w:sz w:val="14"/>
                <w:szCs w:val="14"/>
                <w:lang w:eastAsia="sk-SK"/>
              </w:rPr>
              <w:t>Väzenstvo</w:t>
            </w:r>
          </w:p>
        </w:tc>
        <w:tc>
          <w:tcPr>
            <w:tcW w:w="992" w:type="dxa"/>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sz w:val="14"/>
                <w:szCs w:val="14"/>
              </w:rPr>
            </w:pPr>
            <w:r w:rsidRPr="004C481B">
              <w:rPr>
                <w:rFonts w:ascii="Times New Roman" w:hAnsi="Times New Roman" w:cs="Times New Roman"/>
                <w:sz w:val="14"/>
                <w:szCs w:val="14"/>
              </w:rPr>
              <w:t>129 780 886</w:t>
            </w:r>
          </w:p>
        </w:tc>
        <w:tc>
          <w:tcPr>
            <w:tcW w:w="992" w:type="dxa"/>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sz w:val="14"/>
                <w:szCs w:val="14"/>
              </w:rPr>
            </w:pPr>
            <w:r w:rsidRPr="004C481B">
              <w:rPr>
                <w:rFonts w:ascii="Times New Roman" w:hAnsi="Times New Roman" w:cs="Times New Roman"/>
                <w:sz w:val="14"/>
                <w:szCs w:val="14"/>
              </w:rPr>
              <w:t>136 240 017</w:t>
            </w:r>
          </w:p>
        </w:tc>
        <w:tc>
          <w:tcPr>
            <w:tcW w:w="992" w:type="dxa"/>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sz w:val="14"/>
                <w:szCs w:val="14"/>
              </w:rPr>
            </w:pPr>
            <w:r w:rsidRPr="004C481B">
              <w:rPr>
                <w:rFonts w:ascii="Times New Roman" w:hAnsi="Times New Roman" w:cs="Times New Roman"/>
                <w:sz w:val="14"/>
                <w:szCs w:val="14"/>
              </w:rPr>
              <w:t>137 930 296</w:t>
            </w:r>
          </w:p>
        </w:tc>
        <w:tc>
          <w:tcPr>
            <w:tcW w:w="992" w:type="dxa"/>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sz w:val="14"/>
                <w:szCs w:val="14"/>
              </w:rPr>
            </w:pPr>
            <w:r w:rsidRPr="004C481B">
              <w:rPr>
                <w:rFonts w:ascii="Times New Roman" w:hAnsi="Times New Roman" w:cs="Times New Roman"/>
                <w:sz w:val="14"/>
                <w:szCs w:val="14"/>
              </w:rPr>
              <w:t>138 842 062</w:t>
            </w:r>
          </w:p>
        </w:tc>
        <w:tc>
          <w:tcPr>
            <w:tcW w:w="992" w:type="dxa"/>
            <w:tcBorders>
              <w:top w:val="nil"/>
              <w:left w:val="nil"/>
              <w:bottom w:val="single" w:sz="4" w:space="0" w:color="auto"/>
              <w:right w:val="single" w:sz="4" w:space="0" w:color="auto"/>
            </w:tcBorders>
            <w:textDirection w:val="lrTb"/>
            <w:vAlign w:val="bottom"/>
            <w:hideMark/>
          </w:tcPr>
          <w:p w:rsidR="00CB350B" w:rsidRPr="001F2EE6" w:rsidP="00257E12">
            <w:pPr>
              <w:bidi w:val="0"/>
              <w:jc w:val="right"/>
              <w:rPr>
                <w:rFonts w:ascii="Times New Roman" w:hAnsi="Times New Roman" w:cs="Times New Roman"/>
                <w:sz w:val="14"/>
                <w:szCs w:val="14"/>
              </w:rPr>
            </w:pPr>
            <w:r w:rsidRPr="001F2EE6">
              <w:rPr>
                <w:rFonts w:ascii="Times New Roman" w:hAnsi="Times New Roman" w:cs="Times New Roman"/>
                <w:sz w:val="14"/>
                <w:szCs w:val="14"/>
              </w:rPr>
              <w:t>152 988 356</w:t>
            </w:r>
          </w:p>
        </w:tc>
        <w:tc>
          <w:tcPr>
            <w:tcW w:w="992" w:type="dxa"/>
            <w:tcBorders>
              <w:top w:val="nil"/>
              <w:left w:val="nil"/>
              <w:bottom w:val="single" w:sz="4" w:space="0" w:color="auto"/>
              <w:right w:val="single" w:sz="4" w:space="0" w:color="auto"/>
            </w:tcBorders>
            <w:textDirection w:val="lrTb"/>
            <w:vAlign w:val="bottom"/>
            <w:hideMark/>
          </w:tcPr>
          <w:p w:rsidR="00CB350B" w:rsidRPr="001F2EE6" w:rsidP="00257E12">
            <w:pPr>
              <w:bidi w:val="0"/>
              <w:jc w:val="right"/>
              <w:rPr>
                <w:rFonts w:ascii="Times New Roman" w:hAnsi="Times New Roman" w:cs="Times New Roman"/>
                <w:sz w:val="14"/>
                <w:szCs w:val="14"/>
              </w:rPr>
            </w:pPr>
            <w:r w:rsidRPr="001F2EE6">
              <w:rPr>
                <w:rFonts w:ascii="Times New Roman" w:hAnsi="Times New Roman" w:cs="Times New Roman"/>
                <w:sz w:val="14"/>
                <w:szCs w:val="14"/>
              </w:rPr>
              <w:t>161 626 673</w:t>
            </w:r>
          </w:p>
        </w:tc>
        <w:tc>
          <w:tcPr>
            <w:tcW w:w="993" w:type="dxa"/>
            <w:tcBorders>
              <w:top w:val="nil"/>
              <w:left w:val="nil"/>
              <w:bottom w:val="single" w:sz="4" w:space="0" w:color="auto"/>
              <w:right w:val="single" w:sz="4" w:space="0" w:color="auto"/>
            </w:tcBorders>
            <w:textDirection w:val="lrTb"/>
            <w:vAlign w:val="bottom"/>
            <w:hideMark/>
          </w:tcPr>
          <w:p w:rsidR="00CB350B" w:rsidRPr="001F2EE6" w:rsidP="00257E12">
            <w:pPr>
              <w:bidi w:val="0"/>
              <w:jc w:val="right"/>
              <w:rPr>
                <w:rFonts w:ascii="Times New Roman" w:hAnsi="Times New Roman" w:cs="Times New Roman"/>
                <w:sz w:val="14"/>
                <w:szCs w:val="14"/>
              </w:rPr>
            </w:pPr>
            <w:r w:rsidRPr="001F2EE6">
              <w:rPr>
                <w:rFonts w:ascii="Times New Roman" w:hAnsi="Times New Roman" w:cs="Times New Roman"/>
                <w:sz w:val="14"/>
                <w:szCs w:val="14"/>
              </w:rPr>
              <w:t>167 655 747</w:t>
            </w:r>
          </w:p>
        </w:tc>
      </w:tr>
      <w:tr>
        <w:tblPrEx>
          <w:tblW w:w="9077" w:type="dxa"/>
          <w:tblInd w:w="65" w:type="dxa"/>
          <w:tblLayout w:type="fixed"/>
          <w:tblCellMar>
            <w:left w:w="70" w:type="dxa"/>
            <w:right w:w="70" w:type="dxa"/>
          </w:tblCellMar>
          <w:tblLook w:val="04A0"/>
        </w:tblPrEx>
        <w:trPr>
          <w:trHeight w:val="273"/>
        </w:trPr>
        <w:tc>
          <w:tcPr>
            <w:tcW w:w="2132" w:type="dxa"/>
            <w:tcBorders>
              <w:top w:val="nil"/>
              <w:left w:val="single" w:sz="4" w:space="0" w:color="auto"/>
              <w:bottom w:val="single" w:sz="4" w:space="0" w:color="auto"/>
              <w:right w:val="single" w:sz="4" w:space="0" w:color="auto"/>
            </w:tcBorders>
            <w:noWrap/>
            <w:textDirection w:val="lrTb"/>
            <w:vAlign w:val="bottom"/>
            <w:hideMark/>
          </w:tcPr>
          <w:p w:rsidR="00CB350B" w:rsidRPr="004C481B" w:rsidP="00257E12">
            <w:pPr>
              <w:bidi w:val="0"/>
              <w:rPr>
                <w:rFonts w:ascii="Times New Roman" w:hAnsi="Times New Roman" w:cs="Times New Roman"/>
                <w:sz w:val="14"/>
                <w:szCs w:val="14"/>
                <w:lang w:eastAsia="sk-SK"/>
              </w:rPr>
            </w:pPr>
            <w:r w:rsidRPr="004C481B">
              <w:rPr>
                <w:rFonts w:ascii="Times New Roman" w:hAnsi="Times New Roman" w:cs="Times New Roman"/>
                <w:sz w:val="14"/>
                <w:szCs w:val="14"/>
                <w:lang w:eastAsia="sk-SK"/>
              </w:rPr>
              <w:t>Súdnictvo</w:t>
            </w:r>
          </w:p>
        </w:tc>
        <w:tc>
          <w:tcPr>
            <w:tcW w:w="992" w:type="dxa"/>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sz w:val="14"/>
                <w:szCs w:val="14"/>
              </w:rPr>
            </w:pPr>
            <w:r w:rsidRPr="004C481B">
              <w:rPr>
                <w:rFonts w:ascii="Times New Roman" w:hAnsi="Times New Roman" w:cs="Times New Roman"/>
                <w:sz w:val="14"/>
                <w:szCs w:val="14"/>
              </w:rPr>
              <w:t>141 038 362</w:t>
            </w:r>
          </w:p>
        </w:tc>
        <w:tc>
          <w:tcPr>
            <w:tcW w:w="992" w:type="dxa"/>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sz w:val="14"/>
                <w:szCs w:val="14"/>
              </w:rPr>
            </w:pPr>
            <w:r w:rsidRPr="004C481B">
              <w:rPr>
                <w:rFonts w:ascii="Times New Roman" w:hAnsi="Times New Roman" w:cs="Times New Roman"/>
                <w:sz w:val="14"/>
                <w:szCs w:val="14"/>
              </w:rPr>
              <w:t>155 600 618</w:t>
            </w:r>
          </w:p>
        </w:tc>
        <w:tc>
          <w:tcPr>
            <w:tcW w:w="992" w:type="dxa"/>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sz w:val="14"/>
                <w:szCs w:val="14"/>
              </w:rPr>
            </w:pPr>
            <w:r w:rsidRPr="004C481B">
              <w:rPr>
                <w:rFonts w:ascii="Times New Roman" w:hAnsi="Times New Roman" w:cs="Times New Roman"/>
                <w:sz w:val="14"/>
                <w:szCs w:val="14"/>
              </w:rPr>
              <w:t>141 903 221</w:t>
            </w:r>
          </w:p>
        </w:tc>
        <w:tc>
          <w:tcPr>
            <w:tcW w:w="992" w:type="dxa"/>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sz w:val="14"/>
                <w:szCs w:val="14"/>
              </w:rPr>
            </w:pPr>
            <w:r w:rsidRPr="004C481B">
              <w:rPr>
                <w:rFonts w:ascii="Times New Roman" w:hAnsi="Times New Roman" w:cs="Times New Roman"/>
                <w:sz w:val="14"/>
                <w:szCs w:val="14"/>
              </w:rPr>
              <w:t>142 557 020</w:t>
            </w:r>
          </w:p>
        </w:tc>
        <w:tc>
          <w:tcPr>
            <w:tcW w:w="992"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146 476 367</w:t>
            </w:r>
          </w:p>
        </w:tc>
        <w:tc>
          <w:tcPr>
            <w:tcW w:w="992"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152 697 749</w:t>
            </w:r>
          </w:p>
        </w:tc>
        <w:tc>
          <w:tcPr>
            <w:tcW w:w="993"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156 513 272</w:t>
            </w:r>
          </w:p>
        </w:tc>
      </w:tr>
      <w:tr>
        <w:tblPrEx>
          <w:tblW w:w="9077" w:type="dxa"/>
          <w:tblInd w:w="65" w:type="dxa"/>
          <w:tblLayout w:type="fixed"/>
          <w:tblCellMar>
            <w:left w:w="70" w:type="dxa"/>
            <w:right w:w="70" w:type="dxa"/>
          </w:tblCellMar>
          <w:tblLook w:val="04A0"/>
        </w:tblPrEx>
        <w:trPr>
          <w:trHeight w:val="273"/>
        </w:trPr>
        <w:tc>
          <w:tcPr>
            <w:tcW w:w="2132" w:type="dxa"/>
            <w:tcBorders>
              <w:top w:val="nil"/>
              <w:left w:val="single" w:sz="4" w:space="0" w:color="auto"/>
              <w:bottom w:val="single" w:sz="4" w:space="0" w:color="auto"/>
              <w:right w:val="single" w:sz="4" w:space="0" w:color="auto"/>
            </w:tcBorders>
            <w:noWrap/>
            <w:textDirection w:val="lrTb"/>
            <w:vAlign w:val="bottom"/>
            <w:hideMark/>
          </w:tcPr>
          <w:p w:rsidR="00CB350B" w:rsidRPr="004C481B" w:rsidP="00257E12">
            <w:pPr>
              <w:bidi w:val="0"/>
              <w:rPr>
                <w:rFonts w:ascii="Times New Roman" w:hAnsi="Times New Roman" w:cs="Times New Roman"/>
                <w:sz w:val="14"/>
                <w:szCs w:val="14"/>
                <w:lang w:eastAsia="sk-SK"/>
              </w:rPr>
            </w:pPr>
            <w:r w:rsidRPr="004C481B">
              <w:rPr>
                <w:rFonts w:ascii="Times New Roman" w:hAnsi="Times New Roman" w:cs="Times New Roman"/>
                <w:sz w:val="14"/>
                <w:szCs w:val="14"/>
                <w:lang w:eastAsia="sk-SK"/>
              </w:rPr>
              <w:t>riadenie, kontrola a podpora</w:t>
            </w:r>
          </w:p>
        </w:tc>
        <w:tc>
          <w:tcPr>
            <w:tcW w:w="992" w:type="dxa"/>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sz w:val="14"/>
                <w:szCs w:val="14"/>
              </w:rPr>
            </w:pPr>
            <w:r w:rsidRPr="004C481B">
              <w:rPr>
                <w:rFonts w:ascii="Times New Roman" w:hAnsi="Times New Roman" w:cs="Times New Roman"/>
                <w:sz w:val="14"/>
                <w:szCs w:val="14"/>
              </w:rPr>
              <w:t>9 539 973</w:t>
            </w:r>
          </w:p>
        </w:tc>
        <w:tc>
          <w:tcPr>
            <w:tcW w:w="992" w:type="dxa"/>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sz w:val="14"/>
                <w:szCs w:val="14"/>
              </w:rPr>
            </w:pPr>
            <w:r w:rsidRPr="004C481B">
              <w:rPr>
                <w:rFonts w:ascii="Times New Roman" w:hAnsi="Times New Roman" w:cs="Times New Roman"/>
                <w:sz w:val="14"/>
                <w:szCs w:val="14"/>
              </w:rPr>
              <w:t>10 213 454</w:t>
            </w:r>
          </w:p>
        </w:tc>
        <w:tc>
          <w:tcPr>
            <w:tcW w:w="992" w:type="dxa"/>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sz w:val="14"/>
                <w:szCs w:val="14"/>
              </w:rPr>
            </w:pPr>
            <w:r w:rsidRPr="004C481B">
              <w:rPr>
                <w:rFonts w:ascii="Times New Roman" w:hAnsi="Times New Roman" w:cs="Times New Roman"/>
                <w:sz w:val="14"/>
                <w:szCs w:val="14"/>
              </w:rPr>
              <w:t>8 787 063</w:t>
            </w:r>
          </w:p>
        </w:tc>
        <w:tc>
          <w:tcPr>
            <w:tcW w:w="992" w:type="dxa"/>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sz w:val="14"/>
                <w:szCs w:val="14"/>
              </w:rPr>
            </w:pPr>
            <w:r w:rsidRPr="004C481B">
              <w:rPr>
                <w:rFonts w:ascii="Times New Roman" w:hAnsi="Times New Roman" w:cs="Times New Roman"/>
                <w:sz w:val="14"/>
                <w:szCs w:val="14"/>
              </w:rPr>
              <w:t>10 387 373</w:t>
            </w:r>
          </w:p>
        </w:tc>
        <w:tc>
          <w:tcPr>
            <w:tcW w:w="992"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9 567 133</w:t>
            </w:r>
          </w:p>
        </w:tc>
        <w:tc>
          <w:tcPr>
            <w:tcW w:w="992"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9 587 577</w:t>
            </w:r>
          </w:p>
        </w:tc>
        <w:tc>
          <w:tcPr>
            <w:tcW w:w="993"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9 600 216</w:t>
            </w:r>
          </w:p>
        </w:tc>
      </w:tr>
      <w:tr>
        <w:tblPrEx>
          <w:tblW w:w="9077" w:type="dxa"/>
          <w:tblInd w:w="65" w:type="dxa"/>
          <w:tblLayout w:type="fixed"/>
          <w:tblCellMar>
            <w:left w:w="70" w:type="dxa"/>
            <w:right w:w="70" w:type="dxa"/>
          </w:tblCellMar>
          <w:tblLook w:val="04A0"/>
        </w:tblPrEx>
        <w:trPr>
          <w:trHeight w:val="273"/>
        </w:trPr>
        <w:tc>
          <w:tcPr>
            <w:tcW w:w="2132" w:type="dxa"/>
            <w:tcBorders>
              <w:top w:val="nil"/>
              <w:left w:val="single" w:sz="4" w:space="0" w:color="auto"/>
              <w:bottom w:val="single" w:sz="4" w:space="0" w:color="auto"/>
              <w:right w:val="single" w:sz="4" w:space="0" w:color="auto"/>
            </w:tcBorders>
            <w:noWrap/>
            <w:textDirection w:val="lrTb"/>
            <w:vAlign w:val="bottom"/>
            <w:hideMark/>
          </w:tcPr>
          <w:p w:rsidR="00CB350B" w:rsidRPr="004C481B" w:rsidP="00257E12">
            <w:pPr>
              <w:bidi w:val="0"/>
              <w:rPr>
                <w:rFonts w:ascii="Times New Roman" w:hAnsi="Times New Roman" w:cs="Times New Roman"/>
                <w:bCs/>
                <w:color w:val="000000"/>
                <w:sz w:val="14"/>
                <w:szCs w:val="14"/>
              </w:rPr>
            </w:pPr>
            <w:r w:rsidRPr="004C481B">
              <w:rPr>
                <w:rFonts w:ascii="Times New Roman" w:hAnsi="Times New Roman" w:cs="Times New Roman"/>
                <w:bCs/>
                <w:color w:val="000000"/>
                <w:sz w:val="14"/>
                <w:szCs w:val="14"/>
              </w:rPr>
              <w:t>medzirezortné programy</w:t>
            </w:r>
          </w:p>
        </w:tc>
        <w:tc>
          <w:tcPr>
            <w:tcW w:w="992" w:type="dxa"/>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26 525</w:t>
            </w:r>
          </w:p>
        </w:tc>
        <w:tc>
          <w:tcPr>
            <w:tcW w:w="992" w:type="dxa"/>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192 534</w:t>
            </w:r>
          </w:p>
        </w:tc>
        <w:tc>
          <w:tcPr>
            <w:tcW w:w="992" w:type="dxa"/>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18 588</w:t>
            </w:r>
          </w:p>
        </w:tc>
        <w:tc>
          <w:tcPr>
            <w:tcW w:w="992" w:type="dxa"/>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color w:val="000000"/>
                <w:sz w:val="14"/>
                <w:szCs w:val="14"/>
              </w:rPr>
            </w:pPr>
            <w:r w:rsidRPr="004C481B">
              <w:rPr>
                <w:rFonts w:ascii="Times New Roman" w:hAnsi="Times New Roman" w:cs="Times New Roman"/>
                <w:color w:val="000000"/>
                <w:sz w:val="14"/>
                <w:szCs w:val="14"/>
              </w:rPr>
              <w:t>18 588</w:t>
            </w:r>
          </w:p>
        </w:tc>
        <w:tc>
          <w:tcPr>
            <w:tcW w:w="992"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color w:val="000000"/>
                <w:sz w:val="14"/>
                <w:szCs w:val="14"/>
              </w:rPr>
            </w:pPr>
            <w:r w:rsidRPr="007A3E71">
              <w:rPr>
                <w:rFonts w:ascii="Times New Roman" w:hAnsi="Times New Roman" w:cs="Times New Roman"/>
                <w:color w:val="000000"/>
                <w:sz w:val="14"/>
                <w:szCs w:val="14"/>
              </w:rPr>
              <w:t>31 300</w:t>
            </w:r>
          </w:p>
        </w:tc>
        <w:tc>
          <w:tcPr>
            <w:tcW w:w="992"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color w:val="000000"/>
                <w:sz w:val="14"/>
                <w:szCs w:val="14"/>
              </w:rPr>
            </w:pPr>
            <w:r w:rsidRPr="007A3E71">
              <w:rPr>
                <w:rFonts w:ascii="Times New Roman" w:hAnsi="Times New Roman" w:cs="Times New Roman"/>
                <w:color w:val="000000"/>
                <w:sz w:val="14"/>
                <w:szCs w:val="14"/>
              </w:rPr>
              <w:t>31 800</w:t>
            </w:r>
          </w:p>
        </w:tc>
        <w:tc>
          <w:tcPr>
            <w:tcW w:w="993"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color w:val="000000"/>
                <w:sz w:val="14"/>
                <w:szCs w:val="14"/>
              </w:rPr>
            </w:pPr>
            <w:r w:rsidRPr="007A3E71">
              <w:rPr>
                <w:rFonts w:ascii="Times New Roman" w:hAnsi="Times New Roman" w:cs="Times New Roman"/>
                <w:color w:val="000000"/>
                <w:sz w:val="14"/>
                <w:szCs w:val="14"/>
              </w:rPr>
              <w:t>31 800</w:t>
            </w:r>
          </w:p>
        </w:tc>
      </w:tr>
    </w:tbl>
    <w:p w:rsidR="00CB350B" w:rsidP="00CB350B">
      <w:pPr>
        <w:bidi w:val="0"/>
        <w:ind w:firstLine="708"/>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Na rok 2012 sa rozpočtujú pre kapitolu finančné prostriedky v sume 30</w:t>
      </w:r>
      <w:r>
        <w:rPr>
          <w:rFonts w:ascii="Times New Roman" w:hAnsi="Times New Roman" w:cs="Times New Roman"/>
        </w:rPr>
        <w:t>9</w:t>
      </w:r>
      <w:r w:rsidRPr="0004638E">
        <w:rPr>
          <w:rFonts w:ascii="Times New Roman" w:hAnsi="Times New Roman" w:cs="Times New Roman"/>
        </w:rPr>
        <w:t xml:space="preserve"> mil. eur, ktoré sú oproti úrovni roku 2011 vyššie o </w:t>
      </w:r>
      <w:r>
        <w:rPr>
          <w:rFonts w:ascii="Times New Roman" w:hAnsi="Times New Roman" w:cs="Times New Roman"/>
        </w:rPr>
        <w:t>7</w:t>
      </w:r>
      <w:r w:rsidRPr="0004638E">
        <w:rPr>
          <w:rFonts w:ascii="Times New Roman" w:hAnsi="Times New Roman" w:cs="Times New Roman"/>
        </w:rPr>
        <w:t>,</w:t>
      </w:r>
      <w:r>
        <w:rPr>
          <w:rFonts w:ascii="Times New Roman" w:hAnsi="Times New Roman" w:cs="Times New Roman"/>
        </w:rPr>
        <w:t>09</w:t>
      </w:r>
      <w:r w:rsidRPr="0004638E">
        <w:rPr>
          <w:rFonts w:ascii="Times New Roman" w:hAnsi="Times New Roman" w:cs="Times New Roman"/>
        </w:rPr>
        <w:t xml:space="preserve"> %, a oproti skutočnému čerpaniu v roku 2010 sú vyššie o </w:t>
      </w:r>
      <w:r>
        <w:rPr>
          <w:rFonts w:ascii="Times New Roman" w:hAnsi="Times New Roman" w:cs="Times New Roman"/>
        </w:rPr>
        <w:t>2</w:t>
      </w:r>
      <w:r w:rsidRPr="0004638E">
        <w:rPr>
          <w:rFonts w:ascii="Times New Roman" w:hAnsi="Times New Roman" w:cs="Times New Roman"/>
        </w:rPr>
        <w:t>,</w:t>
      </w:r>
      <w:r>
        <w:rPr>
          <w:rFonts w:ascii="Times New Roman" w:hAnsi="Times New Roman" w:cs="Times New Roman"/>
        </w:rPr>
        <w:t xml:space="preserve">26 </w:t>
      </w:r>
      <w:r w:rsidRPr="0004638E">
        <w:rPr>
          <w:rFonts w:ascii="Times New Roman" w:hAnsi="Times New Roman" w:cs="Times New Roman"/>
        </w:rPr>
        <w:t xml:space="preserve">%. </w:t>
      </w:r>
    </w:p>
    <w:p w:rsidR="00CB350B" w:rsidRPr="0004638E" w:rsidP="00CB350B">
      <w:pPr>
        <w:bidi w:val="0"/>
        <w:jc w:val="both"/>
        <w:rPr>
          <w:rFonts w:ascii="Times New Roman" w:hAnsi="Times New Roman" w:cs="Times New Roman"/>
          <w:b/>
        </w:rPr>
      </w:pPr>
    </w:p>
    <w:p w:rsidR="00CB350B" w:rsidRPr="0004638E" w:rsidP="00CB350B">
      <w:pPr>
        <w:bidi w:val="0"/>
        <w:jc w:val="both"/>
        <w:rPr>
          <w:rFonts w:ascii="Times New Roman" w:hAnsi="Times New Roman" w:cs="Times New Roman"/>
          <w:b/>
        </w:rPr>
      </w:pPr>
      <w:r w:rsidRPr="0004638E">
        <w:rPr>
          <w:rFonts w:ascii="Times New Roman" w:hAnsi="Times New Roman" w:cs="Times New Roman"/>
          <w:b/>
        </w:rPr>
        <w:t>Väzenstvo</w:t>
      </w:r>
    </w:p>
    <w:p w:rsidR="00CB350B" w:rsidRPr="0004638E" w:rsidP="00CB350B">
      <w:pPr>
        <w:bidi w:val="0"/>
        <w:jc w:val="both"/>
        <w:rPr>
          <w:rFonts w:ascii="Times New Roman" w:hAnsi="Times New Roman" w:cs="Times New Roman"/>
          <w:b/>
        </w:rPr>
      </w:pPr>
    </w:p>
    <w:p w:rsidR="00CB350B" w:rsidP="00CB350B">
      <w:pPr>
        <w:bidi w:val="0"/>
        <w:ind w:firstLine="708"/>
        <w:jc w:val="both"/>
        <w:rPr>
          <w:rFonts w:ascii="Times New Roman" w:hAnsi="Times New Roman" w:cs="Times New Roman"/>
        </w:rPr>
      </w:pPr>
      <w:r w:rsidRPr="0004638E">
        <w:rPr>
          <w:rFonts w:ascii="Times New Roman" w:hAnsi="Times New Roman" w:cs="Times New Roman"/>
        </w:rPr>
        <w:t xml:space="preserve">Základným problémom väzenstva je prudký nárast väznených osôb, kde sa v roku 2012 oproti skutočnosti roku 2009 očakáva 21,6% nárast väznených osôb. </w:t>
      </w:r>
    </w:p>
    <w:p w:rsidR="00CB350B" w:rsidRPr="0004638E" w:rsidP="00CB350B">
      <w:pPr>
        <w:bidi w:val="0"/>
        <w:jc w:val="both"/>
        <w:rPr>
          <w:rFonts w:ascii="Times New Roman" w:hAnsi="Times New Roman" w:cs="Times New Roman"/>
        </w:rPr>
      </w:pPr>
    </w:p>
    <w:tbl>
      <w:tblPr>
        <w:tblStyle w:val="TableNormal"/>
        <w:tblW w:w="9072" w:type="dxa"/>
        <w:jc w:val="center"/>
        <w:tblCellMar>
          <w:left w:w="70" w:type="dxa"/>
          <w:right w:w="70" w:type="dxa"/>
        </w:tblCellMar>
        <w:tblLook w:val="04A0"/>
      </w:tblPr>
      <w:tblGrid>
        <w:gridCol w:w="2480"/>
        <w:gridCol w:w="941"/>
        <w:gridCol w:w="942"/>
        <w:gridCol w:w="942"/>
        <w:gridCol w:w="941"/>
        <w:gridCol w:w="942"/>
        <w:gridCol w:w="942"/>
        <w:gridCol w:w="942"/>
      </w:tblGrid>
      <w:tr>
        <w:tblPrEx>
          <w:tblW w:w="9072" w:type="dxa"/>
          <w:jc w:val="center"/>
          <w:tblCellMar>
            <w:left w:w="70" w:type="dxa"/>
            <w:right w:w="70" w:type="dxa"/>
          </w:tblCellMar>
          <w:tblLook w:val="04A0"/>
        </w:tblPrEx>
        <w:trPr>
          <w:trHeight w:val="287"/>
          <w:jc w:val="center"/>
        </w:trPr>
        <w:tc>
          <w:tcPr>
            <w:tcW w:w="2480"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4C481B" w:rsidP="00257E12">
            <w:pPr>
              <w:bidi w:val="0"/>
              <w:rPr>
                <w:rFonts w:ascii="Times New Roman" w:hAnsi="Times New Roman" w:cs="Times New Roman"/>
                <w:b/>
                <w:bCs/>
                <w:sz w:val="14"/>
                <w:szCs w:val="14"/>
                <w:lang w:eastAsia="sk-SK"/>
              </w:rPr>
            </w:pPr>
            <w:r w:rsidRPr="004C481B">
              <w:rPr>
                <w:rFonts w:ascii="Times New Roman" w:hAnsi="Times New Roman" w:cs="Times New Roman"/>
                <w:b/>
                <w:bCs/>
                <w:sz w:val="14"/>
                <w:szCs w:val="14"/>
                <w:lang w:eastAsia="sk-SK"/>
              </w:rPr>
              <w:t>Priemerný počet osôb</w:t>
            </w:r>
          </w:p>
        </w:tc>
        <w:tc>
          <w:tcPr>
            <w:tcW w:w="941" w:type="dxa"/>
            <w:tcBorders>
              <w:top w:val="single" w:sz="4" w:space="0" w:color="auto"/>
              <w:left w:val="nil"/>
              <w:bottom w:val="single" w:sz="4" w:space="0" w:color="auto"/>
              <w:right w:val="single" w:sz="4" w:space="0" w:color="auto"/>
            </w:tcBorders>
            <w:textDirection w:val="lrTb"/>
            <w:vAlign w:val="bottom"/>
            <w:hideMark/>
          </w:tcPr>
          <w:p w:rsidR="00CB350B" w:rsidRPr="004C481B" w:rsidP="00257E12">
            <w:pPr>
              <w:bidi w:val="0"/>
              <w:jc w:val="center"/>
              <w:rPr>
                <w:rFonts w:ascii="Times New Roman" w:hAnsi="Times New Roman" w:cs="Times New Roman"/>
                <w:b/>
                <w:bCs/>
                <w:color w:val="000000"/>
                <w:sz w:val="14"/>
                <w:szCs w:val="14"/>
                <w:lang w:eastAsia="sk-SK"/>
              </w:rPr>
            </w:pPr>
            <w:r w:rsidRPr="004C481B">
              <w:rPr>
                <w:rFonts w:ascii="Times New Roman" w:hAnsi="Times New Roman" w:cs="Times New Roman"/>
                <w:b/>
                <w:bCs/>
                <w:color w:val="000000"/>
                <w:sz w:val="14"/>
                <w:szCs w:val="14"/>
                <w:lang w:eastAsia="sk-SK"/>
              </w:rPr>
              <w:t>2009 S</w:t>
            </w:r>
          </w:p>
        </w:tc>
        <w:tc>
          <w:tcPr>
            <w:tcW w:w="942" w:type="dxa"/>
            <w:tcBorders>
              <w:top w:val="single" w:sz="4" w:space="0" w:color="auto"/>
              <w:left w:val="nil"/>
              <w:bottom w:val="single" w:sz="4" w:space="0" w:color="auto"/>
              <w:right w:val="single" w:sz="4" w:space="0" w:color="auto"/>
            </w:tcBorders>
            <w:textDirection w:val="lrTb"/>
            <w:vAlign w:val="bottom"/>
            <w:hideMark/>
          </w:tcPr>
          <w:p w:rsidR="00CB350B" w:rsidRPr="004C481B" w:rsidP="00257E12">
            <w:pPr>
              <w:bidi w:val="0"/>
              <w:jc w:val="center"/>
              <w:rPr>
                <w:rFonts w:ascii="Times New Roman" w:hAnsi="Times New Roman" w:cs="Times New Roman"/>
                <w:b/>
                <w:bCs/>
                <w:color w:val="000000"/>
                <w:sz w:val="14"/>
                <w:szCs w:val="14"/>
                <w:lang w:eastAsia="sk-SK"/>
              </w:rPr>
            </w:pPr>
            <w:r w:rsidRPr="004C481B">
              <w:rPr>
                <w:rFonts w:ascii="Times New Roman" w:hAnsi="Times New Roman" w:cs="Times New Roman"/>
                <w:b/>
                <w:bCs/>
                <w:color w:val="000000"/>
                <w:sz w:val="14"/>
                <w:szCs w:val="14"/>
                <w:lang w:eastAsia="sk-SK"/>
              </w:rPr>
              <w:t>2010 S</w:t>
            </w:r>
          </w:p>
        </w:tc>
        <w:tc>
          <w:tcPr>
            <w:tcW w:w="942" w:type="dxa"/>
            <w:tcBorders>
              <w:top w:val="single" w:sz="4" w:space="0" w:color="auto"/>
              <w:left w:val="nil"/>
              <w:bottom w:val="single" w:sz="4" w:space="0" w:color="auto"/>
              <w:right w:val="single" w:sz="4" w:space="0" w:color="auto"/>
            </w:tcBorders>
            <w:textDirection w:val="lrTb"/>
            <w:vAlign w:val="bottom"/>
            <w:hideMark/>
          </w:tcPr>
          <w:p w:rsidR="00CB350B" w:rsidRPr="004C481B" w:rsidP="00257E12">
            <w:pPr>
              <w:bidi w:val="0"/>
              <w:jc w:val="center"/>
              <w:rPr>
                <w:rFonts w:ascii="Times New Roman" w:hAnsi="Times New Roman" w:cs="Times New Roman"/>
                <w:b/>
                <w:bCs/>
                <w:color w:val="000000"/>
                <w:sz w:val="14"/>
                <w:szCs w:val="14"/>
                <w:lang w:eastAsia="sk-SK"/>
              </w:rPr>
            </w:pPr>
            <w:r w:rsidRPr="004C481B">
              <w:rPr>
                <w:rFonts w:ascii="Times New Roman" w:hAnsi="Times New Roman" w:cs="Times New Roman"/>
                <w:b/>
                <w:bCs/>
                <w:color w:val="000000"/>
                <w:sz w:val="14"/>
                <w:szCs w:val="14"/>
                <w:lang w:eastAsia="sk-SK"/>
              </w:rPr>
              <w:t>2011 R</w:t>
            </w:r>
          </w:p>
        </w:tc>
        <w:tc>
          <w:tcPr>
            <w:tcW w:w="941" w:type="dxa"/>
            <w:tcBorders>
              <w:top w:val="single" w:sz="4" w:space="0" w:color="auto"/>
              <w:left w:val="nil"/>
              <w:bottom w:val="single" w:sz="4" w:space="0" w:color="auto"/>
              <w:right w:val="single" w:sz="4" w:space="0" w:color="auto"/>
            </w:tcBorders>
            <w:textDirection w:val="lrTb"/>
            <w:vAlign w:val="bottom"/>
            <w:hideMark/>
          </w:tcPr>
          <w:p w:rsidR="00CB350B" w:rsidRPr="004C481B" w:rsidP="00257E12">
            <w:pPr>
              <w:bidi w:val="0"/>
              <w:jc w:val="center"/>
              <w:rPr>
                <w:rFonts w:ascii="Times New Roman" w:hAnsi="Times New Roman" w:cs="Times New Roman"/>
                <w:b/>
                <w:bCs/>
                <w:color w:val="000000"/>
                <w:sz w:val="14"/>
                <w:szCs w:val="14"/>
                <w:lang w:eastAsia="sk-SK"/>
              </w:rPr>
            </w:pPr>
            <w:r w:rsidRPr="004C481B">
              <w:rPr>
                <w:rFonts w:ascii="Times New Roman" w:hAnsi="Times New Roman" w:cs="Times New Roman"/>
                <w:b/>
                <w:bCs/>
                <w:color w:val="000000"/>
                <w:sz w:val="14"/>
                <w:szCs w:val="14"/>
                <w:lang w:eastAsia="sk-SK"/>
              </w:rPr>
              <w:t>2011 OS</w:t>
            </w:r>
          </w:p>
        </w:tc>
        <w:tc>
          <w:tcPr>
            <w:tcW w:w="942" w:type="dxa"/>
            <w:tcBorders>
              <w:top w:val="single" w:sz="4" w:space="0" w:color="auto"/>
              <w:left w:val="nil"/>
              <w:bottom w:val="single" w:sz="4" w:space="0" w:color="auto"/>
              <w:right w:val="single" w:sz="4" w:space="0" w:color="auto"/>
            </w:tcBorders>
            <w:textDirection w:val="lrTb"/>
            <w:vAlign w:val="bottom"/>
            <w:hideMark/>
          </w:tcPr>
          <w:p w:rsidR="00CB350B" w:rsidRPr="004C481B" w:rsidP="00257E12">
            <w:pPr>
              <w:bidi w:val="0"/>
              <w:jc w:val="center"/>
              <w:rPr>
                <w:rFonts w:ascii="Times New Roman" w:hAnsi="Times New Roman" w:cs="Times New Roman"/>
                <w:b/>
                <w:bCs/>
                <w:color w:val="000000"/>
                <w:sz w:val="14"/>
                <w:szCs w:val="14"/>
                <w:lang w:eastAsia="sk-SK"/>
              </w:rPr>
            </w:pPr>
            <w:r w:rsidRPr="004C481B">
              <w:rPr>
                <w:rFonts w:ascii="Times New Roman" w:hAnsi="Times New Roman" w:cs="Times New Roman"/>
                <w:b/>
                <w:bCs/>
                <w:color w:val="000000"/>
                <w:sz w:val="14"/>
                <w:szCs w:val="14"/>
                <w:lang w:eastAsia="sk-SK"/>
              </w:rPr>
              <w:t>2012 N</w:t>
            </w:r>
          </w:p>
        </w:tc>
        <w:tc>
          <w:tcPr>
            <w:tcW w:w="942" w:type="dxa"/>
            <w:tcBorders>
              <w:top w:val="single" w:sz="4" w:space="0" w:color="auto"/>
              <w:left w:val="nil"/>
              <w:bottom w:val="single" w:sz="4" w:space="0" w:color="auto"/>
              <w:right w:val="single" w:sz="4" w:space="0" w:color="auto"/>
            </w:tcBorders>
            <w:textDirection w:val="lrTb"/>
            <w:vAlign w:val="bottom"/>
            <w:hideMark/>
          </w:tcPr>
          <w:p w:rsidR="00CB350B" w:rsidRPr="004C481B" w:rsidP="00257E12">
            <w:pPr>
              <w:bidi w:val="0"/>
              <w:jc w:val="center"/>
              <w:rPr>
                <w:rFonts w:ascii="Times New Roman" w:hAnsi="Times New Roman" w:cs="Times New Roman"/>
                <w:b/>
                <w:bCs/>
                <w:color w:val="000000"/>
                <w:sz w:val="14"/>
                <w:szCs w:val="14"/>
                <w:lang w:eastAsia="sk-SK"/>
              </w:rPr>
            </w:pPr>
            <w:r w:rsidRPr="004C481B">
              <w:rPr>
                <w:rFonts w:ascii="Times New Roman" w:hAnsi="Times New Roman" w:cs="Times New Roman"/>
                <w:b/>
                <w:bCs/>
                <w:color w:val="000000"/>
                <w:sz w:val="14"/>
                <w:szCs w:val="14"/>
                <w:lang w:eastAsia="sk-SK"/>
              </w:rPr>
              <w:t>2013 N</w:t>
            </w:r>
          </w:p>
        </w:tc>
        <w:tc>
          <w:tcPr>
            <w:tcW w:w="942" w:type="dxa"/>
            <w:tcBorders>
              <w:top w:val="single" w:sz="4" w:space="0" w:color="auto"/>
              <w:left w:val="nil"/>
              <w:bottom w:val="single" w:sz="4" w:space="0" w:color="auto"/>
              <w:right w:val="single" w:sz="4" w:space="0" w:color="auto"/>
            </w:tcBorders>
            <w:textDirection w:val="lrTb"/>
            <w:vAlign w:val="bottom"/>
            <w:hideMark/>
          </w:tcPr>
          <w:p w:rsidR="00CB350B" w:rsidRPr="004C481B" w:rsidP="00257E12">
            <w:pPr>
              <w:bidi w:val="0"/>
              <w:jc w:val="center"/>
              <w:rPr>
                <w:rFonts w:ascii="Times New Roman" w:hAnsi="Times New Roman" w:cs="Times New Roman"/>
                <w:b/>
                <w:bCs/>
                <w:color w:val="000000"/>
                <w:sz w:val="14"/>
                <w:szCs w:val="14"/>
                <w:lang w:eastAsia="sk-SK"/>
              </w:rPr>
            </w:pPr>
            <w:r w:rsidRPr="004C481B">
              <w:rPr>
                <w:rFonts w:ascii="Times New Roman" w:hAnsi="Times New Roman" w:cs="Times New Roman"/>
                <w:b/>
                <w:bCs/>
                <w:color w:val="000000"/>
                <w:sz w:val="14"/>
                <w:szCs w:val="14"/>
                <w:lang w:eastAsia="sk-SK"/>
              </w:rPr>
              <w:t>2014 N</w:t>
            </w:r>
          </w:p>
        </w:tc>
      </w:tr>
      <w:tr>
        <w:tblPrEx>
          <w:tblW w:w="9072" w:type="dxa"/>
          <w:jc w:val="center"/>
          <w:tblCellMar>
            <w:left w:w="70" w:type="dxa"/>
            <w:right w:w="70" w:type="dxa"/>
          </w:tblCellMar>
          <w:tblLook w:val="04A0"/>
        </w:tblPrEx>
        <w:trPr>
          <w:trHeight w:val="287"/>
          <w:jc w:val="center"/>
        </w:trPr>
        <w:tc>
          <w:tcPr>
            <w:tcW w:w="2480" w:type="dxa"/>
            <w:tcBorders>
              <w:top w:val="nil"/>
              <w:left w:val="single" w:sz="4" w:space="0" w:color="auto"/>
              <w:bottom w:val="single" w:sz="4" w:space="0" w:color="auto"/>
              <w:right w:val="single" w:sz="4" w:space="0" w:color="auto"/>
            </w:tcBorders>
            <w:textDirection w:val="lrTb"/>
            <w:vAlign w:val="bottom"/>
            <w:hideMark/>
          </w:tcPr>
          <w:p w:rsidR="00CB350B" w:rsidRPr="004C481B" w:rsidP="00257E12">
            <w:pPr>
              <w:bidi w:val="0"/>
              <w:rPr>
                <w:rFonts w:ascii="Times New Roman" w:hAnsi="Times New Roman" w:cs="Times New Roman"/>
                <w:sz w:val="14"/>
                <w:szCs w:val="14"/>
                <w:lang w:eastAsia="sk-SK"/>
              </w:rPr>
            </w:pPr>
            <w:r w:rsidRPr="004C481B">
              <w:rPr>
                <w:rFonts w:ascii="Times New Roman" w:hAnsi="Times New Roman" w:cs="Times New Roman"/>
                <w:sz w:val="14"/>
                <w:szCs w:val="14"/>
                <w:lang w:eastAsia="sk-SK"/>
              </w:rPr>
              <w:t>Obvinení</w:t>
            </w:r>
          </w:p>
        </w:tc>
        <w:tc>
          <w:tcPr>
            <w:tcW w:w="941" w:type="dxa"/>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sz w:val="14"/>
                <w:szCs w:val="14"/>
                <w:lang w:eastAsia="sk-SK"/>
              </w:rPr>
            </w:pPr>
            <w:r w:rsidRPr="004C481B">
              <w:rPr>
                <w:rFonts w:ascii="Times New Roman" w:hAnsi="Times New Roman" w:cs="Times New Roman"/>
                <w:sz w:val="14"/>
                <w:szCs w:val="14"/>
                <w:lang w:eastAsia="sk-SK"/>
              </w:rPr>
              <w:t>1 626</w:t>
            </w:r>
          </w:p>
        </w:tc>
        <w:tc>
          <w:tcPr>
            <w:tcW w:w="942" w:type="dxa"/>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sz w:val="14"/>
                <w:szCs w:val="14"/>
                <w:lang w:eastAsia="sk-SK"/>
              </w:rPr>
            </w:pPr>
            <w:r w:rsidRPr="004C481B">
              <w:rPr>
                <w:rFonts w:ascii="Times New Roman" w:hAnsi="Times New Roman" w:cs="Times New Roman"/>
                <w:sz w:val="14"/>
                <w:szCs w:val="14"/>
                <w:lang w:eastAsia="sk-SK"/>
              </w:rPr>
              <w:t>1 596</w:t>
            </w:r>
          </w:p>
        </w:tc>
        <w:tc>
          <w:tcPr>
            <w:tcW w:w="942" w:type="dxa"/>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sz w:val="14"/>
                <w:szCs w:val="14"/>
                <w:lang w:eastAsia="sk-SK"/>
              </w:rPr>
            </w:pPr>
            <w:r w:rsidRPr="004C481B">
              <w:rPr>
                <w:rFonts w:ascii="Times New Roman" w:hAnsi="Times New Roman" w:cs="Times New Roman"/>
                <w:sz w:val="14"/>
                <w:szCs w:val="14"/>
                <w:lang w:eastAsia="sk-SK"/>
              </w:rPr>
              <w:t>1 500</w:t>
            </w:r>
          </w:p>
        </w:tc>
        <w:tc>
          <w:tcPr>
            <w:tcW w:w="941" w:type="dxa"/>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sz w:val="14"/>
                <w:szCs w:val="14"/>
                <w:lang w:eastAsia="sk-SK"/>
              </w:rPr>
            </w:pPr>
            <w:r w:rsidRPr="004C481B">
              <w:rPr>
                <w:rFonts w:ascii="Times New Roman" w:hAnsi="Times New Roman" w:cs="Times New Roman"/>
                <w:sz w:val="14"/>
                <w:szCs w:val="14"/>
                <w:lang w:eastAsia="sk-SK"/>
              </w:rPr>
              <w:t>1 500</w:t>
            </w:r>
          </w:p>
        </w:tc>
        <w:tc>
          <w:tcPr>
            <w:tcW w:w="942" w:type="dxa"/>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sz w:val="14"/>
                <w:szCs w:val="14"/>
                <w:lang w:eastAsia="sk-SK"/>
              </w:rPr>
            </w:pPr>
            <w:r w:rsidRPr="004C481B">
              <w:rPr>
                <w:rFonts w:ascii="Times New Roman" w:hAnsi="Times New Roman" w:cs="Times New Roman"/>
                <w:sz w:val="14"/>
                <w:szCs w:val="14"/>
                <w:lang w:eastAsia="sk-SK"/>
              </w:rPr>
              <w:t>1 500</w:t>
            </w:r>
          </w:p>
        </w:tc>
        <w:tc>
          <w:tcPr>
            <w:tcW w:w="942" w:type="dxa"/>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sz w:val="14"/>
                <w:szCs w:val="14"/>
                <w:lang w:eastAsia="sk-SK"/>
              </w:rPr>
            </w:pPr>
            <w:r w:rsidRPr="004C481B">
              <w:rPr>
                <w:rFonts w:ascii="Times New Roman" w:hAnsi="Times New Roman" w:cs="Times New Roman"/>
                <w:sz w:val="14"/>
                <w:szCs w:val="14"/>
                <w:lang w:eastAsia="sk-SK"/>
              </w:rPr>
              <w:t>1 500</w:t>
            </w:r>
          </w:p>
        </w:tc>
        <w:tc>
          <w:tcPr>
            <w:tcW w:w="942" w:type="dxa"/>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sz w:val="14"/>
                <w:szCs w:val="14"/>
                <w:lang w:eastAsia="sk-SK"/>
              </w:rPr>
            </w:pPr>
            <w:r w:rsidRPr="004C481B">
              <w:rPr>
                <w:rFonts w:ascii="Times New Roman" w:hAnsi="Times New Roman" w:cs="Times New Roman"/>
                <w:sz w:val="14"/>
                <w:szCs w:val="14"/>
                <w:lang w:eastAsia="sk-SK"/>
              </w:rPr>
              <w:t>1 500</w:t>
            </w:r>
          </w:p>
        </w:tc>
      </w:tr>
      <w:tr>
        <w:tblPrEx>
          <w:tblW w:w="9072" w:type="dxa"/>
          <w:jc w:val="center"/>
          <w:tblCellMar>
            <w:left w:w="70" w:type="dxa"/>
            <w:right w:w="70" w:type="dxa"/>
          </w:tblCellMar>
          <w:tblLook w:val="04A0"/>
        </w:tblPrEx>
        <w:trPr>
          <w:trHeight w:val="287"/>
          <w:jc w:val="center"/>
        </w:trPr>
        <w:tc>
          <w:tcPr>
            <w:tcW w:w="2480" w:type="dxa"/>
            <w:tcBorders>
              <w:top w:val="nil"/>
              <w:left w:val="single" w:sz="4" w:space="0" w:color="auto"/>
              <w:bottom w:val="single" w:sz="4" w:space="0" w:color="auto"/>
              <w:right w:val="single" w:sz="4" w:space="0" w:color="auto"/>
            </w:tcBorders>
            <w:textDirection w:val="lrTb"/>
            <w:vAlign w:val="bottom"/>
            <w:hideMark/>
          </w:tcPr>
          <w:p w:rsidR="00CB350B" w:rsidRPr="004C481B" w:rsidP="00257E12">
            <w:pPr>
              <w:bidi w:val="0"/>
              <w:rPr>
                <w:rFonts w:ascii="Times New Roman" w:hAnsi="Times New Roman" w:cs="Times New Roman"/>
                <w:sz w:val="14"/>
                <w:szCs w:val="14"/>
                <w:lang w:eastAsia="sk-SK"/>
              </w:rPr>
            </w:pPr>
            <w:r w:rsidRPr="004C481B">
              <w:rPr>
                <w:rFonts w:ascii="Times New Roman" w:hAnsi="Times New Roman" w:cs="Times New Roman"/>
                <w:sz w:val="14"/>
                <w:szCs w:val="14"/>
                <w:lang w:eastAsia="sk-SK"/>
              </w:rPr>
              <w:t>Odsúdení</w:t>
            </w:r>
          </w:p>
        </w:tc>
        <w:tc>
          <w:tcPr>
            <w:tcW w:w="941" w:type="dxa"/>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sz w:val="14"/>
                <w:szCs w:val="14"/>
                <w:lang w:eastAsia="sk-SK"/>
              </w:rPr>
            </w:pPr>
            <w:r w:rsidRPr="004C481B">
              <w:rPr>
                <w:rFonts w:ascii="Times New Roman" w:hAnsi="Times New Roman" w:cs="Times New Roman"/>
                <w:sz w:val="14"/>
                <w:szCs w:val="14"/>
                <w:lang w:eastAsia="sk-SK"/>
              </w:rPr>
              <w:t>7 230</w:t>
            </w:r>
          </w:p>
        </w:tc>
        <w:tc>
          <w:tcPr>
            <w:tcW w:w="942" w:type="dxa"/>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sz w:val="14"/>
                <w:szCs w:val="14"/>
                <w:lang w:eastAsia="sk-SK"/>
              </w:rPr>
            </w:pPr>
            <w:r w:rsidRPr="004C481B">
              <w:rPr>
                <w:rFonts w:ascii="Times New Roman" w:hAnsi="Times New Roman" w:cs="Times New Roman"/>
                <w:sz w:val="14"/>
                <w:szCs w:val="14"/>
                <w:lang w:eastAsia="sk-SK"/>
              </w:rPr>
              <w:t>8 339</w:t>
            </w:r>
          </w:p>
        </w:tc>
        <w:tc>
          <w:tcPr>
            <w:tcW w:w="942" w:type="dxa"/>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sz w:val="14"/>
                <w:szCs w:val="14"/>
                <w:lang w:eastAsia="sk-SK"/>
              </w:rPr>
            </w:pPr>
            <w:r w:rsidRPr="004C481B">
              <w:rPr>
                <w:rFonts w:ascii="Times New Roman" w:hAnsi="Times New Roman" w:cs="Times New Roman"/>
                <w:sz w:val="14"/>
                <w:szCs w:val="14"/>
                <w:lang w:eastAsia="sk-SK"/>
              </w:rPr>
              <w:t>8 917</w:t>
            </w:r>
          </w:p>
        </w:tc>
        <w:tc>
          <w:tcPr>
            <w:tcW w:w="941" w:type="dxa"/>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sz w:val="14"/>
                <w:szCs w:val="14"/>
                <w:lang w:eastAsia="sk-SK"/>
              </w:rPr>
            </w:pPr>
            <w:r w:rsidRPr="004C481B">
              <w:rPr>
                <w:rFonts w:ascii="Times New Roman" w:hAnsi="Times New Roman" w:cs="Times New Roman"/>
                <w:sz w:val="14"/>
                <w:szCs w:val="14"/>
                <w:lang w:eastAsia="sk-SK"/>
              </w:rPr>
              <w:t>8 917</w:t>
            </w:r>
          </w:p>
        </w:tc>
        <w:tc>
          <w:tcPr>
            <w:tcW w:w="942" w:type="dxa"/>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sz w:val="14"/>
                <w:szCs w:val="14"/>
                <w:lang w:eastAsia="sk-SK"/>
              </w:rPr>
            </w:pPr>
            <w:r w:rsidRPr="004C481B">
              <w:rPr>
                <w:rFonts w:ascii="Times New Roman" w:hAnsi="Times New Roman" w:cs="Times New Roman"/>
                <w:sz w:val="14"/>
                <w:szCs w:val="14"/>
                <w:lang w:eastAsia="sk-SK"/>
              </w:rPr>
              <w:t>9 267</w:t>
            </w:r>
          </w:p>
        </w:tc>
        <w:tc>
          <w:tcPr>
            <w:tcW w:w="942" w:type="dxa"/>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sz w:val="14"/>
                <w:szCs w:val="14"/>
                <w:lang w:eastAsia="sk-SK"/>
              </w:rPr>
            </w:pPr>
            <w:r w:rsidRPr="004C481B">
              <w:rPr>
                <w:rFonts w:ascii="Times New Roman" w:hAnsi="Times New Roman" w:cs="Times New Roman"/>
                <w:sz w:val="14"/>
                <w:szCs w:val="14"/>
                <w:lang w:eastAsia="sk-SK"/>
              </w:rPr>
              <w:t>9 617</w:t>
            </w:r>
          </w:p>
        </w:tc>
        <w:tc>
          <w:tcPr>
            <w:tcW w:w="942" w:type="dxa"/>
            <w:tcBorders>
              <w:top w:val="nil"/>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sz w:val="14"/>
                <w:szCs w:val="14"/>
                <w:lang w:eastAsia="sk-SK"/>
              </w:rPr>
            </w:pPr>
            <w:r w:rsidRPr="004C481B">
              <w:rPr>
                <w:rFonts w:ascii="Times New Roman" w:hAnsi="Times New Roman" w:cs="Times New Roman"/>
                <w:sz w:val="14"/>
                <w:szCs w:val="14"/>
                <w:lang w:eastAsia="sk-SK"/>
              </w:rPr>
              <w:t>9 967</w:t>
            </w:r>
          </w:p>
        </w:tc>
      </w:tr>
      <w:tr>
        <w:tblPrEx>
          <w:tblW w:w="9072" w:type="dxa"/>
          <w:jc w:val="center"/>
          <w:tblCellMar>
            <w:left w:w="70" w:type="dxa"/>
            <w:right w:w="70" w:type="dxa"/>
          </w:tblCellMar>
          <w:tblLook w:val="04A0"/>
        </w:tblPrEx>
        <w:trPr>
          <w:trHeight w:val="287"/>
          <w:jc w:val="center"/>
        </w:trPr>
        <w:tc>
          <w:tcPr>
            <w:tcW w:w="2480"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4C481B" w:rsidP="00257E12">
            <w:pPr>
              <w:bidi w:val="0"/>
              <w:rPr>
                <w:rFonts w:ascii="Times New Roman" w:hAnsi="Times New Roman" w:cs="Times New Roman"/>
                <w:b/>
                <w:bCs/>
                <w:sz w:val="14"/>
                <w:szCs w:val="14"/>
                <w:lang w:eastAsia="sk-SK"/>
              </w:rPr>
            </w:pPr>
            <w:r w:rsidRPr="004C481B">
              <w:rPr>
                <w:rFonts w:ascii="Times New Roman" w:hAnsi="Times New Roman" w:cs="Times New Roman"/>
                <w:b/>
                <w:bCs/>
                <w:sz w:val="14"/>
                <w:szCs w:val="14"/>
                <w:lang w:eastAsia="sk-SK"/>
              </w:rPr>
              <w:t>Obvinení a odsúdení spolu</w:t>
            </w:r>
          </w:p>
        </w:tc>
        <w:tc>
          <w:tcPr>
            <w:tcW w:w="941" w:type="dxa"/>
            <w:tcBorders>
              <w:top w:val="single" w:sz="4" w:space="0" w:color="auto"/>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b/>
                <w:bCs/>
                <w:sz w:val="14"/>
                <w:szCs w:val="14"/>
                <w:lang w:eastAsia="sk-SK"/>
              </w:rPr>
            </w:pPr>
            <w:r w:rsidRPr="004C481B">
              <w:rPr>
                <w:rFonts w:ascii="Times New Roman" w:hAnsi="Times New Roman" w:cs="Times New Roman"/>
                <w:b/>
                <w:bCs/>
                <w:sz w:val="14"/>
                <w:szCs w:val="14"/>
                <w:lang w:eastAsia="sk-SK"/>
              </w:rPr>
              <w:t>8 856</w:t>
            </w:r>
          </w:p>
        </w:tc>
        <w:tc>
          <w:tcPr>
            <w:tcW w:w="942" w:type="dxa"/>
            <w:tcBorders>
              <w:top w:val="single" w:sz="4" w:space="0" w:color="auto"/>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b/>
                <w:bCs/>
                <w:sz w:val="14"/>
                <w:szCs w:val="14"/>
                <w:lang w:eastAsia="sk-SK"/>
              </w:rPr>
            </w:pPr>
            <w:r w:rsidRPr="004C481B">
              <w:rPr>
                <w:rFonts w:ascii="Times New Roman" w:hAnsi="Times New Roman" w:cs="Times New Roman"/>
                <w:b/>
                <w:bCs/>
                <w:sz w:val="14"/>
                <w:szCs w:val="14"/>
                <w:lang w:eastAsia="sk-SK"/>
              </w:rPr>
              <w:t>9 935</w:t>
            </w:r>
          </w:p>
        </w:tc>
        <w:tc>
          <w:tcPr>
            <w:tcW w:w="942" w:type="dxa"/>
            <w:tcBorders>
              <w:top w:val="single" w:sz="4" w:space="0" w:color="auto"/>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b/>
                <w:bCs/>
                <w:sz w:val="14"/>
                <w:szCs w:val="14"/>
                <w:lang w:eastAsia="sk-SK"/>
              </w:rPr>
            </w:pPr>
            <w:r w:rsidRPr="004C481B">
              <w:rPr>
                <w:rFonts w:ascii="Times New Roman" w:hAnsi="Times New Roman" w:cs="Times New Roman"/>
                <w:b/>
                <w:bCs/>
                <w:sz w:val="14"/>
                <w:szCs w:val="14"/>
                <w:lang w:eastAsia="sk-SK"/>
              </w:rPr>
              <w:t>10 417</w:t>
            </w:r>
          </w:p>
        </w:tc>
        <w:tc>
          <w:tcPr>
            <w:tcW w:w="941" w:type="dxa"/>
            <w:tcBorders>
              <w:top w:val="single" w:sz="4" w:space="0" w:color="auto"/>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b/>
                <w:bCs/>
                <w:sz w:val="14"/>
                <w:szCs w:val="14"/>
                <w:lang w:eastAsia="sk-SK"/>
              </w:rPr>
            </w:pPr>
            <w:r w:rsidRPr="004C481B">
              <w:rPr>
                <w:rFonts w:ascii="Times New Roman" w:hAnsi="Times New Roman" w:cs="Times New Roman"/>
                <w:b/>
                <w:bCs/>
                <w:sz w:val="14"/>
                <w:szCs w:val="14"/>
                <w:lang w:eastAsia="sk-SK"/>
              </w:rPr>
              <w:t>10 417</w:t>
            </w:r>
          </w:p>
        </w:tc>
        <w:tc>
          <w:tcPr>
            <w:tcW w:w="942" w:type="dxa"/>
            <w:tcBorders>
              <w:top w:val="single" w:sz="4" w:space="0" w:color="auto"/>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b/>
                <w:bCs/>
                <w:sz w:val="14"/>
                <w:szCs w:val="14"/>
                <w:lang w:eastAsia="sk-SK"/>
              </w:rPr>
            </w:pPr>
            <w:r w:rsidRPr="004C481B">
              <w:rPr>
                <w:rFonts w:ascii="Times New Roman" w:hAnsi="Times New Roman" w:cs="Times New Roman"/>
                <w:b/>
                <w:bCs/>
                <w:sz w:val="14"/>
                <w:szCs w:val="14"/>
                <w:lang w:eastAsia="sk-SK"/>
              </w:rPr>
              <w:t>10 767</w:t>
            </w:r>
          </w:p>
        </w:tc>
        <w:tc>
          <w:tcPr>
            <w:tcW w:w="942" w:type="dxa"/>
            <w:tcBorders>
              <w:top w:val="single" w:sz="4" w:space="0" w:color="auto"/>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b/>
                <w:bCs/>
                <w:sz w:val="14"/>
                <w:szCs w:val="14"/>
                <w:lang w:eastAsia="sk-SK"/>
              </w:rPr>
            </w:pPr>
            <w:r w:rsidRPr="004C481B">
              <w:rPr>
                <w:rFonts w:ascii="Times New Roman" w:hAnsi="Times New Roman" w:cs="Times New Roman"/>
                <w:b/>
                <w:bCs/>
                <w:sz w:val="14"/>
                <w:szCs w:val="14"/>
                <w:lang w:eastAsia="sk-SK"/>
              </w:rPr>
              <w:t>11 117</w:t>
            </w:r>
          </w:p>
        </w:tc>
        <w:tc>
          <w:tcPr>
            <w:tcW w:w="942" w:type="dxa"/>
            <w:tcBorders>
              <w:top w:val="single" w:sz="4" w:space="0" w:color="auto"/>
              <w:left w:val="nil"/>
              <w:bottom w:val="single" w:sz="4" w:space="0" w:color="auto"/>
              <w:right w:val="single" w:sz="4" w:space="0" w:color="auto"/>
            </w:tcBorders>
            <w:textDirection w:val="lrTb"/>
            <w:vAlign w:val="bottom"/>
            <w:hideMark/>
          </w:tcPr>
          <w:p w:rsidR="00CB350B" w:rsidRPr="004C481B" w:rsidP="00257E12">
            <w:pPr>
              <w:bidi w:val="0"/>
              <w:jc w:val="right"/>
              <w:rPr>
                <w:rFonts w:ascii="Times New Roman" w:hAnsi="Times New Roman" w:cs="Times New Roman"/>
                <w:b/>
                <w:bCs/>
                <w:sz w:val="14"/>
                <w:szCs w:val="14"/>
                <w:lang w:eastAsia="sk-SK"/>
              </w:rPr>
            </w:pPr>
            <w:r w:rsidRPr="004C481B">
              <w:rPr>
                <w:rFonts w:ascii="Times New Roman" w:hAnsi="Times New Roman" w:cs="Times New Roman"/>
                <w:b/>
                <w:bCs/>
                <w:sz w:val="14"/>
                <w:szCs w:val="14"/>
                <w:lang w:eastAsia="sk-SK"/>
              </w:rPr>
              <w:t>11 467</w:t>
            </w:r>
          </w:p>
        </w:tc>
      </w:tr>
    </w:tbl>
    <w:p w:rsidR="00CB350B" w:rsidRPr="0004638E" w:rsidP="00CB350B">
      <w:pPr>
        <w:bidi w:val="0"/>
        <w:jc w:val="both"/>
        <w:rPr>
          <w:rFonts w:ascii="Times New Roman" w:hAnsi="Times New Roman" w:cs="Times New Roman"/>
        </w:rPr>
      </w:pPr>
    </w:p>
    <w:p w:rsidR="00CB350B" w:rsidP="00CB350B">
      <w:pPr>
        <w:bidi w:val="0"/>
        <w:ind w:firstLine="708"/>
        <w:jc w:val="both"/>
        <w:rPr>
          <w:rFonts w:ascii="Times New Roman" w:hAnsi="Times New Roman" w:cs="Times New Roman"/>
        </w:rPr>
      </w:pPr>
      <w:r w:rsidRPr="0004638E">
        <w:rPr>
          <w:rFonts w:ascii="Times New Roman" w:hAnsi="Times New Roman" w:cs="Times New Roman"/>
        </w:rPr>
        <w:t xml:space="preserve">V ústavoch na výkon väzby a v ústavoch na výkon trestu odňatia slobody bolo k </w:t>
      </w:r>
      <w:r>
        <w:rPr>
          <w:rFonts w:ascii="Times New Roman" w:hAnsi="Times New Roman" w:cs="Times New Roman"/>
        </w:rPr>
        <w:br/>
      </w:r>
      <w:r w:rsidRPr="0004638E">
        <w:rPr>
          <w:rFonts w:ascii="Times New Roman" w:hAnsi="Times New Roman" w:cs="Times New Roman"/>
        </w:rPr>
        <w:t>3</w:t>
      </w:r>
      <w:r>
        <w:rPr>
          <w:rFonts w:ascii="Times New Roman" w:hAnsi="Times New Roman" w:cs="Times New Roman"/>
        </w:rPr>
        <w:t>1</w:t>
      </w:r>
      <w:r w:rsidRPr="0004638E">
        <w:rPr>
          <w:rFonts w:ascii="Times New Roman" w:hAnsi="Times New Roman" w:cs="Times New Roman"/>
        </w:rPr>
        <w:t xml:space="preserve">. </w:t>
      </w:r>
      <w:r>
        <w:rPr>
          <w:rFonts w:ascii="Times New Roman" w:hAnsi="Times New Roman" w:cs="Times New Roman"/>
        </w:rPr>
        <w:t>augustu</w:t>
      </w:r>
      <w:r w:rsidRPr="0004638E">
        <w:rPr>
          <w:rFonts w:ascii="Times New Roman" w:hAnsi="Times New Roman" w:cs="Times New Roman"/>
        </w:rPr>
        <w:t xml:space="preserve"> 2011 umiestnených spolu </w:t>
      </w:r>
      <w:r w:rsidRPr="007A20B3">
        <w:rPr>
          <w:rFonts w:ascii="Times New Roman" w:hAnsi="Times New Roman" w:cs="Times New Roman"/>
        </w:rPr>
        <w:t xml:space="preserve">10 </w:t>
      </w:r>
      <w:r>
        <w:rPr>
          <w:rFonts w:ascii="Times New Roman" w:hAnsi="Times New Roman" w:cs="Times New Roman"/>
        </w:rPr>
        <w:t>739</w:t>
      </w:r>
      <w:r w:rsidRPr="007A20B3">
        <w:rPr>
          <w:rFonts w:ascii="Times New Roman" w:hAnsi="Times New Roman" w:cs="Times New Roman"/>
        </w:rPr>
        <w:t xml:space="preserve"> osôb,</w:t>
      </w:r>
      <w:r w:rsidRPr="0004638E">
        <w:rPr>
          <w:rFonts w:ascii="Times New Roman" w:hAnsi="Times New Roman" w:cs="Times New Roman"/>
        </w:rPr>
        <w:t xml:space="preserve"> z toho 1 44</w:t>
      </w:r>
      <w:r>
        <w:rPr>
          <w:rFonts w:ascii="Times New Roman" w:hAnsi="Times New Roman" w:cs="Times New Roman"/>
        </w:rPr>
        <w:t>8</w:t>
      </w:r>
      <w:r w:rsidRPr="0004638E">
        <w:rPr>
          <w:rFonts w:ascii="Times New Roman" w:hAnsi="Times New Roman" w:cs="Times New Roman"/>
        </w:rPr>
        <w:t xml:space="preserve"> obvinených a </w:t>
      </w:r>
      <w:r>
        <w:rPr>
          <w:rFonts w:ascii="Times New Roman" w:hAnsi="Times New Roman" w:cs="Times New Roman"/>
        </w:rPr>
        <w:t>9</w:t>
      </w:r>
      <w:r w:rsidRPr="0004638E">
        <w:rPr>
          <w:rFonts w:ascii="Times New Roman" w:hAnsi="Times New Roman" w:cs="Times New Roman"/>
        </w:rPr>
        <w:t xml:space="preserve"> </w:t>
      </w:r>
      <w:r>
        <w:rPr>
          <w:rFonts w:ascii="Times New Roman" w:hAnsi="Times New Roman" w:cs="Times New Roman"/>
        </w:rPr>
        <w:t>2</w:t>
      </w:r>
      <w:r w:rsidRPr="0004638E">
        <w:rPr>
          <w:rFonts w:ascii="Times New Roman" w:hAnsi="Times New Roman" w:cs="Times New Roman"/>
        </w:rPr>
        <w:t>9</w:t>
      </w:r>
      <w:r>
        <w:rPr>
          <w:rFonts w:ascii="Times New Roman" w:hAnsi="Times New Roman" w:cs="Times New Roman"/>
        </w:rPr>
        <w:t>1</w:t>
      </w:r>
      <w:r w:rsidRPr="0004638E">
        <w:rPr>
          <w:rFonts w:ascii="Times New Roman" w:hAnsi="Times New Roman" w:cs="Times New Roman"/>
        </w:rPr>
        <w:t xml:space="preserve"> odsúdených. </w:t>
      </w:r>
    </w:p>
    <w:p w:rsidR="00CB350B" w:rsidRPr="0004638E" w:rsidP="00CB350B">
      <w:pPr>
        <w:bidi w:val="0"/>
        <w:ind w:firstLine="708"/>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 xml:space="preserve">Väzenstvo je podmienené dynamikou rastu počtu obvinených a odsúdených. Pokiaľ bude pokračovať nárast aj v budúcnosti, vyvolá to problém nielen v ubytovacej kapacite väzenstva, ale aj vo výdavkoch, ktoré sú rozpočtované a určené na zabezpečenie chodu a ochrany v ústavoch na výkon väzby a v ústavoch na výkon trestu odňatia slobody. </w:t>
      </w:r>
    </w:p>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Pr>
          <w:rFonts w:ascii="Times New Roman" w:hAnsi="Times New Roman" w:cs="Times New Roman"/>
        </w:rPr>
        <w:t>V</w:t>
      </w:r>
      <w:r w:rsidRPr="0004638E">
        <w:rPr>
          <w:rFonts w:ascii="Times New Roman" w:hAnsi="Times New Roman" w:cs="Times New Roman"/>
        </w:rPr>
        <w:t xml:space="preserve"> kapitole </w:t>
      </w:r>
      <w:r>
        <w:rPr>
          <w:rFonts w:ascii="Times New Roman" w:hAnsi="Times New Roman" w:cs="Times New Roman"/>
        </w:rPr>
        <w:t xml:space="preserve">sa </w:t>
      </w:r>
      <w:r w:rsidRPr="0004638E">
        <w:rPr>
          <w:rFonts w:ascii="Times New Roman" w:hAnsi="Times New Roman" w:cs="Times New Roman"/>
        </w:rPr>
        <w:t>rozpočtujú prostriedky na investície rekonštrukcií stavieb 5-tich ústavov väzenstva s tým, že sa vytvoria nové ubytovacie kapacity väzenstva v objeme 835 nových miest pre obvinených a odsúdených.</w:t>
      </w:r>
    </w:p>
    <w:p w:rsidR="00CB350B" w:rsidRPr="0004638E" w:rsidP="00CB350B">
      <w:pPr>
        <w:bidi w:val="0"/>
        <w:jc w:val="both"/>
        <w:rPr>
          <w:rFonts w:ascii="Times New Roman" w:hAnsi="Times New Roman" w:cs="Times New Roman"/>
        </w:rPr>
      </w:pPr>
    </w:p>
    <w:tbl>
      <w:tblPr>
        <w:tblStyle w:val="TableNormal"/>
        <w:tblW w:w="9087" w:type="dxa"/>
        <w:tblInd w:w="55" w:type="dxa"/>
        <w:tblLayout w:type="fixed"/>
        <w:tblCellMar>
          <w:left w:w="70" w:type="dxa"/>
          <w:right w:w="70" w:type="dxa"/>
        </w:tblCellMar>
        <w:tblLook w:val="04A0"/>
      </w:tblPr>
      <w:tblGrid>
        <w:gridCol w:w="3559"/>
        <w:gridCol w:w="921"/>
        <w:gridCol w:w="921"/>
        <w:gridCol w:w="922"/>
        <w:gridCol w:w="921"/>
        <w:gridCol w:w="921"/>
        <w:gridCol w:w="922"/>
      </w:tblGrid>
      <w:tr>
        <w:tblPrEx>
          <w:tblW w:w="9087" w:type="dxa"/>
          <w:tblInd w:w="55" w:type="dxa"/>
          <w:tblLayout w:type="fixed"/>
          <w:tblCellMar>
            <w:left w:w="70" w:type="dxa"/>
            <w:right w:w="70" w:type="dxa"/>
          </w:tblCellMar>
          <w:tblLook w:val="04A0"/>
        </w:tblPrEx>
        <w:trPr>
          <w:trHeight w:val="330"/>
        </w:trPr>
        <w:tc>
          <w:tcPr>
            <w:tcW w:w="3559" w:type="dxa"/>
            <w:vMerge w:val="restar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b/>
                <w:color w:val="000000"/>
                <w:sz w:val="14"/>
                <w:szCs w:val="14"/>
                <w:lang w:eastAsia="sk-SK"/>
              </w:rPr>
            </w:pPr>
            <w:r w:rsidRPr="009E58F9">
              <w:rPr>
                <w:rFonts w:ascii="Times New Roman" w:hAnsi="Times New Roman" w:cs="Times New Roman"/>
                <w:b/>
                <w:color w:val="000000"/>
                <w:sz w:val="14"/>
                <w:szCs w:val="14"/>
                <w:lang w:eastAsia="sk-SK"/>
              </w:rPr>
              <w:t>Investičné výdavky na 5 ústavov v eurách</w:t>
            </w:r>
          </w:p>
        </w:tc>
        <w:tc>
          <w:tcPr>
            <w:tcW w:w="921" w:type="dxa"/>
            <w:vMerge w:val="restar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2012</w:t>
            </w:r>
          </w:p>
        </w:tc>
        <w:tc>
          <w:tcPr>
            <w:tcW w:w="921" w:type="dxa"/>
            <w:tcBorders>
              <w:top w:val="single" w:sz="4" w:space="0" w:color="auto"/>
              <w:left w:val="nil"/>
              <w:bottom w:val="nil"/>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bCs/>
                <w:sz w:val="14"/>
                <w:szCs w:val="14"/>
                <w:lang w:eastAsia="sk-SK"/>
              </w:rPr>
            </w:pPr>
            <w:r w:rsidRPr="009E58F9">
              <w:rPr>
                <w:rFonts w:ascii="Times New Roman" w:hAnsi="Times New Roman" w:cs="Times New Roman"/>
                <w:b/>
                <w:bCs/>
                <w:sz w:val="14"/>
                <w:szCs w:val="14"/>
                <w:lang w:eastAsia="sk-SK"/>
              </w:rPr>
              <w:t>Nové</w:t>
            </w:r>
          </w:p>
        </w:tc>
        <w:tc>
          <w:tcPr>
            <w:tcW w:w="922" w:type="dxa"/>
            <w:vMerge w:val="restar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2013</w:t>
            </w:r>
          </w:p>
        </w:tc>
        <w:tc>
          <w:tcPr>
            <w:tcW w:w="921" w:type="dxa"/>
            <w:tcBorders>
              <w:top w:val="single" w:sz="4" w:space="0" w:color="auto"/>
              <w:left w:val="nil"/>
              <w:bottom w:val="nil"/>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bCs/>
                <w:sz w:val="14"/>
                <w:szCs w:val="14"/>
                <w:lang w:eastAsia="sk-SK"/>
              </w:rPr>
            </w:pPr>
            <w:r w:rsidRPr="009E58F9">
              <w:rPr>
                <w:rFonts w:ascii="Times New Roman" w:hAnsi="Times New Roman" w:cs="Times New Roman"/>
                <w:b/>
                <w:bCs/>
                <w:sz w:val="14"/>
                <w:szCs w:val="14"/>
                <w:lang w:eastAsia="sk-SK"/>
              </w:rPr>
              <w:t>nové</w:t>
            </w:r>
          </w:p>
        </w:tc>
        <w:tc>
          <w:tcPr>
            <w:tcW w:w="921" w:type="dxa"/>
            <w:vMerge w:val="restar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2014</w:t>
            </w:r>
          </w:p>
        </w:tc>
        <w:tc>
          <w:tcPr>
            <w:tcW w:w="922" w:type="dxa"/>
            <w:tcBorders>
              <w:top w:val="single" w:sz="4" w:space="0" w:color="auto"/>
              <w:left w:val="nil"/>
              <w:bottom w:val="nil"/>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bCs/>
                <w:sz w:val="14"/>
                <w:szCs w:val="14"/>
                <w:lang w:eastAsia="sk-SK"/>
              </w:rPr>
            </w:pPr>
            <w:r w:rsidRPr="009E58F9">
              <w:rPr>
                <w:rFonts w:ascii="Times New Roman" w:hAnsi="Times New Roman" w:cs="Times New Roman"/>
                <w:b/>
                <w:bCs/>
                <w:sz w:val="14"/>
                <w:szCs w:val="14"/>
                <w:lang w:eastAsia="sk-SK"/>
              </w:rPr>
              <w:t>Nové</w:t>
            </w:r>
          </w:p>
        </w:tc>
      </w:tr>
      <w:tr>
        <w:tblPrEx>
          <w:tblW w:w="9087" w:type="dxa"/>
          <w:tblInd w:w="55" w:type="dxa"/>
          <w:tblLayout w:type="fixed"/>
          <w:tblCellMar>
            <w:left w:w="70" w:type="dxa"/>
            <w:right w:w="70" w:type="dxa"/>
          </w:tblCellMar>
          <w:tblLook w:val="04A0"/>
        </w:tblPrEx>
        <w:trPr>
          <w:trHeight w:val="107"/>
        </w:trPr>
        <w:tc>
          <w:tcPr>
            <w:tcW w:w="3559" w:type="dxa"/>
            <w:vMerge/>
            <w:tcBorders>
              <w:top w:val="single" w:sz="4" w:space="0" w:color="auto"/>
              <w:left w:val="single" w:sz="4" w:space="0" w:color="auto"/>
              <w:bottom w:val="single" w:sz="4" w:space="0" w:color="auto"/>
              <w:right w:val="single" w:sz="4" w:space="0" w:color="auto"/>
            </w:tcBorders>
            <w:textDirection w:val="lrTb"/>
            <w:vAlign w:val="center"/>
            <w:hideMark/>
          </w:tcPr>
          <w:p w:rsidR="00CB350B" w:rsidRPr="009E58F9" w:rsidP="00257E12">
            <w:pPr>
              <w:bidi w:val="0"/>
              <w:rPr>
                <w:rFonts w:ascii="Times New Roman" w:hAnsi="Times New Roman" w:cs="Times New Roman"/>
                <w:color w:val="000000"/>
                <w:sz w:val="14"/>
                <w:szCs w:val="14"/>
                <w:lang w:eastAsia="sk-SK"/>
              </w:rPr>
            </w:pPr>
          </w:p>
        </w:tc>
        <w:tc>
          <w:tcPr>
            <w:tcW w:w="921" w:type="dxa"/>
            <w:vMerge/>
            <w:tcBorders>
              <w:top w:val="single" w:sz="4" w:space="0" w:color="auto"/>
              <w:left w:val="single" w:sz="4" w:space="0" w:color="auto"/>
              <w:bottom w:val="single" w:sz="4" w:space="0" w:color="auto"/>
              <w:right w:val="single" w:sz="4" w:space="0" w:color="auto"/>
            </w:tcBorders>
            <w:textDirection w:val="lrTb"/>
            <w:vAlign w:val="center"/>
            <w:hideMark/>
          </w:tcPr>
          <w:p w:rsidR="00CB350B" w:rsidRPr="009E58F9" w:rsidP="00257E12">
            <w:pPr>
              <w:bidi w:val="0"/>
              <w:rPr>
                <w:rFonts w:ascii="Times New Roman" w:hAnsi="Times New Roman" w:cs="Times New Roman"/>
                <w:b/>
                <w:bCs/>
                <w:color w:val="000000"/>
                <w:sz w:val="14"/>
                <w:szCs w:val="14"/>
                <w:lang w:eastAsia="sk-SK"/>
              </w:rPr>
            </w:pPr>
          </w:p>
        </w:tc>
        <w:tc>
          <w:tcPr>
            <w:tcW w:w="921"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Kapacity</w:t>
            </w:r>
          </w:p>
        </w:tc>
        <w:tc>
          <w:tcPr>
            <w:tcW w:w="922" w:type="dxa"/>
            <w:vMerge/>
            <w:tcBorders>
              <w:top w:val="single" w:sz="4" w:space="0" w:color="auto"/>
              <w:left w:val="single" w:sz="4" w:space="0" w:color="auto"/>
              <w:bottom w:val="single" w:sz="4" w:space="0" w:color="auto"/>
              <w:right w:val="single" w:sz="4" w:space="0" w:color="auto"/>
            </w:tcBorders>
            <w:textDirection w:val="lrTb"/>
            <w:vAlign w:val="center"/>
            <w:hideMark/>
          </w:tcPr>
          <w:p w:rsidR="00CB350B" w:rsidRPr="009E58F9" w:rsidP="00257E12">
            <w:pPr>
              <w:bidi w:val="0"/>
              <w:rPr>
                <w:rFonts w:ascii="Times New Roman" w:hAnsi="Times New Roman" w:cs="Times New Roman"/>
                <w:b/>
                <w:bCs/>
                <w:color w:val="000000"/>
                <w:sz w:val="14"/>
                <w:szCs w:val="14"/>
                <w:lang w:eastAsia="sk-SK"/>
              </w:rPr>
            </w:pPr>
          </w:p>
        </w:tc>
        <w:tc>
          <w:tcPr>
            <w:tcW w:w="921"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kapacity</w:t>
            </w:r>
          </w:p>
        </w:tc>
        <w:tc>
          <w:tcPr>
            <w:tcW w:w="921" w:type="dxa"/>
            <w:vMerge/>
            <w:tcBorders>
              <w:top w:val="single" w:sz="4" w:space="0" w:color="auto"/>
              <w:left w:val="single" w:sz="4" w:space="0" w:color="auto"/>
              <w:bottom w:val="single" w:sz="4" w:space="0" w:color="auto"/>
              <w:right w:val="single" w:sz="4" w:space="0" w:color="auto"/>
            </w:tcBorders>
            <w:textDirection w:val="lrTb"/>
            <w:vAlign w:val="center"/>
            <w:hideMark/>
          </w:tcPr>
          <w:p w:rsidR="00CB350B" w:rsidRPr="009E58F9" w:rsidP="00257E12">
            <w:pPr>
              <w:bidi w:val="0"/>
              <w:rPr>
                <w:rFonts w:ascii="Times New Roman" w:hAnsi="Times New Roman" w:cs="Times New Roman"/>
                <w:b/>
                <w:bCs/>
                <w:color w:val="000000"/>
                <w:sz w:val="14"/>
                <w:szCs w:val="14"/>
                <w:lang w:eastAsia="sk-SK"/>
              </w:rPr>
            </w:pPr>
          </w:p>
        </w:tc>
        <w:tc>
          <w:tcPr>
            <w:tcW w:w="922"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Kapacity</w:t>
            </w:r>
          </w:p>
        </w:tc>
      </w:tr>
      <w:tr>
        <w:tblPrEx>
          <w:tblW w:w="9087" w:type="dxa"/>
          <w:tblInd w:w="55" w:type="dxa"/>
          <w:tblLayout w:type="fixed"/>
          <w:tblCellMar>
            <w:left w:w="70" w:type="dxa"/>
            <w:right w:w="70" w:type="dxa"/>
          </w:tblCellMar>
          <w:tblLook w:val="04A0"/>
        </w:tblPrEx>
        <w:trPr>
          <w:trHeight w:val="256"/>
        </w:trPr>
        <w:tc>
          <w:tcPr>
            <w:tcW w:w="3559"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rekonštrukcia objektu č. 19 Leopoldov</w:t>
            </w:r>
          </w:p>
        </w:tc>
        <w:tc>
          <w:tcPr>
            <w:tcW w:w="921"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1 000 000</w:t>
            </w:r>
          </w:p>
        </w:tc>
        <w:tc>
          <w:tcPr>
            <w:tcW w:w="921"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 </w:t>
            </w:r>
          </w:p>
        </w:tc>
        <w:tc>
          <w:tcPr>
            <w:tcW w:w="922"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1 000 000</w:t>
            </w:r>
          </w:p>
        </w:tc>
        <w:tc>
          <w:tcPr>
            <w:tcW w:w="921"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 </w:t>
            </w:r>
          </w:p>
        </w:tc>
        <w:tc>
          <w:tcPr>
            <w:tcW w:w="921"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1 000 000</w:t>
            </w:r>
          </w:p>
        </w:tc>
        <w:tc>
          <w:tcPr>
            <w:tcW w:w="922"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170</w:t>
            </w:r>
          </w:p>
        </w:tc>
      </w:tr>
      <w:tr>
        <w:tblPrEx>
          <w:tblW w:w="9087" w:type="dxa"/>
          <w:tblInd w:w="55" w:type="dxa"/>
          <w:tblLayout w:type="fixed"/>
          <w:tblCellMar>
            <w:left w:w="70" w:type="dxa"/>
            <w:right w:w="70" w:type="dxa"/>
          </w:tblCellMar>
          <w:tblLook w:val="04A0"/>
        </w:tblPrEx>
        <w:trPr>
          <w:trHeight w:val="256"/>
        </w:trPr>
        <w:tc>
          <w:tcPr>
            <w:tcW w:w="3559"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rekonštrukcia objektov č. 7 Košice Šaca</w:t>
            </w:r>
          </w:p>
        </w:tc>
        <w:tc>
          <w:tcPr>
            <w:tcW w:w="921"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350 000</w:t>
            </w:r>
          </w:p>
        </w:tc>
        <w:tc>
          <w:tcPr>
            <w:tcW w:w="921"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85</w:t>
            </w:r>
          </w:p>
        </w:tc>
        <w:tc>
          <w:tcPr>
            <w:tcW w:w="922"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 </w:t>
            </w:r>
          </w:p>
        </w:tc>
        <w:tc>
          <w:tcPr>
            <w:tcW w:w="921"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 </w:t>
            </w:r>
          </w:p>
        </w:tc>
        <w:tc>
          <w:tcPr>
            <w:tcW w:w="921"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 </w:t>
            </w:r>
          </w:p>
        </w:tc>
        <w:tc>
          <w:tcPr>
            <w:tcW w:w="922"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 </w:t>
            </w:r>
          </w:p>
        </w:tc>
      </w:tr>
      <w:tr>
        <w:tblPrEx>
          <w:tblW w:w="9087" w:type="dxa"/>
          <w:tblInd w:w="55" w:type="dxa"/>
          <w:tblLayout w:type="fixed"/>
          <w:tblCellMar>
            <w:left w:w="70" w:type="dxa"/>
            <w:right w:w="70" w:type="dxa"/>
          </w:tblCellMar>
          <w:tblLook w:val="04A0"/>
        </w:tblPrEx>
        <w:trPr>
          <w:trHeight w:val="256"/>
        </w:trPr>
        <w:tc>
          <w:tcPr>
            <w:tcW w:w="3559"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prístavba objektu "C" Košice Šaca</w:t>
            </w:r>
          </w:p>
        </w:tc>
        <w:tc>
          <w:tcPr>
            <w:tcW w:w="921"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500 000</w:t>
            </w:r>
          </w:p>
        </w:tc>
        <w:tc>
          <w:tcPr>
            <w:tcW w:w="921"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 </w:t>
            </w:r>
          </w:p>
        </w:tc>
        <w:tc>
          <w:tcPr>
            <w:tcW w:w="922"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1 900 000</w:t>
            </w:r>
          </w:p>
        </w:tc>
        <w:tc>
          <w:tcPr>
            <w:tcW w:w="921"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120</w:t>
            </w:r>
          </w:p>
        </w:tc>
        <w:tc>
          <w:tcPr>
            <w:tcW w:w="921"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 </w:t>
            </w:r>
          </w:p>
        </w:tc>
        <w:tc>
          <w:tcPr>
            <w:tcW w:w="922"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 </w:t>
            </w:r>
          </w:p>
        </w:tc>
      </w:tr>
      <w:tr>
        <w:tblPrEx>
          <w:tblW w:w="9087" w:type="dxa"/>
          <w:tblInd w:w="55" w:type="dxa"/>
          <w:tblLayout w:type="fixed"/>
          <w:tblCellMar>
            <w:left w:w="70" w:type="dxa"/>
            <w:right w:w="70" w:type="dxa"/>
          </w:tblCellMar>
          <w:tblLook w:val="04A0"/>
        </w:tblPrEx>
        <w:trPr>
          <w:trHeight w:val="256"/>
        </w:trPr>
        <w:tc>
          <w:tcPr>
            <w:tcW w:w="3559"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nadstavba objektov A a B Košice Šaca</w:t>
            </w:r>
          </w:p>
        </w:tc>
        <w:tc>
          <w:tcPr>
            <w:tcW w:w="921"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500 000</w:t>
            </w:r>
          </w:p>
        </w:tc>
        <w:tc>
          <w:tcPr>
            <w:tcW w:w="921"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 </w:t>
            </w:r>
          </w:p>
        </w:tc>
        <w:tc>
          <w:tcPr>
            <w:tcW w:w="922"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700 000</w:t>
            </w:r>
          </w:p>
        </w:tc>
        <w:tc>
          <w:tcPr>
            <w:tcW w:w="921"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 </w:t>
            </w:r>
          </w:p>
        </w:tc>
        <w:tc>
          <w:tcPr>
            <w:tcW w:w="921"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1 300 000</w:t>
            </w:r>
          </w:p>
        </w:tc>
        <w:tc>
          <w:tcPr>
            <w:tcW w:w="922"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200</w:t>
            </w:r>
          </w:p>
        </w:tc>
      </w:tr>
      <w:tr>
        <w:tblPrEx>
          <w:tblW w:w="9087" w:type="dxa"/>
          <w:tblInd w:w="55" w:type="dxa"/>
          <w:tblLayout w:type="fixed"/>
          <w:tblCellMar>
            <w:left w:w="70" w:type="dxa"/>
            <w:right w:w="70" w:type="dxa"/>
          </w:tblCellMar>
          <w:tblLook w:val="04A0"/>
        </w:tblPrEx>
        <w:trPr>
          <w:trHeight w:val="256"/>
        </w:trPr>
        <w:tc>
          <w:tcPr>
            <w:tcW w:w="3559"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rekonštrukcia objektov Dubnica nad Váhom, SBT</w:t>
            </w:r>
          </w:p>
        </w:tc>
        <w:tc>
          <w:tcPr>
            <w:tcW w:w="921"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1 400 000</w:t>
            </w:r>
          </w:p>
        </w:tc>
        <w:tc>
          <w:tcPr>
            <w:tcW w:w="921"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 </w:t>
            </w:r>
          </w:p>
        </w:tc>
        <w:tc>
          <w:tcPr>
            <w:tcW w:w="922"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2 600 000</w:t>
            </w:r>
          </w:p>
        </w:tc>
        <w:tc>
          <w:tcPr>
            <w:tcW w:w="921"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160</w:t>
            </w:r>
          </w:p>
        </w:tc>
        <w:tc>
          <w:tcPr>
            <w:tcW w:w="921"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 </w:t>
            </w:r>
          </w:p>
        </w:tc>
        <w:tc>
          <w:tcPr>
            <w:tcW w:w="922"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 </w:t>
            </w:r>
          </w:p>
        </w:tc>
      </w:tr>
      <w:tr>
        <w:tblPrEx>
          <w:tblW w:w="9087" w:type="dxa"/>
          <w:tblInd w:w="55" w:type="dxa"/>
          <w:tblLayout w:type="fixed"/>
          <w:tblCellMar>
            <w:left w:w="70" w:type="dxa"/>
            <w:right w:w="70" w:type="dxa"/>
          </w:tblCellMar>
          <w:tblLook w:val="04A0"/>
        </w:tblPrEx>
        <w:trPr>
          <w:trHeight w:val="256"/>
        </w:trPr>
        <w:tc>
          <w:tcPr>
            <w:tcW w:w="3559"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asanácia a výstavba ubytovne Nitra Chrenová</w:t>
            </w:r>
          </w:p>
        </w:tc>
        <w:tc>
          <w:tcPr>
            <w:tcW w:w="921"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 </w:t>
            </w:r>
          </w:p>
        </w:tc>
        <w:tc>
          <w:tcPr>
            <w:tcW w:w="921"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 </w:t>
            </w:r>
          </w:p>
        </w:tc>
        <w:tc>
          <w:tcPr>
            <w:tcW w:w="922"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500 000</w:t>
            </w:r>
          </w:p>
        </w:tc>
        <w:tc>
          <w:tcPr>
            <w:tcW w:w="921"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 </w:t>
            </w:r>
          </w:p>
        </w:tc>
        <w:tc>
          <w:tcPr>
            <w:tcW w:w="921"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1 500 000</w:t>
            </w:r>
          </w:p>
        </w:tc>
        <w:tc>
          <w:tcPr>
            <w:tcW w:w="922"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100</w:t>
            </w:r>
          </w:p>
        </w:tc>
      </w:tr>
      <w:tr>
        <w:tblPrEx>
          <w:tblW w:w="9087" w:type="dxa"/>
          <w:tblInd w:w="55" w:type="dxa"/>
          <w:tblLayout w:type="fixed"/>
          <w:tblCellMar>
            <w:left w:w="70" w:type="dxa"/>
            <w:right w:w="70" w:type="dxa"/>
          </w:tblCellMar>
          <w:tblLook w:val="04A0"/>
        </w:tblPrEx>
        <w:trPr>
          <w:trHeight w:val="256"/>
        </w:trPr>
        <w:tc>
          <w:tcPr>
            <w:tcW w:w="3559"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rekonštrukcia ÚVV Bratislava</w:t>
            </w:r>
          </w:p>
        </w:tc>
        <w:tc>
          <w:tcPr>
            <w:tcW w:w="921"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100 000</w:t>
            </w:r>
          </w:p>
        </w:tc>
        <w:tc>
          <w:tcPr>
            <w:tcW w:w="921"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 </w:t>
            </w:r>
          </w:p>
        </w:tc>
        <w:tc>
          <w:tcPr>
            <w:tcW w:w="922"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1 200 000</w:t>
            </w:r>
          </w:p>
        </w:tc>
        <w:tc>
          <w:tcPr>
            <w:tcW w:w="921"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 </w:t>
            </w:r>
          </w:p>
        </w:tc>
        <w:tc>
          <w:tcPr>
            <w:tcW w:w="921"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7 000 000</w:t>
            </w:r>
          </w:p>
        </w:tc>
        <w:tc>
          <w:tcPr>
            <w:tcW w:w="922"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 </w:t>
            </w:r>
          </w:p>
        </w:tc>
      </w:tr>
      <w:tr>
        <w:tblPrEx>
          <w:tblW w:w="9087" w:type="dxa"/>
          <w:tblInd w:w="55" w:type="dxa"/>
          <w:tblLayout w:type="fixed"/>
          <w:tblCellMar>
            <w:left w:w="70" w:type="dxa"/>
            <w:right w:w="70" w:type="dxa"/>
          </w:tblCellMar>
          <w:tblLook w:val="04A0"/>
        </w:tblPrEx>
        <w:trPr>
          <w:trHeight w:val="256"/>
        </w:trPr>
        <w:tc>
          <w:tcPr>
            <w:tcW w:w="3559"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Spolu</w:t>
            </w:r>
          </w:p>
        </w:tc>
        <w:tc>
          <w:tcPr>
            <w:tcW w:w="921"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3 850 000</w:t>
            </w:r>
          </w:p>
        </w:tc>
        <w:tc>
          <w:tcPr>
            <w:tcW w:w="921"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85</w:t>
            </w:r>
          </w:p>
        </w:tc>
        <w:tc>
          <w:tcPr>
            <w:tcW w:w="922"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7 900 000</w:t>
            </w:r>
          </w:p>
        </w:tc>
        <w:tc>
          <w:tcPr>
            <w:tcW w:w="921"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280</w:t>
            </w:r>
          </w:p>
        </w:tc>
        <w:tc>
          <w:tcPr>
            <w:tcW w:w="921"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10 800 000</w:t>
            </w:r>
          </w:p>
        </w:tc>
        <w:tc>
          <w:tcPr>
            <w:tcW w:w="922"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470</w:t>
            </w:r>
          </w:p>
        </w:tc>
      </w:tr>
    </w:tbl>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Pre kapitolu sa k uvedeným novovytvoreným ubytovacím kapacitám pre obvinených a odsúdených rozpočtujú aj nevyhnutné počty zamestnancov a osobné a ostatné prevádzkové výdavky, ktoré sú rozpísané v tabuľke.</w:t>
      </w:r>
    </w:p>
    <w:p w:rsidR="00CB350B" w:rsidRPr="0004638E" w:rsidP="00CB350B">
      <w:pPr>
        <w:bidi w:val="0"/>
        <w:jc w:val="both"/>
        <w:rPr>
          <w:rFonts w:ascii="Times New Roman" w:hAnsi="Times New Roman" w:cs="Times New Roman"/>
        </w:rPr>
      </w:pPr>
    </w:p>
    <w:tbl>
      <w:tblPr>
        <w:tblStyle w:val="TableNormal"/>
        <w:tblW w:w="9087" w:type="dxa"/>
        <w:tblInd w:w="55" w:type="dxa"/>
        <w:tblLayout w:type="fixed"/>
        <w:tblCellMar>
          <w:left w:w="70" w:type="dxa"/>
          <w:right w:w="70" w:type="dxa"/>
        </w:tblCellMar>
        <w:tblLook w:val="04A0"/>
      </w:tblPr>
      <w:tblGrid>
        <w:gridCol w:w="3160"/>
        <w:gridCol w:w="1975"/>
        <w:gridCol w:w="1976"/>
        <w:gridCol w:w="1976"/>
      </w:tblGrid>
      <w:tr>
        <w:tblPrEx>
          <w:tblW w:w="9087" w:type="dxa"/>
          <w:tblInd w:w="55" w:type="dxa"/>
          <w:tblLayout w:type="fixed"/>
          <w:tblCellMar>
            <w:left w:w="70" w:type="dxa"/>
            <w:right w:w="70" w:type="dxa"/>
          </w:tblCellMar>
          <w:tblLook w:val="04A0"/>
        </w:tblPrEx>
        <w:trPr>
          <w:trHeight w:val="256"/>
        </w:trPr>
        <w:tc>
          <w:tcPr>
            <w:tcW w:w="3160"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v</w:t>
            </w:r>
            <w:r>
              <w:rPr>
                <w:rFonts w:ascii="Times New Roman" w:hAnsi="Times New Roman" w:cs="Times New Roman"/>
                <w:b/>
                <w:bCs/>
                <w:color w:val="000000"/>
                <w:sz w:val="14"/>
                <w:szCs w:val="14"/>
                <w:lang w:eastAsia="sk-SK"/>
              </w:rPr>
              <w:t> </w:t>
            </w:r>
            <w:r w:rsidRPr="009E58F9">
              <w:rPr>
                <w:rFonts w:ascii="Times New Roman" w:hAnsi="Times New Roman" w:cs="Times New Roman"/>
                <w:b/>
                <w:bCs/>
                <w:color w:val="000000"/>
                <w:sz w:val="14"/>
                <w:szCs w:val="14"/>
                <w:lang w:eastAsia="sk-SK"/>
              </w:rPr>
              <w:t>eur</w:t>
            </w:r>
            <w:r>
              <w:rPr>
                <w:rFonts w:ascii="Times New Roman" w:hAnsi="Times New Roman" w:cs="Times New Roman"/>
                <w:b/>
                <w:bCs/>
                <w:color w:val="000000"/>
                <w:sz w:val="14"/>
                <w:szCs w:val="14"/>
                <w:lang w:eastAsia="sk-SK"/>
              </w:rPr>
              <w:t>ách</w:t>
            </w:r>
          </w:p>
        </w:tc>
        <w:tc>
          <w:tcPr>
            <w:tcW w:w="1975"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2012</w:t>
            </w:r>
          </w:p>
        </w:tc>
        <w:tc>
          <w:tcPr>
            <w:tcW w:w="1976"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2013</w:t>
            </w:r>
          </w:p>
        </w:tc>
        <w:tc>
          <w:tcPr>
            <w:tcW w:w="1976"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2014</w:t>
            </w:r>
          </w:p>
        </w:tc>
      </w:tr>
      <w:tr>
        <w:tblPrEx>
          <w:tblW w:w="9087" w:type="dxa"/>
          <w:tblInd w:w="55" w:type="dxa"/>
          <w:tblLayout w:type="fixed"/>
          <w:tblCellMar>
            <w:left w:w="70" w:type="dxa"/>
            <w:right w:w="70" w:type="dxa"/>
          </w:tblCellMar>
          <w:tblLook w:val="04A0"/>
        </w:tblPrEx>
        <w:trPr>
          <w:trHeight w:val="256"/>
        </w:trPr>
        <w:tc>
          <w:tcPr>
            <w:tcW w:w="3160"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 xml:space="preserve">počet zamestnancov </w:t>
            </w:r>
          </w:p>
        </w:tc>
        <w:tc>
          <w:tcPr>
            <w:tcW w:w="1975"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10</w:t>
            </w:r>
          </w:p>
        </w:tc>
        <w:tc>
          <w:tcPr>
            <w:tcW w:w="1976"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203</w:t>
            </w:r>
          </w:p>
        </w:tc>
        <w:tc>
          <w:tcPr>
            <w:tcW w:w="1976"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159</w:t>
            </w:r>
          </w:p>
        </w:tc>
      </w:tr>
      <w:tr>
        <w:tblPrEx>
          <w:tblW w:w="9087" w:type="dxa"/>
          <w:tblInd w:w="55" w:type="dxa"/>
          <w:tblLayout w:type="fixed"/>
          <w:tblCellMar>
            <w:left w:w="70" w:type="dxa"/>
            <w:right w:w="70" w:type="dxa"/>
          </w:tblCellMar>
          <w:tblLook w:val="04A0"/>
        </w:tblPrEx>
        <w:trPr>
          <w:trHeight w:val="256"/>
        </w:trPr>
        <w:tc>
          <w:tcPr>
            <w:tcW w:w="3160"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610 – mzdy</w:t>
            </w:r>
          </w:p>
        </w:tc>
        <w:tc>
          <w:tcPr>
            <w:tcW w:w="1975"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69 216</w:t>
            </w:r>
          </w:p>
        </w:tc>
        <w:tc>
          <w:tcPr>
            <w:tcW w:w="197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2 846 153</w:t>
            </w:r>
          </w:p>
        </w:tc>
        <w:tc>
          <w:tcPr>
            <w:tcW w:w="197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5 002 193</w:t>
            </w:r>
          </w:p>
        </w:tc>
      </w:tr>
      <w:tr>
        <w:tblPrEx>
          <w:tblW w:w="9087" w:type="dxa"/>
          <w:tblInd w:w="55" w:type="dxa"/>
          <w:tblLayout w:type="fixed"/>
          <w:tblCellMar>
            <w:left w:w="70" w:type="dxa"/>
            <w:right w:w="70" w:type="dxa"/>
          </w:tblCellMar>
          <w:tblLook w:val="04A0"/>
        </w:tblPrEx>
        <w:trPr>
          <w:trHeight w:val="256"/>
        </w:trPr>
        <w:tc>
          <w:tcPr>
            <w:tcW w:w="3160"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620 – poistné</w:t>
            </w:r>
          </w:p>
        </w:tc>
        <w:tc>
          <w:tcPr>
            <w:tcW w:w="1975"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22 980</w:t>
            </w:r>
          </w:p>
        </w:tc>
        <w:tc>
          <w:tcPr>
            <w:tcW w:w="197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916 461</w:t>
            </w:r>
          </w:p>
        </w:tc>
        <w:tc>
          <w:tcPr>
            <w:tcW w:w="197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1 610 706</w:t>
            </w:r>
          </w:p>
        </w:tc>
      </w:tr>
      <w:tr>
        <w:tblPrEx>
          <w:tblW w:w="9087" w:type="dxa"/>
          <w:tblInd w:w="55" w:type="dxa"/>
          <w:tblLayout w:type="fixed"/>
          <w:tblCellMar>
            <w:left w:w="70" w:type="dxa"/>
            <w:right w:w="70" w:type="dxa"/>
          </w:tblCellMar>
          <w:tblLook w:val="04A0"/>
        </w:tblPrEx>
        <w:trPr>
          <w:trHeight w:val="256"/>
        </w:trPr>
        <w:tc>
          <w:tcPr>
            <w:tcW w:w="3160"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630 – prevádzkové výdavky</w:t>
            </w:r>
          </w:p>
        </w:tc>
        <w:tc>
          <w:tcPr>
            <w:tcW w:w="1975"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2 295 142</w:t>
            </w:r>
          </w:p>
        </w:tc>
        <w:tc>
          <w:tcPr>
            <w:tcW w:w="197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3 267 375</w:t>
            </w:r>
          </w:p>
        </w:tc>
        <w:tc>
          <w:tcPr>
            <w:tcW w:w="197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4 552 112</w:t>
            </w:r>
          </w:p>
        </w:tc>
      </w:tr>
      <w:tr>
        <w:tblPrEx>
          <w:tblW w:w="9087" w:type="dxa"/>
          <w:tblInd w:w="55" w:type="dxa"/>
          <w:tblLayout w:type="fixed"/>
          <w:tblCellMar>
            <w:left w:w="70" w:type="dxa"/>
            <w:right w:w="70" w:type="dxa"/>
          </w:tblCellMar>
          <w:tblLook w:val="04A0"/>
        </w:tblPrEx>
        <w:trPr>
          <w:trHeight w:val="256"/>
        </w:trPr>
        <w:tc>
          <w:tcPr>
            <w:tcW w:w="3160"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Spolu</w:t>
            </w:r>
          </w:p>
        </w:tc>
        <w:tc>
          <w:tcPr>
            <w:tcW w:w="1975"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2 387 338</w:t>
            </w:r>
          </w:p>
        </w:tc>
        <w:tc>
          <w:tcPr>
            <w:tcW w:w="1976"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7 029 989</w:t>
            </w:r>
          </w:p>
        </w:tc>
        <w:tc>
          <w:tcPr>
            <w:tcW w:w="1976"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11 165 011</w:t>
            </w:r>
          </w:p>
        </w:tc>
      </w:tr>
    </w:tbl>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Ani novovytvorené ubytovacie kapacity väzenstva v objeme 835 nových miest pre obvinených a</w:t>
      </w:r>
      <w:r>
        <w:rPr>
          <w:rFonts w:ascii="Times New Roman" w:hAnsi="Times New Roman" w:cs="Times New Roman"/>
        </w:rPr>
        <w:t> </w:t>
      </w:r>
      <w:r w:rsidRPr="0004638E">
        <w:rPr>
          <w:rFonts w:ascii="Times New Roman" w:hAnsi="Times New Roman" w:cs="Times New Roman"/>
        </w:rPr>
        <w:t>odsúdených</w:t>
      </w:r>
      <w:r>
        <w:rPr>
          <w:rFonts w:ascii="Times New Roman" w:hAnsi="Times New Roman" w:cs="Times New Roman"/>
        </w:rPr>
        <w:t>,</w:t>
      </w:r>
      <w:r w:rsidRPr="0004638E">
        <w:rPr>
          <w:rFonts w:ascii="Times New Roman" w:hAnsi="Times New Roman" w:cs="Times New Roman"/>
        </w:rPr>
        <w:t xml:space="preserve"> na ktoré sú vyčlenené značné finančné prostriedky</w:t>
      </w:r>
      <w:r>
        <w:rPr>
          <w:rFonts w:ascii="Times New Roman" w:hAnsi="Times New Roman" w:cs="Times New Roman"/>
        </w:rPr>
        <w:t>,</w:t>
      </w:r>
      <w:r w:rsidRPr="0004638E">
        <w:rPr>
          <w:rFonts w:ascii="Times New Roman" w:hAnsi="Times New Roman" w:cs="Times New Roman"/>
        </w:rPr>
        <w:t xml:space="preserve"> nebudú pre narastajúci počet väznených osôb postačujúce. </w:t>
      </w:r>
    </w:p>
    <w:p w:rsidR="00CB350B" w:rsidRPr="0004638E" w:rsidP="00CB350B">
      <w:pPr>
        <w:bidi w:val="0"/>
        <w:jc w:val="both"/>
        <w:rPr>
          <w:rFonts w:ascii="Times New Roman" w:hAnsi="Times New Roman" w:cs="Times New Roman"/>
        </w:rPr>
      </w:pPr>
    </w:p>
    <w:tbl>
      <w:tblPr>
        <w:tblStyle w:val="TableNormal"/>
        <w:tblW w:w="9072" w:type="dxa"/>
        <w:tblInd w:w="70" w:type="dxa"/>
        <w:tblLayout w:type="fixed"/>
        <w:tblCellMar>
          <w:left w:w="70" w:type="dxa"/>
          <w:right w:w="70" w:type="dxa"/>
        </w:tblCellMar>
        <w:tblLook w:val="04A0"/>
      </w:tblPr>
      <w:tblGrid>
        <w:gridCol w:w="3119"/>
        <w:gridCol w:w="850"/>
        <w:gridCol w:w="850"/>
        <w:gridCol w:w="851"/>
        <w:gridCol w:w="850"/>
        <w:gridCol w:w="851"/>
        <w:gridCol w:w="850"/>
        <w:gridCol w:w="851"/>
      </w:tblGrid>
      <w:tr>
        <w:tblPrEx>
          <w:tblW w:w="9072" w:type="dxa"/>
          <w:tblInd w:w="70" w:type="dxa"/>
          <w:tblLayout w:type="fixed"/>
          <w:tblCellMar>
            <w:left w:w="70" w:type="dxa"/>
            <w:right w:w="70" w:type="dxa"/>
          </w:tblCellMar>
          <w:tblLook w:val="04A0"/>
        </w:tblPrEx>
        <w:trPr>
          <w:trHeight w:val="269"/>
        </w:trPr>
        <w:tc>
          <w:tcPr>
            <w:tcW w:w="3119"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b/>
                <w:bCs/>
                <w:sz w:val="14"/>
                <w:szCs w:val="14"/>
                <w:lang w:eastAsia="sk-SK"/>
              </w:rPr>
            </w:pPr>
            <w:r w:rsidRPr="009E58F9">
              <w:rPr>
                <w:rFonts w:ascii="Times New Roman" w:hAnsi="Times New Roman" w:cs="Times New Roman"/>
                <w:b/>
                <w:bCs/>
                <w:sz w:val="14"/>
                <w:szCs w:val="14"/>
                <w:lang w:eastAsia="sk-SK"/>
              </w:rPr>
              <w:t>Celková ubytovacia kapacita k 31.12.</w:t>
            </w:r>
          </w:p>
        </w:tc>
        <w:tc>
          <w:tcPr>
            <w:tcW w:w="850"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center"/>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2009 S</w:t>
            </w:r>
          </w:p>
        </w:tc>
        <w:tc>
          <w:tcPr>
            <w:tcW w:w="850"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center"/>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2010 S</w:t>
            </w:r>
          </w:p>
        </w:tc>
        <w:tc>
          <w:tcPr>
            <w:tcW w:w="851"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center"/>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2011 R</w:t>
            </w:r>
          </w:p>
        </w:tc>
        <w:tc>
          <w:tcPr>
            <w:tcW w:w="850"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center"/>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2011 OS</w:t>
            </w:r>
          </w:p>
        </w:tc>
        <w:tc>
          <w:tcPr>
            <w:tcW w:w="851"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center"/>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2012 N</w:t>
            </w:r>
          </w:p>
        </w:tc>
        <w:tc>
          <w:tcPr>
            <w:tcW w:w="850"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center"/>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2013 N</w:t>
            </w:r>
          </w:p>
        </w:tc>
        <w:tc>
          <w:tcPr>
            <w:tcW w:w="851"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center"/>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2014 N</w:t>
            </w:r>
          </w:p>
        </w:tc>
      </w:tr>
      <w:tr>
        <w:tblPrEx>
          <w:tblW w:w="9072" w:type="dxa"/>
          <w:tblInd w:w="70" w:type="dxa"/>
          <w:tblLayout w:type="fixed"/>
          <w:tblCellMar>
            <w:left w:w="70" w:type="dxa"/>
            <w:right w:w="70" w:type="dxa"/>
          </w:tblCellMar>
          <w:tblLook w:val="04A0"/>
        </w:tblPrEx>
        <w:trPr>
          <w:trHeight w:val="269"/>
        </w:trPr>
        <w:tc>
          <w:tcPr>
            <w:tcW w:w="3119"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sz w:val="14"/>
                <w:szCs w:val="14"/>
                <w:lang w:eastAsia="sk-SK"/>
              </w:rPr>
            </w:pPr>
            <w:r w:rsidRPr="009E58F9">
              <w:rPr>
                <w:rFonts w:ascii="Times New Roman" w:hAnsi="Times New Roman" w:cs="Times New Roman"/>
                <w:sz w:val="14"/>
                <w:szCs w:val="14"/>
                <w:lang w:eastAsia="sk-SK"/>
              </w:rPr>
              <w:t>osoba / m²</w:t>
            </w:r>
          </w:p>
        </w:tc>
        <w:tc>
          <w:tcPr>
            <w:tcW w:w="850"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3,5</w:t>
            </w:r>
          </w:p>
        </w:tc>
        <w:tc>
          <w:tcPr>
            <w:tcW w:w="850"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3,5</w:t>
            </w:r>
          </w:p>
        </w:tc>
        <w:tc>
          <w:tcPr>
            <w:tcW w:w="851"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3,5</w:t>
            </w:r>
          </w:p>
        </w:tc>
        <w:tc>
          <w:tcPr>
            <w:tcW w:w="850"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3,5</w:t>
            </w:r>
          </w:p>
        </w:tc>
        <w:tc>
          <w:tcPr>
            <w:tcW w:w="851"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3,5</w:t>
            </w:r>
          </w:p>
        </w:tc>
        <w:tc>
          <w:tcPr>
            <w:tcW w:w="850"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3,5</w:t>
            </w:r>
          </w:p>
        </w:tc>
        <w:tc>
          <w:tcPr>
            <w:tcW w:w="851"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3,5</w:t>
            </w:r>
          </w:p>
        </w:tc>
      </w:tr>
      <w:tr>
        <w:tblPrEx>
          <w:tblW w:w="9072" w:type="dxa"/>
          <w:tblInd w:w="70" w:type="dxa"/>
          <w:tblLayout w:type="fixed"/>
          <w:tblCellMar>
            <w:left w:w="70" w:type="dxa"/>
            <w:right w:w="70" w:type="dxa"/>
          </w:tblCellMar>
          <w:tblLook w:val="04A0"/>
        </w:tblPrEx>
        <w:trPr>
          <w:trHeight w:val="269"/>
        </w:trPr>
        <w:tc>
          <w:tcPr>
            <w:tcW w:w="3119"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sz w:val="14"/>
                <w:szCs w:val="14"/>
                <w:lang w:eastAsia="sk-SK"/>
              </w:rPr>
            </w:pPr>
            <w:r w:rsidRPr="009E58F9">
              <w:rPr>
                <w:rFonts w:ascii="Times New Roman" w:hAnsi="Times New Roman" w:cs="Times New Roman"/>
                <w:sz w:val="14"/>
                <w:szCs w:val="14"/>
                <w:lang w:eastAsia="sk-SK"/>
              </w:rPr>
              <w:t>Obvinení</w:t>
            </w:r>
          </w:p>
        </w:tc>
        <w:tc>
          <w:tcPr>
            <w:tcW w:w="850"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2 313</w:t>
            </w:r>
          </w:p>
        </w:tc>
        <w:tc>
          <w:tcPr>
            <w:tcW w:w="850"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2 336</w:t>
            </w:r>
          </w:p>
        </w:tc>
        <w:tc>
          <w:tcPr>
            <w:tcW w:w="851"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2 336</w:t>
            </w:r>
          </w:p>
        </w:tc>
        <w:tc>
          <w:tcPr>
            <w:tcW w:w="850"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2 336</w:t>
            </w:r>
          </w:p>
        </w:tc>
        <w:tc>
          <w:tcPr>
            <w:tcW w:w="851"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2 336</w:t>
            </w:r>
          </w:p>
        </w:tc>
        <w:tc>
          <w:tcPr>
            <w:tcW w:w="850"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2 336</w:t>
            </w:r>
          </w:p>
        </w:tc>
        <w:tc>
          <w:tcPr>
            <w:tcW w:w="851"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2 336</w:t>
            </w:r>
          </w:p>
        </w:tc>
      </w:tr>
      <w:tr>
        <w:tblPrEx>
          <w:tblW w:w="9072" w:type="dxa"/>
          <w:tblInd w:w="70" w:type="dxa"/>
          <w:tblLayout w:type="fixed"/>
          <w:tblCellMar>
            <w:left w:w="70" w:type="dxa"/>
            <w:right w:w="70" w:type="dxa"/>
          </w:tblCellMar>
          <w:tblLook w:val="04A0"/>
        </w:tblPrEx>
        <w:trPr>
          <w:trHeight w:val="269"/>
        </w:trPr>
        <w:tc>
          <w:tcPr>
            <w:tcW w:w="3119"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sz w:val="14"/>
                <w:szCs w:val="14"/>
                <w:lang w:eastAsia="sk-SK"/>
              </w:rPr>
            </w:pPr>
            <w:r w:rsidRPr="009E58F9">
              <w:rPr>
                <w:rFonts w:ascii="Times New Roman" w:hAnsi="Times New Roman" w:cs="Times New Roman"/>
                <w:sz w:val="14"/>
                <w:szCs w:val="14"/>
                <w:lang w:eastAsia="sk-SK"/>
              </w:rPr>
              <w:t>Odsúdení</w:t>
            </w:r>
          </w:p>
        </w:tc>
        <w:tc>
          <w:tcPr>
            <w:tcW w:w="850"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8 093</w:t>
            </w:r>
          </w:p>
        </w:tc>
        <w:tc>
          <w:tcPr>
            <w:tcW w:w="850"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8 279</w:t>
            </w:r>
          </w:p>
        </w:tc>
        <w:tc>
          <w:tcPr>
            <w:tcW w:w="851"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8 279</w:t>
            </w:r>
          </w:p>
        </w:tc>
        <w:tc>
          <w:tcPr>
            <w:tcW w:w="850"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8 279</w:t>
            </w:r>
          </w:p>
        </w:tc>
        <w:tc>
          <w:tcPr>
            <w:tcW w:w="851"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8 364</w:t>
            </w:r>
          </w:p>
        </w:tc>
        <w:tc>
          <w:tcPr>
            <w:tcW w:w="850"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8 644</w:t>
            </w:r>
          </w:p>
        </w:tc>
        <w:tc>
          <w:tcPr>
            <w:tcW w:w="851"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9 014</w:t>
            </w:r>
          </w:p>
        </w:tc>
      </w:tr>
      <w:tr>
        <w:tblPrEx>
          <w:tblW w:w="9072" w:type="dxa"/>
          <w:tblInd w:w="70" w:type="dxa"/>
          <w:tblLayout w:type="fixed"/>
          <w:tblCellMar>
            <w:left w:w="70" w:type="dxa"/>
            <w:right w:w="70" w:type="dxa"/>
          </w:tblCellMar>
          <w:tblLook w:val="04A0"/>
        </w:tblPrEx>
        <w:trPr>
          <w:trHeight w:val="269"/>
        </w:trPr>
        <w:tc>
          <w:tcPr>
            <w:tcW w:w="3119"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b/>
                <w:bCs/>
                <w:sz w:val="14"/>
                <w:szCs w:val="14"/>
                <w:lang w:eastAsia="sk-SK"/>
              </w:rPr>
            </w:pPr>
            <w:r w:rsidRPr="009E58F9">
              <w:rPr>
                <w:rFonts w:ascii="Times New Roman" w:hAnsi="Times New Roman" w:cs="Times New Roman"/>
                <w:b/>
                <w:bCs/>
                <w:sz w:val="14"/>
                <w:szCs w:val="14"/>
                <w:lang w:eastAsia="sk-SK"/>
              </w:rPr>
              <w:t>Obvinení a odsúdení spolu</w:t>
            </w:r>
          </w:p>
        </w:tc>
        <w:tc>
          <w:tcPr>
            <w:tcW w:w="850"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sz w:val="14"/>
                <w:szCs w:val="14"/>
                <w:lang w:eastAsia="sk-SK"/>
              </w:rPr>
            </w:pPr>
            <w:r w:rsidRPr="009E58F9">
              <w:rPr>
                <w:rFonts w:ascii="Times New Roman" w:hAnsi="Times New Roman" w:cs="Times New Roman"/>
                <w:b/>
                <w:bCs/>
                <w:sz w:val="14"/>
                <w:szCs w:val="14"/>
                <w:lang w:eastAsia="sk-SK"/>
              </w:rPr>
              <w:t>10 406</w:t>
            </w:r>
          </w:p>
        </w:tc>
        <w:tc>
          <w:tcPr>
            <w:tcW w:w="850"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sz w:val="14"/>
                <w:szCs w:val="14"/>
                <w:lang w:eastAsia="sk-SK"/>
              </w:rPr>
            </w:pPr>
            <w:r w:rsidRPr="009E58F9">
              <w:rPr>
                <w:rFonts w:ascii="Times New Roman" w:hAnsi="Times New Roman" w:cs="Times New Roman"/>
                <w:b/>
                <w:bCs/>
                <w:sz w:val="14"/>
                <w:szCs w:val="14"/>
                <w:lang w:eastAsia="sk-SK"/>
              </w:rPr>
              <w:t>10 615</w:t>
            </w:r>
          </w:p>
        </w:tc>
        <w:tc>
          <w:tcPr>
            <w:tcW w:w="851"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sz w:val="14"/>
                <w:szCs w:val="14"/>
                <w:lang w:eastAsia="sk-SK"/>
              </w:rPr>
            </w:pPr>
            <w:r w:rsidRPr="009E58F9">
              <w:rPr>
                <w:rFonts w:ascii="Times New Roman" w:hAnsi="Times New Roman" w:cs="Times New Roman"/>
                <w:b/>
                <w:bCs/>
                <w:sz w:val="14"/>
                <w:szCs w:val="14"/>
                <w:lang w:eastAsia="sk-SK"/>
              </w:rPr>
              <w:t>10 615</w:t>
            </w:r>
          </w:p>
        </w:tc>
        <w:tc>
          <w:tcPr>
            <w:tcW w:w="850"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sz w:val="14"/>
                <w:szCs w:val="14"/>
                <w:lang w:eastAsia="sk-SK"/>
              </w:rPr>
            </w:pPr>
            <w:r w:rsidRPr="009E58F9">
              <w:rPr>
                <w:rFonts w:ascii="Times New Roman" w:hAnsi="Times New Roman" w:cs="Times New Roman"/>
                <w:b/>
                <w:bCs/>
                <w:sz w:val="14"/>
                <w:szCs w:val="14"/>
                <w:lang w:eastAsia="sk-SK"/>
              </w:rPr>
              <w:t>10 615</w:t>
            </w:r>
          </w:p>
        </w:tc>
        <w:tc>
          <w:tcPr>
            <w:tcW w:w="851"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sz w:val="14"/>
                <w:szCs w:val="14"/>
                <w:lang w:eastAsia="sk-SK"/>
              </w:rPr>
            </w:pPr>
            <w:r w:rsidRPr="009E58F9">
              <w:rPr>
                <w:rFonts w:ascii="Times New Roman" w:hAnsi="Times New Roman" w:cs="Times New Roman"/>
                <w:b/>
                <w:bCs/>
                <w:sz w:val="14"/>
                <w:szCs w:val="14"/>
                <w:lang w:eastAsia="sk-SK"/>
              </w:rPr>
              <w:t>10 700</w:t>
            </w:r>
          </w:p>
        </w:tc>
        <w:tc>
          <w:tcPr>
            <w:tcW w:w="850"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sz w:val="14"/>
                <w:szCs w:val="14"/>
                <w:lang w:eastAsia="sk-SK"/>
              </w:rPr>
            </w:pPr>
            <w:r w:rsidRPr="009E58F9">
              <w:rPr>
                <w:rFonts w:ascii="Times New Roman" w:hAnsi="Times New Roman" w:cs="Times New Roman"/>
                <w:b/>
                <w:bCs/>
                <w:sz w:val="14"/>
                <w:szCs w:val="14"/>
                <w:lang w:eastAsia="sk-SK"/>
              </w:rPr>
              <w:t>10 980</w:t>
            </w:r>
          </w:p>
        </w:tc>
        <w:tc>
          <w:tcPr>
            <w:tcW w:w="851"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sz w:val="14"/>
                <w:szCs w:val="14"/>
                <w:lang w:eastAsia="sk-SK"/>
              </w:rPr>
            </w:pPr>
            <w:r w:rsidRPr="009E58F9">
              <w:rPr>
                <w:rFonts w:ascii="Times New Roman" w:hAnsi="Times New Roman" w:cs="Times New Roman"/>
                <w:b/>
                <w:bCs/>
                <w:sz w:val="14"/>
                <w:szCs w:val="14"/>
                <w:lang w:eastAsia="sk-SK"/>
              </w:rPr>
              <w:t>11 350</w:t>
            </w:r>
          </w:p>
        </w:tc>
      </w:tr>
    </w:tbl>
    <w:p w:rsidR="00CB350B" w:rsidP="00CB350B">
      <w:pPr>
        <w:tabs>
          <w:tab w:val="left" w:pos="360"/>
        </w:tabs>
        <w:bidi w:val="0"/>
        <w:jc w:val="both"/>
        <w:rPr>
          <w:rFonts w:ascii="Times New Roman" w:hAnsi="Times New Roman" w:cs="Times New Roman"/>
        </w:rPr>
      </w:pPr>
    </w:p>
    <w:p w:rsidR="00CB350B" w:rsidRPr="0004638E" w:rsidP="00CB350B">
      <w:pPr>
        <w:tabs>
          <w:tab w:val="left" w:pos="360"/>
        </w:tabs>
        <w:bidi w:val="0"/>
        <w:jc w:val="both"/>
        <w:rPr>
          <w:rFonts w:ascii="Times New Roman" w:hAnsi="Times New Roman" w:cs="Times New Roman"/>
        </w:rPr>
      </w:pPr>
      <w:r>
        <w:rPr>
          <w:rFonts w:ascii="Times New Roman" w:hAnsi="Times New Roman" w:cs="Times New Roman"/>
        </w:rPr>
        <w:tab/>
        <w:t>Prehľad o základných výdavkoch rozpočtovaných na väzenstvo dáva nasledovná tabuľka.</w:t>
      </w:r>
    </w:p>
    <w:p w:rsidR="00CB350B" w:rsidRPr="0004638E" w:rsidP="00CB350B">
      <w:pPr>
        <w:bidi w:val="0"/>
        <w:jc w:val="both"/>
        <w:rPr>
          <w:rFonts w:ascii="Times New Roman" w:hAnsi="Times New Roman" w:cs="Times New Roman"/>
        </w:rPr>
      </w:pPr>
    </w:p>
    <w:tbl>
      <w:tblPr>
        <w:tblStyle w:val="TableNormal"/>
        <w:tblW w:w="9077" w:type="dxa"/>
        <w:tblInd w:w="65" w:type="dxa"/>
        <w:tblLayout w:type="fixed"/>
        <w:tblCellMar>
          <w:left w:w="70" w:type="dxa"/>
          <w:right w:w="70" w:type="dxa"/>
        </w:tblCellMar>
        <w:tblLook w:val="04A0"/>
      </w:tblPr>
      <w:tblGrid>
        <w:gridCol w:w="2132"/>
        <w:gridCol w:w="992"/>
        <w:gridCol w:w="992"/>
        <w:gridCol w:w="992"/>
        <w:gridCol w:w="992"/>
        <w:gridCol w:w="992"/>
        <w:gridCol w:w="992"/>
        <w:gridCol w:w="993"/>
      </w:tblGrid>
      <w:tr>
        <w:tblPrEx>
          <w:tblW w:w="9077" w:type="dxa"/>
          <w:tblInd w:w="65" w:type="dxa"/>
          <w:tblLayout w:type="fixed"/>
          <w:tblCellMar>
            <w:left w:w="70" w:type="dxa"/>
            <w:right w:w="70" w:type="dxa"/>
          </w:tblCellMar>
          <w:tblLook w:val="04A0"/>
        </w:tblPrEx>
        <w:trPr>
          <w:trHeight w:val="288"/>
        </w:trPr>
        <w:tc>
          <w:tcPr>
            <w:tcW w:w="213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b/>
                <w:bCs/>
                <w:sz w:val="14"/>
                <w:szCs w:val="14"/>
              </w:rPr>
            </w:pPr>
            <w:r w:rsidRPr="009E58F9">
              <w:rPr>
                <w:rFonts w:ascii="Times New Roman" w:hAnsi="Times New Roman" w:cs="Times New Roman"/>
                <w:b/>
                <w:bCs/>
                <w:sz w:val="14"/>
                <w:szCs w:val="14"/>
              </w:rPr>
              <w:t>v</w:t>
            </w:r>
            <w:r>
              <w:rPr>
                <w:rFonts w:ascii="Times New Roman" w:hAnsi="Times New Roman" w:cs="Times New Roman"/>
                <w:b/>
                <w:bCs/>
                <w:sz w:val="14"/>
                <w:szCs w:val="14"/>
              </w:rPr>
              <w:t> </w:t>
            </w:r>
            <w:r w:rsidRPr="009E58F9">
              <w:rPr>
                <w:rFonts w:ascii="Times New Roman" w:hAnsi="Times New Roman" w:cs="Times New Roman"/>
                <w:b/>
                <w:bCs/>
                <w:sz w:val="14"/>
                <w:szCs w:val="14"/>
              </w:rPr>
              <w:t>eurách</w:t>
            </w:r>
          </w:p>
        </w:tc>
        <w:tc>
          <w:tcPr>
            <w:tcW w:w="992"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2009 S</w:t>
            </w:r>
          </w:p>
        </w:tc>
        <w:tc>
          <w:tcPr>
            <w:tcW w:w="992"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2010 S</w:t>
            </w:r>
          </w:p>
        </w:tc>
        <w:tc>
          <w:tcPr>
            <w:tcW w:w="992"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2011 R</w:t>
            </w:r>
          </w:p>
        </w:tc>
        <w:tc>
          <w:tcPr>
            <w:tcW w:w="992"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2011 OS</w:t>
            </w:r>
          </w:p>
        </w:tc>
        <w:tc>
          <w:tcPr>
            <w:tcW w:w="992"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2012 N</w:t>
            </w:r>
          </w:p>
        </w:tc>
        <w:tc>
          <w:tcPr>
            <w:tcW w:w="992"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2013 N</w:t>
            </w:r>
          </w:p>
        </w:tc>
        <w:tc>
          <w:tcPr>
            <w:tcW w:w="993"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2014 N</w:t>
            </w:r>
          </w:p>
        </w:tc>
      </w:tr>
      <w:tr>
        <w:tblPrEx>
          <w:tblW w:w="9077" w:type="dxa"/>
          <w:tblInd w:w="65" w:type="dxa"/>
          <w:tblLayout w:type="fixed"/>
          <w:tblCellMar>
            <w:left w:w="70" w:type="dxa"/>
            <w:right w:w="70" w:type="dxa"/>
          </w:tblCellMar>
          <w:tblLook w:val="04A0"/>
        </w:tblPrEx>
        <w:trPr>
          <w:trHeight w:val="288"/>
        </w:trPr>
        <w:tc>
          <w:tcPr>
            <w:tcW w:w="213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b/>
                <w:sz w:val="14"/>
                <w:szCs w:val="14"/>
              </w:rPr>
            </w:pPr>
            <w:r w:rsidRPr="009E58F9">
              <w:rPr>
                <w:rFonts w:ascii="Times New Roman" w:hAnsi="Times New Roman" w:cs="Times New Roman"/>
                <w:b/>
                <w:sz w:val="14"/>
                <w:szCs w:val="14"/>
              </w:rPr>
              <w:t>väzenstvo spolu</w:t>
            </w:r>
          </w:p>
        </w:tc>
        <w:tc>
          <w:tcPr>
            <w:tcW w:w="992"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sz w:val="14"/>
                <w:szCs w:val="14"/>
              </w:rPr>
            </w:pPr>
            <w:r w:rsidRPr="009E58F9">
              <w:rPr>
                <w:rFonts w:ascii="Times New Roman" w:hAnsi="Times New Roman" w:cs="Times New Roman"/>
                <w:b/>
                <w:sz w:val="14"/>
                <w:szCs w:val="14"/>
              </w:rPr>
              <w:t>129 780 886</w:t>
            </w:r>
          </w:p>
        </w:tc>
        <w:tc>
          <w:tcPr>
            <w:tcW w:w="992"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sz w:val="14"/>
                <w:szCs w:val="14"/>
              </w:rPr>
            </w:pPr>
            <w:r w:rsidRPr="009E58F9">
              <w:rPr>
                <w:rFonts w:ascii="Times New Roman" w:hAnsi="Times New Roman" w:cs="Times New Roman"/>
                <w:b/>
                <w:sz w:val="14"/>
                <w:szCs w:val="14"/>
              </w:rPr>
              <w:t>136 240 017</w:t>
            </w:r>
          </w:p>
        </w:tc>
        <w:tc>
          <w:tcPr>
            <w:tcW w:w="992"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sz w:val="14"/>
                <w:szCs w:val="14"/>
              </w:rPr>
            </w:pPr>
            <w:r w:rsidRPr="009E58F9">
              <w:rPr>
                <w:rFonts w:ascii="Times New Roman" w:hAnsi="Times New Roman" w:cs="Times New Roman"/>
                <w:b/>
                <w:sz w:val="14"/>
                <w:szCs w:val="14"/>
              </w:rPr>
              <w:t>137 930 296</w:t>
            </w:r>
          </w:p>
        </w:tc>
        <w:tc>
          <w:tcPr>
            <w:tcW w:w="992"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sz w:val="14"/>
                <w:szCs w:val="14"/>
              </w:rPr>
            </w:pPr>
            <w:r w:rsidRPr="009E58F9">
              <w:rPr>
                <w:rFonts w:ascii="Times New Roman" w:hAnsi="Times New Roman" w:cs="Times New Roman"/>
                <w:b/>
                <w:sz w:val="14"/>
                <w:szCs w:val="14"/>
              </w:rPr>
              <w:t>138 842 062</w:t>
            </w:r>
          </w:p>
        </w:tc>
        <w:tc>
          <w:tcPr>
            <w:tcW w:w="992" w:type="dxa"/>
            <w:tcBorders>
              <w:top w:val="single" w:sz="4" w:space="0" w:color="auto"/>
              <w:left w:val="nil"/>
              <w:bottom w:val="single" w:sz="4" w:space="0" w:color="auto"/>
              <w:right w:val="single" w:sz="4" w:space="0" w:color="auto"/>
            </w:tcBorders>
            <w:textDirection w:val="lrTb"/>
            <w:vAlign w:val="bottom"/>
            <w:hideMark/>
          </w:tcPr>
          <w:p w:rsidR="00CB350B" w:rsidRPr="001F2EE6" w:rsidP="00257E12">
            <w:pPr>
              <w:bidi w:val="0"/>
              <w:jc w:val="right"/>
              <w:rPr>
                <w:rFonts w:ascii="Times New Roman" w:hAnsi="Times New Roman" w:cs="Times New Roman"/>
                <w:b/>
                <w:sz w:val="14"/>
                <w:szCs w:val="14"/>
              </w:rPr>
            </w:pPr>
            <w:r w:rsidRPr="001F2EE6">
              <w:rPr>
                <w:rFonts w:ascii="Times New Roman" w:hAnsi="Times New Roman" w:cs="Times New Roman"/>
                <w:b/>
                <w:sz w:val="14"/>
                <w:szCs w:val="14"/>
              </w:rPr>
              <w:t>152 988 356</w:t>
            </w:r>
          </w:p>
        </w:tc>
        <w:tc>
          <w:tcPr>
            <w:tcW w:w="992" w:type="dxa"/>
            <w:tcBorders>
              <w:top w:val="single" w:sz="4" w:space="0" w:color="auto"/>
              <w:left w:val="nil"/>
              <w:bottom w:val="single" w:sz="4" w:space="0" w:color="auto"/>
              <w:right w:val="single" w:sz="4" w:space="0" w:color="auto"/>
            </w:tcBorders>
            <w:textDirection w:val="lrTb"/>
            <w:vAlign w:val="bottom"/>
            <w:hideMark/>
          </w:tcPr>
          <w:p w:rsidR="00CB350B" w:rsidRPr="001F2EE6" w:rsidP="00257E12">
            <w:pPr>
              <w:bidi w:val="0"/>
              <w:jc w:val="right"/>
              <w:rPr>
                <w:rFonts w:ascii="Times New Roman" w:hAnsi="Times New Roman" w:cs="Times New Roman"/>
                <w:b/>
                <w:sz w:val="14"/>
                <w:szCs w:val="14"/>
              </w:rPr>
            </w:pPr>
            <w:r w:rsidRPr="001F2EE6">
              <w:rPr>
                <w:rFonts w:ascii="Times New Roman" w:hAnsi="Times New Roman" w:cs="Times New Roman"/>
                <w:b/>
                <w:sz w:val="14"/>
                <w:szCs w:val="14"/>
              </w:rPr>
              <w:t>161 626 673</w:t>
            </w:r>
          </w:p>
        </w:tc>
        <w:tc>
          <w:tcPr>
            <w:tcW w:w="993" w:type="dxa"/>
            <w:tcBorders>
              <w:top w:val="single" w:sz="4" w:space="0" w:color="auto"/>
              <w:left w:val="nil"/>
              <w:bottom w:val="single" w:sz="4" w:space="0" w:color="auto"/>
              <w:right w:val="single" w:sz="4" w:space="0" w:color="auto"/>
            </w:tcBorders>
            <w:textDirection w:val="lrTb"/>
            <w:vAlign w:val="bottom"/>
            <w:hideMark/>
          </w:tcPr>
          <w:p w:rsidR="00CB350B" w:rsidRPr="001F2EE6" w:rsidP="00257E12">
            <w:pPr>
              <w:bidi w:val="0"/>
              <w:jc w:val="right"/>
              <w:rPr>
                <w:rFonts w:ascii="Times New Roman" w:hAnsi="Times New Roman" w:cs="Times New Roman"/>
                <w:b/>
                <w:sz w:val="14"/>
                <w:szCs w:val="14"/>
              </w:rPr>
            </w:pPr>
            <w:r w:rsidRPr="001F2EE6">
              <w:rPr>
                <w:rFonts w:ascii="Times New Roman" w:hAnsi="Times New Roman" w:cs="Times New Roman"/>
                <w:b/>
                <w:sz w:val="14"/>
                <w:szCs w:val="14"/>
              </w:rPr>
              <w:t>167 655 747</w:t>
            </w:r>
          </w:p>
        </w:tc>
      </w:tr>
      <w:tr>
        <w:tblPrEx>
          <w:tblW w:w="9077" w:type="dxa"/>
          <w:tblInd w:w="65" w:type="dxa"/>
          <w:tblLayout w:type="fixed"/>
          <w:tblCellMar>
            <w:left w:w="70" w:type="dxa"/>
            <w:right w:w="70" w:type="dxa"/>
          </w:tblCellMar>
          <w:tblLook w:val="04A0"/>
        </w:tblPrEx>
        <w:trPr>
          <w:trHeight w:val="288"/>
        </w:trPr>
        <w:tc>
          <w:tcPr>
            <w:tcW w:w="2132"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KV na nové kapacity</w:t>
            </w:r>
          </w:p>
        </w:tc>
        <w:tc>
          <w:tcPr>
            <w:tcW w:w="992"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92"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92"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92"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92" w:type="dxa"/>
            <w:tcBorders>
              <w:top w:val="nil"/>
              <w:left w:val="nil"/>
              <w:bottom w:val="single" w:sz="4" w:space="0" w:color="auto"/>
              <w:right w:val="single" w:sz="4" w:space="0" w:color="auto"/>
            </w:tcBorders>
            <w:noWrap/>
            <w:textDirection w:val="lrTb"/>
            <w:vAlign w:val="bottom"/>
            <w:hideMark/>
          </w:tcPr>
          <w:p w:rsidR="00CB350B" w:rsidRPr="001F2EE6" w:rsidP="00257E12">
            <w:pPr>
              <w:bidi w:val="0"/>
              <w:jc w:val="right"/>
              <w:rPr>
                <w:rFonts w:ascii="Times New Roman" w:hAnsi="Times New Roman" w:cs="Times New Roman"/>
                <w:sz w:val="14"/>
                <w:szCs w:val="14"/>
              </w:rPr>
            </w:pPr>
            <w:r w:rsidRPr="001F2EE6">
              <w:rPr>
                <w:rFonts w:ascii="Times New Roman" w:hAnsi="Times New Roman" w:cs="Times New Roman"/>
                <w:sz w:val="14"/>
                <w:szCs w:val="14"/>
              </w:rPr>
              <w:t>3 850 000</w:t>
            </w:r>
          </w:p>
        </w:tc>
        <w:tc>
          <w:tcPr>
            <w:tcW w:w="992" w:type="dxa"/>
            <w:tcBorders>
              <w:top w:val="nil"/>
              <w:left w:val="nil"/>
              <w:bottom w:val="single" w:sz="4" w:space="0" w:color="auto"/>
              <w:right w:val="single" w:sz="4" w:space="0" w:color="auto"/>
            </w:tcBorders>
            <w:noWrap/>
            <w:textDirection w:val="lrTb"/>
            <w:vAlign w:val="bottom"/>
            <w:hideMark/>
          </w:tcPr>
          <w:p w:rsidR="00CB350B" w:rsidRPr="001F2EE6" w:rsidP="00257E12">
            <w:pPr>
              <w:bidi w:val="0"/>
              <w:jc w:val="right"/>
              <w:rPr>
                <w:rFonts w:ascii="Times New Roman" w:hAnsi="Times New Roman" w:cs="Times New Roman"/>
                <w:sz w:val="14"/>
                <w:szCs w:val="14"/>
              </w:rPr>
            </w:pPr>
            <w:r w:rsidRPr="001F2EE6">
              <w:rPr>
                <w:rFonts w:ascii="Times New Roman" w:hAnsi="Times New Roman" w:cs="Times New Roman"/>
                <w:sz w:val="14"/>
                <w:szCs w:val="14"/>
              </w:rPr>
              <w:t>7 900 000</w:t>
            </w:r>
          </w:p>
        </w:tc>
        <w:tc>
          <w:tcPr>
            <w:tcW w:w="993" w:type="dxa"/>
            <w:tcBorders>
              <w:top w:val="nil"/>
              <w:left w:val="nil"/>
              <w:bottom w:val="single" w:sz="4" w:space="0" w:color="auto"/>
              <w:right w:val="single" w:sz="4" w:space="0" w:color="auto"/>
            </w:tcBorders>
            <w:noWrap/>
            <w:textDirection w:val="lrTb"/>
            <w:vAlign w:val="bottom"/>
            <w:hideMark/>
          </w:tcPr>
          <w:p w:rsidR="00CB350B" w:rsidRPr="001F2EE6" w:rsidP="00257E12">
            <w:pPr>
              <w:bidi w:val="0"/>
              <w:jc w:val="right"/>
              <w:rPr>
                <w:rFonts w:ascii="Times New Roman" w:hAnsi="Times New Roman" w:cs="Times New Roman"/>
                <w:sz w:val="14"/>
                <w:szCs w:val="14"/>
              </w:rPr>
            </w:pPr>
            <w:r w:rsidRPr="001F2EE6">
              <w:rPr>
                <w:rFonts w:ascii="Times New Roman" w:hAnsi="Times New Roman" w:cs="Times New Roman"/>
                <w:sz w:val="14"/>
                <w:szCs w:val="14"/>
              </w:rPr>
              <w:t>10 800 000</w:t>
            </w:r>
          </w:p>
        </w:tc>
      </w:tr>
      <w:tr>
        <w:tblPrEx>
          <w:tblW w:w="9077" w:type="dxa"/>
          <w:tblInd w:w="65" w:type="dxa"/>
          <w:tblLayout w:type="fixed"/>
          <w:tblCellMar>
            <w:left w:w="70" w:type="dxa"/>
            <w:right w:w="70" w:type="dxa"/>
          </w:tblCellMar>
          <w:tblLook w:val="04A0"/>
        </w:tblPrEx>
        <w:trPr>
          <w:trHeight w:val="288"/>
        </w:trPr>
        <w:tc>
          <w:tcPr>
            <w:tcW w:w="2132"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dotácia osobitného účtu</w:t>
            </w:r>
          </w:p>
        </w:tc>
        <w:tc>
          <w:tcPr>
            <w:tcW w:w="992"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992"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7 218 279</w:t>
            </w:r>
          </w:p>
        </w:tc>
        <w:tc>
          <w:tcPr>
            <w:tcW w:w="992"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8 266 743</w:t>
            </w:r>
          </w:p>
        </w:tc>
        <w:tc>
          <w:tcPr>
            <w:tcW w:w="992"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8 266 743</w:t>
            </w:r>
          </w:p>
        </w:tc>
        <w:tc>
          <w:tcPr>
            <w:tcW w:w="992" w:type="dxa"/>
            <w:tcBorders>
              <w:top w:val="nil"/>
              <w:left w:val="nil"/>
              <w:bottom w:val="single" w:sz="4" w:space="0" w:color="auto"/>
              <w:right w:val="single" w:sz="4" w:space="0" w:color="auto"/>
            </w:tcBorders>
            <w:textDirection w:val="lrTb"/>
            <w:vAlign w:val="bottom"/>
            <w:hideMark/>
          </w:tcPr>
          <w:p w:rsidR="00CB350B" w:rsidRPr="001F2EE6" w:rsidP="00257E12">
            <w:pPr>
              <w:bidi w:val="0"/>
              <w:jc w:val="right"/>
              <w:rPr>
                <w:rFonts w:ascii="Times New Roman" w:hAnsi="Times New Roman" w:cs="Times New Roman"/>
                <w:color w:val="000000"/>
                <w:sz w:val="14"/>
                <w:szCs w:val="14"/>
              </w:rPr>
            </w:pPr>
            <w:r w:rsidRPr="001F2EE6">
              <w:rPr>
                <w:rFonts w:ascii="Times New Roman" w:hAnsi="Times New Roman" w:cs="Times New Roman"/>
                <w:color w:val="000000"/>
                <w:sz w:val="14"/>
                <w:szCs w:val="14"/>
              </w:rPr>
              <w:t>9 586 957</w:t>
            </w:r>
          </w:p>
        </w:tc>
        <w:tc>
          <w:tcPr>
            <w:tcW w:w="992" w:type="dxa"/>
            <w:tcBorders>
              <w:top w:val="nil"/>
              <w:left w:val="nil"/>
              <w:bottom w:val="single" w:sz="4" w:space="0" w:color="auto"/>
              <w:right w:val="single" w:sz="4" w:space="0" w:color="auto"/>
            </w:tcBorders>
            <w:textDirection w:val="lrTb"/>
            <w:vAlign w:val="bottom"/>
            <w:hideMark/>
          </w:tcPr>
          <w:p w:rsidR="00CB350B" w:rsidRPr="001F2EE6" w:rsidP="00257E12">
            <w:pPr>
              <w:bidi w:val="0"/>
              <w:jc w:val="right"/>
              <w:rPr>
                <w:rFonts w:ascii="Times New Roman" w:hAnsi="Times New Roman" w:cs="Times New Roman"/>
                <w:color w:val="000000"/>
                <w:sz w:val="14"/>
                <w:szCs w:val="14"/>
              </w:rPr>
            </w:pPr>
            <w:r w:rsidRPr="001F2EE6">
              <w:rPr>
                <w:rFonts w:ascii="Times New Roman" w:hAnsi="Times New Roman" w:cs="Times New Roman"/>
                <w:color w:val="000000"/>
                <w:sz w:val="14"/>
                <w:szCs w:val="14"/>
              </w:rPr>
              <w:t>9 249 519</w:t>
            </w:r>
          </w:p>
        </w:tc>
        <w:tc>
          <w:tcPr>
            <w:tcW w:w="993" w:type="dxa"/>
            <w:tcBorders>
              <w:top w:val="nil"/>
              <w:left w:val="nil"/>
              <w:bottom w:val="single" w:sz="4" w:space="0" w:color="auto"/>
              <w:right w:val="single" w:sz="4" w:space="0" w:color="auto"/>
            </w:tcBorders>
            <w:noWrap/>
            <w:textDirection w:val="lrTb"/>
            <w:vAlign w:val="bottom"/>
            <w:hideMark/>
          </w:tcPr>
          <w:p w:rsidR="00CB350B" w:rsidRPr="001F2EE6" w:rsidP="00257E12">
            <w:pPr>
              <w:bidi w:val="0"/>
              <w:jc w:val="right"/>
              <w:rPr>
                <w:rFonts w:ascii="Times New Roman" w:hAnsi="Times New Roman" w:cs="Times New Roman"/>
                <w:color w:val="000000"/>
                <w:sz w:val="14"/>
                <w:szCs w:val="14"/>
              </w:rPr>
            </w:pPr>
            <w:r w:rsidRPr="001F2EE6">
              <w:rPr>
                <w:rFonts w:ascii="Times New Roman" w:hAnsi="Times New Roman" w:cs="Times New Roman"/>
                <w:color w:val="000000"/>
                <w:sz w:val="14"/>
                <w:szCs w:val="14"/>
              </w:rPr>
              <w:t>8 023 378</w:t>
            </w:r>
          </w:p>
        </w:tc>
      </w:tr>
      <w:tr>
        <w:tblPrEx>
          <w:tblW w:w="9077" w:type="dxa"/>
          <w:tblInd w:w="65" w:type="dxa"/>
          <w:tblLayout w:type="fixed"/>
          <w:tblCellMar>
            <w:left w:w="70" w:type="dxa"/>
            <w:right w:w="70" w:type="dxa"/>
          </w:tblCellMar>
          <w:tblLook w:val="04A0"/>
        </w:tblPrEx>
        <w:trPr>
          <w:trHeight w:val="288"/>
        </w:trPr>
        <w:tc>
          <w:tcPr>
            <w:tcW w:w="213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b/>
                <w:color w:val="000000"/>
                <w:sz w:val="14"/>
                <w:szCs w:val="14"/>
              </w:rPr>
            </w:pPr>
            <w:r w:rsidRPr="009E58F9">
              <w:rPr>
                <w:rFonts w:ascii="Times New Roman" w:hAnsi="Times New Roman" w:cs="Times New Roman"/>
                <w:b/>
                <w:color w:val="000000"/>
                <w:sz w:val="14"/>
                <w:szCs w:val="14"/>
              </w:rPr>
              <w:t>základné výdavky väzenstva</w:t>
            </w:r>
          </w:p>
        </w:tc>
        <w:tc>
          <w:tcPr>
            <w:tcW w:w="992"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color w:val="000000"/>
                <w:sz w:val="14"/>
                <w:szCs w:val="14"/>
              </w:rPr>
            </w:pPr>
            <w:r w:rsidRPr="009E58F9">
              <w:rPr>
                <w:rFonts w:ascii="Times New Roman" w:hAnsi="Times New Roman" w:cs="Times New Roman"/>
                <w:b/>
                <w:color w:val="000000"/>
                <w:sz w:val="14"/>
                <w:szCs w:val="14"/>
              </w:rPr>
              <w:t>129 780 886</w:t>
            </w:r>
          </w:p>
        </w:tc>
        <w:tc>
          <w:tcPr>
            <w:tcW w:w="992"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color w:val="000000"/>
                <w:sz w:val="14"/>
                <w:szCs w:val="14"/>
              </w:rPr>
            </w:pPr>
            <w:r w:rsidRPr="009E58F9">
              <w:rPr>
                <w:rFonts w:ascii="Times New Roman" w:hAnsi="Times New Roman" w:cs="Times New Roman"/>
                <w:b/>
                <w:color w:val="000000"/>
                <w:sz w:val="14"/>
                <w:szCs w:val="14"/>
              </w:rPr>
              <w:t>129 021 738</w:t>
            </w:r>
          </w:p>
        </w:tc>
        <w:tc>
          <w:tcPr>
            <w:tcW w:w="992"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color w:val="000000"/>
                <w:sz w:val="14"/>
                <w:szCs w:val="14"/>
              </w:rPr>
            </w:pPr>
            <w:r w:rsidRPr="009E58F9">
              <w:rPr>
                <w:rFonts w:ascii="Times New Roman" w:hAnsi="Times New Roman" w:cs="Times New Roman"/>
                <w:b/>
                <w:color w:val="000000"/>
                <w:sz w:val="14"/>
                <w:szCs w:val="14"/>
              </w:rPr>
              <w:t>129 663 553</w:t>
            </w:r>
          </w:p>
        </w:tc>
        <w:tc>
          <w:tcPr>
            <w:tcW w:w="992"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color w:val="000000"/>
                <w:sz w:val="14"/>
                <w:szCs w:val="14"/>
              </w:rPr>
            </w:pPr>
            <w:r w:rsidRPr="009E58F9">
              <w:rPr>
                <w:rFonts w:ascii="Times New Roman" w:hAnsi="Times New Roman" w:cs="Times New Roman"/>
                <w:b/>
                <w:color w:val="000000"/>
                <w:sz w:val="14"/>
                <w:szCs w:val="14"/>
              </w:rPr>
              <w:t>130 575 319</w:t>
            </w:r>
          </w:p>
        </w:tc>
        <w:tc>
          <w:tcPr>
            <w:tcW w:w="992" w:type="dxa"/>
            <w:tcBorders>
              <w:top w:val="single" w:sz="4" w:space="0" w:color="auto"/>
              <w:left w:val="nil"/>
              <w:bottom w:val="single" w:sz="4" w:space="0" w:color="auto"/>
              <w:right w:val="single" w:sz="4" w:space="0" w:color="auto"/>
            </w:tcBorders>
            <w:textDirection w:val="lrTb"/>
            <w:vAlign w:val="bottom"/>
            <w:hideMark/>
          </w:tcPr>
          <w:p w:rsidR="00CB350B" w:rsidRPr="001F2EE6" w:rsidP="00257E12">
            <w:pPr>
              <w:bidi w:val="0"/>
              <w:jc w:val="right"/>
              <w:rPr>
                <w:rFonts w:ascii="Times New Roman" w:hAnsi="Times New Roman" w:cs="Times New Roman"/>
                <w:b/>
                <w:color w:val="000000"/>
                <w:sz w:val="14"/>
                <w:szCs w:val="14"/>
              </w:rPr>
            </w:pPr>
            <w:r w:rsidRPr="001F2EE6">
              <w:rPr>
                <w:rFonts w:ascii="Times New Roman" w:hAnsi="Times New Roman" w:cs="Times New Roman"/>
                <w:b/>
                <w:color w:val="000000"/>
                <w:sz w:val="14"/>
                <w:szCs w:val="14"/>
              </w:rPr>
              <w:t>139 551 399</w:t>
            </w:r>
          </w:p>
        </w:tc>
        <w:tc>
          <w:tcPr>
            <w:tcW w:w="992" w:type="dxa"/>
            <w:tcBorders>
              <w:top w:val="single" w:sz="4" w:space="0" w:color="auto"/>
              <w:left w:val="nil"/>
              <w:bottom w:val="single" w:sz="4" w:space="0" w:color="auto"/>
              <w:right w:val="single" w:sz="4" w:space="0" w:color="auto"/>
            </w:tcBorders>
            <w:textDirection w:val="lrTb"/>
            <w:vAlign w:val="bottom"/>
            <w:hideMark/>
          </w:tcPr>
          <w:p w:rsidR="00CB350B" w:rsidRPr="001F2EE6" w:rsidP="00257E12">
            <w:pPr>
              <w:bidi w:val="0"/>
              <w:jc w:val="right"/>
              <w:rPr>
                <w:rFonts w:ascii="Times New Roman" w:hAnsi="Times New Roman" w:cs="Times New Roman"/>
                <w:b/>
                <w:color w:val="000000"/>
                <w:sz w:val="14"/>
                <w:szCs w:val="14"/>
              </w:rPr>
            </w:pPr>
            <w:r w:rsidRPr="001F2EE6">
              <w:rPr>
                <w:rFonts w:ascii="Times New Roman" w:hAnsi="Times New Roman" w:cs="Times New Roman"/>
                <w:b/>
                <w:color w:val="000000"/>
                <w:sz w:val="14"/>
                <w:szCs w:val="14"/>
              </w:rPr>
              <w:t>144 477 154</w:t>
            </w:r>
          </w:p>
        </w:tc>
        <w:tc>
          <w:tcPr>
            <w:tcW w:w="993" w:type="dxa"/>
            <w:tcBorders>
              <w:top w:val="single" w:sz="4" w:space="0" w:color="auto"/>
              <w:left w:val="nil"/>
              <w:bottom w:val="single" w:sz="4" w:space="0" w:color="auto"/>
              <w:right w:val="single" w:sz="4" w:space="0" w:color="auto"/>
            </w:tcBorders>
            <w:textDirection w:val="lrTb"/>
            <w:vAlign w:val="bottom"/>
            <w:hideMark/>
          </w:tcPr>
          <w:p w:rsidR="00CB350B" w:rsidRPr="001F2EE6" w:rsidP="00257E12">
            <w:pPr>
              <w:bidi w:val="0"/>
              <w:jc w:val="right"/>
              <w:rPr>
                <w:rFonts w:ascii="Times New Roman" w:hAnsi="Times New Roman" w:cs="Times New Roman"/>
                <w:b/>
                <w:color w:val="000000"/>
                <w:sz w:val="14"/>
                <w:szCs w:val="14"/>
              </w:rPr>
            </w:pPr>
            <w:r w:rsidRPr="001F2EE6">
              <w:rPr>
                <w:rFonts w:ascii="Times New Roman" w:hAnsi="Times New Roman" w:cs="Times New Roman"/>
                <w:b/>
                <w:color w:val="000000"/>
                <w:sz w:val="14"/>
                <w:szCs w:val="14"/>
              </w:rPr>
              <w:t>148 832 369</w:t>
            </w:r>
          </w:p>
        </w:tc>
      </w:tr>
      <w:tr>
        <w:tblPrEx>
          <w:tblW w:w="9077" w:type="dxa"/>
          <w:tblInd w:w="65" w:type="dxa"/>
          <w:tblLayout w:type="fixed"/>
          <w:tblCellMar>
            <w:left w:w="70" w:type="dxa"/>
            <w:right w:w="70" w:type="dxa"/>
          </w:tblCellMar>
          <w:tblLook w:val="04A0"/>
        </w:tblPrEx>
        <w:trPr>
          <w:trHeight w:val="288"/>
        </w:trPr>
        <w:tc>
          <w:tcPr>
            <w:tcW w:w="2132"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obvinení a odsúdení spolu</w:t>
            </w:r>
          </w:p>
        </w:tc>
        <w:tc>
          <w:tcPr>
            <w:tcW w:w="992"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8 856</w:t>
            </w:r>
          </w:p>
        </w:tc>
        <w:tc>
          <w:tcPr>
            <w:tcW w:w="992"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9 935</w:t>
            </w:r>
          </w:p>
        </w:tc>
        <w:tc>
          <w:tcPr>
            <w:tcW w:w="992"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10 417</w:t>
            </w:r>
          </w:p>
        </w:tc>
        <w:tc>
          <w:tcPr>
            <w:tcW w:w="992"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10 417</w:t>
            </w:r>
          </w:p>
        </w:tc>
        <w:tc>
          <w:tcPr>
            <w:tcW w:w="992" w:type="dxa"/>
            <w:tcBorders>
              <w:top w:val="nil"/>
              <w:left w:val="nil"/>
              <w:bottom w:val="single" w:sz="4" w:space="0" w:color="auto"/>
              <w:right w:val="single" w:sz="4" w:space="0" w:color="auto"/>
            </w:tcBorders>
            <w:textDirection w:val="lrTb"/>
            <w:vAlign w:val="bottom"/>
            <w:hideMark/>
          </w:tcPr>
          <w:p w:rsidR="00CB350B" w:rsidRPr="001F2EE6" w:rsidP="00257E12">
            <w:pPr>
              <w:bidi w:val="0"/>
              <w:jc w:val="right"/>
              <w:rPr>
                <w:rFonts w:ascii="Times New Roman" w:hAnsi="Times New Roman" w:cs="Times New Roman"/>
                <w:sz w:val="14"/>
                <w:szCs w:val="14"/>
              </w:rPr>
            </w:pPr>
            <w:r w:rsidRPr="001F2EE6">
              <w:rPr>
                <w:rFonts w:ascii="Times New Roman" w:hAnsi="Times New Roman" w:cs="Times New Roman"/>
                <w:sz w:val="14"/>
                <w:szCs w:val="14"/>
              </w:rPr>
              <w:t>10 767</w:t>
            </w:r>
          </w:p>
        </w:tc>
        <w:tc>
          <w:tcPr>
            <w:tcW w:w="992" w:type="dxa"/>
            <w:tcBorders>
              <w:top w:val="nil"/>
              <w:left w:val="nil"/>
              <w:bottom w:val="single" w:sz="4" w:space="0" w:color="auto"/>
              <w:right w:val="single" w:sz="4" w:space="0" w:color="auto"/>
            </w:tcBorders>
            <w:textDirection w:val="lrTb"/>
            <w:vAlign w:val="bottom"/>
            <w:hideMark/>
          </w:tcPr>
          <w:p w:rsidR="00CB350B" w:rsidRPr="001F2EE6" w:rsidP="00257E12">
            <w:pPr>
              <w:bidi w:val="0"/>
              <w:jc w:val="right"/>
              <w:rPr>
                <w:rFonts w:ascii="Times New Roman" w:hAnsi="Times New Roman" w:cs="Times New Roman"/>
                <w:sz w:val="14"/>
                <w:szCs w:val="14"/>
              </w:rPr>
            </w:pPr>
            <w:r w:rsidRPr="001F2EE6">
              <w:rPr>
                <w:rFonts w:ascii="Times New Roman" w:hAnsi="Times New Roman" w:cs="Times New Roman"/>
                <w:sz w:val="14"/>
                <w:szCs w:val="14"/>
              </w:rPr>
              <w:t>11 117</w:t>
            </w:r>
          </w:p>
        </w:tc>
        <w:tc>
          <w:tcPr>
            <w:tcW w:w="993" w:type="dxa"/>
            <w:tcBorders>
              <w:top w:val="nil"/>
              <w:left w:val="nil"/>
              <w:bottom w:val="single" w:sz="4" w:space="0" w:color="auto"/>
              <w:right w:val="single" w:sz="4" w:space="0" w:color="auto"/>
            </w:tcBorders>
            <w:textDirection w:val="lrTb"/>
            <w:vAlign w:val="bottom"/>
            <w:hideMark/>
          </w:tcPr>
          <w:p w:rsidR="00CB350B" w:rsidRPr="001F2EE6" w:rsidP="00257E12">
            <w:pPr>
              <w:bidi w:val="0"/>
              <w:jc w:val="right"/>
              <w:rPr>
                <w:rFonts w:ascii="Times New Roman" w:hAnsi="Times New Roman" w:cs="Times New Roman"/>
                <w:sz w:val="14"/>
                <w:szCs w:val="14"/>
              </w:rPr>
            </w:pPr>
            <w:r w:rsidRPr="001F2EE6">
              <w:rPr>
                <w:rFonts w:ascii="Times New Roman" w:hAnsi="Times New Roman" w:cs="Times New Roman"/>
                <w:sz w:val="14"/>
                <w:szCs w:val="14"/>
              </w:rPr>
              <w:t>11 467</w:t>
            </w:r>
          </w:p>
        </w:tc>
      </w:tr>
      <w:tr>
        <w:tblPrEx>
          <w:tblW w:w="9077" w:type="dxa"/>
          <w:tblInd w:w="65" w:type="dxa"/>
          <w:tblLayout w:type="fixed"/>
          <w:tblCellMar>
            <w:left w:w="70" w:type="dxa"/>
            <w:right w:w="70" w:type="dxa"/>
          </w:tblCellMar>
          <w:tblLook w:val="04A0"/>
        </w:tblPrEx>
        <w:trPr>
          <w:trHeight w:val="288"/>
        </w:trPr>
        <w:tc>
          <w:tcPr>
            <w:tcW w:w="2132" w:type="dxa"/>
            <w:tcBorders>
              <w:top w:val="nil"/>
              <w:left w:val="single" w:sz="4" w:space="0" w:color="auto"/>
              <w:bottom w:val="single" w:sz="4" w:space="0" w:color="auto"/>
              <w:right w:val="single" w:sz="4" w:space="0" w:color="auto"/>
            </w:tcBorders>
            <w:noWrap/>
            <w:textDirection w:val="lrTb"/>
            <w:vAlign w:val="bottom"/>
            <w:hideMark/>
          </w:tcPr>
          <w:p w:rsidR="00CB350B" w:rsidRPr="009705F5" w:rsidP="00257E12">
            <w:pPr>
              <w:bidi w:val="0"/>
              <w:rPr>
                <w:rFonts w:ascii="Times New Roman" w:hAnsi="Times New Roman" w:cs="Times New Roman"/>
                <w:b/>
                <w:color w:val="000000"/>
                <w:sz w:val="14"/>
                <w:szCs w:val="14"/>
              </w:rPr>
            </w:pPr>
            <w:r w:rsidRPr="009705F5">
              <w:rPr>
                <w:rFonts w:ascii="Times New Roman" w:hAnsi="Times New Roman" w:cs="Times New Roman"/>
                <w:b/>
                <w:color w:val="000000"/>
                <w:sz w:val="14"/>
                <w:szCs w:val="14"/>
              </w:rPr>
              <w:t>základné výdavky na väzňa</w:t>
            </w:r>
          </w:p>
        </w:tc>
        <w:tc>
          <w:tcPr>
            <w:tcW w:w="992" w:type="dxa"/>
            <w:tcBorders>
              <w:top w:val="nil"/>
              <w:left w:val="nil"/>
              <w:bottom w:val="single" w:sz="4" w:space="0" w:color="auto"/>
              <w:right w:val="single" w:sz="4" w:space="0" w:color="auto"/>
            </w:tcBorders>
            <w:textDirection w:val="lrTb"/>
            <w:vAlign w:val="bottom"/>
            <w:hideMark/>
          </w:tcPr>
          <w:p w:rsidR="00CB350B" w:rsidRPr="009705F5" w:rsidP="00257E12">
            <w:pPr>
              <w:bidi w:val="0"/>
              <w:jc w:val="right"/>
              <w:rPr>
                <w:rFonts w:ascii="Times New Roman" w:hAnsi="Times New Roman" w:cs="Times New Roman"/>
                <w:b/>
                <w:color w:val="000000"/>
                <w:sz w:val="14"/>
                <w:szCs w:val="14"/>
              </w:rPr>
            </w:pPr>
            <w:r w:rsidRPr="009705F5">
              <w:rPr>
                <w:rFonts w:ascii="Times New Roman" w:hAnsi="Times New Roman" w:cs="Times New Roman"/>
                <w:b/>
                <w:color w:val="000000"/>
                <w:sz w:val="14"/>
                <w:szCs w:val="14"/>
              </w:rPr>
              <w:t>14 655</w:t>
            </w:r>
          </w:p>
        </w:tc>
        <w:tc>
          <w:tcPr>
            <w:tcW w:w="992" w:type="dxa"/>
            <w:tcBorders>
              <w:top w:val="nil"/>
              <w:left w:val="nil"/>
              <w:bottom w:val="single" w:sz="4" w:space="0" w:color="auto"/>
              <w:right w:val="single" w:sz="4" w:space="0" w:color="auto"/>
            </w:tcBorders>
            <w:textDirection w:val="lrTb"/>
            <w:vAlign w:val="bottom"/>
            <w:hideMark/>
          </w:tcPr>
          <w:p w:rsidR="00CB350B" w:rsidRPr="009705F5" w:rsidP="00257E12">
            <w:pPr>
              <w:bidi w:val="0"/>
              <w:jc w:val="right"/>
              <w:rPr>
                <w:rFonts w:ascii="Times New Roman" w:hAnsi="Times New Roman" w:cs="Times New Roman"/>
                <w:b/>
                <w:color w:val="000000"/>
                <w:sz w:val="14"/>
                <w:szCs w:val="14"/>
              </w:rPr>
            </w:pPr>
            <w:r w:rsidRPr="009705F5">
              <w:rPr>
                <w:rFonts w:ascii="Times New Roman" w:hAnsi="Times New Roman" w:cs="Times New Roman"/>
                <w:b/>
                <w:color w:val="000000"/>
                <w:sz w:val="14"/>
                <w:szCs w:val="14"/>
              </w:rPr>
              <w:t>12 987</w:t>
            </w:r>
          </w:p>
        </w:tc>
        <w:tc>
          <w:tcPr>
            <w:tcW w:w="992" w:type="dxa"/>
            <w:tcBorders>
              <w:top w:val="nil"/>
              <w:left w:val="nil"/>
              <w:bottom w:val="single" w:sz="4" w:space="0" w:color="auto"/>
              <w:right w:val="single" w:sz="4" w:space="0" w:color="auto"/>
            </w:tcBorders>
            <w:textDirection w:val="lrTb"/>
            <w:vAlign w:val="bottom"/>
            <w:hideMark/>
          </w:tcPr>
          <w:p w:rsidR="00CB350B" w:rsidRPr="009705F5" w:rsidP="00257E12">
            <w:pPr>
              <w:bidi w:val="0"/>
              <w:jc w:val="right"/>
              <w:rPr>
                <w:rFonts w:ascii="Times New Roman" w:hAnsi="Times New Roman" w:cs="Times New Roman"/>
                <w:b/>
                <w:color w:val="000000"/>
                <w:sz w:val="14"/>
                <w:szCs w:val="14"/>
              </w:rPr>
            </w:pPr>
            <w:r w:rsidRPr="009705F5">
              <w:rPr>
                <w:rFonts w:ascii="Times New Roman" w:hAnsi="Times New Roman" w:cs="Times New Roman"/>
                <w:b/>
                <w:color w:val="000000"/>
                <w:sz w:val="14"/>
                <w:szCs w:val="14"/>
              </w:rPr>
              <w:t>12 447</w:t>
            </w:r>
          </w:p>
        </w:tc>
        <w:tc>
          <w:tcPr>
            <w:tcW w:w="992" w:type="dxa"/>
            <w:tcBorders>
              <w:top w:val="nil"/>
              <w:left w:val="nil"/>
              <w:bottom w:val="single" w:sz="4" w:space="0" w:color="auto"/>
              <w:right w:val="single" w:sz="4" w:space="0" w:color="auto"/>
            </w:tcBorders>
            <w:textDirection w:val="lrTb"/>
            <w:vAlign w:val="bottom"/>
            <w:hideMark/>
          </w:tcPr>
          <w:p w:rsidR="00CB350B" w:rsidRPr="009705F5" w:rsidP="00257E12">
            <w:pPr>
              <w:bidi w:val="0"/>
              <w:jc w:val="right"/>
              <w:rPr>
                <w:rFonts w:ascii="Times New Roman" w:hAnsi="Times New Roman" w:cs="Times New Roman"/>
                <w:b/>
                <w:color w:val="000000"/>
                <w:sz w:val="14"/>
                <w:szCs w:val="14"/>
              </w:rPr>
            </w:pPr>
            <w:r w:rsidRPr="009705F5">
              <w:rPr>
                <w:rFonts w:ascii="Times New Roman" w:hAnsi="Times New Roman" w:cs="Times New Roman"/>
                <w:b/>
                <w:color w:val="000000"/>
                <w:sz w:val="14"/>
                <w:szCs w:val="14"/>
              </w:rPr>
              <w:t>12 535</w:t>
            </w:r>
          </w:p>
        </w:tc>
        <w:tc>
          <w:tcPr>
            <w:tcW w:w="992" w:type="dxa"/>
            <w:tcBorders>
              <w:top w:val="nil"/>
              <w:left w:val="nil"/>
              <w:bottom w:val="single" w:sz="4" w:space="0" w:color="auto"/>
              <w:right w:val="single" w:sz="4" w:space="0" w:color="auto"/>
            </w:tcBorders>
            <w:textDirection w:val="lrTb"/>
            <w:vAlign w:val="bottom"/>
            <w:hideMark/>
          </w:tcPr>
          <w:p w:rsidR="00CB350B" w:rsidRPr="001F2EE6" w:rsidP="00257E12">
            <w:pPr>
              <w:bidi w:val="0"/>
              <w:jc w:val="right"/>
              <w:rPr>
                <w:rFonts w:ascii="Times New Roman" w:hAnsi="Times New Roman" w:cs="Times New Roman"/>
                <w:b/>
                <w:color w:val="000000"/>
                <w:sz w:val="14"/>
                <w:szCs w:val="14"/>
              </w:rPr>
            </w:pPr>
            <w:r w:rsidRPr="001F2EE6">
              <w:rPr>
                <w:rFonts w:ascii="Times New Roman" w:hAnsi="Times New Roman" w:cs="Times New Roman"/>
                <w:b/>
                <w:color w:val="000000"/>
                <w:sz w:val="14"/>
                <w:szCs w:val="14"/>
              </w:rPr>
              <w:t>12 961</w:t>
            </w:r>
          </w:p>
        </w:tc>
        <w:tc>
          <w:tcPr>
            <w:tcW w:w="992" w:type="dxa"/>
            <w:tcBorders>
              <w:top w:val="nil"/>
              <w:left w:val="nil"/>
              <w:bottom w:val="single" w:sz="4" w:space="0" w:color="auto"/>
              <w:right w:val="single" w:sz="4" w:space="0" w:color="auto"/>
            </w:tcBorders>
            <w:textDirection w:val="lrTb"/>
            <w:vAlign w:val="bottom"/>
            <w:hideMark/>
          </w:tcPr>
          <w:p w:rsidR="00CB350B" w:rsidRPr="001F2EE6" w:rsidP="00257E12">
            <w:pPr>
              <w:bidi w:val="0"/>
              <w:jc w:val="right"/>
              <w:rPr>
                <w:rFonts w:ascii="Times New Roman" w:hAnsi="Times New Roman" w:cs="Times New Roman"/>
                <w:b/>
                <w:color w:val="000000"/>
                <w:sz w:val="14"/>
                <w:szCs w:val="14"/>
              </w:rPr>
            </w:pPr>
            <w:r w:rsidRPr="001F2EE6">
              <w:rPr>
                <w:rFonts w:ascii="Times New Roman" w:hAnsi="Times New Roman" w:cs="Times New Roman"/>
                <w:b/>
                <w:color w:val="000000"/>
                <w:sz w:val="14"/>
                <w:szCs w:val="14"/>
              </w:rPr>
              <w:t>12 996</w:t>
            </w:r>
          </w:p>
        </w:tc>
        <w:tc>
          <w:tcPr>
            <w:tcW w:w="993" w:type="dxa"/>
            <w:tcBorders>
              <w:top w:val="nil"/>
              <w:left w:val="nil"/>
              <w:bottom w:val="single" w:sz="4" w:space="0" w:color="auto"/>
              <w:right w:val="single" w:sz="4" w:space="0" w:color="auto"/>
            </w:tcBorders>
            <w:textDirection w:val="lrTb"/>
            <w:vAlign w:val="bottom"/>
            <w:hideMark/>
          </w:tcPr>
          <w:p w:rsidR="00CB350B" w:rsidRPr="001F2EE6" w:rsidP="00257E12">
            <w:pPr>
              <w:bidi w:val="0"/>
              <w:jc w:val="right"/>
              <w:rPr>
                <w:rFonts w:ascii="Times New Roman" w:hAnsi="Times New Roman" w:cs="Times New Roman"/>
                <w:b/>
                <w:color w:val="000000"/>
                <w:sz w:val="14"/>
                <w:szCs w:val="14"/>
              </w:rPr>
            </w:pPr>
            <w:r w:rsidRPr="001F2EE6">
              <w:rPr>
                <w:rFonts w:ascii="Times New Roman" w:hAnsi="Times New Roman" w:cs="Times New Roman"/>
                <w:b/>
                <w:color w:val="000000"/>
                <w:sz w:val="14"/>
                <w:szCs w:val="14"/>
              </w:rPr>
              <w:t>12 979</w:t>
            </w:r>
          </w:p>
        </w:tc>
      </w:tr>
    </w:tbl>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 xml:space="preserve">Priemerné základné výdavky na jednu väznenú osobu od roku 2009 postupne klesali, v období rokov 2012 až 2014 sú rozpočtované na </w:t>
      </w:r>
      <w:r>
        <w:rPr>
          <w:rFonts w:ascii="Times New Roman" w:hAnsi="Times New Roman" w:cs="Times New Roman"/>
        </w:rPr>
        <w:t>mierne stúpajúcej</w:t>
      </w:r>
      <w:r w:rsidRPr="0004638E">
        <w:rPr>
          <w:rFonts w:ascii="Times New Roman" w:hAnsi="Times New Roman" w:cs="Times New Roman"/>
        </w:rPr>
        <w:t xml:space="preserve"> úrovni. Celkové výdavky na väzenstvo sú očistené o kapitálové výdavky na nové kapacity ústavov, ktoré sa vytvoria prostredníctvom rozpočtovaných invest</w:t>
      </w:r>
      <w:r>
        <w:rPr>
          <w:rFonts w:ascii="Times New Roman" w:hAnsi="Times New Roman" w:cs="Times New Roman"/>
        </w:rPr>
        <w:t>ičných nákladov na rekonštrukci</w:t>
      </w:r>
      <w:r w:rsidRPr="0004638E">
        <w:rPr>
          <w:rFonts w:ascii="Times New Roman" w:hAnsi="Times New Roman" w:cs="Times New Roman"/>
        </w:rPr>
        <w:t>u 5-tich ústavov väzenstva a o dotáciu na osobitný účet väzenstva, ktorá je rozpočtovaná z titulu zabezpečenia vyrovnaného hospodárenia Zboru väzenskej a justičnej správy. Základné výdavky väzenstva sa prepočítavajú na priemerné počty obvinených a odsúdených osôb</w:t>
      </w:r>
      <w:r>
        <w:rPr>
          <w:rFonts w:ascii="Times New Roman" w:hAnsi="Times New Roman" w:cs="Times New Roman"/>
        </w:rPr>
        <w:t>, z</w:t>
      </w:r>
      <w:r w:rsidRPr="0004638E">
        <w:rPr>
          <w:rFonts w:ascii="Times New Roman" w:hAnsi="Times New Roman" w:cs="Times New Roman"/>
        </w:rPr>
        <w:t xml:space="preserve"> čoho vyplývajú základné výdavky na väzňa.</w:t>
      </w:r>
    </w:p>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9705F5">
        <w:rPr>
          <w:rFonts w:ascii="Times New Roman" w:hAnsi="Times New Roman" w:cs="Times New Roman"/>
        </w:rPr>
        <w:t>Pre väzenstvo sa rozpočtujú výdavky v sume 1</w:t>
      </w:r>
      <w:r>
        <w:rPr>
          <w:rFonts w:ascii="Times New Roman" w:hAnsi="Times New Roman" w:cs="Times New Roman"/>
        </w:rPr>
        <w:t>53</w:t>
      </w:r>
      <w:r w:rsidRPr="009705F5">
        <w:rPr>
          <w:rFonts w:ascii="Times New Roman" w:hAnsi="Times New Roman" w:cs="Times New Roman"/>
        </w:rPr>
        <w:t xml:space="preserve"> mil. eur. V porovnaní so schváleným rozpočtom roku 2011 sú výdavky vä</w:t>
      </w:r>
      <w:r>
        <w:rPr>
          <w:rFonts w:ascii="Times New Roman" w:hAnsi="Times New Roman" w:cs="Times New Roman"/>
        </w:rPr>
        <w:t>zenstva v roku 2012 vyššie o 10,9</w:t>
      </w:r>
      <w:r w:rsidRPr="009705F5">
        <w:rPr>
          <w:rFonts w:ascii="Times New Roman" w:hAnsi="Times New Roman" w:cs="Times New Roman"/>
        </w:rPr>
        <w:t xml:space="preserve"> %, nakoľko sa rozpočtujú v roku 2012 kapitálové výdavky na rekonštrukciu 5-tich</w:t>
      </w:r>
      <w:r w:rsidRPr="0004638E">
        <w:rPr>
          <w:rFonts w:ascii="Times New Roman" w:hAnsi="Times New Roman" w:cs="Times New Roman"/>
        </w:rPr>
        <w:t xml:space="preserve"> objektov väzenstva a bežné výdavky potrebné na prevádzku novovytvorených kapacít v objektoch väzenstva. Výdavky na riešenie potrieb väzenstva pokrývajú základné zabezpečenie výkonu väzby a výkonu trestu odňatia slobody, vrátane súvisiacej ochrany a stráženia objektov, ako aj zabezpečenia ochrany poriadku a bezpečnosti v súdnych objektoch.</w:t>
      </w:r>
    </w:p>
    <w:p w:rsidR="00CB350B" w:rsidRPr="0004638E" w:rsidP="00CB350B">
      <w:pPr>
        <w:bidi w:val="0"/>
        <w:jc w:val="both"/>
        <w:rPr>
          <w:rFonts w:ascii="Times New Roman" w:hAnsi="Times New Roman" w:cs="Times New Roman"/>
        </w:rPr>
      </w:pPr>
    </w:p>
    <w:tbl>
      <w:tblPr>
        <w:tblStyle w:val="TableNormal"/>
        <w:tblW w:w="9120" w:type="dxa"/>
        <w:tblInd w:w="65" w:type="dxa"/>
        <w:tblLayout w:type="fixed"/>
        <w:tblCellMar>
          <w:left w:w="70" w:type="dxa"/>
          <w:right w:w="70" w:type="dxa"/>
        </w:tblCellMar>
        <w:tblLook w:val="04A0"/>
      </w:tblPr>
      <w:tblGrid>
        <w:gridCol w:w="1990"/>
        <w:gridCol w:w="1018"/>
        <w:gridCol w:w="1019"/>
        <w:gridCol w:w="1018"/>
        <w:gridCol w:w="1019"/>
        <w:gridCol w:w="1018"/>
        <w:gridCol w:w="1019"/>
        <w:gridCol w:w="1019"/>
      </w:tblGrid>
      <w:tr>
        <w:tblPrEx>
          <w:tblW w:w="9120" w:type="dxa"/>
          <w:tblInd w:w="65" w:type="dxa"/>
          <w:tblLayout w:type="fixed"/>
          <w:tblCellMar>
            <w:left w:w="70" w:type="dxa"/>
            <w:right w:w="70" w:type="dxa"/>
          </w:tblCellMar>
          <w:tblLook w:val="04A0"/>
        </w:tblPrEx>
        <w:trPr>
          <w:trHeight w:val="305"/>
        </w:trPr>
        <w:tc>
          <w:tcPr>
            <w:tcW w:w="1990"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b/>
                <w:color w:val="000000"/>
                <w:sz w:val="14"/>
                <w:szCs w:val="14"/>
                <w:lang w:eastAsia="sk-SK"/>
              </w:rPr>
            </w:pPr>
            <w:r w:rsidRPr="009E58F9">
              <w:rPr>
                <w:rFonts w:ascii="Times New Roman" w:hAnsi="Times New Roman" w:cs="Times New Roman"/>
                <w:b/>
                <w:color w:val="000000"/>
                <w:sz w:val="14"/>
                <w:szCs w:val="14"/>
                <w:lang w:eastAsia="sk-SK"/>
              </w:rPr>
              <w:t> </w:t>
            </w:r>
            <w:r w:rsidRPr="009E58F9">
              <w:rPr>
                <w:rFonts w:ascii="Times New Roman" w:hAnsi="Times New Roman" w:cs="Times New Roman"/>
                <w:b/>
                <w:bCs/>
                <w:color w:val="000000"/>
                <w:sz w:val="14"/>
                <w:szCs w:val="14"/>
                <w:lang w:eastAsia="sk-SK"/>
              </w:rPr>
              <w:t>v</w:t>
            </w:r>
            <w:r>
              <w:rPr>
                <w:rFonts w:ascii="Times New Roman" w:hAnsi="Times New Roman" w:cs="Times New Roman"/>
                <w:b/>
                <w:bCs/>
                <w:color w:val="000000"/>
                <w:sz w:val="14"/>
                <w:szCs w:val="14"/>
                <w:lang w:eastAsia="sk-SK"/>
              </w:rPr>
              <w:t> </w:t>
            </w:r>
            <w:r w:rsidRPr="009E58F9">
              <w:rPr>
                <w:rFonts w:ascii="Times New Roman" w:hAnsi="Times New Roman" w:cs="Times New Roman"/>
                <w:b/>
                <w:bCs/>
                <w:color w:val="000000"/>
                <w:sz w:val="14"/>
                <w:szCs w:val="14"/>
                <w:lang w:eastAsia="sk-SK"/>
              </w:rPr>
              <w:t>eurách</w:t>
            </w:r>
          </w:p>
        </w:tc>
        <w:tc>
          <w:tcPr>
            <w:tcW w:w="1018"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sz w:val="14"/>
                <w:szCs w:val="14"/>
                <w:lang w:eastAsia="sk-SK"/>
              </w:rPr>
            </w:pPr>
            <w:r w:rsidRPr="009E58F9">
              <w:rPr>
                <w:rFonts w:ascii="Times New Roman" w:hAnsi="Times New Roman" w:cs="Times New Roman"/>
                <w:b/>
                <w:sz w:val="14"/>
                <w:szCs w:val="14"/>
                <w:lang w:eastAsia="sk-SK"/>
              </w:rPr>
              <w:t>2009 S</w:t>
            </w:r>
          </w:p>
        </w:tc>
        <w:tc>
          <w:tcPr>
            <w:tcW w:w="1019"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sz w:val="14"/>
                <w:szCs w:val="14"/>
                <w:lang w:eastAsia="sk-SK"/>
              </w:rPr>
            </w:pPr>
            <w:r w:rsidRPr="009E58F9">
              <w:rPr>
                <w:rFonts w:ascii="Times New Roman" w:hAnsi="Times New Roman" w:cs="Times New Roman"/>
                <w:b/>
                <w:sz w:val="14"/>
                <w:szCs w:val="14"/>
                <w:lang w:eastAsia="sk-SK"/>
              </w:rPr>
              <w:t>2010 S</w:t>
            </w:r>
          </w:p>
        </w:tc>
        <w:tc>
          <w:tcPr>
            <w:tcW w:w="1018"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center"/>
              <w:rPr>
                <w:rFonts w:ascii="Times New Roman" w:hAnsi="Times New Roman" w:cs="Times New Roman"/>
                <w:b/>
                <w:sz w:val="14"/>
                <w:szCs w:val="14"/>
                <w:lang w:eastAsia="sk-SK"/>
              </w:rPr>
            </w:pPr>
            <w:r w:rsidRPr="009E58F9">
              <w:rPr>
                <w:rFonts w:ascii="Times New Roman" w:hAnsi="Times New Roman" w:cs="Times New Roman"/>
                <w:b/>
                <w:sz w:val="14"/>
                <w:szCs w:val="14"/>
                <w:lang w:eastAsia="sk-SK"/>
              </w:rPr>
              <w:t>2011 R</w:t>
            </w:r>
          </w:p>
        </w:tc>
        <w:tc>
          <w:tcPr>
            <w:tcW w:w="1019"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center"/>
              <w:rPr>
                <w:rFonts w:ascii="Times New Roman" w:hAnsi="Times New Roman" w:cs="Times New Roman"/>
                <w:b/>
                <w:sz w:val="14"/>
                <w:szCs w:val="14"/>
                <w:lang w:eastAsia="sk-SK"/>
              </w:rPr>
            </w:pPr>
            <w:r w:rsidRPr="009E58F9">
              <w:rPr>
                <w:rFonts w:ascii="Times New Roman" w:hAnsi="Times New Roman" w:cs="Times New Roman"/>
                <w:b/>
                <w:sz w:val="14"/>
                <w:szCs w:val="14"/>
                <w:lang w:eastAsia="sk-SK"/>
              </w:rPr>
              <w:t>2011 OS</w:t>
            </w:r>
          </w:p>
        </w:tc>
        <w:tc>
          <w:tcPr>
            <w:tcW w:w="1018"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center"/>
              <w:rPr>
                <w:rFonts w:ascii="Times New Roman" w:hAnsi="Times New Roman" w:cs="Times New Roman"/>
                <w:b/>
                <w:sz w:val="14"/>
                <w:szCs w:val="14"/>
                <w:lang w:eastAsia="sk-SK"/>
              </w:rPr>
            </w:pPr>
            <w:r w:rsidRPr="009E58F9">
              <w:rPr>
                <w:rFonts w:ascii="Times New Roman" w:hAnsi="Times New Roman" w:cs="Times New Roman"/>
                <w:b/>
                <w:sz w:val="14"/>
                <w:szCs w:val="14"/>
                <w:lang w:eastAsia="sk-SK"/>
              </w:rPr>
              <w:t>2012 N</w:t>
            </w:r>
          </w:p>
        </w:tc>
        <w:tc>
          <w:tcPr>
            <w:tcW w:w="1019"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center"/>
              <w:rPr>
                <w:rFonts w:ascii="Times New Roman" w:hAnsi="Times New Roman" w:cs="Times New Roman"/>
                <w:b/>
                <w:sz w:val="14"/>
                <w:szCs w:val="14"/>
                <w:lang w:eastAsia="sk-SK"/>
              </w:rPr>
            </w:pPr>
            <w:r w:rsidRPr="009E58F9">
              <w:rPr>
                <w:rFonts w:ascii="Times New Roman" w:hAnsi="Times New Roman" w:cs="Times New Roman"/>
                <w:b/>
                <w:sz w:val="14"/>
                <w:szCs w:val="14"/>
                <w:lang w:eastAsia="sk-SK"/>
              </w:rPr>
              <w:t>2013 N</w:t>
            </w:r>
          </w:p>
        </w:tc>
        <w:tc>
          <w:tcPr>
            <w:tcW w:w="1019"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center"/>
              <w:rPr>
                <w:rFonts w:ascii="Times New Roman" w:hAnsi="Times New Roman" w:cs="Times New Roman"/>
                <w:b/>
                <w:sz w:val="14"/>
                <w:szCs w:val="14"/>
                <w:lang w:eastAsia="sk-SK"/>
              </w:rPr>
            </w:pPr>
            <w:r w:rsidRPr="009E58F9">
              <w:rPr>
                <w:rFonts w:ascii="Times New Roman" w:hAnsi="Times New Roman" w:cs="Times New Roman"/>
                <w:b/>
                <w:sz w:val="14"/>
                <w:szCs w:val="14"/>
                <w:lang w:eastAsia="sk-SK"/>
              </w:rPr>
              <w:t>2014 N</w:t>
            </w:r>
          </w:p>
        </w:tc>
      </w:tr>
      <w:tr>
        <w:tblPrEx>
          <w:tblW w:w="9120" w:type="dxa"/>
          <w:tblInd w:w="65" w:type="dxa"/>
          <w:tblLayout w:type="fixed"/>
          <w:tblCellMar>
            <w:left w:w="70" w:type="dxa"/>
            <w:right w:w="70" w:type="dxa"/>
          </w:tblCellMar>
          <w:tblLook w:val="04A0"/>
        </w:tblPrEx>
        <w:trPr>
          <w:trHeight w:val="305"/>
        </w:trPr>
        <w:tc>
          <w:tcPr>
            <w:tcW w:w="1990"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b/>
                <w:bCs/>
                <w:sz w:val="14"/>
                <w:szCs w:val="14"/>
                <w:lang w:eastAsia="sk-SK"/>
              </w:rPr>
            </w:pPr>
            <w:r w:rsidRPr="009E58F9">
              <w:rPr>
                <w:rFonts w:ascii="Times New Roman" w:hAnsi="Times New Roman" w:cs="Times New Roman"/>
                <w:b/>
                <w:bCs/>
                <w:sz w:val="14"/>
                <w:szCs w:val="14"/>
                <w:lang w:eastAsia="sk-SK"/>
              </w:rPr>
              <w:t>Väzenstvo</w:t>
            </w:r>
          </w:p>
        </w:tc>
        <w:tc>
          <w:tcPr>
            <w:tcW w:w="1018" w:type="dxa"/>
            <w:tcBorders>
              <w:top w:val="single" w:sz="4" w:space="0" w:color="auto"/>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b/>
                <w:bCs/>
                <w:sz w:val="14"/>
                <w:szCs w:val="14"/>
              </w:rPr>
            </w:pPr>
            <w:r w:rsidRPr="007A3E71">
              <w:rPr>
                <w:rFonts w:ascii="Times New Roman" w:hAnsi="Times New Roman" w:cs="Times New Roman"/>
                <w:b/>
                <w:bCs/>
                <w:sz w:val="14"/>
                <w:szCs w:val="14"/>
              </w:rPr>
              <w:t>129 780 886</w:t>
            </w:r>
          </w:p>
        </w:tc>
        <w:tc>
          <w:tcPr>
            <w:tcW w:w="1019" w:type="dxa"/>
            <w:tcBorders>
              <w:top w:val="single" w:sz="4" w:space="0" w:color="auto"/>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b/>
                <w:bCs/>
                <w:sz w:val="14"/>
                <w:szCs w:val="14"/>
              </w:rPr>
            </w:pPr>
            <w:r w:rsidRPr="007A3E71">
              <w:rPr>
                <w:rFonts w:ascii="Times New Roman" w:hAnsi="Times New Roman" w:cs="Times New Roman"/>
                <w:b/>
                <w:bCs/>
                <w:sz w:val="14"/>
                <w:szCs w:val="14"/>
              </w:rPr>
              <w:t>136 240 017</w:t>
            </w:r>
          </w:p>
        </w:tc>
        <w:tc>
          <w:tcPr>
            <w:tcW w:w="1018" w:type="dxa"/>
            <w:tcBorders>
              <w:top w:val="single" w:sz="4" w:space="0" w:color="auto"/>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b/>
                <w:bCs/>
                <w:sz w:val="14"/>
                <w:szCs w:val="14"/>
              </w:rPr>
            </w:pPr>
            <w:r w:rsidRPr="007A3E71">
              <w:rPr>
                <w:rFonts w:ascii="Times New Roman" w:hAnsi="Times New Roman" w:cs="Times New Roman"/>
                <w:b/>
                <w:bCs/>
                <w:sz w:val="14"/>
                <w:szCs w:val="14"/>
              </w:rPr>
              <w:t>137 930 296</w:t>
            </w:r>
          </w:p>
        </w:tc>
        <w:tc>
          <w:tcPr>
            <w:tcW w:w="1019" w:type="dxa"/>
            <w:tcBorders>
              <w:top w:val="single" w:sz="4" w:space="0" w:color="auto"/>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b/>
                <w:bCs/>
                <w:sz w:val="14"/>
                <w:szCs w:val="14"/>
              </w:rPr>
            </w:pPr>
            <w:r w:rsidRPr="007A3E71">
              <w:rPr>
                <w:rFonts w:ascii="Times New Roman" w:hAnsi="Times New Roman" w:cs="Times New Roman"/>
                <w:b/>
                <w:bCs/>
                <w:sz w:val="14"/>
                <w:szCs w:val="14"/>
              </w:rPr>
              <w:t>138 842 062</w:t>
            </w:r>
          </w:p>
        </w:tc>
        <w:tc>
          <w:tcPr>
            <w:tcW w:w="1018" w:type="dxa"/>
            <w:tcBorders>
              <w:top w:val="single" w:sz="4" w:space="0" w:color="auto"/>
              <w:left w:val="nil"/>
              <w:bottom w:val="single" w:sz="4" w:space="0" w:color="auto"/>
              <w:right w:val="single" w:sz="4" w:space="0" w:color="auto"/>
            </w:tcBorders>
            <w:textDirection w:val="lrTb"/>
            <w:vAlign w:val="bottom"/>
            <w:hideMark/>
          </w:tcPr>
          <w:p w:rsidR="00CB350B" w:rsidRPr="00A24140" w:rsidP="00257E12">
            <w:pPr>
              <w:bidi w:val="0"/>
              <w:jc w:val="right"/>
              <w:rPr>
                <w:rFonts w:ascii="Times New Roman" w:hAnsi="Times New Roman" w:cs="Times New Roman"/>
                <w:b/>
                <w:bCs/>
                <w:sz w:val="14"/>
                <w:szCs w:val="14"/>
              </w:rPr>
            </w:pPr>
            <w:r w:rsidRPr="00A24140">
              <w:rPr>
                <w:rFonts w:ascii="Times New Roman" w:hAnsi="Times New Roman" w:cs="Times New Roman"/>
                <w:b/>
                <w:bCs/>
                <w:sz w:val="14"/>
                <w:szCs w:val="14"/>
              </w:rPr>
              <w:t>152 988 356</w:t>
            </w:r>
          </w:p>
        </w:tc>
        <w:tc>
          <w:tcPr>
            <w:tcW w:w="1019" w:type="dxa"/>
            <w:tcBorders>
              <w:top w:val="single" w:sz="4" w:space="0" w:color="auto"/>
              <w:left w:val="nil"/>
              <w:bottom w:val="single" w:sz="4" w:space="0" w:color="auto"/>
              <w:right w:val="single" w:sz="4" w:space="0" w:color="auto"/>
            </w:tcBorders>
            <w:textDirection w:val="lrTb"/>
            <w:vAlign w:val="bottom"/>
            <w:hideMark/>
          </w:tcPr>
          <w:p w:rsidR="00CB350B" w:rsidRPr="00A24140" w:rsidP="00257E12">
            <w:pPr>
              <w:bidi w:val="0"/>
              <w:jc w:val="right"/>
              <w:rPr>
                <w:rFonts w:ascii="Times New Roman" w:hAnsi="Times New Roman" w:cs="Times New Roman"/>
                <w:b/>
                <w:bCs/>
                <w:sz w:val="14"/>
                <w:szCs w:val="14"/>
              </w:rPr>
            </w:pPr>
            <w:r w:rsidRPr="00A24140">
              <w:rPr>
                <w:rFonts w:ascii="Times New Roman" w:hAnsi="Times New Roman" w:cs="Times New Roman"/>
                <w:b/>
                <w:bCs/>
                <w:sz w:val="14"/>
                <w:szCs w:val="14"/>
              </w:rPr>
              <w:t>161 626 673</w:t>
            </w:r>
          </w:p>
        </w:tc>
        <w:tc>
          <w:tcPr>
            <w:tcW w:w="1019" w:type="dxa"/>
            <w:tcBorders>
              <w:top w:val="single" w:sz="4" w:space="0" w:color="auto"/>
              <w:left w:val="nil"/>
              <w:bottom w:val="single" w:sz="4" w:space="0" w:color="auto"/>
              <w:right w:val="single" w:sz="4" w:space="0" w:color="auto"/>
            </w:tcBorders>
            <w:textDirection w:val="lrTb"/>
            <w:vAlign w:val="bottom"/>
            <w:hideMark/>
          </w:tcPr>
          <w:p w:rsidR="00CB350B" w:rsidRPr="00A24140" w:rsidP="00257E12">
            <w:pPr>
              <w:bidi w:val="0"/>
              <w:jc w:val="right"/>
              <w:rPr>
                <w:rFonts w:ascii="Times New Roman" w:hAnsi="Times New Roman" w:cs="Times New Roman"/>
                <w:b/>
                <w:bCs/>
                <w:sz w:val="14"/>
                <w:szCs w:val="14"/>
              </w:rPr>
            </w:pPr>
            <w:r w:rsidRPr="00A24140">
              <w:rPr>
                <w:rFonts w:ascii="Times New Roman" w:hAnsi="Times New Roman" w:cs="Times New Roman"/>
                <w:b/>
                <w:bCs/>
                <w:sz w:val="14"/>
                <w:szCs w:val="14"/>
              </w:rPr>
              <w:t>167 655 747</w:t>
            </w:r>
          </w:p>
        </w:tc>
      </w:tr>
      <w:tr>
        <w:tblPrEx>
          <w:tblW w:w="9120" w:type="dxa"/>
          <w:tblInd w:w="65" w:type="dxa"/>
          <w:tblLayout w:type="fixed"/>
          <w:tblCellMar>
            <w:left w:w="70" w:type="dxa"/>
            <w:right w:w="70" w:type="dxa"/>
          </w:tblCellMar>
          <w:tblLook w:val="04A0"/>
        </w:tblPrEx>
        <w:trPr>
          <w:trHeight w:val="305"/>
        </w:trPr>
        <w:tc>
          <w:tcPr>
            <w:tcW w:w="1990"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 xml:space="preserve">   610 mzdy</w:t>
            </w:r>
          </w:p>
        </w:tc>
        <w:tc>
          <w:tcPr>
            <w:tcW w:w="1018"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67 806 510</w:t>
            </w:r>
          </w:p>
        </w:tc>
        <w:tc>
          <w:tcPr>
            <w:tcW w:w="1019" w:type="dxa"/>
            <w:tcBorders>
              <w:top w:val="nil"/>
              <w:left w:val="nil"/>
              <w:bottom w:val="single" w:sz="4" w:space="0" w:color="auto"/>
              <w:right w:val="single" w:sz="4" w:space="0" w:color="auto"/>
            </w:tcBorders>
            <w:noWrap/>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70 429 845</w:t>
            </w:r>
          </w:p>
        </w:tc>
        <w:tc>
          <w:tcPr>
            <w:tcW w:w="1018" w:type="dxa"/>
            <w:tcBorders>
              <w:top w:val="nil"/>
              <w:left w:val="nil"/>
              <w:bottom w:val="single" w:sz="4" w:space="0" w:color="auto"/>
              <w:right w:val="single" w:sz="4" w:space="0" w:color="auto"/>
            </w:tcBorders>
            <w:noWrap/>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68 786 767</w:t>
            </w:r>
          </w:p>
        </w:tc>
        <w:tc>
          <w:tcPr>
            <w:tcW w:w="1019" w:type="dxa"/>
            <w:tcBorders>
              <w:top w:val="nil"/>
              <w:left w:val="nil"/>
              <w:bottom w:val="single" w:sz="4" w:space="0" w:color="auto"/>
              <w:right w:val="single" w:sz="4" w:space="0" w:color="auto"/>
            </w:tcBorders>
            <w:noWrap/>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68 786 767</w:t>
            </w:r>
          </w:p>
        </w:tc>
        <w:tc>
          <w:tcPr>
            <w:tcW w:w="1018" w:type="dxa"/>
            <w:tcBorders>
              <w:top w:val="nil"/>
              <w:left w:val="nil"/>
              <w:bottom w:val="single" w:sz="4" w:space="0" w:color="auto"/>
              <w:right w:val="single" w:sz="4" w:space="0" w:color="auto"/>
            </w:tcBorders>
            <w:noWrap/>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68 855 983</w:t>
            </w:r>
          </w:p>
        </w:tc>
        <w:tc>
          <w:tcPr>
            <w:tcW w:w="1019" w:type="dxa"/>
            <w:tcBorders>
              <w:top w:val="nil"/>
              <w:left w:val="nil"/>
              <w:bottom w:val="single" w:sz="4" w:space="0" w:color="auto"/>
              <w:right w:val="single" w:sz="4" w:space="0" w:color="auto"/>
            </w:tcBorders>
            <w:noWrap/>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71 632 920</w:t>
            </w:r>
          </w:p>
        </w:tc>
        <w:tc>
          <w:tcPr>
            <w:tcW w:w="1019" w:type="dxa"/>
            <w:tcBorders>
              <w:top w:val="nil"/>
              <w:left w:val="nil"/>
              <w:bottom w:val="single" w:sz="4" w:space="0" w:color="auto"/>
              <w:right w:val="single" w:sz="4" w:space="0" w:color="auto"/>
            </w:tcBorders>
            <w:noWrap/>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73 788 960</w:t>
            </w:r>
          </w:p>
        </w:tc>
      </w:tr>
      <w:tr>
        <w:tblPrEx>
          <w:tblW w:w="9120" w:type="dxa"/>
          <w:tblInd w:w="65" w:type="dxa"/>
          <w:tblLayout w:type="fixed"/>
          <w:tblCellMar>
            <w:left w:w="70" w:type="dxa"/>
            <w:right w:w="70" w:type="dxa"/>
          </w:tblCellMar>
          <w:tblLook w:val="04A0"/>
        </w:tblPrEx>
        <w:trPr>
          <w:trHeight w:val="305"/>
        </w:trPr>
        <w:tc>
          <w:tcPr>
            <w:tcW w:w="1990"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 xml:space="preserve">   620 odvody</w:t>
            </w:r>
          </w:p>
        </w:tc>
        <w:tc>
          <w:tcPr>
            <w:tcW w:w="1018"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23 948 655</w:t>
            </w:r>
          </w:p>
        </w:tc>
        <w:tc>
          <w:tcPr>
            <w:tcW w:w="1019"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24 694 896</w:t>
            </w:r>
          </w:p>
        </w:tc>
        <w:tc>
          <w:tcPr>
            <w:tcW w:w="1018" w:type="dxa"/>
            <w:tcBorders>
              <w:top w:val="nil"/>
              <w:left w:val="nil"/>
              <w:bottom w:val="single" w:sz="4" w:space="0" w:color="auto"/>
              <w:right w:val="single" w:sz="4" w:space="0" w:color="auto"/>
            </w:tcBorders>
            <w:noWrap/>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24 674 130</w:t>
            </w:r>
          </w:p>
        </w:tc>
        <w:tc>
          <w:tcPr>
            <w:tcW w:w="1019" w:type="dxa"/>
            <w:tcBorders>
              <w:top w:val="nil"/>
              <w:left w:val="nil"/>
              <w:bottom w:val="single" w:sz="4" w:space="0" w:color="auto"/>
              <w:right w:val="single" w:sz="4" w:space="0" w:color="auto"/>
            </w:tcBorders>
            <w:noWrap/>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24 674 130</w:t>
            </w:r>
          </w:p>
        </w:tc>
        <w:tc>
          <w:tcPr>
            <w:tcW w:w="1018" w:type="dxa"/>
            <w:tcBorders>
              <w:top w:val="nil"/>
              <w:left w:val="nil"/>
              <w:bottom w:val="single" w:sz="4" w:space="0" w:color="auto"/>
              <w:right w:val="single" w:sz="4" w:space="0" w:color="auto"/>
            </w:tcBorders>
            <w:textDirection w:val="lrTb"/>
            <w:vAlign w:val="bottom"/>
            <w:hideMark/>
          </w:tcPr>
          <w:p w:rsidR="00CB350B" w:rsidRPr="00A24140" w:rsidP="00257E12">
            <w:pPr>
              <w:bidi w:val="0"/>
              <w:jc w:val="right"/>
              <w:rPr>
                <w:rFonts w:ascii="Times New Roman" w:hAnsi="Times New Roman" w:cs="Times New Roman"/>
                <w:sz w:val="14"/>
                <w:szCs w:val="14"/>
              </w:rPr>
            </w:pPr>
            <w:r w:rsidRPr="00A24140">
              <w:rPr>
                <w:rFonts w:ascii="Times New Roman" w:hAnsi="Times New Roman" w:cs="Times New Roman"/>
                <w:sz w:val="14"/>
                <w:szCs w:val="14"/>
              </w:rPr>
              <w:t>31 141 356</w:t>
            </w:r>
          </w:p>
        </w:tc>
        <w:tc>
          <w:tcPr>
            <w:tcW w:w="1019" w:type="dxa"/>
            <w:tcBorders>
              <w:top w:val="nil"/>
              <w:left w:val="nil"/>
              <w:bottom w:val="single" w:sz="4" w:space="0" w:color="auto"/>
              <w:right w:val="single" w:sz="4" w:space="0" w:color="auto"/>
            </w:tcBorders>
            <w:textDirection w:val="lrTb"/>
            <w:vAlign w:val="bottom"/>
            <w:hideMark/>
          </w:tcPr>
          <w:p w:rsidR="00CB350B" w:rsidRPr="00A24140" w:rsidP="00257E12">
            <w:pPr>
              <w:bidi w:val="0"/>
              <w:jc w:val="right"/>
              <w:rPr>
                <w:rFonts w:ascii="Times New Roman" w:hAnsi="Times New Roman" w:cs="Times New Roman"/>
                <w:sz w:val="14"/>
                <w:szCs w:val="14"/>
              </w:rPr>
            </w:pPr>
            <w:r w:rsidRPr="00A24140">
              <w:rPr>
                <w:rFonts w:ascii="Times New Roman" w:hAnsi="Times New Roman" w:cs="Times New Roman"/>
                <w:sz w:val="14"/>
                <w:szCs w:val="14"/>
              </w:rPr>
              <w:t>32 318 441</w:t>
            </w:r>
          </w:p>
        </w:tc>
        <w:tc>
          <w:tcPr>
            <w:tcW w:w="1019" w:type="dxa"/>
            <w:tcBorders>
              <w:top w:val="nil"/>
              <w:left w:val="nil"/>
              <w:bottom w:val="single" w:sz="4" w:space="0" w:color="auto"/>
              <w:right w:val="single" w:sz="4" w:space="0" w:color="auto"/>
            </w:tcBorders>
            <w:textDirection w:val="lrTb"/>
            <w:vAlign w:val="bottom"/>
            <w:hideMark/>
          </w:tcPr>
          <w:p w:rsidR="00CB350B" w:rsidRPr="00A24140" w:rsidP="00257E12">
            <w:pPr>
              <w:bidi w:val="0"/>
              <w:jc w:val="right"/>
              <w:rPr>
                <w:rFonts w:ascii="Times New Roman" w:hAnsi="Times New Roman" w:cs="Times New Roman"/>
                <w:sz w:val="14"/>
                <w:szCs w:val="14"/>
              </w:rPr>
            </w:pPr>
            <w:r w:rsidRPr="00A24140">
              <w:rPr>
                <w:rFonts w:ascii="Times New Roman" w:hAnsi="Times New Roman" w:cs="Times New Roman"/>
                <w:sz w:val="14"/>
                <w:szCs w:val="14"/>
              </w:rPr>
              <w:t>33 232 879</w:t>
            </w:r>
          </w:p>
        </w:tc>
      </w:tr>
      <w:tr>
        <w:tblPrEx>
          <w:tblW w:w="9120" w:type="dxa"/>
          <w:tblInd w:w="65" w:type="dxa"/>
          <w:tblLayout w:type="fixed"/>
          <w:tblCellMar>
            <w:left w:w="70" w:type="dxa"/>
            <w:right w:w="70" w:type="dxa"/>
          </w:tblCellMar>
          <w:tblLook w:val="04A0"/>
        </w:tblPrEx>
        <w:trPr>
          <w:trHeight w:val="305"/>
        </w:trPr>
        <w:tc>
          <w:tcPr>
            <w:tcW w:w="1990"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 xml:space="preserve">   630 tovary a</w:t>
            </w:r>
            <w:r>
              <w:rPr>
                <w:rFonts w:ascii="Times New Roman" w:hAnsi="Times New Roman" w:cs="Times New Roman"/>
                <w:color w:val="000000"/>
                <w:sz w:val="14"/>
                <w:szCs w:val="14"/>
                <w:lang w:eastAsia="sk-SK"/>
              </w:rPr>
              <w:t> </w:t>
            </w:r>
            <w:r w:rsidRPr="009E58F9">
              <w:rPr>
                <w:rFonts w:ascii="Times New Roman" w:hAnsi="Times New Roman" w:cs="Times New Roman"/>
                <w:color w:val="000000"/>
                <w:sz w:val="14"/>
                <w:szCs w:val="14"/>
                <w:lang w:eastAsia="sk-SK"/>
              </w:rPr>
              <w:t>služby</w:t>
            </w:r>
          </w:p>
        </w:tc>
        <w:tc>
          <w:tcPr>
            <w:tcW w:w="1018"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32 618 053</w:t>
            </w:r>
          </w:p>
        </w:tc>
        <w:tc>
          <w:tcPr>
            <w:tcW w:w="1019"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32 103 379</w:t>
            </w:r>
          </w:p>
        </w:tc>
        <w:tc>
          <w:tcPr>
            <w:tcW w:w="1018"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33 116 457</w:t>
            </w:r>
          </w:p>
        </w:tc>
        <w:tc>
          <w:tcPr>
            <w:tcW w:w="1019"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34 953 578</w:t>
            </w:r>
          </w:p>
        </w:tc>
        <w:tc>
          <w:tcPr>
            <w:tcW w:w="1018"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33 742 476</w:t>
            </w:r>
          </w:p>
        </w:tc>
        <w:tc>
          <w:tcPr>
            <w:tcW w:w="1019"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34 714 209</w:t>
            </w:r>
          </w:p>
        </w:tc>
        <w:tc>
          <w:tcPr>
            <w:tcW w:w="1019"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35 998 946</w:t>
            </w:r>
          </w:p>
        </w:tc>
      </w:tr>
      <w:tr>
        <w:tblPrEx>
          <w:tblW w:w="9120" w:type="dxa"/>
          <w:tblInd w:w="65" w:type="dxa"/>
          <w:tblLayout w:type="fixed"/>
          <w:tblCellMar>
            <w:left w:w="70" w:type="dxa"/>
            <w:right w:w="70" w:type="dxa"/>
          </w:tblCellMar>
          <w:tblLook w:val="04A0"/>
        </w:tblPrEx>
        <w:trPr>
          <w:trHeight w:val="305"/>
        </w:trPr>
        <w:tc>
          <w:tcPr>
            <w:tcW w:w="1990"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 xml:space="preserve">   640 bežné transfery</w:t>
            </w:r>
          </w:p>
        </w:tc>
        <w:tc>
          <w:tcPr>
            <w:tcW w:w="1018"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2 267 582</w:t>
            </w:r>
          </w:p>
        </w:tc>
        <w:tc>
          <w:tcPr>
            <w:tcW w:w="1019"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8 587 160</w:t>
            </w:r>
          </w:p>
        </w:tc>
        <w:tc>
          <w:tcPr>
            <w:tcW w:w="1018"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11 078 327</w:t>
            </w:r>
          </w:p>
        </w:tc>
        <w:tc>
          <w:tcPr>
            <w:tcW w:w="1019"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9 678 327</w:t>
            </w:r>
          </w:p>
        </w:tc>
        <w:tc>
          <w:tcPr>
            <w:tcW w:w="1018"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12 398 541</w:t>
            </w:r>
          </w:p>
        </w:tc>
        <w:tc>
          <w:tcPr>
            <w:tcW w:w="1019"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12 061 103</w:t>
            </w:r>
          </w:p>
        </w:tc>
        <w:tc>
          <w:tcPr>
            <w:tcW w:w="1019"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10 834 962</w:t>
            </w:r>
          </w:p>
        </w:tc>
      </w:tr>
      <w:tr>
        <w:tblPrEx>
          <w:tblW w:w="9120" w:type="dxa"/>
          <w:tblInd w:w="65" w:type="dxa"/>
          <w:tblLayout w:type="fixed"/>
          <w:tblCellMar>
            <w:left w:w="70" w:type="dxa"/>
            <w:right w:w="70" w:type="dxa"/>
          </w:tblCellMar>
          <w:tblLook w:val="04A0"/>
        </w:tblPrEx>
        <w:trPr>
          <w:trHeight w:val="305"/>
        </w:trPr>
        <w:tc>
          <w:tcPr>
            <w:tcW w:w="1990"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 xml:space="preserve">   700 kapitálové výdavky</w:t>
            </w:r>
          </w:p>
        </w:tc>
        <w:tc>
          <w:tcPr>
            <w:tcW w:w="1018" w:type="dxa"/>
            <w:tcBorders>
              <w:top w:val="nil"/>
              <w:left w:val="nil"/>
              <w:bottom w:val="single" w:sz="4" w:space="0" w:color="auto"/>
              <w:right w:val="single" w:sz="4" w:space="0" w:color="auto"/>
            </w:tcBorders>
            <w:noWrap/>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3 140 087</w:t>
            </w:r>
          </w:p>
        </w:tc>
        <w:tc>
          <w:tcPr>
            <w:tcW w:w="1019" w:type="dxa"/>
            <w:tcBorders>
              <w:top w:val="nil"/>
              <w:left w:val="nil"/>
              <w:bottom w:val="single" w:sz="4" w:space="0" w:color="auto"/>
              <w:right w:val="single" w:sz="4" w:space="0" w:color="auto"/>
            </w:tcBorders>
            <w:noWrap/>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424 737</w:t>
            </w:r>
          </w:p>
        </w:tc>
        <w:tc>
          <w:tcPr>
            <w:tcW w:w="1018"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274 615</w:t>
            </w:r>
          </w:p>
        </w:tc>
        <w:tc>
          <w:tcPr>
            <w:tcW w:w="1019"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749 260</w:t>
            </w:r>
          </w:p>
        </w:tc>
        <w:tc>
          <w:tcPr>
            <w:tcW w:w="1018" w:type="dxa"/>
            <w:tcBorders>
              <w:top w:val="nil"/>
              <w:left w:val="nil"/>
              <w:bottom w:val="single" w:sz="4" w:space="0" w:color="auto"/>
              <w:right w:val="single" w:sz="4" w:space="0" w:color="auto"/>
            </w:tcBorders>
            <w:noWrap/>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6 850 000</w:t>
            </w:r>
          </w:p>
        </w:tc>
        <w:tc>
          <w:tcPr>
            <w:tcW w:w="1019" w:type="dxa"/>
            <w:tcBorders>
              <w:top w:val="nil"/>
              <w:left w:val="nil"/>
              <w:bottom w:val="single" w:sz="4" w:space="0" w:color="auto"/>
              <w:right w:val="single" w:sz="4" w:space="0" w:color="auto"/>
            </w:tcBorders>
            <w:noWrap/>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10 900 000</w:t>
            </w:r>
          </w:p>
        </w:tc>
        <w:tc>
          <w:tcPr>
            <w:tcW w:w="1019" w:type="dxa"/>
            <w:tcBorders>
              <w:top w:val="nil"/>
              <w:left w:val="nil"/>
              <w:bottom w:val="single" w:sz="4" w:space="0" w:color="auto"/>
              <w:right w:val="single" w:sz="4" w:space="0" w:color="auto"/>
            </w:tcBorders>
            <w:noWrap/>
            <w:textDirection w:val="lrTb"/>
            <w:vAlign w:val="bottom"/>
            <w:hideMark/>
          </w:tcPr>
          <w:p w:rsidR="00CB350B" w:rsidRPr="007A3E71" w:rsidP="00257E12">
            <w:pPr>
              <w:bidi w:val="0"/>
              <w:jc w:val="right"/>
              <w:rPr>
                <w:rFonts w:ascii="Times New Roman" w:hAnsi="Times New Roman" w:cs="Times New Roman"/>
                <w:sz w:val="14"/>
                <w:szCs w:val="14"/>
              </w:rPr>
            </w:pPr>
            <w:r w:rsidRPr="007A3E71">
              <w:rPr>
                <w:rFonts w:ascii="Times New Roman" w:hAnsi="Times New Roman" w:cs="Times New Roman"/>
                <w:sz w:val="14"/>
                <w:szCs w:val="14"/>
              </w:rPr>
              <w:t>13 800 000</w:t>
            </w:r>
          </w:p>
        </w:tc>
      </w:tr>
    </w:tbl>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 xml:space="preserve">Osobné výdavky sú </w:t>
      </w:r>
      <w:r>
        <w:rPr>
          <w:rFonts w:ascii="Times New Roman" w:hAnsi="Times New Roman" w:cs="Times New Roman"/>
        </w:rPr>
        <w:t>oproti</w:t>
      </w:r>
      <w:r w:rsidRPr="0004638E">
        <w:rPr>
          <w:rFonts w:ascii="Times New Roman" w:hAnsi="Times New Roman" w:cs="Times New Roman"/>
        </w:rPr>
        <w:t xml:space="preserve"> schválené</w:t>
      </w:r>
      <w:r>
        <w:rPr>
          <w:rFonts w:ascii="Times New Roman" w:hAnsi="Times New Roman" w:cs="Times New Roman"/>
        </w:rPr>
        <w:t>mu</w:t>
      </w:r>
      <w:r w:rsidRPr="0004638E">
        <w:rPr>
          <w:rFonts w:ascii="Times New Roman" w:hAnsi="Times New Roman" w:cs="Times New Roman"/>
        </w:rPr>
        <w:t xml:space="preserve"> rozpočtu roku 2011</w:t>
      </w:r>
      <w:r>
        <w:rPr>
          <w:rFonts w:ascii="Times New Roman" w:hAnsi="Times New Roman" w:cs="Times New Roman"/>
        </w:rPr>
        <w:t xml:space="preserve"> vyššie o 6,99 %</w:t>
      </w:r>
      <w:r w:rsidRPr="0004638E">
        <w:rPr>
          <w:rFonts w:ascii="Times New Roman" w:hAnsi="Times New Roman" w:cs="Times New Roman"/>
        </w:rPr>
        <w:t>. Tovary a služby sú oproti schválenému rozpočtu roku 2011 vyššie o 1,89 %. Bežné transfery sú oproti úrovni schváleného rozpočtu roku 2011 vyššie o 1</w:t>
      </w:r>
      <w:r>
        <w:rPr>
          <w:rFonts w:ascii="Times New Roman" w:hAnsi="Times New Roman" w:cs="Times New Roman"/>
        </w:rPr>
        <w:t>1</w:t>
      </w:r>
      <w:r w:rsidRPr="0004638E">
        <w:rPr>
          <w:rFonts w:ascii="Times New Roman" w:hAnsi="Times New Roman" w:cs="Times New Roman"/>
        </w:rPr>
        <w:t>,</w:t>
      </w:r>
      <w:r>
        <w:rPr>
          <w:rFonts w:ascii="Times New Roman" w:hAnsi="Times New Roman" w:cs="Times New Roman"/>
        </w:rPr>
        <w:t>9</w:t>
      </w:r>
      <w:r w:rsidRPr="0004638E">
        <w:rPr>
          <w:rFonts w:ascii="Times New Roman" w:hAnsi="Times New Roman" w:cs="Times New Roman"/>
        </w:rPr>
        <w:t xml:space="preserve"> %, nakoľko dochádza k zvýšeniu potrieb väzenstva, najmä z dôvodu rastu deficitu osobitného účtu.</w:t>
      </w:r>
    </w:p>
    <w:p w:rsidR="00CB350B" w:rsidRPr="0004638E" w:rsidP="00CB350B">
      <w:pPr>
        <w:bidi w:val="0"/>
        <w:jc w:val="both"/>
        <w:rPr>
          <w:rFonts w:ascii="Times New Roman" w:hAnsi="Times New Roman" w:cs="Times New Roman"/>
        </w:rPr>
      </w:pPr>
    </w:p>
    <w:p w:rsidR="00CB350B" w:rsidRPr="0004638E" w:rsidP="00CB350B">
      <w:pPr>
        <w:tabs>
          <w:tab w:val="left" w:pos="360"/>
        </w:tabs>
        <w:bidi w:val="0"/>
        <w:jc w:val="both"/>
        <w:rPr>
          <w:rFonts w:ascii="Times New Roman" w:hAnsi="Times New Roman" w:cs="Times New Roman"/>
        </w:rPr>
      </w:pPr>
      <w:r>
        <w:rPr>
          <w:rFonts w:ascii="Times New Roman" w:hAnsi="Times New Roman" w:cs="Times New Roman"/>
        </w:rPr>
        <w:tab/>
        <w:tab/>
      </w:r>
      <w:r w:rsidRPr="0004638E">
        <w:rPr>
          <w:rFonts w:ascii="Times New Roman" w:hAnsi="Times New Roman" w:cs="Times New Roman"/>
        </w:rPr>
        <w:t xml:space="preserve">V oblasti väzenstva treba venovať zvýšenú </w:t>
      </w:r>
      <w:r w:rsidRPr="009705F5">
        <w:rPr>
          <w:rFonts w:ascii="Times New Roman" w:hAnsi="Times New Roman" w:cs="Times New Roman"/>
        </w:rPr>
        <w:t>pozornosť problematike osobitného účtu v zmysle zákona č. 328/2002 Z. z. o sociálnom zabezpečení policajtov</w:t>
      </w:r>
      <w:r w:rsidRPr="0004638E">
        <w:rPr>
          <w:rFonts w:ascii="Times New Roman" w:hAnsi="Times New Roman" w:cs="Times New Roman"/>
        </w:rPr>
        <w:t xml:space="preserve"> a vojakov, ktorý slúži na zabezpečenie sociálnych nárokov príslušníkov väzenstva a justičnej stráže. </w:t>
      </w:r>
    </w:p>
    <w:p w:rsidR="00CB350B" w:rsidRPr="0004638E" w:rsidP="00CB350B">
      <w:pPr>
        <w:tabs>
          <w:tab w:val="left" w:pos="360"/>
        </w:tabs>
        <w:bidi w:val="0"/>
        <w:jc w:val="both"/>
        <w:rPr>
          <w:rFonts w:ascii="Times New Roman" w:hAnsi="Times New Roman" w:cs="Times New Roman"/>
        </w:rPr>
      </w:pPr>
    </w:p>
    <w:tbl>
      <w:tblPr>
        <w:tblStyle w:val="TableNormal"/>
        <w:tblW w:w="9100" w:type="dxa"/>
        <w:tblInd w:w="55" w:type="dxa"/>
        <w:tblCellMar>
          <w:left w:w="70" w:type="dxa"/>
          <w:right w:w="70" w:type="dxa"/>
        </w:tblCellMar>
        <w:tblLook w:val="04A0"/>
      </w:tblPr>
      <w:tblGrid>
        <w:gridCol w:w="2380"/>
        <w:gridCol w:w="960"/>
        <w:gridCol w:w="960"/>
        <w:gridCol w:w="960"/>
        <w:gridCol w:w="960"/>
        <w:gridCol w:w="960"/>
        <w:gridCol w:w="960"/>
        <w:gridCol w:w="960"/>
      </w:tblGrid>
      <w:tr>
        <w:tblPrEx>
          <w:tblW w:w="9100" w:type="dxa"/>
          <w:tblInd w:w="55" w:type="dxa"/>
          <w:tblCellMar>
            <w:left w:w="70" w:type="dxa"/>
            <w:right w:w="70" w:type="dxa"/>
          </w:tblCellMar>
          <w:tblLook w:val="04A0"/>
        </w:tblPrEx>
        <w:trPr>
          <w:trHeight w:val="296"/>
        </w:trPr>
        <w:tc>
          <w:tcPr>
            <w:tcW w:w="2380"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7A3E71" w:rsidP="00257E12">
            <w:pPr>
              <w:bidi w:val="0"/>
              <w:rPr>
                <w:rFonts w:ascii="Times New Roman" w:hAnsi="Times New Roman" w:cs="Times New Roman"/>
                <w:b/>
                <w:bCs/>
                <w:color w:val="000000"/>
                <w:sz w:val="14"/>
                <w:szCs w:val="14"/>
              </w:rPr>
            </w:pPr>
            <w:r w:rsidRPr="007A3E71">
              <w:rPr>
                <w:rFonts w:ascii="Times New Roman" w:hAnsi="Times New Roman" w:cs="Times New Roman"/>
                <w:b/>
                <w:bCs/>
                <w:color w:val="000000"/>
                <w:sz w:val="14"/>
                <w:szCs w:val="14"/>
              </w:rPr>
              <w:t>Osobitný účet ZVJS (v eurách)</w:t>
            </w:r>
          </w:p>
        </w:tc>
        <w:tc>
          <w:tcPr>
            <w:tcW w:w="960" w:type="dxa"/>
            <w:tcBorders>
              <w:top w:val="single" w:sz="4" w:space="0" w:color="auto"/>
              <w:left w:val="nil"/>
              <w:bottom w:val="single" w:sz="4" w:space="0" w:color="auto"/>
              <w:right w:val="single" w:sz="4" w:space="0" w:color="auto"/>
            </w:tcBorders>
            <w:textDirection w:val="lrTb"/>
            <w:vAlign w:val="bottom"/>
            <w:hideMark/>
          </w:tcPr>
          <w:p w:rsidR="00CB350B" w:rsidRPr="007A3E71" w:rsidP="00257E12">
            <w:pPr>
              <w:bidi w:val="0"/>
              <w:jc w:val="center"/>
              <w:rPr>
                <w:rFonts w:ascii="Times New Roman" w:hAnsi="Times New Roman" w:cs="Times New Roman"/>
                <w:b/>
                <w:bCs/>
                <w:color w:val="000000"/>
                <w:sz w:val="14"/>
                <w:szCs w:val="14"/>
              </w:rPr>
            </w:pPr>
            <w:r w:rsidRPr="007A3E71">
              <w:rPr>
                <w:rFonts w:ascii="Times New Roman" w:hAnsi="Times New Roman" w:cs="Times New Roman"/>
                <w:b/>
                <w:bCs/>
                <w:color w:val="000000"/>
                <w:sz w:val="14"/>
                <w:szCs w:val="14"/>
              </w:rPr>
              <w:t>2009 S</w:t>
            </w:r>
          </w:p>
        </w:tc>
        <w:tc>
          <w:tcPr>
            <w:tcW w:w="960" w:type="dxa"/>
            <w:tcBorders>
              <w:top w:val="single" w:sz="4" w:space="0" w:color="auto"/>
              <w:left w:val="nil"/>
              <w:bottom w:val="single" w:sz="4" w:space="0" w:color="auto"/>
              <w:right w:val="single" w:sz="4" w:space="0" w:color="auto"/>
            </w:tcBorders>
            <w:noWrap/>
            <w:textDirection w:val="lrTb"/>
            <w:vAlign w:val="bottom"/>
            <w:hideMark/>
          </w:tcPr>
          <w:p w:rsidR="00CB350B" w:rsidRPr="007A3E71" w:rsidP="00257E12">
            <w:pPr>
              <w:bidi w:val="0"/>
              <w:jc w:val="center"/>
              <w:rPr>
                <w:rFonts w:ascii="Times New Roman" w:hAnsi="Times New Roman" w:cs="Times New Roman"/>
                <w:b/>
                <w:bCs/>
                <w:color w:val="000000"/>
                <w:sz w:val="14"/>
                <w:szCs w:val="14"/>
              </w:rPr>
            </w:pPr>
            <w:r w:rsidRPr="007A3E71">
              <w:rPr>
                <w:rFonts w:ascii="Times New Roman" w:hAnsi="Times New Roman" w:cs="Times New Roman"/>
                <w:b/>
                <w:bCs/>
                <w:color w:val="000000"/>
                <w:sz w:val="14"/>
                <w:szCs w:val="14"/>
              </w:rPr>
              <w:t>2010 S</w:t>
            </w:r>
          </w:p>
        </w:tc>
        <w:tc>
          <w:tcPr>
            <w:tcW w:w="960" w:type="dxa"/>
            <w:tcBorders>
              <w:top w:val="single" w:sz="4" w:space="0" w:color="auto"/>
              <w:left w:val="nil"/>
              <w:bottom w:val="single" w:sz="4" w:space="0" w:color="auto"/>
              <w:right w:val="single" w:sz="4" w:space="0" w:color="auto"/>
            </w:tcBorders>
            <w:noWrap/>
            <w:textDirection w:val="lrTb"/>
            <w:vAlign w:val="bottom"/>
            <w:hideMark/>
          </w:tcPr>
          <w:p w:rsidR="00CB350B" w:rsidRPr="007A3E71" w:rsidP="00257E12">
            <w:pPr>
              <w:bidi w:val="0"/>
              <w:jc w:val="center"/>
              <w:rPr>
                <w:rFonts w:ascii="Times New Roman" w:hAnsi="Times New Roman" w:cs="Times New Roman"/>
                <w:b/>
                <w:bCs/>
                <w:color w:val="000000"/>
                <w:sz w:val="14"/>
                <w:szCs w:val="14"/>
              </w:rPr>
            </w:pPr>
            <w:r w:rsidRPr="007A3E71">
              <w:rPr>
                <w:rFonts w:ascii="Times New Roman" w:hAnsi="Times New Roman" w:cs="Times New Roman"/>
                <w:b/>
                <w:bCs/>
                <w:color w:val="000000"/>
                <w:sz w:val="14"/>
                <w:szCs w:val="14"/>
              </w:rPr>
              <w:t>2011 R</w:t>
            </w:r>
          </w:p>
        </w:tc>
        <w:tc>
          <w:tcPr>
            <w:tcW w:w="960" w:type="dxa"/>
            <w:tcBorders>
              <w:top w:val="single" w:sz="4" w:space="0" w:color="auto"/>
              <w:left w:val="nil"/>
              <w:bottom w:val="single" w:sz="4" w:space="0" w:color="auto"/>
              <w:right w:val="single" w:sz="4" w:space="0" w:color="auto"/>
            </w:tcBorders>
            <w:noWrap/>
            <w:textDirection w:val="lrTb"/>
            <w:vAlign w:val="bottom"/>
            <w:hideMark/>
          </w:tcPr>
          <w:p w:rsidR="00CB350B" w:rsidRPr="007A3E71" w:rsidP="00257E12">
            <w:pPr>
              <w:bidi w:val="0"/>
              <w:jc w:val="center"/>
              <w:rPr>
                <w:rFonts w:ascii="Times New Roman" w:hAnsi="Times New Roman" w:cs="Times New Roman"/>
                <w:b/>
                <w:bCs/>
                <w:color w:val="000000"/>
                <w:sz w:val="14"/>
                <w:szCs w:val="14"/>
              </w:rPr>
            </w:pPr>
            <w:r w:rsidRPr="007A3E71">
              <w:rPr>
                <w:rFonts w:ascii="Times New Roman" w:hAnsi="Times New Roman" w:cs="Times New Roman"/>
                <w:b/>
                <w:bCs/>
                <w:color w:val="000000"/>
                <w:sz w:val="14"/>
                <w:szCs w:val="14"/>
              </w:rPr>
              <w:t>2011 OS</w:t>
            </w:r>
          </w:p>
        </w:tc>
        <w:tc>
          <w:tcPr>
            <w:tcW w:w="960" w:type="dxa"/>
            <w:tcBorders>
              <w:top w:val="single" w:sz="4" w:space="0" w:color="auto"/>
              <w:left w:val="nil"/>
              <w:bottom w:val="single" w:sz="4" w:space="0" w:color="auto"/>
              <w:right w:val="single" w:sz="4" w:space="0" w:color="auto"/>
            </w:tcBorders>
            <w:noWrap/>
            <w:textDirection w:val="lrTb"/>
            <w:vAlign w:val="bottom"/>
            <w:hideMark/>
          </w:tcPr>
          <w:p w:rsidR="00CB350B" w:rsidRPr="007A3E71" w:rsidP="00257E12">
            <w:pPr>
              <w:bidi w:val="0"/>
              <w:jc w:val="center"/>
              <w:rPr>
                <w:rFonts w:ascii="Times New Roman" w:hAnsi="Times New Roman" w:cs="Times New Roman"/>
                <w:b/>
                <w:bCs/>
                <w:color w:val="000000"/>
                <w:sz w:val="14"/>
                <w:szCs w:val="14"/>
              </w:rPr>
            </w:pPr>
            <w:r w:rsidRPr="007A3E71">
              <w:rPr>
                <w:rFonts w:ascii="Times New Roman" w:hAnsi="Times New Roman" w:cs="Times New Roman"/>
                <w:b/>
                <w:bCs/>
                <w:color w:val="000000"/>
                <w:sz w:val="14"/>
                <w:szCs w:val="14"/>
              </w:rPr>
              <w:t>2012 N</w:t>
            </w:r>
          </w:p>
        </w:tc>
        <w:tc>
          <w:tcPr>
            <w:tcW w:w="960" w:type="dxa"/>
            <w:tcBorders>
              <w:top w:val="single" w:sz="4" w:space="0" w:color="auto"/>
              <w:left w:val="nil"/>
              <w:bottom w:val="single" w:sz="4" w:space="0" w:color="auto"/>
              <w:right w:val="single" w:sz="4" w:space="0" w:color="auto"/>
            </w:tcBorders>
            <w:noWrap/>
            <w:textDirection w:val="lrTb"/>
            <w:vAlign w:val="bottom"/>
            <w:hideMark/>
          </w:tcPr>
          <w:p w:rsidR="00CB350B" w:rsidRPr="007A3E71" w:rsidP="00257E12">
            <w:pPr>
              <w:bidi w:val="0"/>
              <w:jc w:val="center"/>
              <w:rPr>
                <w:rFonts w:ascii="Times New Roman" w:hAnsi="Times New Roman" w:cs="Times New Roman"/>
                <w:b/>
                <w:bCs/>
                <w:color w:val="000000"/>
                <w:sz w:val="14"/>
                <w:szCs w:val="14"/>
              </w:rPr>
            </w:pPr>
            <w:r w:rsidRPr="007A3E71">
              <w:rPr>
                <w:rFonts w:ascii="Times New Roman" w:hAnsi="Times New Roman" w:cs="Times New Roman"/>
                <w:b/>
                <w:bCs/>
                <w:color w:val="000000"/>
                <w:sz w:val="14"/>
                <w:szCs w:val="14"/>
              </w:rPr>
              <w:t>2013 N</w:t>
            </w:r>
          </w:p>
        </w:tc>
        <w:tc>
          <w:tcPr>
            <w:tcW w:w="960" w:type="dxa"/>
            <w:tcBorders>
              <w:top w:val="single" w:sz="4" w:space="0" w:color="auto"/>
              <w:left w:val="nil"/>
              <w:bottom w:val="single" w:sz="4" w:space="0" w:color="auto"/>
              <w:right w:val="single" w:sz="4" w:space="0" w:color="auto"/>
            </w:tcBorders>
            <w:noWrap/>
            <w:textDirection w:val="lrTb"/>
            <w:vAlign w:val="bottom"/>
            <w:hideMark/>
          </w:tcPr>
          <w:p w:rsidR="00CB350B" w:rsidRPr="007A3E71" w:rsidP="00257E12">
            <w:pPr>
              <w:bidi w:val="0"/>
              <w:jc w:val="center"/>
              <w:rPr>
                <w:rFonts w:ascii="Times New Roman" w:hAnsi="Times New Roman" w:cs="Times New Roman"/>
                <w:b/>
                <w:bCs/>
                <w:color w:val="000000"/>
                <w:sz w:val="14"/>
                <w:szCs w:val="14"/>
              </w:rPr>
            </w:pPr>
            <w:r w:rsidRPr="007A3E71">
              <w:rPr>
                <w:rFonts w:ascii="Times New Roman" w:hAnsi="Times New Roman" w:cs="Times New Roman"/>
                <w:b/>
                <w:bCs/>
                <w:color w:val="000000"/>
                <w:sz w:val="14"/>
                <w:szCs w:val="14"/>
              </w:rPr>
              <w:t>2014 N</w:t>
            </w:r>
          </w:p>
        </w:tc>
      </w:tr>
      <w:tr>
        <w:tblPrEx>
          <w:tblW w:w="9100" w:type="dxa"/>
          <w:tblInd w:w="55" w:type="dxa"/>
          <w:tblCellMar>
            <w:left w:w="70" w:type="dxa"/>
            <w:right w:w="70" w:type="dxa"/>
          </w:tblCellMar>
          <w:tblLook w:val="04A0"/>
        </w:tblPrEx>
        <w:trPr>
          <w:trHeight w:val="296"/>
        </w:trPr>
        <w:tc>
          <w:tcPr>
            <w:tcW w:w="2380" w:type="dxa"/>
            <w:tcBorders>
              <w:top w:val="nil"/>
              <w:left w:val="single" w:sz="4" w:space="0" w:color="auto"/>
              <w:bottom w:val="single" w:sz="4" w:space="0" w:color="auto"/>
              <w:right w:val="single" w:sz="4" w:space="0" w:color="auto"/>
            </w:tcBorders>
            <w:noWrap/>
            <w:textDirection w:val="lrTb"/>
            <w:vAlign w:val="bottom"/>
            <w:hideMark/>
          </w:tcPr>
          <w:p w:rsidR="00CB350B" w:rsidRPr="007A3E71" w:rsidP="00257E12">
            <w:pPr>
              <w:bidi w:val="0"/>
              <w:rPr>
                <w:rFonts w:ascii="Times New Roman" w:hAnsi="Times New Roman" w:cs="Times New Roman"/>
                <w:color w:val="000000"/>
                <w:sz w:val="14"/>
                <w:szCs w:val="14"/>
              </w:rPr>
            </w:pPr>
            <w:r w:rsidRPr="007A3E71">
              <w:rPr>
                <w:rFonts w:ascii="Times New Roman" w:hAnsi="Times New Roman" w:cs="Times New Roman"/>
                <w:color w:val="000000"/>
                <w:sz w:val="14"/>
                <w:szCs w:val="14"/>
              </w:rPr>
              <w:t>príjmy osobitného účtu</w:t>
            </w:r>
          </w:p>
        </w:tc>
        <w:tc>
          <w:tcPr>
            <w:tcW w:w="960"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color w:val="000000"/>
                <w:sz w:val="14"/>
                <w:szCs w:val="14"/>
              </w:rPr>
            </w:pPr>
            <w:r w:rsidRPr="007A3E71">
              <w:rPr>
                <w:rFonts w:ascii="Times New Roman" w:hAnsi="Times New Roman" w:cs="Times New Roman"/>
                <w:color w:val="000000"/>
                <w:sz w:val="14"/>
                <w:szCs w:val="14"/>
              </w:rPr>
              <w:t>22 703 225</w:t>
            </w:r>
          </w:p>
        </w:tc>
        <w:tc>
          <w:tcPr>
            <w:tcW w:w="960" w:type="dxa"/>
            <w:tcBorders>
              <w:top w:val="nil"/>
              <w:left w:val="nil"/>
              <w:bottom w:val="single" w:sz="4" w:space="0" w:color="auto"/>
              <w:right w:val="single" w:sz="4" w:space="0" w:color="auto"/>
            </w:tcBorders>
            <w:noWrap/>
            <w:textDirection w:val="lrTb"/>
            <w:vAlign w:val="bottom"/>
            <w:hideMark/>
          </w:tcPr>
          <w:p w:rsidR="00CB350B" w:rsidRPr="007A3E71" w:rsidP="00257E12">
            <w:pPr>
              <w:bidi w:val="0"/>
              <w:jc w:val="right"/>
              <w:rPr>
                <w:rFonts w:ascii="Times New Roman" w:hAnsi="Times New Roman" w:cs="Times New Roman"/>
                <w:color w:val="000000"/>
                <w:sz w:val="14"/>
                <w:szCs w:val="14"/>
              </w:rPr>
            </w:pPr>
            <w:r w:rsidRPr="007A3E71">
              <w:rPr>
                <w:rFonts w:ascii="Times New Roman" w:hAnsi="Times New Roman" w:cs="Times New Roman"/>
                <w:color w:val="000000"/>
                <w:sz w:val="14"/>
                <w:szCs w:val="14"/>
              </w:rPr>
              <w:t>22 795 173</w:t>
            </w:r>
          </w:p>
        </w:tc>
        <w:tc>
          <w:tcPr>
            <w:tcW w:w="960" w:type="dxa"/>
            <w:tcBorders>
              <w:top w:val="nil"/>
              <w:left w:val="nil"/>
              <w:bottom w:val="single" w:sz="4" w:space="0" w:color="auto"/>
              <w:right w:val="single" w:sz="4" w:space="0" w:color="auto"/>
            </w:tcBorders>
            <w:noWrap/>
            <w:textDirection w:val="lrTb"/>
            <w:vAlign w:val="bottom"/>
            <w:hideMark/>
          </w:tcPr>
          <w:p w:rsidR="00CB350B" w:rsidRPr="007A3E71" w:rsidP="00257E12">
            <w:pPr>
              <w:bidi w:val="0"/>
              <w:jc w:val="right"/>
              <w:rPr>
                <w:rFonts w:ascii="Times New Roman" w:hAnsi="Times New Roman" w:cs="Times New Roman"/>
                <w:color w:val="000000"/>
                <w:sz w:val="14"/>
                <w:szCs w:val="14"/>
              </w:rPr>
            </w:pPr>
            <w:r w:rsidRPr="007A3E71">
              <w:rPr>
                <w:rFonts w:ascii="Times New Roman" w:hAnsi="Times New Roman" w:cs="Times New Roman"/>
                <w:color w:val="000000"/>
                <w:sz w:val="14"/>
                <w:szCs w:val="14"/>
              </w:rPr>
              <w:t>21 915 320</w:t>
            </w:r>
          </w:p>
        </w:tc>
        <w:tc>
          <w:tcPr>
            <w:tcW w:w="960" w:type="dxa"/>
            <w:tcBorders>
              <w:top w:val="nil"/>
              <w:left w:val="nil"/>
              <w:bottom w:val="single" w:sz="4" w:space="0" w:color="auto"/>
              <w:right w:val="single" w:sz="4" w:space="0" w:color="auto"/>
            </w:tcBorders>
            <w:noWrap/>
            <w:textDirection w:val="lrTb"/>
            <w:vAlign w:val="bottom"/>
            <w:hideMark/>
          </w:tcPr>
          <w:p w:rsidR="00CB350B" w:rsidRPr="007A3E71" w:rsidP="00257E12">
            <w:pPr>
              <w:bidi w:val="0"/>
              <w:jc w:val="right"/>
              <w:rPr>
                <w:rFonts w:ascii="Times New Roman" w:hAnsi="Times New Roman" w:cs="Times New Roman"/>
                <w:color w:val="000000"/>
                <w:sz w:val="14"/>
                <w:szCs w:val="14"/>
              </w:rPr>
            </w:pPr>
            <w:r w:rsidRPr="007A3E71">
              <w:rPr>
                <w:rFonts w:ascii="Times New Roman" w:hAnsi="Times New Roman" w:cs="Times New Roman"/>
                <w:color w:val="000000"/>
                <w:sz w:val="14"/>
                <w:szCs w:val="14"/>
              </w:rPr>
              <w:t>20 936 720</w:t>
            </w:r>
          </w:p>
        </w:tc>
        <w:tc>
          <w:tcPr>
            <w:tcW w:w="960" w:type="dxa"/>
            <w:tcBorders>
              <w:top w:val="nil"/>
              <w:left w:val="nil"/>
              <w:bottom w:val="single" w:sz="4" w:space="0" w:color="auto"/>
              <w:right w:val="single" w:sz="4" w:space="0" w:color="auto"/>
            </w:tcBorders>
            <w:noWrap/>
            <w:textDirection w:val="lrTb"/>
            <w:vAlign w:val="bottom"/>
            <w:hideMark/>
          </w:tcPr>
          <w:p w:rsidR="00CB350B" w:rsidRPr="007A3E71" w:rsidP="00257E12">
            <w:pPr>
              <w:bidi w:val="0"/>
              <w:jc w:val="right"/>
              <w:rPr>
                <w:rFonts w:ascii="Times New Roman" w:hAnsi="Times New Roman" w:cs="Times New Roman"/>
                <w:color w:val="000000"/>
                <w:sz w:val="14"/>
                <w:szCs w:val="14"/>
              </w:rPr>
            </w:pPr>
            <w:r w:rsidRPr="007A3E71">
              <w:rPr>
                <w:rFonts w:ascii="Times New Roman" w:hAnsi="Times New Roman" w:cs="Times New Roman"/>
                <w:color w:val="000000"/>
                <w:sz w:val="14"/>
                <w:szCs w:val="14"/>
              </w:rPr>
              <w:t>21 169 746</w:t>
            </w:r>
          </w:p>
        </w:tc>
        <w:tc>
          <w:tcPr>
            <w:tcW w:w="960" w:type="dxa"/>
            <w:tcBorders>
              <w:top w:val="nil"/>
              <w:left w:val="nil"/>
              <w:bottom w:val="single" w:sz="4" w:space="0" w:color="auto"/>
              <w:right w:val="single" w:sz="4" w:space="0" w:color="auto"/>
            </w:tcBorders>
            <w:noWrap/>
            <w:textDirection w:val="lrTb"/>
            <w:vAlign w:val="bottom"/>
            <w:hideMark/>
          </w:tcPr>
          <w:p w:rsidR="00CB350B" w:rsidRPr="007A3E71" w:rsidP="00257E12">
            <w:pPr>
              <w:bidi w:val="0"/>
              <w:jc w:val="right"/>
              <w:rPr>
                <w:rFonts w:ascii="Times New Roman" w:hAnsi="Times New Roman" w:cs="Times New Roman"/>
                <w:color w:val="000000"/>
                <w:sz w:val="14"/>
                <w:szCs w:val="14"/>
              </w:rPr>
            </w:pPr>
            <w:r w:rsidRPr="007A3E71">
              <w:rPr>
                <w:rFonts w:ascii="Times New Roman" w:hAnsi="Times New Roman" w:cs="Times New Roman"/>
                <w:color w:val="000000"/>
                <w:sz w:val="14"/>
                <w:szCs w:val="14"/>
              </w:rPr>
              <w:t>21 878 781</w:t>
            </w:r>
          </w:p>
        </w:tc>
        <w:tc>
          <w:tcPr>
            <w:tcW w:w="960" w:type="dxa"/>
            <w:tcBorders>
              <w:top w:val="nil"/>
              <w:left w:val="nil"/>
              <w:bottom w:val="single" w:sz="4" w:space="0" w:color="auto"/>
              <w:right w:val="single" w:sz="4" w:space="0" w:color="auto"/>
            </w:tcBorders>
            <w:noWrap/>
            <w:textDirection w:val="lrTb"/>
            <w:vAlign w:val="bottom"/>
            <w:hideMark/>
          </w:tcPr>
          <w:p w:rsidR="00CB350B" w:rsidRPr="007A3E71" w:rsidP="00257E12">
            <w:pPr>
              <w:bidi w:val="0"/>
              <w:jc w:val="right"/>
              <w:rPr>
                <w:rFonts w:ascii="Times New Roman" w:hAnsi="Times New Roman" w:cs="Times New Roman"/>
                <w:color w:val="000000"/>
                <w:sz w:val="14"/>
                <w:szCs w:val="14"/>
              </w:rPr>
            </w:pPr>
            <w:r w:rsidRPr="007A3E71">
              <w:rPr>
                <w:rFonts w:ascii="Times New Roman" w:hAnsi="Times New Roman" w:cs="Times New Roman"/>
                <w:color w:val="000000"/>
                <w:sz w:val="14"/>
                <w:szCs w:val="14"/>
              </w:rPr>
              <w:t>22 558 606</w:t>
            </w:r>
          </w:p>
        </w:tc>
      </w:tr>
      <w:tr>
        <w:tblPrEx>
          <w:tblW w:w="9100" w:type="dxa"/>
          <w:tblInd w:w="55" w:type="dxa"/>
          <w:tblCellMar>
            <w:left w:w="70" w:type="dxa"/>
            <w:right w:w="70" w:type="dxa"/>
          </w:tblCellMar>
          <w:tblLook w:val="04A0"/>
        </w:tblPrEx>
        <w:trPr>
          <w:trHeight w:val="296"/>
        </w:trPr>
        <w:tc>
          <w:tcPr>
            <w:tcW w:w="2380" w:type="dxa"/>
            <w:tcBorders>
              <w:top w:val="nil"/>
              <w:left w:val="single" w:sz="4" w:space="0" w:color="auto"/>
              <w:bottom w:val="single" w:sz="4" w:space="0" w:color="auto"/>
              <w:right w:val="single" w:sz="4" w:space="0" w:color="auto"/>
            </w:tcBorders>
            <w:noWrap/>
            <w:textDirection w:val="lrTb"/>
            <w:vAlign w:val="bottom"/>
            <w:hideMark/>
          </w:tcPr>
          <w:p w:rsidR="00CB350B" w:rsidRPr="007A3E71" w:rsidP="00257E12">
            <w:pPr>
              <w:bidi w:val="0"/>
              <w:rPr>
                <w:rFonts w:ascii="Times New Roman" w:hAnsi="Times New Roman" w:cs="Times New Roman"/>
                <w:color w:val="000000"/>
                <w:sz w:val="14"/>
                <w:szCs w:val="14"/>
              </w:rPr>
            </w:pPr>
            <w:r w:rsidRPr="007A3E71">
              <w:rPr>
                <w:rFonts w:ascii="Times New Roman" w:hAnsi="Times New Roman" w:cs="Times New Roman"/>
                <w:color w:val="000000"/>
                <w:sz w:val="14"/>
                <w:szCs w:val="14"/>
              </w:rPr>
              <w:t>výdavky osobitného účtu</w:t>
            </w:r>
          </w:p>
        </w:tc>
        <w:tc>
          <w:tcPr>
            <w:tcW w:w="960"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color w:val="000000"/>
                <w:sz w:val="14"/>
                <w:szCs w:val="14"/>
              </w:rPr>
            </w:pPr>
            <w:r w:rsidRPr="007A3E71">
              <w:rPr>
                <w:rFonts w:ascii="Times New Roman" w:hAnsi="Times New Roman" w:cs="Times New Roman"/>
                <w:color w:val="000000"/>
                <w:sz w:val="14"/>
                <w:szCs w:val="14"/>
              </w:rPr>
              <w:t>21 373 018</w:t>
            </w:r>
          </w:p>
        </w:tc>
        <w:tc>
          <w:tcPr>
            <w:tcW w:w="960"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color w:val="000000"/>
                <w:sz w:val="14"/>
                <w:szCs w:val="14"/>
              </w:rPr>
            </w:pPr>
            <w:r w:rsidRPr="007A3E71">
              <w:rPr>
                <w:rFonts w:ascii="Times New Roman" w:hAnsi="Times New Roman" w:cs="Times New Roman"/>
                <w:color w:val="000000"/>
                <w:sz w:val="14"/>
                <w:szCs w:val="14"/>
              </w:rPr>
              <w:t>30 013 452</w:t>
            </w:r>
          </w:p>
        </w:tc>
        <w:tc>
          <w:tcPr>
            <w:tcW w:w="960"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color w:val="000000"/>
                <w:sz w:val="14"/>
                <w:szCs w:val="14"/>
              </w:rPr>
            </w:pPr>
            <w:r w:rsidRPr="007A3E71">
              <w:rPr>
                <w:rFonts w:ascii="Times New Roman" w:hAnsi="Times New Roman" w:cs="Times New Roman"/>
                <w:color w:val="000000"/>
                <w:sz w:val="14"/>
                <w:szCs w:val="14"/>
              </w:rPr>
              <w:t>30 182 063</w:t>
            </w:r>
          </w:p>
        </w:tc>
        <w:tc>
          <w:tcPr>
            <w:tcW w:w="960"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color w:val="000000"/>
                <w:sz w:val="14"/>
                <w:szCs w:val="14"/>
              </w:rPr>
            </w:pPr>
            <w:r w:rsidRPr="007A3E71">
              <w:rPr>
                <w:rFonts w:ascii="Times New Roman" w:hAnsi="Times New Roman" w:cs="Times New Roman"/>
                <w:color w:val="000000"/>
                <w:sz w:val="14"/>
                <w:szCs w:val="14"/>
              </w:rPr>
              <w:t>29 203 463</w:t>
            </w:r>
          </w:p>
        </w:tc>
        <w:tc>
          <w:tcPr>
            <w:tcW w:w="960"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color w:val="000000"/>
                <w:sz w:val="14"/>
                <w:szCs w:val="14"/>
              </w:rPr>
            </w:pPr>
            <w:r w:rsidRPr="007A3E71">
              <w:rPr>
                <w:rFonts w:ascii="Times New Roman" w:hAnsi="Times New Roman" w:cs="Times New Roman"/>
                <w:color w:val="000000"/>
                <w:sz w:val="14"/>
                <w:szCs w:val="14"/>
              </w:rPr>
              <w:t>30 756 703</w:t>
            </w:r>
          </w:p>
        </w:tc>
        <w:tc>
          <w:tcPr>
            <w:tcW w:w="960"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color w:val="000000"/>
                <w:sz w:val="14"/>
                <w:szCs w:val="14"/>
              </w:rPr>
            </w:pPr>
            <w:r w:rsidRPr="007A3E71">
              <w:rPr>
                <w:rFonts w:ascii="Times New Roman" w:hAnsi="Times New Roman" w:cs="Times New Roman"/>
                <w:color w:val="000000"/>
                <w:sz w:val="14"/>
                <w:szCs w:val="14"/>
              </w:rPr>
              <w:t>31 128 300</w:t>
            </w:r>
          </w:p>
        </w:tc>
        <w:tc>
          <w:tcPr>
            <w:tcW w:w="960"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color w:val="000000"/>
                <w:sz w:val="14"/>
                <w:szCs w:val="14"/>
              </w:rPr>
            </w:pPr>
            <w:r w:rsidRPr="007A3E71">
              <w:rPr>
                <w:rFonts w:ascii="Times New Roman" w:hAnsi="Times New Roman" w:cs="Times New Roman"/>
                <w:color w:val="000000"/>
                <w:sz w:val="14"/>
                <w:szCs w:val="14"/>
              </w:rPr>
              <w:t>30 581 984</w:t>
            </w:r>
          </w:p>
        </w:tc>
      </w:tr>
      <w:tr>
        <w:tblPrEx>
          <w:tblW w:w="9100" w:type="dxa"/>
          <w:tblInd w:w="55" w:type="dxa"/>
          <w:tblCellMar>
            <w:left w:w="70" w:type="dxa"/>
            <w:right w:w="70" w:type="dxa"/>
          </w:tblCellMar>
          <w:tblLook w:val="04A0"/>
        </w:tblPrEx>
        <w:trPr>
          <w:trHeight w:val="296"/>
        </w:trPr>
        <w:tc>
          <w:tcPr>
            <w:tcW w:w="2380" w:type="dxa"/>
            <w:tcBorders>
              <w:top w:val="nil"/>
              <w:left w:val="single" w:sz="4" w:space="0" w:color="auto"/>
              <w:bottom w:val="single" w:sz="4" w:space="0" w:color="auto"/>
              <w:right w:val="single" w:sz="4" w:space="0" w:color="auto"/>
            </w:tcBorders>
            <w:noWrap/>
            <w:textDirection w:val="lrTb"/>
            <w:vAlign w:val="bottom"/>
            <w:hideMark/>
          </w:tcPr>
          <w:p w:rsidR="00CB350B" w:rsidRPr="007A3E71" w:rsidP="00257E12">
            <w:pPr>
              <w:bidi w:val="0"/>
              <w:rPr>
                <w:rFonts w:ascii="Times New Roman" w:hAnsi="Times New Roman" w:cs="Times New Roman"/>
                <w:color w:val="000000"/>
                <w:sz w:val="14"/>
                <w:szCs w:val="14"/>
              </w:rPr>
            </w:pPr>
            <w:r w:rsidRPr="007A3E71">
              <w:rPr>
                <w:rFonts w:ascii="Times New Roman" w:hAnsi="Times New Roman" w:cs="Times New Roman"/>
                <w:color w:val="000000"/>
                <w:sz w:val="14"/>
                <w:szCs w:val="14"/>
              </w:rPr>
              <w:t>Dotácia</w:t>
            </w:r>
          </w:p>
        </w:tc>
        <w:tc>
          <w:tcPr>
            <w:tcW w:w="960"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color w:val="000000"/>
                <w:sz w:val="14"/>
                <w:szCs w:val="14"/>
              </w:rPr>
            </w:pPr>
            <w:r w:rsidRPr="007A3E71">
              <w:rPr>
                <w:rFonts w:ascii="Times New Roman" w:hAnsi="Times New Roman" w:cs="Times New Roman"/>
                <w:color w:val="000000"/>
                <w:sz w:val="14"/>
                <w:szCs w:val="14"/>
              </w:rPr>
              <w:t>0</w:t>
            </w:r>
          </w:p>
        </w:tc>
        <w:tc>
          <w:tcPr>
            <w:tcW w:w="960"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color w:val="000000"/>
                <w:sz w:val="14"/>
                <w:szCs w:val="14"/>
              </w:rPr>
            </w:pPr>
            <w:r w:rsidRPr="007A3E71">
              <w:rPr>
                <w:rFonts w:ascii="Times New Roman" w:hAnsi="Times New Roman" w:cs="Times New Roman"/>
                <w:color w:val="000000"/>
                <w:sz w:val="14"/>
                <w:szCs w:val="14"/>
              </w:rPr>
              <w:t>7 218 279</w:t>
            </w:r>
          </w:p>
        </w:tc>
        <w:tc>
          <w:tcPr>
            <w:tcW w:w="960"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color w:val="000000"/>
                <w:sz w:val="14"/>
                <w:szCs w:val="14"/>
              </w:rPr>
            </w:pPr>
            <w:r w:rsidRPr="007A3E71">
              <w:rPr>
                <w:rFonts w:ascii="Times New Roman" w:hAnsi="Times New Roman" w:cs="Times New Roman"/>
                <w:color w:val="000000"/>
                <w:sz w:val="14"/>
                <w:szCs w:val="14"/>
              </w:rPr>
              <w:t>8 266 743</w:t>
            </w:r>
          </w:p>
        </w:tc>
        <w:tc>
          <w:tcPr>
            <w:tcW w:w="960"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color w:val="000000"/>
                <w:sz w:val="14"/>
                <w:szCs w:val="14"/>
              </w:rPr>
            </w:pPr>
            <w:r w:rsidRPr="007A3E71">
              <w:rPr>
                <w:rFonts w:ascii="Times New Roman" w:hAnsi="Times New Roman" w:cs="Times New Roman"/>
                <w:color w:val="000000"/>
                <w:sz w:val="14"/>
                <w:szCs w:val="14"/>
              </w:rPr>
              <w:t>8 266 743</w:t>
            </w:r>
          </w:p>
        </w:tc>
        <w:tc>
          <w:tcPr>
            <w:tcW w:w="960"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color w:val="000000"/>
                <w:sz w:val="14"/>
                <w:szCs w:val="14"/>
              </w:rPr>
            </w:pPr>
            <w:r w:rsidRPr="007A3E71">
              <w:rPr>
                <w:rFonts w:ascii="Times New Roman" w:hAnsi="Times New Roman" w:cs="Times New Roman"/>
                <w:color w:val="000000"/>
                <w:sz w:val="14"/>
                <w:szCs w:val="14"/>
              </w:rPr>
              <w:t>9 586 957</w:t>
            </w:r>
          </w:p>
        </w:tc>
        <w:tc>
          <w:tcPr>
            <w:tcW w:w="960" w:type="dxa"/>
            <w:tcBorders>
              <w:top w:val="nil"/>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color w:val="000000"/>
                <w:sz w:val="14"/>
                <w:szCs w:val="14"/>
              </w:rPr>
            </w:pPr>
            <w:r w:rsidRPr="007A3E71">
              <w:rPr>
                <w:rFonts w:ascii="Times New Roman" w:hAnsi="Times New Roman" w:cs="Times New Roman"/>
                <w:color w:val="000000"/>
                <w:sz w:val="14"/>
                <w:szCs w:val="14"/>
              </w:rPr>
              <w:t>9 249 519</w:t>
            </w:r>
          </w:p>
        </w:tc>
        <w:tc>
          <w:tcPr>
            <w:tcW w:w="960" w:type="dxa"/>
            <w:tcBorders>
              <w:top w:val="nil"/>
              <w:left w:val="nil"/>
              <w:bottom w:val="single" w:sz="4" w:space="0" w:color="auto"/>
              <w:right w:val="single" w:sz="4" w:space="0" w:color="auto"/>
            </w:tcBorders>
            <w:noWrap/>
            <w:textDirection w:val="lrTb"/>
            <w:vAlign w:val="bottom"/>
            <w:hideMark/>
          </w:tcPr>
          <w:p w:rsidR="00CB350B" w:rsidRPr="007A3E71" w:rsidP="00257E12">
            <w:pPr>
              <w:bidi w:val="0"/>
              <w:jc w:val="right"/>
              <w:rPr>
                <w:rFonts w:ascii="Times New Roman" w:hAnsi="Times New Roman" w:cs="Times New Roman"/>
                <w:color w:val="000000"/>
                <w:sz w:val="14"/>
                <w:szCs w:val="14"/>
              </w:rPr>
            </w:pPr>
            <w:r w:rsidRPr="007A3E71">
              <w:rPr>
                <w:rFonts w:ascii="Times New Roman" w:hAnsi="Times New Roman" w:cs="Times New Roman"/>
                <w:color w:val="000000"/>
                <w:sz w:val="14"/>
                <w:szCs w:val="14"/>
              </w:rPr>
              <w:t>8 023 378</w:t>
            </w:r>
          </w:p>
        </w:tc>
      </w:tr>
      <w:tr>
        <w:tblPrEx>
          <w:tblW w:w="9100" w:type="dxa"/>
          <w:tblInd w:w="55" w:type="dxa"/>
          <w:tblCellMar>
            <w:left w:w="70" w:type="dxa"/>
            <w:right w:w="70" w:type="dxa"/>
          </w:tblCellMar>
          <w:tblLook w:val="04A0"/>
        </w:tblPrEx>
        <w:trPr>
          <w:trHeight w:val="296"/>
        </w:trPr>
        <w:tc>
          <w:tcPr>
            <w:tcW w:w="2380"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7A3E71" w:rsidP="00257E12">
            <w:pPr>
              <w:bidi w:val="0"/>
              <w:rPr>
                <w:rFonts w:ascii="Times New Roman" w:hAnsi="Times New Roman" w:cs="Times New Roman"/>
                <w:color w:val="000000"/>
                <w:sz w:val="14"/>
                <w:szCs w:val="14"/>
              </w:rPr>
            </w:pPr>
            <w:r w:rsidRPr="007A3E71">
              <w:rPr>
                <w:rFonts w:ascii="Times New Roman" w:hAnsi="Times New Roman" w:cs="Times New Roman"/>
                <w:color w:val="000000"/>
                <w:sz w:val="14"/>
                <w:szCs w:val="14"/>
              </w:rPr>
              <w:t>zostatok na účte</w:t>
            </w:r>
          </w:p>
        </w:tc>
        <w:tc>
          <w:tcPr>
            <w:tcW w:w="960" w:type="dxa"/>
            <w:tcBorders>
              <w:top w:val="single" w:sz="4" w:space="0" w:color="auto"/>
              <w:left w:val="nil"/>
              <w:bottom w:val="single" w:sz="4" w:space="0" w:color="auto"/>
              <w:right w:val="single" w:sz="4" w:space="0" w:color="auto"/>
            </w:tcBorders>
            <w:textDirection w:val="lrTb"/>
            <w:vAlign w:val="bottom"/>
            <w:hideMark/>
          </w:tcPr>
          <w:p w:rsidR="00CB350B" w:rsidRPr="007A3E71" w:rsidP="00257E12">
            <w:pPr>
              <w:bidi w:val="0"/>
              <w:jc w:val="right"/>
              <w:rPr>
                <w:rFonts w:ascii="Times New Roman" w:hAnsi="Times New Roman" w:cs="Times New Roman"/>
                <w:color w:val="000000"/>
                <w:sz w:val="14"/>
                <w:szCs w:val="14"/>
              </w:rPr>
            </w:pPr>
            <w:r w:rsidRPr="007A3E71">
              <w:rPr>
                <w:rFonts w:ascii="Times New Roman" w:hAnsi="Times New Roman" w:cs="Times New Roman"/>
                <w:color w:val="000000"/>
                <w:sz w:val="14"/>
                <w:szCs w:val="14"/>
              </w:rPr>
              <w:t>1 330 207</w:t>
            </w:r>
          </w:p>
        </w:tc>
        <w:tc>
          <w:tcPr>
            <w:tcW w:w="960" w:type="dxa"/>
            <w:tcBorders>
              <w:top w:val="single" w:sz="4" w:space="0" w:color="auto"/>
              <w:left w:val="nil"/>
              <w:bottom w:val="single" w:sz="4" w:space="0" w:color="auto"/>
              <w:right w:val="single" w:sz="4" w:space="0" w:color="auto"/>
            </w:tcBorders>
            <w:noWrap/>
            <w:textDirection w:val="lrTb"/>
            <w:vAlign w:val="bottom"/>
            <w:hideMark/>
          </w:tcPr>
          <w:p w:rsidR="00CB350B" w:rsidRPr="007A3E71" w:rsidP="00257E12">
            <w:pPr>
              <w:bidi w:val="0"/>
              <w:jc w:val="right"/>
              <w:rPr>
                <w:rFonts w:ascii="Times New Roman" w:hAnsi="Times New Roman" w:cs="Times New Roman"/>
                <w:color w:val="000000"/>
                <w:sz w:val="14"/>
                <w:szCs w:val="14"/>
              </w:rPr>
            </w:pPr>
            <w:r w:rsidRPr="007A3E71">
              <w:rPr>
                <w:rFonts w:ascii="Times New Roman" w:hAnsi="Times New Roman" w:cs="Times New Roman"/>
                <w:color w:val="000000"/>
                <w:sz w:val="14"/>
                <w:szCs w:val="14"/>
              </w:rPr>
              <w:t>0</w:t>
            </w:r>
          </w:p>
        </w:tc>
        <w:tc>
          <w:tcPr>
            <w:tcW w:w="960" w:type="dxa"/>
            <w:tcBorders>
              <w:top w:val="single" w:sz="4" w:space="0" w:color="auto"/>
              <w:left w:val="nil"/>
              <w:bottom w:val="single" w:sz="4" w:space="0" w:color="auto"/>
              <w:right w:val="single" w:sz="4" w:space="0" w:color="auto"/>
            </w:tcBorders>
            <w:noWrap/>
            <w:textDirection w:val="lrTb"/>
            <w:vAlign w:val="bottom"/>
            <w:hideMark/>
          </w:tcPr>
          <w:p w:rsidR="00CB350B" w:rsidRPr="007A3E71" w:rsidP="00257E12">
            <w:pPr>
              <w:bidi w:val="0"/>
              <w:jc w:val="right"/>
              <w:rPr>
                <w:rFonts w:ascii="Times New Roman" w:hAnsi="Times New Roman" w:cs="Times New Roman"/>
                <w:color w:val="000000"/>
                <w:sz w:val="14"/>
                <w:szCs w:val="14"/>
              </w:rPr>
            </w:pPr>
            <w:r w:rsidRPr="007A3E71">
              <w:rPr>
                <w:rFonts w:ascii="Times New Roman" w:hAnsi="Times New Roman" w:cs="Times New Roman"/>
                <w:color w:val="000000"/>
                <w:sz w:val="14"/>
                <w:szCs w:val="14"/>
              </w:rPr>
              <w:t>0</w:t>
            </w:r>
          </w:p>
        </w:tc>
        <w:tc>
          <w:tcPr>
            <w:tcW w:w="960" w:type="dxa"/>
            <w:tcBorders>
              <w:top w:val="single" w:sz="4" w:space="0" w:color="auto"/>
              <w:left w:val="nil"/>
              <w:bottom w:val="single" w:sz="4" w:space="0" w:color="auto"/>
              <w:right w:val="single" w:sz="4" w:space="0" w:color="auto"/>
            </w:tcBorders>
            <w:noWrap/>
            <w:textDirection w:val="lrTb"/>
            <w:vAlign w:val="bottom"/>
            <w:hideMark/>
          </w:tcPr>
          <w:p w:rsidR="00CB350B" w:rsidRPr="007A3E71" w:rsidP="00257E12">
            <w:pPr>
              <w:bidi w:val="0"/>
              <w:jc w:val="right"/>
              <w:rPr>
                <w:rFonts w:ascii="Times New Roman" w:hAnsi="Times New Roman" w:cs="Times New Roman"/>
                <w:color w:val="000000"/>
                <w:sz w:val="14"/>
                <w:szCs w:val="14"/>
              </w:rPr>
            </w:pPr>
            <w:r w:rsidRPr="007A3E71">
              <w:rPr>
                <w:rFonts w:ascii="Times New Roman" w:hAnsi="Times New Roman" w:cs="Times New Roman"/>
                <w:color w:val="000000"/>
                <w:sz w:val="14"/>
                <w:szCs w:val="14"/>
              </w:rPr>
              <w:t>0</w:t>
            </w:r>
          </w:p>
        </w:tc>
        <w:tc>
          <w:tcPr>
            <w:tcW w:w="960" w:type="dxa"/>
            <w:tcBorders>
              <w:top w:val="single" w:sz="4" w:space="0" w:color="auto"/>
              <w:left w:val="nil"/>
              <w:bottom w:val="single" w:sz="4" w:space="0" w:color="auto"/>
              <w:right w:val="single" w:sz="4" w:space="0" w:color="auto"/>
            </w:tcBorders>
            <w:noWrap/>
            <w:textDirection w:val="lrTb"/>
            <w:vAlign w:val="bottom"/>
            <w:hideMark/>
          </w:tcPr>
          <w:p w:rsidR="00CB350B" w:rsidRPr="007A3E71" w:rsidP="00257E12">
            <w:pPr>
              <w:bidi w:val="0"/>
              <w:jc w:val="right"/>
              <w:rPr>
                <w:rFonts w:ascii="Times New Roman" w:hAnsi="Times New Roman" w:cs="Times New Roman"/>
                <w:color w:val="000000"/>
                <w:sz w:val="14"/>
                <w:szCs w:val="14"/>
              </w:rPr>
            </w:pPr>
            <w:r w:rsidRPr="007A3E71">
              <w:rPr>
                <w:rFonts w:ascii="Times New Roman" w:hAnsi="Times New Roman" w:cs="Times New Roman"/>
                <w:color w:val="000000"/>
                <w:sz w:val="14"/>
                <w:szCs w:val="14"/>
              </w:rPr>
              <w:t>0</w:t>
            </w:r>
          </w:p>
        </w:tc>
        <w:tc>
          <w:tcPr>
            <w:tcW w:w="960" w:type="dxa"/>
            <w:tcBorders>
              <w:top w:val="single" w:sz="4" w:space="0" w:color="auto"/>
              <w:left w:val="nil"/>
              <w:bottom w:val="single" w:sz="4" w:space="0" w:color="auto"/>
              <w:right w:val="single" w:sz="4" w:space="0" w:color="auto"/>
            </w:tcBorders>
            <w:noWrap/>
            <w:textDirection w:val="lrTb"/>
            <w:vAlign w:val="bottom"/>
            <w:hideMark/>
          </w:tcPr>
          <w:p w:rsidR="00CB350B" w:rsidRPr="007A3E71" w:rsidP="00257E12">
            <w:pPr>
              <w:bidi w:val="0"/>
              <w:jc w:val="right"/>
              <w:rPr>
                <w:rFonts w:ascii="Times New Roman" w:hAnsi="Times New Roman" w:cs="Times New Roman"/>
                <w:color w:val="000000"/>
                <w:sz w:val="14"/>
                <w:szCs w:val="14"/>
              </w:rPr>
            </w:pPr>
            <w:r w:rsidRPr="007A3E71">
              <w:rPr>
                <w:rFonts w:ascii="Times New Roman" w:hAnsi="Times New Roman" w:cs="Times New Roman"/>
                <w:color w:val="000000"/>
                <w:sz w:val="14"/>
                <w:szCs w:val="14"/>
              </w:rPr>
              <w:t>0</w:t>
            </w:r>
          </w:p>
        </w:tc>
        <w:tc>
          <w:tcPr>
            <w:tcW w:w="960" w:type="dxa"/>
            <w:tcBorders>
              <w:top w:val="single" w:sz="4" w:space="0" w:color="auto"/>
              <w:left w:val="nil"/>
              <w:bottom w:val="single" w:sz="4" w:space="0" w:color="auto"/>
              <w:right w:val="single" w:sz="4" w:space="0" w:color="auto"/>
            </w:tcBorders>
            <w:noWrap/>
            <w:textDirection w:val="lrTb"/>
            <w:vAlign w:val="bottom"/>
            <w:hideMark/>
          </w:tcPr>
          <w:p w:rsidR="00CB350B" w:rsidRPr="007A3E71" w:rsidP="00257E12">
            <w:pPr>
              <w:bidi w:val="0"/>
              <w:jc w:val="right"/>
              <w:rPr>
                <w:rFonts w:ascii="Times New Roman" w:hAnsi="Times New Roman" w:cs="Times New Roman"/>
                <w:color w:val="000000"/>
                <w:sz w:val="14"/>
                <w:szCs w:val="14"/>
              </w:rPr>
            </w:pPr>
            <w:r w:rsidRPr="007A3E71">
              <w:rPr>
                <w:rFonts w:ascii="Times New Roman" w:hAnsi="Times New Roman" w:cs="Times New Roman"/>
                <w:color w:val="000000"/>
                <w:sz w:val="14"/>
                <w:szCs w:val="14"/>
              </w:rPr>
              <w:t>0</w:t>
            </w:r>
          </w:p>
        </w:tc>
      </w:tr>
    </w:tbl>
    <w:p w:rsidR="00CB350B" w:rsidRPr="0004638E" w:rsidP="00CB350B">
      <w:pPr>
        <w:tabs>
          <w:tab w:val="left" w:pos="360"/>
        </w:tabs>
        <w:bidi w:val="0"/>
        <w:jc w:val="both"/>
        <w:rPr>
          <w:rFonts w:ascii="Times New Roman" w:hAnsi="Times New Roman" w:cs="Times New Roman"/>
        </w:rPr>
      </w:pPr>
    </w:p>
    <w:p w:rsidR="00CB350B" w:rsidRPr="0004638E" w:rsidP="00CB350B">
      <w:pPr>
        <w:tabs>
          <w:tab w:val="left" w:pos="360"/>
        </w:tabs>
        <w:bidi w:val="0"/>
        <w:jc w:val="both"/>
        <w:rPr>
          <w:rFonts w:ascii="Times New Roman" w:hAnsi="Times New Roman" w:cs="Times New Roman"/>
        </w:rPr>
      </w:pPr>
      <w:r>
        <w:rPr>
          <w:rFonts w:ascii="Times New Roman" w:hAnsi="Times New Roman" w:cs="Times New Roman"/>
        </w:rPr>
        <w:tab/>
        <w:tab/>
        <w:t>Na</w:t>
      </w:r>
      <w:r w:rsidRPr="0004638E">
        <w:rPr>
          <w:rFonts w:ascii="Times New Roman" w:hAnsi="Times New Roman" w:cs="Times New Roman"/>
        </w:rPr>
        <w:t xml:space="preserve"> rok 2012 sa predpokladá schodok osobitného účtu väzenstva v sume 9,</w:t>
      </w:r>
      <w:r>
        <w:rPr>
          <w:rFonts w:ascii="Times New Roman" w:hAnsi="Times New Roman" w:cs="Times New Roman"/>
        </w:rPr>
        <w:t>59</w:t>
      </w:r>
      <w:r w:rsidRPr="0004638E">
        <w:rPr>
          <w:rFonts w:ascii="Times New Roman" w:hAnsi="Times New Roman" w:cs="Times New Roman"/>
        </w:rPr>
        <w:t xml:space="preserve"> mil. eur, čo oproti schválenému rozpočtu roku 2011</w:t>
      </w:r>
      <w:r>
        <w:rPr>
          <w:rFonts w:ascii="Times New Roman" w:hAnsi="Times New Roman" w:cs="Times New Roman"/>
        </w:rPr>
        <w:t xml:space="preserve"> </w:t>
      </w:r>
      <w:r w:rsidRPr="0004638E">
        <w:rPr>
          <w:rFonts w:ascii="Times New Roman" w:hAnsi="Times New Roman" w:cs="Times New Roman"/>
        </w:rPr>
        <w:t>predstavuje nárast o 1,</w:t>
      </w:r>
      <w:r>
        <w:rPr>
          <w:rFonts w:ascii="Times New Roman" w:hAnsi="Times New Roman" w:cs="Times New Roman"/>
        </w:rPr>
        <w:t>32</w:t>
      </w:r>
      <w:r w:rsidRPr="0004638E">
        <w:rPr>
          <w:rFonts w:ascii="Times New Roman" w:hAnsi="Times New Roman" w:cs="Times New Roman"/>
        </w:rPr>
        <w:t xml:space="preserve"> mil. eur, ktorý je v rozpočte väzenstva zohľadnený. </w:t>
      </w:r>
    </w:p>
    <w:p w:rsidR="00CB350B" w:rsidRPr="0004638E" w:rsidP="00CB350B">
      <w:pPr>
        <w:pStyle w:val="ListParagraph"/>
        <w:bidi w:val="0"/>
        <w:ind w:left="0"/>
        <w:jc w:val="both"/>
      </w:pPr>
    </w:p>
    <w:p w:rsidR="00CB350B" w:rsidRPr="0004638E" w:rsidP="00CB350B">
      <w:pPr>
        <w:bidi w:val="0"/>
        <w:rPr>
          <w:rFonts w:ascii="Times New Roman" w:hAnsi="Times New Roman" w:cs="Times New Roman"/>
          <w:b/>
        </w:rPr>
      </w:pPr>
      <w:r w:rsidRPr="0004638E">
        <w:rPr>
          <w:rFonts w:ascii="Times New Roman" w:hAnsi="Times New Roman" w:cs="Times New Roman"/>
          <w:b/>
        </w:rPr>
        <w:t>Súdnictvo</w:t>
      </w:r>
    </w:p>
    <w:p w:rsidR="00CB350B" w:rsidRPr="0004638E" w:rsidP="00CB350B">
      <w:pPr>
        <w:bidi w:val="0"/>
        <w:jc w:val="both"/>
        <w:rPr>
          <w:rFonts w:ascii="Times New Roman" w:hAnsi="Times New Roman" w:cs="Times New Roman"/>
        </w:rPr>
      </w:pPr>
    </w:p>
    <w:tbl>
      <w:tblPr>
        <w:tblStyle w:val="TableNormal"/>
        <w:tblW w:w="9120" w:type="dxa"/>
        <w:tblInd w:w="65" w:type="dxa"/>
        <w:tblCellMar>
          <w:left w:w="70" w:type="dxa"/>
          <w:right w:w="70" w:type="dxa"/>
        </w:tblCellMar>
        <w:tblLook w:val="04A0"/>
      </w:tblPr>
      <w:tblGrid>
        <w:gridCol w:w="2120"/>
        <w:gridCol w:w="1000"/>
        <w:gridCol w:w="1000"/>
        <w:gridCol w:w="1000"/>
        <w:gridCol w:w="1000"/>
        <w:gridCol w:w="1000"/>
        <w:gridCol w:w="1000"/>
        <w:gridCol w:w="1000"/>
      </w:tblGrid>
      <w:tr>
        <w:tblPrEx>
          <w:tblW w:w="9120" w:type="dxa"/>
          <w:tblInd w:w="65" w:type="dxa"/>
          <w:tblCellMar>
            <w:left w:w="70" w:type="dxa"/>
            <w:right w:w="70" w:type="dxa"/>
          </w:tblCellMar>
          <w:tblLook w:val="04A0"/>
        </w:tblPrEx>
        <w:trPr>
          <w:trHeight w:val="281"/>
        </w:trPr>
        <w:tc>
          <w:tcPr>
            <w:tcW w:w="2120"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2B1456" w:rsidP="00257E12">
            <w:pPr>
              <w:bidi w:val="0"/>
              <w:rPr>
                <w:rFonts w:ascii="Times New Roman" w:hAnsi="Times New Roman" w:cs="Times New Roman"/>
                <w:b/>
                <w:color w:val="000000"/>
                <w:sz w:val="14"/>
                <w:szCs w:val="14"/>
                <w:lang w:eastAsia="sk-SK"/>
              </w:rPr>
            </w:pPr>
            <w:r w:rsidRPr="002B1456">
              <w:rPr>
                <w:rFonts w:ascii="Times New Roman" w:hAnsi="Times New Roman" w:cs="Times New Roman"/>
                <w:b/>
                <w:color w:val="000000"/>
                <w:sz w:val="14"/>
                <w:szCs w:val="14"/>
                <w:lang w:eastAsia="sk-SK"/>
              </w:rPr>
              <w:t> </w:t>
            </w:r>
            <w:r w:rsidRPr="002B1456">
              <w:rPr>
                <w:rFonts w:ascii="Times New Roman" w:hAnsi="Times New Roman" w:cs="Times New Roman"/>
                <w:b/>
                <w:bCs/>
                <w:color w:val="000000"/>
                <w:sz w:val="14"/>
                <w:szCs w:val="14"/>
                <w:lang w:eastAsia="sk-SK"/>
              </w:rPr>
              <w:t>v</w:t>
            </w:r>
            <w:r>
              <w:rPr>
                <w:rFonts w:ascii="Times New Roman" w:hAnsi="Times New Roman" w:cs="Times New Roman"/>
                <w:b/>
                <w:bCs/>
                <w:color w:val="000000"/>
                <w:sz w:val="14"/>
                <w:szCs w:val="14"/>
                <w:lang w:eastAsia="sk-SK"/>
              </w:rPr>
              <w:t> </w:t>
            </w:r>
            <w:r w:rsidRPr="002B1456">
              <w:rPr>
                <w:rFonts w:ascii="Times New Roman" w:hAnsi="Times New Roman" w:cs="Times New Roman"/>
                <w:b/>
                <w:bCs/>
                <w:color w:val="000000"/>
                <w:sz w:val="14"/>
                <w:szCs w:val="14"/>
                <w:lang w:eastAsia="sk-SK"/>
              </w:rPr>
              <w:t>eurách</w:t>
            </w:r>
          </w:p>
        </w:tc>
        <w:tc>
          <w:tcPr>
            <w:tcW w:w="1000" w:type="dxa"/>
            <w:tcBorders>
              <w:top w:val="single" w:sz="4" w:space="0" w:color="auto"/>
              <w:left w:val="nil"/>
              <w:bottom w:val="single" w:sz="4" w:space="0" w:color="auto"/>
              <w:right w:val="single" w:sz="4" w:space="0" w:color="auto"/>
            </w:tcBorders>
            <w:noWrap/>
            <w:textDirection w:val="lrTb"/>
            <w:vAlign w:val="bottom"/>
            <w:hideMark/>
          </w:tcPr>
          <w:p w:rsidR="00CB350B" w:rsidRPr="002B1456" w:rsidP="00257E12">
            <w:pPr>
              <w:bidi w:val="0"/>
              <w:jc w:val="center"/>
              <w:rPr>
                <w:rFonts w:ascii="Times New Roman" w:hAnsi="Times New Roman" w:cs="Times New Roman"/>
                <w:b/>
                <w:sz w:val="14"/>
                <w:szCs w:val="14"/>
                <w:lang w:eastAsia="sk-SK"/>
              </w:rPr>
            </w:pPr>
            <w:r w:rsidRPr="002B1456">
              <w:rPr>
                <w:rFonts w:ascii="Times New Roman" w:hAnsi="Times New Roman" w:cs="Times New Roman"/>
                <w:b/>
                <w:sz w:val="14"/>
                <w:szCs w:val="14"/>
                <w:lang w:eastAsia="sk-SK"/>
              </w:rPr>
              <w:t>2009 S</w:t>
            </w:r>
          </w:p>
        </w:tc>
        <w:tc>
          <w:tcPr>
            <w:tcW w:w="1000" w:type="dxa"/>
            <w:tcBorders>
              <w:top w:val="single" w:sz="4" w:space="0" w:color="auto"/>
              <w:left w:val="nil"/>
              <w:bottom w:val="single" w:sz="4" w:space="0" w:color="auto"/>
              <w:right w:val="single" w:sz="4" w:space="0" w:color="auto"/>
            </w:tcBorders>
            <w:noWrap/>
            <w:textDirection w:val="lrTb"/>
            <w:vAlign w:val="bottom"/>
            <w:hideMark/>
          </w:tcPr>
          <w:p w:rsidR="00CB350B" w:rsidRPr="002B1456" w:rsidP="00257E12">
            <w:pPr>
              <w:bidi w:val="0"/>
              <w:jc w:val="center"/>
              <w:rPr>
                <w:rFonts w:ascii="Times New Roman" w:hAnsi="Times New Roman" w:cs="Times New Roman"/>
                <w:b/>
                <w:sz w:val="14"/>
                <w:szCs w:val="14"/>
                <w:lang w:eastAsia="sk-SK"/>
              </w:rPr>
            </w:pPr>
            <w:r w:rsidRPr="002B1456">
              <w:rPr>
                <w:rFonts w:ascii="Times New Roman" w:hAnsi="Times New Roman" w:cs="Times New Roman"/>
                <w:b/>
                <w:sz w:val="14"/>
                <w:szCs w:val="14"/>
                <w:lang w:eastAsia="sk-SK"/>
              </w:rPr>
              <w:t>2010 S</w:t>
            </w:r>
          </w:p>
        </w:tc>
        <w:tc>
          <w:tcPr>
            <w:tcW w:w="1000" w:type="dxa"/>
            <w:tcBorders>
              <w:top w:val="single" w:sz="4" w:space="0" w:color="auto"/>
              <w:left w:val="nil"/>
              <w:bottom w:val="single" w:sz="4" w:space="0" w:color="auto"/>
              <w:right w:val="single" w:sz="4" w:space="0" w:color="auto"/>
            </w:tcBorders>
            <w:noWrap/>
            <w:textDirection w:val="lrTb"/>
            <w:vAlign w:val="bottom"/>
            <w:hideMark/>
          </w:tcPr>
          <w:p w:rsidR="00CB350B" w:rsidRPr="002B1456" w:rsidP="00257E12">
            <w:pPr>
              <w:bidi w:val="0"/>
              <w:jc w:val="center"/>
              <w:rPr>
                <w:rFonts w:ascii="Times New Roman" w:hAnsi="Times New Roman" w:cs="Times New Roman"/>
                <w:b/>
                <w:sz w:val="14"/>
                <w:szCs w:val="14"/>
                <w:lang w:eastAsia="sk-SK"/>
              </w:rPr>
            </w:pPr>
            <w:r w:rsidRPr="002B1456">
              <w:rPr>
                <w:rFonts w:ascii="Times New Roman" w:hAnsi="Times New Roman" w:cs="Times New Roman"/>
                <w:b/>
                <w:sz w:val="14"/>
                <w:szCs w:val="14"/>
                <w:lang w:eastAsia="sk-SK"/>
              </w:rPr>
              <w:t>2011 R</w:t>
            </w:r>
          </w:p>
        </w:tc>
        <w:tc>
          <w:tcPr>
            <w:tcW w:w="1000" w:type="dxa"/>
            <w:tcBorders>
              <w:top w:val="single" w:sz="4" w:space="0" w:color="auto"/>
              <w:left w:val="nil"/>
              <w:bottom w:val="single" w:sz="4" w:space="0" w:color="auto"/>
              <w:right w:val="single" w:sz="4" w:space="0" w:color="auto"/>
            </w:tcBorders>
            <w:textDirection w:val="lrTb"/>
            <w:vAlign w:val="bottom"/>
            <w:hideMark/>
          </w:tcPr>
          <w:p w:rsidR="00CB350B" w:rsidRPr="002B1456" w:rsidP="00257E12">
            <w:pPr>
              <w:bidi w:val="0"/>
              <w:jc w:val="center"/>
              <w:rPr>
                <w:rFonts w:ascii="Times New Roman" w:hAnsi="Times New Roman" w:cs="Times New Roman"/>
                <w:b/>
                <w:sz w:val="14"/>
                <w:szCs w:val="14"/>
                <w:lang w:eastAsia="sk-SK"/>
              </w:rPr>
            </w:pPr>
            <w:r w:rsidRPr="002B1456">
              <w:rPr>
                <w:rFonts w:ascii="Times New Roman" w:hAnsi="Times New Roman" w:cs="Times New Roman"/>
                <w:b/>
                <w:sz w:val="14"/>
                <w:szCs w:val="14"/>
                <w:lang w:eastAsia="sk-SK"/>
              </w:rPr>
              <w:t>2011 OS</w:t>
            </w:r>
          </w:p>
        </w:tc>
        <w:tc>
          <w:tcPr>
            <w:tcW w:w="1000" w:type="dxa"/>
            <w:tcBorders>
              <w:top w:val="single" w:sz="4" w:space="0" w:color="auto"/>
              <w:left w:val="nil"/>
              <w:bottom w:val="single" w:sz="4" w:space="0" w:color="auto"/>
              <w:right w:val="single" w:sz="4" w:space="0" w:color="auto"/>
            </w:tcBorders>
            <w:textDirection w:val="lrTb"/>
            <w:vAlign w:val="bottom"/>
            <w:hideMark/>
          </w:tcPr>
          <w:p w:rsidR="00CB350B" w:rsidRPr="002B1456" w:rsidP="00257E12">
            <w:pPr>
              <w:bidi w:val="0"/>
              <w:jc w:val="center"/>
              <w:rPr>
                <w:rFonts w:ascii="Times New Roman" w:hAnsi="Times New Roman" w:cs="Times New Roman"/>
                <w:b/>
                <w:sz w:val="14"/>
                <w:szCs w:val="14"/>
                <w:lang w:eastAsia="sk-SK"/>
              </w:rPr>
            </w:pPr>
            <w:r w:rsidRPr="002B1456">
              <w:rPr>
                <w:rFonts w:ascii="Times New Roman" w:hAnsi="Times New Roman" w:cs="Times New Roman"/>
                <w:b/>
                <w:sz w:val="14"/>
                <w:szCs w:val="14"/>
                <w:lang w:eastAsia="sk-SK"/>
              </w:rPr>
              <w:t>2012 N</w:t>
            </w:r>
          </w:p>
        </w:tc>
        <w:tc>
          <w:tcPr>
            <w:tcW w:w="1000" w:type="dxa"/>
            <w:tcBorders>
              <w:top w:val="single" w:sz="4" w:space="0" w:color="auto"/>
              <w:left w:val="nil"/>
              <w:bottom w:val="single" w:sz="4" w:space="0" w:color="auto"/>
              <w:right w:val="single" w:sz="4" w:space="0" w:color="auto"/>
            </w:tcBorders>
            <w:textDirection w:val="lrTb"/>
            <w:vAlign w:val="bottom"/>
            <w:hideMark/>
          </w:tcPr>
          <w:p w:rsidR="00CB350B" w:rsidRPr="002B1456" w:rsidP="00257E12">
            <w:pPr>
              <w:bidi w:val="0"/>
              <w:jc w:val="center"/>
              <w:rPr>
                <w:rFonts w:ascii="Times New Roman" w:hAnsi="Times New Roman" w:cs="Times New Roman"/>
                <w:b/>
                <w:sz w:val="14"/>
                <w:szCs w:val="14"/>
                <w:lang w:eastAsia="sk-SK"/>
              </w:rPr>
            </w:pPr>
            <w:r w:rsidRPr="002B1456">
              <w:rPr>
                <w:rFonts w:ascii="Times New Roman" w:hAnsi="Times New Roman" w:cs="Times New Roman"/>
                <w:b/>
                <w:sz w:val="14"/>
                <w:szCs w:val="14"/>
                <w:lang w:eastAsia="sk-SK"/>
              </w:rPr>
              <w:t>2013 N</w:t>
            </w:r>
          </w:p>
        </w:tc>
        <w:tc>
          <w:tcPr>
            <w:tcW w:w="1000" w:type="dxa"/>
            <w:tcBorders>
              <w:top w:val="single" w:sz="4" w:space="0" w:color="auto"/>
              <w:left w:val="nil"/>
              <w:bottom w:val="single" w:sz="4" w:space="0" w:color="auto"/>
              <w:right w:val="single" w:sz="4" w:space="0" w:color="auto"/>
            </w:tcBorders>
            <w:textDirection w:val="lrTb"/>
            <w:vAlign w:val="bottom"/>
            <w:hideMark/>
          </w:tcPr>
          <w:p w:rsidR="00CB350B" w:rsidRPr="002B1456" w:rsidP="00257E12">
            <w:pPr>
              <w:bidi w:val="0"/>
              <w:jc w:val="center"/>
              <w:rPr>
                <w:rFonts w:ascii="Times New Roman" w:hAnsi="Times New Roman" w:cs="Times New Roman"/>
                <w:b/>
                <w:sz w:val="14"/>
                <w:szCs w:val="14"/>
                <w:lang w:eastAsia="sk-SK"/>
              </w:rPr>
            </w:pPr>
            <w:r w:rsidRPr="002B1456">
              <w:rPr>
                <w:rFonts w:ascii="Times New Roman" w:hAnsi="Times New Roman" w:cs="Times New Roman"/>
                <w:b/>
                <w:sz w:val="14"/>
                <w:szCs w:val="14"/>
                <w:lang w:eastAsia="sk-SK"/>
              </w:rPr>
              <w:t>2014 N</w:t>
            </w:r>
          </w:p>
        </w:tc>
      </w:tr>
      <w:tr>
        <w:tblPrEx>
          <w:tblW w:w="9120" w:type="dxa"/>
          <w:tblInd w:w="65" w:type="dxa"/>
          <w:tblCellMar>
            <w:left w:w="70" w:type="dxa"/>
            <w:right w:w="70" w:type="dxa"/>
          </w:tblCellMar>
          <w:tblLook w:val="04A0"/>
        </w:tblPrEx>
        <w:trPr>
          <w:trHeight w:val="281"/>
        </w:trPr>
        <w:tc>
          <w:tcPr>
            <w:tcW w:w="2120"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2B1456" w:rsidP="00257E12">
            <w:pPr>
              <w:bidi w:val="0"/>
              <w:rPr>
                <w:rFonts w:ascii="Times New Roman" w:hAnsi="Times New Roman" w:cs="Times New Roman"/>
                <w:b/>
                <w:bCs/>
                <w:sz w:val="14"/>
                <w:szCs w:val="14"/>
                <w:lang w:eastAsia="sk-SK"/>
              </w:rPr>
            </w:pPr>
            <w:r w:rsidRPr="002B1456">
              <w:rPr>
                <w:rFonts w:ascii="Times New Roman" w:hAnsi="Times New Roman" w:cs="Times New Roman"/>
                <w:b/>
                <w:bCs/>
                <w:sz w:val="14"/>
                <w:szCs w:val="14"/>
                <w:lang w:eastAsia="sk-SK"/>
              </w:rPr>
              <w:t>Súdnictvo</w:t>
            </w:r>
          </w:p>
        </w:tc>
        <w:tc>
          <w:tcPr>
            <w:tcW w:w="1000" w:type="dxa"/>
            <w:tcBorders>
              <w:top w:val="single" w:sz="4" w:space="0" w:color="auto"/>
              <w:left w:val="nil"/>
              <w:bottom w:val="single" w:sz="4" w:space="0" w:color="auto"/>
              <w:right w:val="single" w:sz="4" w:space="0" w:color="auto"/>
            </w:tcBorders>
            <w:textDirection w:val="lrTb"/>
            <w:vAlign w:val="bottom"/>
            <w:hideMark/>
          </w:tcPr>
          <w:p w:rsidR="00CB350B" w:rsidRPr="002B1456" w:rsidP="00257E12">
            <w:pPr>
              <w:bidi w:val="0"/>
              <w:jc w:val="right"/>
              <w:rPr>
                <w:rFonts w:ascii="Times New Roman" w:hAnsi="Times New Roman" w:cs="Times New Roman"/>
                <w:b/>
                <w:bCs/>
                <w:sz w:val="14"/>
                <w:szCs w:val="14"/>
                <w:lang w:eastAsia="sk-SK"/>
              </w:rPr>
            </w:pPr>
            <w:r w:rsidRPr="002B1456">
              <w:rPr>
                <w:rFonts w:ascii="Times New Roman" w:hAnsi="Times New Roman" w:cs="Times New Roman"/>
                <w:b/>
                <w:bCs/>
                <w:sz w:val="14"/>
                <w:szCs w:val="14"/>
                <w:lang w:eastAsia="sk-SK"/>
              </w:rPr>
              <w:t>141 038 362</w:t>
            </w:r>
          </w:p>
        </w:tc>
        <w:tc>
          <w:tcPr>
            <w:tcW w:w="1000" w:type="dxa"/>
            <w:tcBorders>
              <w:top w:val="single" w:sz="4" w:space="0" w:color="auto"/>
              <w:left w:val="nil"/>
              <w:bottom w:val="single" w:sz="4" w:space="0" w:color="auto"/>
              <w:right w:val="single" w:sz="4" w:space="0" w:color="auto"/>
            </w:tcBorders>
            <w:textDirection w:val="lrTb"/>
            <w:vAlign w:val="bottom"/>
            <w:hideMark/>
          </w:tcPr>
          <w:p w:rsidR="00CB350B" w:rsidRPr="002B1456" w:rsidP="00257E12">
            <w:pPr>
              <w:bidi w:val="0"/>
              <w:jc w:val="right"/>
              <w:rPr>
                <w:rFonts w:ascii="Times New Roman" w:hAnsi="Times New Roman" w:cs="Times New Roman"/>
                <w:b/>
                <w:bCs/>
                <w:sz w:val="14"/>
                <w:szCs w:val="14"/>
                <w:lang w:eastAsia="sk-SK"/>
              </w:rPr>
            </w:pPr>
            <w:r w:rsidRPr="002B1456">
              <w:rPr>
                <w:rFonts w:ascii="Times New Roman" w:hAnsi="Times New Roman" w:cs="Times New Roman"/>
                <w:b/>
                <w:bCs/>
                <w:sz w:val="14"/>
                <w:szCs w:val="14"/>
                <w:lang w:eastAsia="sk-SK"/>
              </w:rPr>
              <w:t>155 600 618</w:t>
            </w:r>
          </w:p>
        </w:tc>
        <w:tc>
          <w:tcPr>
            <w:tcW w:w="1000" w:type="dxa"/>
            <w:tcBorders>
              <w:top w:val="single" w:sz="4" w:space="0" w:color="auto"/>
              <w:left w:val="nil"/>
              <w:bottom w:val="single" w:sz="4" w:space="0" w:color="auto"/>
              <w:right w:val="single" w:sz="4" w:space="0" w:color="auto"/>
            </w:tcBorders>
            <w:textDirection w:val="lrTb"/>
            <w:vAlign w:val="bottom"/>
            <w:hideMark/>
          </w:tcPr>
          <w:p w:rsidR="00CB350B" w:rsidRPr="002B1456" w:rsidP="00257E12">
            <w:pPr>
              <w:bidi w:val="0"/>
              <w:jc w:val="right"/>
              <w:rPr>
                <w:rFonts w:ascii="Times New Roman" w:hAnsi="Times New Roman" w:cs="Times New Roman"/>
                <w:b/>
                <w:bCs/>
                <w:sz w:val="14"/>
                <w:szCs w:val="14"/>
                <w:lang w:eastAsia="sk-SK"/>
              </w:rPr>
            </w:pPr>
            <w:r w:rsidRPr="002B1456">
              <w:rPr>
                <w:rFonts w:ascii="Times New Roman" w:hAnsi="Times New Roman" w:cs="Times New Roman"/>
                <w:b/>
                <w:bCs/>
                <w:sz w:val="14"/>
                <w:szCs w:val="14"/>
                <w:lang w:eastAsia="sk-SK"/>
              </w:rPr>
              <w:t>141 903 221</w:t>
            </w:r>
          </w:p>
        </w:tc>
        <w:tc>
          <w:tcPr>
            <w:tcW w:w="1000" w:type="dxa"/>
            <w:tcBorders>
              <w:top w:val="single" w:sz="4" w:space="0" w:color="auto"/>
              <w:left w:val="nil"/>
              <w:bottom w:val="single" w:sz="4" w:space="0" w:color="auto"/>
              <w:right w:val="single" w:sz="4" w:space="0" w:color="auto"/>
            </w:tcBorders>
            <w:textDirection w:val="lrTb"/>
            <w:vAlign w:val="bottom"/>
            <w:hideMark/>
          </w:tcPr>
          <w:p w:rsidR="00CB350B" w:rsidRPr="002B1456" w:rsidP="00257E12">
            <w:pPr>
              <w:bidi w:val="0"/>
              <w:jc w:val="right"/>
              <w:rPr>
                <w:rFonts w:ascii="Times New Roman" w:hAnsi="Times New Roman" w:cs="Times New Roman"/>
                <w:b/>
                <w:bCs/>
                <w:sz w:val="14"/>
                <w:szCs w:val="14"/>
              </w:rPr>
            </w:pPr>
            <w:r w:rsidRPr="002B1456">
              <w:rPr>
                <w:rFonts w:ascii="Times New Roman" w:hAnsi="Times New Roman" w:cs="Times New Roman"/>
                <w:b/>
                <w:bCs/>
                <w:sz w:val="14"/>
                <w:szCs w:val="14"/>
              </w:rPr>
              <w:t>142 557 020</w:t>
            </w:r>
          </w:p>
        </w:tc>
        <w:tc>
          <w:tcPr>
            <w:tcW w:w="1000" w:type="dxa"/>
            <w:tcBorders>
              <w:top w:val="single" w:sz="4" w:space="0" w:color="auto"/>
              <w:left w:val="nil"/>
              <w:bottom w:val="single" w:sz="4" w:space="0" w:color="auto"/>
              <w:right w:val="single" w:sz="4" w:space="0" w:color="auto"/>
            </w:tcBorders>
            <w:textDirection w:val="lrTb"/>
            <w:vAlign w:val="bottom"/>
            <w:hideMark/>
          </w:tcPr>
          <w:p w:rsidR="00CB350B" w:rsidRPr="002B1456" w:rsidP="00257E12">
            <w:pPr>
              <w:bidi w:val="0"/>
              <w:jc w:val="right"/>
              <w:rPr>
                <w:rFonts w:ascii="Times New Roman" w:hAnsi="Times New Roman" w:cs="Times New Roman"/>
                <w:b/>
                <w:bCs/>
                <w:sz w:val="14"/>
                <w:szCs w:val="14"/>
                <w:lang w:eastAsia="sk-SK"/>
              </w:rPr>
            </w:pPr>
            <w:r w:rsidRPr="002B1456">
              <w:rPr>
                <w:rFonts w:ascii="Times New Roman" w:hAnsi="Times New Roman" w:cs="Times New Roman"/>
                <w:b/>
                <w:bCs/>
                <w:sz w:val="14"/>
                <w:szCs w:val="14"/>
                <w:lang w:eastAsia="sk-SK"/>
              </w:rPr>
              <w:t>146 476 367</w:t>
            </w:r>
          </w:p>
        </w:tc>
        <w:tc>
          <w:tcPr>
            <w:tcW w:w="1000" w:type="dxa"/>
            <w:tcBorders>
              <w:top w:val="single" w:sz="4" w:space="0" w:color="auto"/>
              <w:left w:val="nil"/>
              <w:bottom w:val="single" w:sz="4" w:space="0" w:color="auto"/>
              <w:right w:val="single" w:sz="4" w:space="0" w:color="auto"/>
            </w:tcBorders>
            <w:textDirection w:val="lrTb"/>
            <w:vAlign w:val="bottom"/>
            <w:hideMark/>
          </w:tcPr>
          <w:p w:rsidR="00CB350B" w:rsidRPr="002B1456" w:rsidP="00257E12">
            <w:pPr>
              <w:bidi w:val="0"/>
              <w:jc w:val="right"/>
              <w:rPr>
                <w:rFonts w:ascii="Times New Roman" w:hAnsi="Times New Roman" w:cs="Times New Roman"/>
                <w:b/>
                <w:bCs/>
                <w:sz w:val="14"/>
                <w:szCs w:val="14"/>
                <w:lang w:eastAsia="sk-SK"/>
              </w:rPr>
            </w:pPr>
            <w:r w:rsidRPr="002B1456">
              <w:rPr>
                <w:rFonts w:ascii="Times New Roman" w:hAnsi="Times New Roman" w:cs="Times New Roman"/>
                <w:b/>
                <w:bCs/>
                <w:sz w:val="14"/>
                <w:szCs w:val="14"/>
                <w:lang w:eastAsia="sk-SK"/>
              </w:rPr>
              <w:t>152 697 749</w:t>
            </w:r>
          </w:p>
        </w:tc>
        <w:tc>
          <w:tcPr>
            <w:tcW w:w="1000" w:type="dxa"/>
            <w:tcBorders>
              <w:top w:val="single" w:sz="4" w:space="0" w:color="auto"/>
              <w:left w:val="nil"/>
              <w:bottom w:val="single" w:sz="4" w:space="0" w:color="auto"/>
              <w:right w:val="single" w:sz="4" w:space="0" w:color="auto"/>
            </w:tcBorders>
            <w:textDirection w:val="lrTb"/>
            <w:vAlign w:val="bottom"/>
            <w:hideMark/>
          </w:tcPr>
          <w:p w:rsidR="00CB350B" w:rsidRPr="002B1456" w:rsidP="00257E12">
            <w:pPr>
              <w:bidi w:val="0"/>
              <w:jc w:val="right"/>
              <w:rPr>
                <w:rFonts w:ascii="Times New Roman" w:hAnsi="Times New Roman" w:cs="Times New Roman"/>
                <w:b/>
                <w:bCs/>
                <w:sz w:val="14"/>
                <w:szCs w:val="14"/>
                <w:lang w:eastAsia="sk-SK"/>
              </w:rPr>
            </w:pPr>
            <w:r w:rsidRPr="002B1456">
              <w:rPr>
                <w:rFonts w:ascii="Times New Roman" w:hAnsi="Times New Roman" w:cs="Times New Roman"/>
                <w:b/>
                <w:bCs/>
                <w:sz w:val="14"/>
                <w:szCs w:val="14"/>
                <w:lang w:eastAsia="sk-SK"/>
              </w:rPr>
              <w:t>156 513 272</w:t>
            </w:r>
          </w:p>
        </w:tc>
      </w:tr>
      <w:tr>
        <w:tblPrEx>
          <w:tblW w:w="9120" w:type="dxa"/>
          <w:tblInd w:w="65" w:type="dxa"/>
          <w:tblCellMar>
            <w:left w:w="70" w:type="dxa"/>
            <w:right w:w="70" w:type="dxa"/>
          </w:tblCellMar>
          <w:tblLook w:val="04A0"/>
        </w:tblPrEx>
        <w:trPr>
          <w:trHeight w:val="281"/>
        </w:trPr>
        <w:tc>
          <w:tcPr>
            <w:tcW w:w="2120" w:type="dxa"/>
            <w:tcBorders>
              <w:top w:val="nil"/>
              <w:left w:val="single" w:sz="4" w:space="0" w:color="auto"/>
              <w:bottom w:val="single" w:sz="4" w:space="0" w:color="auto"/>
              <w:right w:val="single" w:sz="4" w:space="0" w:color="auto"/>
            </w:tcBorders>
            <w:noWrap/>
            <w:textDirection w:val="lrTb"/>
            <w:vAlign w:val="bottom"/>
            <w:hideMark/>
          </w:tcPr>
          <w:p w:rsidR="00CB350B" w:rsidRPr="002B1456" w:rsidP="00257E12">
            <w:pPr>
              <w:bidi w:val="0"/>
              <w:rPr>
                <w:rFonts w:ascii="Times New Roman" w:hAnsi="Times New Roman" w:cs="Times New Roman"/>
                <w:color w:val="000000"/>
                <w:sz w:val="14"/>
                <w:szCs w:val="14"/>
                <w:lang w:eastAsia="sk-SK"/>
              </w:rPr>
            </w:pPr>
            <w:r w:rsidRPr="002B1456">
              <w:rPr>
                <w:rFonts w:ascii="Times New Roman" w:hAnsi="Times New Roman" w:cs="Times New Roman"/>
                <w:color w:val="000000"/>
                <w:sz w:val="14"/>
                <w:szCs w:val="14"/>
                <w:lang w:eastAsia="sk-SK"/>
              </w:rPr>
              <w:t xml:space="preserve">    Mzdy</w:t>
            </w:r>
          </w:p>
        </w:tc>
        <w:tc>
          <w:tcPr>
            <w:tcW w:w="1000" w:type="dxa"/>
            <w:tcBorders>
              <w:top w:val="nil"/>
              <w:left w:val="nil"/>
              <w:bottom w:val="single" w:sz="4" w:space="0" w:color="auto"/>
              <w:right w:val="single" w:sz="4" w:space="0" w:color="auto"/>
            </w:tcBorders>
            <w:textDirection w:val="lrTb"/>
            <w:vAlign w:val="bottom"/>
            <w:hideMark/>
          </w:tcPr>
          <w:p w:rsidR="00CB350B" w:rsidRPr="002B1456" w:rsidP="00257E12">
            <w:pPr>
              <w:bidi w:val="0"/>
              <w:jc w:val="right"/>
              <w:rPr>
                <w:rFonts w:ascii="Times New Roman" w:hAnsi="Times New Roman" w:cs="Times New Roman"/>
                <w:sz w:val="14"/>
                <w:szCs w:val="14"/>
                <w:lang w:eastAsia="sk-SK"/>
              </w:rPr>
            </w:pPr>
            <w:r w:rsidRPr="002B1456">
              <w:rPr>
                <w:rFonts w:ascii="Times New Roman" w:hAnsi="Times New Roman" w:cs="Times New Roman"/>
                <w:sz w:val="14"/>
                <w:szCs w:val="14"/>
                <w:lang w:eastAsia="sk-SK"/>
              </w:rPr>
              <w:t>81 942 583</w:t>
            </w:r>
          </w:p>
        </w:tc>
        <w:tc>
          <w:tcPr>
            <w:tcW w:w="1000" w:type="dxa"/>
            <w:tcBorders>
              <w:top w:val="nil"/>
              <w:left w:val="nil"/>
              <w:bottom w:val="single" w:sz="4" w:space="0" w:color="auto"/>
              <w:right w:val="single" w:sz="4" w:space="0" w:color="auto"/>
            </w:tcBorders>
            <w:noWrap/>
            <w:textDirection w:val="lrTb"/>
            <w:vAlign w:val="bottom"/>
            <w:hideMark/>
          </w:tcPr>
          <w:p w:rsidR="00CB350B" w:rsidRPr="002B1456" w:rsidP="00257E12">
            <w:pPr>
              <w:bidi w:val="0"/>
              <w:jc w:val="right"/>
              <w:rPr>
                <w:rFonts w:ascii="Times New Roman" w:hAnsi="Times New Roman" w:cs="Times New Roman"/>
                <w:sz w:val="14"/>
                <w:szCs w:val="14"/>
                <w:lang w:eastAsia="sk-SK"/>
              </w:rPr>
            </w:pPr>
            <w:r w:rsidRPr="002B1456">
              <w:rPr>
                <w:rFonts w:ascii="Times New Roman" w:hAnsi="Times New Roman" w:cs="Times New Roman"/>
                <w:sz w:val="14"/>
                <w:szCs w:val="14"/>
                <w:lang w:eastAsia="sk-SK"/>
              </w:rPr>
              <w:t>84 191 720</w:t>
            </w:r>
          </w:p>
        </w:tc>
        <w:tc>
          <w:tcPr>
            <w:tcW w:w="1000" w:type="dxa"/>
            <w:tcBorders>
              <w:top w:val="nil"/>
              <w:left w:val="nil"/>
              <w:bottom w:val="single" w:sz="4" w:space="0" w:color="auto"/>
              <w:right w:val="single" w:sz="4" w:space="0" w:color="auto"/>
            </w:tcBorders>
            <w:noWrap/>
            <w:textDirection w:val="lrTb"/>
            <w:vAlign w:val="bottom"/>
            <w:hideMark/>
          </w:tcPr>
          <w:p w:rsidR="00CB350B" w:rsidRPr="002B1456" w:rsidP="00257E12">
            <w:pPr>
              <w:bidi w:val="0"/>
              <w:jc w:val="right"/>
              <w:rPr>
                <w:rFonts w:ascii="Times New Roman" w:hAnsi="Times New Roman" w:cs="Times New Roman"/>
                <w:sz w:val="14"/>
                <w:szCs w:val="14"/>
                <w:lang w:eastAsia="sk-SK"/>
              </w:rPr>
            </w:pPr>
            <w:r w:rsidRPr="002B1456">
              <w:rPr>
                <w:rFonts w:ascii="Times New Roman" w:hAnsi="Times New Roman" w:cs="Times New Roman"/>
                <w:sz w:val="14"/>
                <w:szCs w:val="14"/>
                <w:lang w:eastAsia="sk-SK"/>
              </w:rPr>
              <w:t>80 418 295</w:t>
            </w:r>
          </w:p>
        </w:tc>
        <w:tc>
          <w:tcPr>
            <w:tcW w:w="1000" w:type="dxa"/>
            <w:tcBorders>
              <w:top w:val="nil"/>
              <w:left w:val="nil"/>
              <w:bottom w:val="single" w:sz="4" w:space="0" w:color="auto"/>
              <w:right w:val="single" w:sz="4" w:space="0" w:color="auto"/>
            </w:tcBorders>
            <w:noWrap/>
            <w:textDirection w:val="lrTb"/>
            <w:vAlign w:val="bottom"/>
            <w:hideMark/>
          </w:tcPr>
          <w:p w:rsidR="00CB350B" w:rsidRPr="002B1456" w:rsidP="00257E12">
            <w:pPr>
              <w:bidi w:val="0"/>
              <w:jc w:val="right"/>
              <w:rPr>
                <w:rFonts w:ascii="Times New Roman" w:hAnsi="Times New Roman" w:cs="Times New Roman"/>
                <w:sz w:val="14"/>
                <w:szCs w:val="14"/>
              </w:rPr>
            </w:pPr>
            <w:r w:rsidRPr="002B1456">
              <w:rPr>
                <w:rFonts w:ascii="Times New Roman" w:hAnsi="Times New Roman" w:cs="Times New Roman"/>
                <w:sz w:val="14"/>
                <w:szCs w:val="14"/>
              </w:rPr>
              <w:t>80 418 295</w:t>
            </w:r>
          </w:p>
        </w:tc>
        <w:tc>
          <w:tcPr>
            <w:tcW w:w="1000" w:type="dxa"/>
            <w:tcBorders>
              <w:top w:val="nil"/>
              <w:left w:val="nil"/>
              <w:bottom w:val="single" w:sz="4" w:space="0" w:color="auto"/>
              <w:right w:val="single" w:sz="4" w:space="0" w:color="auto"/>
            </w:tcBorders>
            <w:noWrap/>
            <w:textDirection w:val="lrTb"/>
            <w:vAlign w:val="bottom"/>
            <w:hideMark/>
          </w:tcPr>
          <w:p w:rsidR="00CB350B" w:rsidRPr="002B1456" w:rsidP="00257E12">
            <w:pPr>
              <w:bidi w:val="0"/>
              <w:jc w:val="right"/>
              <w:rPr>
                <w:rFonts w:ascii="Times New Roman" w:hAnsi="Times New Roman" w:cs="Times New Roman"/>
                <w:sz w:val="14"/>
                <w:szCs w:val="14"/>
                <w:lang w:eastAsia="sk-SK"/>
              </w:rPr>
            </w:pPr>
            <w:r w:rsidRPr="002B1456">
              <w:rPr>
                <w:rFonts w:ascii="Times New Roman" w:hAnsi="Times New Roman" w:cs="Times New Roman"/>
                <w:sz w:val="14"/>
                <w:szCs w:val="14"/>
                <w:lang w:eastAsia="sk-SK"/>
              </w:rPr>
              <w:t>81 616 497</w:t>
            </w:r>
          </w:p>
        </w:tc>
        <w:tc>
          <w:tcPr>
            <w:tcW w:w="1000" w:type="dxa"/>
            <w:tcBorders>
              <w:top w:val="nil"/>
              <w:left w:val="nil"/>
              <w:bottom w:val="single" w:sz="4" w:space="0" w:color="auto"/>
              <w:right w:val="single" w:sz="4" w:space="0" w:color="auto"/>
            </w:tcBorders>
            <w:noWrap/>
            <w:textDirection w:val="lrTb"/>
            <w:vAlign w:val="bottom"/>
            <w:hideMark/>
          </w:tcPr>
          <w:p w:rsidR="00CB350B" w:rsidRPr="002B1456" w:rsidP="00257E12">
            <w:pPr>
              <w:bidi w:val="0"/>
              <w:jc w:val="right"/>
              <w:rPr>
                <w:rFonts w:ascii="Times New Roman" w:hAnsi="Times New Roman" w:cs="Times New Roman"/>
                <w:sz w:val="14"/>
                <w:szCs w:val="14"/>
                <w:lang w:eastAsia="sk-SK"/>
              </w:rPr>
            </w:pPr>
            <w:r w:rsidRPr="002B1456">
              <w:rPr>
                <w:rFonts w:ascii="Times New Roman" w:hAnsi="Times New Roman" w:cs="Times New Roman"/>
                <w:sz w:val="14"/>
                <w:szCs w:val="14"/>
                <w:lang w:eastAsia="sk-SK"/>
              </w:rPr>
              <w:t>86 463 402</w:t>
            </w:r>
          </w:p>
        </w:tc>
        <w:tc>
          <w:tcPr>
            <w:tcW w:w="1000" w:type="dxa"/>
            <w:tcBorders>
              <w:top w:val="nil"/>
              <w:left w:val="nil"/>
              <w:bottom w:val="single" w:sz="4" w:space="0" w:color="auto"/>
              <w:right w:val="single" w:sz="4" w:space="0" w:color="auto"/>
            </w:tcBorders>
            <w:noWrap/>
            <w:textDirection w:val="lrTb"/>
            <w:vAlign w:val="bottom"/>
            <w:hideMark/>
          </w:tcPr>
          <w:p w:rsidR="00CB350B" w:rsidRPr="002B1456" w:rsidP="00257E12">
            <w:pPr>
              <w:bidi w:val="0"/>
              <w:jc w:val="right"/>
              <w:rPr>
                <w:rFonts w:ascii="Times New Roman" w:hAnsi="Times New Roman" w:cs="Times New Roman"/>
                <w:sz w:val="14"/>
                <w:szCs w:val="14"/>
                <w:lang w:eastAsia="sk-SK"/>
              </w:rPr>
            </w:pPr>
            <w:r w:rsidRPr="002B1456">
              <w:rPr>
                <w:rFonts w:ascii="Times New Roman" w:hAnsi="Times New Roman" w:cs="Times New Roman"/>
                <w:sz w:val="14"/>
                <w:szCs w:val="14"/>
                <w:lang w:eastAsia="sk-SK"/>
              </w:rPr>
              <w:t>89 420 757</w:t>
            </w:r>
          </w:p>
        </w:tc>
      </w:tr>
      <w:tr>
        <w:tblPrEx>
          <w:tblW w:w="9120" w:type="dxa"/>
          <w:tblInd w:w="65" w:type="dxa"/>
          <w:tblCellMar>
            <w:left w:w="70" w:type="dxa"/>
            <w:right w:w="70" w:type="dxa"/>
          </w:tblCellMar>
          <w:tblLook w:val="04A0"/>
        </w:tblPrEx>
        <w:trPr>
          <w:trHeight w:val="281"/>
        </w:trPr>
        <w:tc>
          <w:tcPr>
            <w:tcW w:w="2120" w:type="dxa"/>
            <w:tcBorders>
              <w:top w:val="nil"/>
              <w:left w:val="single" w:sz="4" w:space="0" w:color="auto"/>
              <w:bottom w:val="single" w:sz="4" w:space="0" w:color="auto"/>
              <w:right w:val="single" w:sz="4" w:space="0" w:color="auto"/>
            </w:tcBorders>
            <w:noWrap/>
            <w:textDirection w:val="lrTb"/>
            <w:vAlign w:val="bottom"/>
            <w:hideMark/>
          </w:tcPr>
          <w:p w:rsidR="00CB350B" w:rsidRPr="002B1456" w:rsidP="00257E12">
            <w:pPr>
              <w:bidi w:val="0"/>
              <w:rPr>
                <w:rFonts w:ascii="Times New Roman" w:hAnsi="Times New Roman" w:cs="Times New Roman"/>
                <w:color w:val="000000"/>
                <w:sz w:val="14"/>
                <w:szCs w:val="14"/>
                <w:lang w:eastAsia="sk-SK"/>
              </w:rPr>
            </w:pPr>
            <w:r w:rsidRPr="002B1456">
              <w:rPr>
                <w:rFonts w:ascii="Times New Roman" w:hAnsi="Times New Roman" w:cs="Times New Roman"/>
                <w:color w:val="000000"/>
                <w:sz w:val="14"/>
                <w:szCs w:val="14"/>
                <w:lang w:eastAsia="sk-SK"/>
              </w:rPr>
              <w:t xml:space="preserve">    Odvody</w:t>
            </w:r>
          </w:p>
        </w:tc>
        <w:tc>
          <w:tcPr>
            <w:tcW w:w="1000" w:type="dxa"/>
            <w:tcBorders>
              <w:top w:val="nil"/>
              <w:left w:val="nil"/>
              <w:bottom w:val="single" w:sz="4" w:space="0" w:color="auto"/>
              <w:right w:val="single" w:sz="4" w:space="0" w:color="auto"/>
            </w:tcBorders>
            <w:textDirection w:val="lrTb"/>
            <w:vAlign w:val="bottom"/>
            <w:hideMark/>
          </w:tcPr>
          <w:p w:rsidR="00CB350B" w:rsidRPr="002B1456" w:rsidP="00257E12">
            <w:pPr>
              <w:bidi w:val="0"/>
              <w:jc w:val="right"/>
              <w:rPr>
                <w:rFonts w:ascii="Times New Roman" w:hAnsi="Times New Roman" w:cs="Times New Roman"/>
                <w:sz w:val="14"/>
                <w:szCs w:val="14"/>
                <w:lang w:eastAsia="sk-SK"/>
              </w:rPr>
            </w:pPr>
            <w:r w:rsidRPr="002B1456">
              <w:rPr>
                <w:rFonts w:ascii="Times New Roman" w:hAnsi="Times New Roman" w:cs="Times New Roman"/>
                <w:sz w:val="14"/>
                <w:szCs w:val="14"/>
                <w:lang w:eastAsia="sk-SK"/>
              </w:rPr>
              <w:t>23 481 944</w:t>
            </w:r>
          </w:p>
        </w:tc>
        <w:tc>
          <w:tcPr>
            <w:tcW w:w="1000" w:type="dxa"/>
            <w:tcBorders>
              <w:top w:val="nil"/>
              <w:left w:val="nil"/>
              <w:bottom w:val="single" w:sz="4" w:space="0" w:color="auto"/>
              <w:right w:val="single" w:sz="4" w:space="0" w:color="auto"/>
            </w:tcBorders>
            <w:textDirection w:val="lrTb"/>
            <w:vAlign w:val="bottom"/>
            <w:hideMark/>
          </w:tcPr>
          <w:p w:rsidR="00CB350B" w:rsidRPr="002B1456" w:rsidP="00257E12">
            <w:pPr>
              <w:bidi w:val="0"/>
              <w:jc w:val="right"/>
              <w:rPr>
                <w:rFonts w:ascii="Times New Roman" w:hAnsi="Times New Roman" w:cs="Times New Roman"/>
                <w:sz w:val="14"/>
                <w:szCs w:val="14"/>
                <w:lang w:eastAsia="sk-SK"/>
              </w:rPr>
            </w:pPr>
            <w:r w:rsidRPr="002B1456">
              <w:rPr>
                <w:rFonts w:ascii="Times New Roman" w:hAnsi="Times New Roman" w:cs="Times New Roman"/>
                <w:sz w:val="14"/>
                <w:szCs w:val="14"/>
                <w:lang w:eastAsia="sk-SK"/>
              </w:rPr>
              <w:t>24 717 184</w:t>
            </w:r>
          </w:p>
        </w:tc>
        <w:tc>
          <w:tcPr>
            <w:tcW w:w="1000" w:type="dxa"/>
            <w:tcBorders>
              <w:top w:val="nil"/>
              <w:left w:val="nil"/>
              <w:bottom w:val="single" w:sz="4" w:space="0" w:color="auto"/>
              <w:right w:val="single" w:sz="4" w:space="0" w:color="auto"/>
            </w:tcBorders>
            <w:noWrap/>
            <w:textDirection w:val="lrTb"/>
            <w:vAlign w:val="bottom"/>
            <w:hideMark/>
          </w:tcPr>
          <w:p w:rsidR="00CB350B" w:rsidRPr="002B1456" w:rsidP="00257E12">
            <w:pPr>
              <w:bidi w:val="0"/>
              <w:jc w:val="right"/>
              <w:rPr>
                <w:rFonts w:ascii="Times New Roman" w:hAnsi="Times New Roman" w:cs="Times New Roman"/>
                <w:sz w:val="14"/>
                <w:szCs w:val="14"/>
                <w:lang w:eastAsia="sk-SK"/>
              </w:rPr>
            </w:pPr>
            <w:r w:rsidRPr="002B1456">
              <w:rPr>
                <w:rFonts w:ascii="Times New Roman" w:hAnsi="Times New Roman" w:cs="Times New Roman"/>
                <w:sz w:val="14"/>
                <w:szCs w:val="14"/>
                <w:lang w:eastAsia="sk-SK"/>
              </w:rPr>
              <w:t>25 848 660</w:t>
            </w:r>
          </w:p>
        </w:tc>
        <w:tc>
          <w:tcPr>
            <w:tcW w:w="1000" w:type="dxa"/>
            <w:tcBorders>
              <w:top w:val="nil"/>
              <w:left w:val="nil"/>
              <w:bottom w:val="single" w:sz="4" w:space="0" w:color="auto"/>
              <w:right w:val="single" w:sz="4" w:space="0" w:color="auto"/>
            </w:tcBorders>
            <w:noWrap/>
            <w:textDirection w:val="lrTb"/>
            <w:vAlign w:val="bottom"/>
            <w:hideMark/>
          </w:tcPr>
          <w:p w:rsidR="00CB350B" w:rsidRPr="002B1456" w:rsidP="00257E12">
            <w:pPr>
              <w:bidi w:val="0"/>
              <w:jc w:val="right"/>
              <w:rPr>
                <w:rFonts w:ascii="Times New Roman" w:hAnsi="Times New Roman" w:cs="Times New Roman"/>
                <w:sz w:val="14"/>
                <w:szCs w:val="14"/>
              </w:rPr>
            </w:pPr>
            <w:r w:rsidRPr="002B1456">
              <w:rPr>
                <w:rFonts w:ascii="Times New Roman" w:hAnsi="Times New Roman" w:cs="Times New Roman"/>
                <w:sz w:val="14"/>
                <w:szCs w:val="14"/>
              </w:rPr>
              <w:t>25 848 660</w:t>
            </w:r>
          </w:p>
        </w:tc>
        <w:tc>
          <w:tcPr>
            <w:tcW w:w="1000" w:type="dxa"/>
            <w:tcBorders>
              <w:top w:val="nil"/>
              <w:left w:val="nil"/>
              <w:bottom w:val="single" w:sz="4" w:space="0" w:color="auto"/>
              <w:right w:val="single" w:sz="4" w:space="0" w:color="auto"/>
            </w:tcBorders>
            <w:noWrap/>
            <w:textDirection w:val="lrTb"/>
            <w:vAlign w:val="bottom"/>
            <w:hideMark/>
          </w:tcPr>
          <w:p w:rsidR="00CB350B" w:rsidRPr="002B1456" w:rsidP="00257E12">
            <w:pPr>
              <w:bidi w:val="0"/>
              <w:jc w:val="right"/>
              <w:rPr>
                <w:rFonts w:ascii="Times New Roman" w:hAnsi="Times New Roman" w:cs="Times New Roman"/>
                <w:sz w:val="14"/>
                <w:szCs w:val="14"/>
                <w:lang w:eastAsia="sk-SK"/>
              </w:rPr>
            </w:pPr>
            <w:r w:rsidRPr="002B1456">
              <w:rPr>
                <w:rFonts w:ascii="Times New Roman" w:hAnsi="Times New Roman" w:cs="Times New Roman"/>
                <w:sz w:val="14"/>
                <w:szCs w:val="14"/>
                <w:lang w:eastAsia="sk-SK"/>
              </w:rPr>
              <w:t>26 224 343</w:t>
            </w:r>
          </w:p>
        </w:tc>
        <w:tc>
          <w:tcPr>
            <w:tcW w:w="1000" w:type="dxa"/>
            <w:tcBorders>
              <w:top w:val="nil"/>
              <w:left w:val="nil"/>
              <w:bottom w:val="single" w:sz="4" w:space="0" w:color="auto"/>
              <w:right w:val="single" w:sz="4" w:space="0" w:color="auto"/>
            </w:tcBorders>
            <w:noWrap/>
            <w:textDirection w:val="lrTb"/>
            <w:vAlign w:val="bottom"/>
            <w:hideMark/>
          </w:tcPr>
          <w:p w:rsidR="00CB350B" w:rsidRPr="002B1456" w:rsidP="00257E12">
            <w:pPr>
              <w:bidi w:val="0"/>
              <w:jc w:val="right"/>
              <w:rPr>
                <w:rFonts w:ascii="Times New Roman" w:hAnsi="Times New Roman" w:cs="Times New Roman"/>
                <w:sz w:val="14"/>
                <w:szCs w:val="14"/>
                <w:lang w:eastAsia="sk-SK"/>
              </w:rPr>
            </w:pPr>
            <w:r w:rsidRPr="002B1456">
              <w:rPr>
                <w:rFonts w:ascii="Times New Roman" w:hAnsi="Times New Roman" w:cs="Times New Roman"/>
                <w:sz w:val="14"/>
                <w:szCs w:val="14"/>
                <w:lang w:eastAsia="sk-SK"/>
              </w:rPr>
              <w:t>27 630 820</w:t>
            </w:r>
          </w:p>
        </w:tc>
        <w:tc>
          <w:tcPr>
            <w:tcW w:w="1000" w:type="dxa"/>
            <w:tcBorders>
              <w:top w:val="nil"/>
              <w:left w:val="nil"/>
              <w:bottom w:val="single" w:sz="4" w:space="0" w:color="auto"/>
              <w:right w:val="single" w:sz="4" w:space="0" w:color="auto"/>
            </w:tcBorders>
            <w:noWrap/>
            <w:textDirection w:val="lrTb"/>
            <w:vAlign w:val="bottom"/>
            <w:hideMark/>
          </w:tcPr>
          <w:p w:rsidR="00CB350B" w:rsidRPr="002B1456" w:rsidP="00257E12">
            <w:pPr>
              <w:bidi w:val="0"/>
              <w:jc w:val="right"/>
              <w:rPr>
                <w:rFonts w:ascii="Times New Roman" w:hAnsi="Times New Roman" w:cs="Times New Roman"/>
                <w:sz w:val="14"/>
                <w:szCs w:val="14"/>
                <w:lang w:eastAsia="sk-SK"/>
              </w:rPr>
            </w:pPr>
            <w:r w:rsidRPr="002B1456">
              <w:rPr>
                <w:rFonts w:ascii="Times New Roman" w:hAnsi="Times New Roman" w:cs="Times New Roman"/>
                <w:sz w:val="14"/>
                <w:szCs w:val="14"/>
                <w:lang w:eastAsia="sk-SK"/>
              </w:rPr>
              <w:t>28 488 988</w:t>
            </w:r>
          </w:p>
        </w:tc>
      </w:tr>
      <w:tr>
        <w:tblPrEx>
          <w:tblW w:w="9120" w:type="dxa"/>
          <w:tblInd w:w="65" w:type="dxa"/>
          <w:tblCellMar>
            <w:left w:w="70" w:type="dxa"/>
            <w:right w:w="70" w:type="dxa"/>
          </w:tblCellMar>
          <w:tblLook w:val="04A0"/>
        </w:tblPrEx>
        <w:trPr>
          <w:trHeight w:val="281"/>
        </w:trPr>
        <w:tc>
          <w:tcPr>
            <w:tcW w:w="2120" w:type="dxa"/>
            <w:tcBorders>
              <w:top w:val="nil"/>
              <w:left w:val="single" w:sz="4" w:space="0" w:color="auto"/>
              <w:bottom w:val="single" w:sz="4" w:space="0" w:color="auto"/>
              <w:right w:val="single" w:sz="4" w:space="0" w:color="auto"/>
            </w:tcBorders>
            <w:noWrap/>
            <w:textDirection w:val="lrTb"/>
            <w:vAlign w:val="bottom"/>
            <w:hideMark/>
          </w:tcPr>
          <w:p w:rsidR="00CB350B" w:rsidRPr="002B1456" w:rsidP="00257E12">
            <w:pPr>
              <w:bidi w:val="0"/>
              <w:rPr>
                <w:rFonts w:ascii="Times New Roman" w:hAnsi="Times New Roman" w:cs="Times New Roman"/>
                <w:color w:val="000000"/>
                <w:sz w:val="14"/>
                <w:szCs w:val="14"/>
                <w:lang w:eastAsia="sk-SK"/>
              </w:rPr>
            </w:pPr>
            <w:r w:rsidRPr="002B1456">
              <w:rPr>
                <w:rFonts w:ascii="Times New Roman" w:hAnsi="Times New Roman" w:cs="Times New Roman"/>
                <w:color w:val="000000"/>
                <w:sz w:val="14"/>
                <w:szCs w:val="14"/>
                <w:lang w:eastAsia="sk-SK"/>
              </w:rPr>
              <w:t xml:space="preserve">    tovary a služby</w:t>
            </w:r>
          </w:p>
        </w:tc>
        <w:tc>
          <w:tcPr>
            <w:tcW w:w="1000" w:type="dxa"/>
            <w:tcBorders>
              <w:top w:val="nil"/>
              <w:left w:val="nil"/>
              <w:bottom w:val="single" w:sz="4" w:space="0" w:color="auto"/>
              <w:right w:val="single" w:sz="4" w:space="0" w:color="auto"/>
            </w:tcBorders>
            <w:textDirection w:val="lrTb"/>
            <w:vAlign w:val="bottom"/>
            <w:hideMark/>
          </w:tcPr>
          <w:p w:rsidR="00CB350B" w:rsidRPr="002B1456" w:rsidP="00257E12">
            <w:pPr>
              <w:bidi w:val="0"/>
              <w:jc w:val="right"/>
              <w:rPr>
                <w:rFonts w:ascii="Times New Roman" w:hAnsi="Times New Roman" w:cs="Times New Roman"/>
                <w:sz w:val="14"/>
                <w:szCs w:val="14"/>
                <w:lang w:eastAsia="sk-SK"/>
              </w:rPr>
            </w:pPr>
            <w:r w:rsidRPr="002B1456">
              <w:rPr>
                <w:rFonts w:ascii="Times New Roman" w:hAnsi="Times New Roman" w:cs="Times New Roman"/>
                <w:sz w:val="14"/>
                <w:szCs w:val="14"/>
                <w:lang w:eastAsia="sk-SK"/>
              </w:rPr>
              <w:t>23 899 287</w:t>
            </w:r>
          </w:p>
        </w:tc>
        <w:tc>
          <w:tcPr>
            <w:tcW w:w="1000" w:type="dxa"/>
            <w:tcBorders>
              <w:top w:val="nil"/>
              <w:left w:val="nil"/>
              <w:bottom w:val="single" w:sz="4" w:space="0" w:color="auto"/>
              <w:right w:val="single" w:sz="4" w:space="0" w:color="auto"/>
            </w:tcBorders>
            <w:textDirection w:val="lrTb"/>
            <w:vAlign w:val="bottom"/>
            <w:hideMark/>
          </w:tcPr>
          <w:p w:rsidR="00CB350B" w:rsidRPr="002B1456" w:rsidP="00257E12">
            <w:pPr>
              <w:bidi w:val="0"/>
              <w:jc w:val="right"/>
              <w:rPr>
                <w:rFonts w:ascii="Times New Roman" w:hAnsi="Times New Roman" w:cs="Times New Roman"/>
                <w:sz w:val="14"/>
                <w:szCs w:val="14"/>
                <w:lang w:eastAsia="sk-SK"/>
              </w:rPr>
            </w:pPr>
            <w:r w:rsidRPr="002B1456">
              <w:rPr>
                <w:rFonts w:ascii="Times New Roman" w:hAnsi="Times New Roman" w:cs="Times New Roman"/>
                <w:sz w:val="14"/>
                <w:szCs w:val="14"/>
                <w:lang w:eastAsia="sk-SK"/>
              </w:rPr>
              <w:t>41 359 221</w:t>
            </w:r>
          </w:p>
        </w:tc>
        <w:tc>
          <w:tcPr>
            <w:tcW w:w="1000" w:type="dxa"/>
            <w:tcBorders>
              <w:top w:val="nil"/>
              <w:left w:val="nil"/>
              <w:bottom w:val="single" w:sz="4" w:space="0" w:color="auto"/>
              <w:right w:val="single" w:sz="4" w:space="0" w:color="auto"/>
            </w:tcBorders>
            <w:textDirection w:val="lrTb"/>
            <w:vAlign w:val="bottom"/>
            <w:hideMark/>
          </w:tcPr>
          <w:p w:rsidR="00CB350B" w:rsidRPr="002B1456" w:rsidP="00257E12">
            <w:pPr>
              <w:bidi w:val="0"/>
              <w:jc w:val="right"/>
              <w:rPr>
                <w:rFonts w:ascii="Times New Roman" w:hAnsi="Times New Roman" w:cs="Times New Roman"/>
                <w:sz w:val="14"/>
                <w:szCs w:val="14"/>
                <w:lang w:eastAsia="sk-SK"/>
              </w:rPr>
            </w:pPr>
            <w:r w:rsidRPr="002B1456">
              <w:rPr>
                <w:rFonts w:ascii="Times New Roman" w:hAnsi="Times New Roman" w:cs="Times New Roman"/>
                <w:sz w:val="14"/>
                <w:szCs w:val="14"/>
                <w:lang w:eastAsia="sk-SK"/>
              </w:rPr>
              <w:t>31 375 045</w:t>
            </w:r>
          </w:p>
        </w:tc>
        <w:tc>
          <w:tcPr>
            <w:tcW w:w="1000" w:type="dxa"/>
            <w:tcBorders>
              <w:top w:val="nil"/>
              <w:left w:val="nil"/>
              <w:bottom w:val="single" w:sz="4" w:space="0" w:color="auto"/>
              <w:right w:val="single" w:sz="4" w:space="0" w:color="auto"/>
            </w:tcBorders>
            <w:textDirection w:val="lrTb"/>
            <w:vAlign w:val="bottom"/>
            <w:hideMark/>
          </w:tcPr>
          <w:p w:rsidR="00CB350B" w:rsidRPr="002B1456" w:rsidP="00257E12">
            <w:pPr>
              <w:bidi w:val="0"/>
              <w:jc w:val="right"/>
              <w:rPr>
                <w:rFonts w:ascii="Times New Roman" w:hAnsi="Times New Roman" w:cs="Times New Roman"/>
                <w:sz w:val="14"/>
                <w:szCs w:val="14"/>
              </w:rPr>
            </w:pPr>
            <w:r w:rsidRPr="002B1456">
              <w:rPr>
                <w:rFonts w:ascii="Times New Roman" w:hAnsi="Times New Roman" w:cs="Times New Roman"/>
                <w:sz w:val="14"/>
                <w:szCs w:val="14"/>
              </w:rPr>
              <w:t>31 096 809</w:t>
            </w:r>
          </w:p>
        </w:tc>
        <w:tc>
          <w:tcPr>
            <w:tcW w:w="1000" w:type="dxa"/>
            <w:tcBorders>
              <w:top w:val="nil"/>
              <w:left w:val="nil"/>
              <w:bottom w:val="single" w:sz="4" w:space="0" w:color="auto"/>
              <w:right w:val="single" w:sz="4" w:space="0" w:color="auto"/>
            </w:tcBorders>
            <w:textDirection w:val="lrTb"/>
            <w:vAlign w:val="bottom"/>
            <w:hideMark/>
          </w:tcPr>
          <w:p w:rsidR="00CB350B" w:rsidRPr="002B1456" w:rsidP="00257E12">
            <w:pPr>
              <w:bidi w:val="0"/>
              <w:jc w:val="right"/>
              <w:rPr>
                <w:rFonts w:ascii="Times New Roman" w:hAnsi="Times New Roman" w:cs="Times New Roman"/>
                <w:sz w:val="14"/>
                <w:szCs w:val="14"/>
                <w:lang w:eastAsia="sk-SK"/>
              </w:rPr>
            </w:pPr>
            <w:r w:rsidRPr="002B1456">
              <w:rPr>
                <w:rFonts w:ascii="Times New Roman" w:hAnsi="Times New Roman" w:cs="Times New Roman"/>
                <w:sz w:val="14"/>
                <w:szCs w:val="14"/>
                <w:lang w:eastAsia="sk-SK"/>
              </w:rPr>
              <w:t>30 247 229</w:t>
            </w:r>
          </w:p>
        </w:tc>
        <w:tc>
          <w:tcPr>
            <w:tcW w:w="1000" w:type="dxa"/>
            <w:tcBorders>
              <w:top w:val="nil"/>
              <w:left w:val="nil"/>
              <w:bottom w:val="single" w:sz="4" w:space="0" w:color="auto"/>
              <w:right w:val="single" w:sz="4" w:space="0" w:color="auto"/>
            </w:tcBorders>
            <w:textDirection w:val="lrTb"/>
            <w:vAlign w:val="bottom"/>
            <w:hideMark/>
          </w:tcPr>
          <w:p w:rsidR="00CB350B" w:rsidRPr="002B1456" w:rsidP="00257E12">
            <w:pPr>
              <w:bidi w:val="0"/>
              <w:jc w:val="right"/>
              <w:rPr>
                <w:rFonts w:ascii="Times New Roman" w:hAnsi="Times New Roman" w:cs="Times New Roman"/>
                <w:sz w:val="14"/>
                <w:szCs w:val="14"/>
                <w:lang w:eastAsia="sk-SK"/>
              </w:rPr>
            </w:pPr>
            <w:r w:rsidRPr="002B1456">
              <w:rPr>
                <w:rFonts w:ascii="Times New Roman" w:hAnsi="Times New Roman" w:cs="Times New Roman"/>
                <w:sz w:val="14"/>
                <w:szCs w:val="14"/>
                <w:lang w:eastAsia="sk-SK"/>
              </w:rPr>
              <w:t>30 215 229</w:t>
            </w:r>
          </w:p>
        </w:tc>
        <w:tc>
          <w:tcPr>
            <w:tcW w:w="1000" w:type="dxa"/>
            <w:tcBorders>
              <w:top w:val="nil"/>
              <w:left w:val="nil"/>
              <w:bottom w:val="single" w:sz="4" w:space="0" w:color="auto"/>
              <w:right w:val="single" w:sz="4" w:space="0" w:color="auto"/>
            </w:tcBorders>
            <w:textDirection w:val="lrTb"/>
            <w:vAlign w:val="bottom"/>
            <w:hideMark/>
          </w:tcPr>
          <w:p w:rsidR="00CB350B" w:rsidRPr="002B1456" w:rsidP="00257E12">
            <w:pPr>
              <w:bidi w:val="0"/>
              <w:jc w:val="right"/>
              <w:rPr>
                <w:rFonts w:ascii="Times New Roman" w:hAnsi="Times New Roman" w:cs="Times New Roman"/>
                <w:sz w:val="14"/>
                <w:szCs w:val="14"/>
                <w:lang w:eastAsia="sk-SK"/>
              </w:rPr>
            </w:pPr>
            <w:r w:rsidRPr="002B1456">
              <w:rPr>
                <w:rFonts w:ascii="Times New Roman" w:hAnsi="Times New Roman" w:cs="Times New Roman"/>
                <w:sz w:val="14"/>
                <w:szCs w:val="14"/>
                <w:lang w:eastAsia="sk-SK"/>
              </w:rPr>
              <w:t>30 215 229</w:t>
            </w:r>
          </w:p>
        </w:tc>
      </w:tr>
      <w:tr>
        <w:tblPrEx>
          <w:tblW w:w="9120" w:type="dxa"/>
          <w:tblInd w:w="65" w:type="dxa"/>
          <w:tblCellMar>
            <w:left w:w="70" w:type="dxa"/>
            <w:right w:w="70" w:type="dxa"/>
          </w:tblCellMar>
          <w:tblLook w:val="04A0"/>
        </w:tblPrEx>
        <w:trPr>
          <w:trHeight w:val="281"/>
        </w:trPr>
        <w:tc>
          <w:tcPr>
            <w:tcW w:w="2120" w:type="dxa"/>
            <w:tcBorders>
              <w:top w:val="nil"/>
              <w:left w:val="single" w:sz="4" w:space="0" w:color="auto"/>
              <w:bottom w:val="single" w:sz="4" w:space="0" w:color="auto"/>
              <w:right w:val="single" w:sz="4" w:space="0" w:color="auto"/>
            </w:tcBorders>
            <w:noWrap/>
            <w:textDirection w:val="lrTb"/>
            <w:vAlign w:val="bottom"/>
            <w:hideMark/>
          </w:tcPr>
          <w:p w:rsidR="00CB350B" w:rsidRPr="002B1456" w:rsidP="00257E12">
            <w:pPr>
              <w:bidi w:val="0"/>
              <w:rPr>
                <w:rFonts w:ascii="Times New Roman" w:hAnsi="Times New Roman" w:cs="Times New Roman"/>
                <w:color w:val="000000"/>
                <w:sz w:val="14"/>
                <w:szCs w:val="14"/>
                <w:lang w:eastAsia="sk-SK"/>
              </w:rPr>
            </w:pPr>
            <w:r w:rsidRPr="002B1456">
              <w:rPr>
                <w:rFonts w:ascii="Times New Roman" w:hAnsi="Times New Roman" w:cs="Times New Roman"/>
                <w:color w:val="000000"/>
                <w:sz w:val="14"/>
                <w:szCs w:val="14"/>
                <w:lang w:eastAsia="sk-SK"/>
              </w:rPr>
              <w:t xml:space="preserve">    bežné transfery</w:t>
            </w:r>
          </w:p>
        </w:tc>
        <w:tc>
          <w:tcPr>
            <w:tcW w:w="1000" w:type="dxa"/>
            <w:tcBorders>
              <w:top w:val="nil"/>
              <w:left w:val="nil"/>
              <w:bottom w:val="single" w:sz="4" w:space="0" w:color="auto"/>
              <w:right w:val="single" w:sz="4" w:space="0" w:color="auto"/>
            </w:tcBorders>
            <w:textDirection w:val="lrTb"/>
            <w:vAlign w:val="bottom"/>
            <w:hideMark/>
          </w:tcPr>
          <w:p w:rsidR="00CB350B" w:rsidRPr="002B1456" w:rsidP="00257E12">
            <w:pPr>
              <w:bidi w:val="0"/>
              <w:jc w:val="right"/>
              <w:rPr>
                <w:rFonts w:ascii="Times New Roman" w:hAnsi="Times New Roman" w:cs="Times New Roman"/>
                <w:sz w:val="14"/>
                <w:szCs w:val="14"/>
                <w:lang w:eastAsia="sk-SK"/>
              </w:rPr>
            </w:pPr>
            <w:r w:rsidRPr="002B1456">
              <w:rPr>
                <w:rFonts w:ascii="Times New Roman" w:hAnsi="Times New Roman" w:cs="Times New Roman"/>
                <w:sz w:val="14"/>
                <w:szCs w:val="14"/>
                <w:lang w:eastAsia="sk-SK"/>
              </w:rPr>
              <w:t>2 136 102</w:t>
            </w:r>
          </w:p>
        </w:tc>
        <w:tc>
          <w:tcPr>
            <w:tcW w:w="1000" w:type="dxa"/>
            <w:tcBorders>
              <w:top w:val="nil"/>
              <w:left w:val="nil"/>
              <w:bottom w:val="single" w:sz="4" w:space="0" w:color="auto"/>
              <w:right w:val="single" w:sz="4" w:space="0" w:color="auto"/>
            </w:tcBorders>
            <w:textDirection w:val="lrTb"/>
            <w:vAlign w:val="bottom"/>
            <w:hideMark/>
          </w:tcPr>
          <w:p w:rsidR="00CB350B" w:rsidRPr="002B1456" w:rsidP="00257E12">
            <w:pPr>
              <w:bidi w:val="0"/>
              <w:jc w:val="right"/>
              <w:rPr>
                <w:rFonts w:ascii="Times New Roman" w:hAnsi="Times New Roman" w:cs="Times New Roman"/>
                <w:sz w:val="14"/>
                <w:szCs w:val="14"/>
                <w:lang w:eastAsia="sk-SK"/>
              </w:rPr>
            </w:pPr>
            <w:r w:rsidRPr="002B1456">
              <w:rPr>
                <w:rFonts w:ascii="Times New Roman" w:hAnsi="Times New Roman" w:cs="Times New Roman"/>
                <w:sz w:val="14"/>
                <w:szCs w:val="14"/>
                <w:lang w:eastAsia="sk-SK"/>
              </w:rPr>
              <w:t>3 289 803</w:t>
            </w:r>
          </w:p>
        </w:tc>
        <w:tc>
          <w:tcPr>
            <w:tcW w:w="1000" w:type="dxa"/>
            <w:tcBorders>
              <w:top w:val="nil"/>
              <w:left w:val="nil"/>
              <w:bottom w:val="single" w:sz="4" w:space="0" w:color="auto"/>
              <w:right w:val="single" w:sz="4" w:space="0" w:color="auto"/>
            </w:tcBorders>
            <w:textDirection w:val="lrTb"/>
            <w:vAlign w:val="bottom"/>
            <w:hideMark/>
          </w:tcPr>
          <w:p w:rsidR="00CB350B" w:rsidRPr="002B1456" w:rsidP="00257E12">
            <w:pPr>
              <w:bidi w:val="0"/>
              <w:jc w:val="right"/>
              <w:rPr>
                <w:rFonts w:ascii="Times New Roman" w:hAnsi="Times New Roman" w:cs="Times New Roman"/>
                <w:sz w:val="14"/>
                <w:szCs w:val="14"/>
                <w:lang w:eastAsia="sk-SK"/>
              </w:rPr>
            </w:pPr>
            <w:r w:rsidRPr="002B1456">
              <w:rPr>
                <w:rFonts w:ascii="Times New Roman" w:hAnsi="Times New Roman" w:cs="Times New Roman"/>
                <w:sz w:val="14"/>
                <w:szCs w:val="14"/>
                <w:lang w:eastAsia="sk-SK"/>
              </w:rPr>
              <w:t>2 656 700</w:t>
            </w:r>
          </w:p>
        </w:tc>
        <w:tc>
          <w:tcPr>
            <w:tcW w:w="1000" w:type="dxa"/>
            <w:tcBorders>
              <w:top w:val="nil"/>
              <w:left w:val="nil"/>
              <w:bottom w:val="single" w:sz="4" w:space="0" w:color="auto"/>
              <w:right w:val="single" w:sz="4" w:space="0" w:color="auto"/>
            </w:tcBorders>
            <w:textDirection w:val="lrTb"/>
            <w:vAlign w:val="bottom"/>
            <w:hideMark/>
          </w:tcPr>
          <w:p w:rsidR="00CB350B" w:rsidRPr="002B1456" w:rsidP="00257E12">
            <w:pPr>
              <w:bidi w:val="0"/>
              <w:jc w:val="right"/>
              <w:rPr>
                <w:rFonts w:ascii="Times New Roman" w:hAnsi="Times New Roman" w:cs="Times New Roman"/>
                <w:sz w:val="14"/>
                <w:szCs w:val="14"/>
              </w:rPr>
            </w:pPr>
            <w:r w:rsidRPr="002B1456">
              <w:rPr>
                <w:rFonts w:ascii="Times New Roman" w:hAnsi="Times New Roman" w:cs="Times New Roman"/>
                <w:sz w:val="14"/>
                <w:szCs w:val="14"/>
              </w:rPr>
              <w:t>1 611 626</w:t>
            </w:r>
          </w:p>
        </w:tc>
        <w:tc>
          <w:tcPr>
            <w:tcW w:w="1000" w:type="dxa"/>
            <w:tcBorders>
              <w:top w:val="nil"/>
              <w:left w:val="nil"/>
              <w:bottom w:val="single" w:sz="4" w:space="0" w:color="auto"/>
              <w:right w:val="single" w:sz="4" w:space="0" w:color="auto"/>
            </w:tcBorders>
            <w:textDirection w:val="lrTb"/>
            <w:vAlign w:val="bottom"/>
            <w:hideMark/>
          </w:tcPr>
          <w:p w:rsidR="00CB350B" w:rsidRPr="002B1456" w:rsidP="00257E12">
            <w:pPr>
              <w:bidi w:val="0"/>
              <w:jc w:val="right"/>
              <w:rPr>
                <w:rFonts w:ascii="Times New Roman" w:hAnsi="Times New Roman" w:cs="Times New Roman"/>
                <w:sz w:val="14"/>
                <w:szCs w:val="14"/>
                <w:lang w:eastAsia="sk-SK"/>
              </w:rPr>
            </w:pPr>
            <w:r w:rsidRPr="002B1456">
              <w:rPr>
                <w:rFonts w:ascii="Times New Roman" w:hAnsi="Times New Roman" w:cs="Times New Roman"/>
                <w:sz w:val="14"/>
                <w:szCs w:val="14"/>
                <w:lang w:eastAsia="sk-SK"/>
              </w:rPr>
              <w:t>1 388 298</w:t>
            </w:r>
          </w:p>
        </w:tc>
        <w:tc>
          <w:tcPr>
            <w:tcW w:w="1000" w:type="dxa"/>
            <w:tcBorders>
              <w:top w:val="nil"/>
              <w:left w:val="nil"/>
              <w:bottom w:val="single" w:sz="4" w:space="0" w:color="auto"/>
              <w:right w:val="single" w:sz="4" w:space="0" w:color="auto"/>
            </w:tcBorders>
            <w:textDirection w:val="lrTb"/>
            <w:vAlign w:val="bottom"/>
            <w:hideMark/>
          </w:tcPr>
          <w:p w:rsidR="00CB350B" w:rsidRPr="002B1456" w:rsidP="00257E12">
            <w:pPr>
              <w:bidi w:val="0"/>
              <w:jc w:val="right"/>
              <w:rPr>
                <w:rFonts w:ascii="Times New Roman" w:hAnsi="Times New Roman" w:cs="Times New Roman"/>
                <w:sz w:val="14"/>
                <w:szCs w:val="14"/>
                <w:lang w:eastAsia="sk-SK"/>
              </w:rPr>
            </w:pPr>
            <w:r w:rsidRPr="002B1456">
              <w:rPr>
                <w:rFonts w:ascii="Times New Roman" w:hAnsi="Times New Roman" w:cs="Times New Roman"/>
                <w:sz w:val="14"/>
                <w:szCs w:val="14"/>
                <w:lang w:eastAsia="sk-SK"/>
              </w:rPr>
              <w:t>1 388 298</w:t>
            </w:r>
          </w:p>
        </w:tc>
        <w:tc>
          <w:tcPr>
            <w:tcW w:w="1000" w:type="dxa"/>
            <w:tcBorders>
              <w:top w:val="nil"/>
              <w:left w:val="nil"/>
              <w:bottom w:val="single" w:sz="4" w:space="0" w:color="auto"/>
              <w:right w:val="single" w:sz="4" w:space="0" w:color="auto"/>
            </w:tcBorders>
            <w:textDirection w:val="lrTb"/>
            <w:vAlign w:val="bottom"/>
            <w:hideMark/>
          </w:tcPr>
          <w:p w:rsidR="00CB350B" w:rsidRPr="002B1456" w:rsidP="00257E12">
            <w:pPr>
              <w:bidi w:val="0"/>
              <w:jc w:val="right"/>
              <w:rPr>
                <w:rFonts w:ascii="Times New Roman" w:hAnsi="Times New Roman" w:cs="Times New Roman"/>
                <w:sz w:val="14"/>
                <w:szCs w:val="14"/>
                <w:lang w:eastAsia="sk-SK"/>
              </w:rPr>
            </w:pPr>
            <w:r w:rsidRPr="002B1456">
              <w:rPr>
                <w:rFonts w:ascii="Times New Roman" w:hAnsi="Times New Roman" w:cs="Times New Roman"/>
                <w:sz w:val="14"/>
                <w:szCs w:val="14"/>
                <w:lang w:eastAsia="sk-SK"/>
              </w:rPr>
              <w:t>1 388 298</w:t>
            </w:r>
          </w:p>
        </w:tc>
      </w:tr>
      <w:tr>
        <w:tblPrEx>
          <w:tblW w:w="9120" w:type="dxa"/>
          <w:tblInd w:w="65" w:type="dxa"/>
          <w:tblCellMar>
            <w:left w:w="70" w:type="dxa"/>
            <w:right w:w="70" w:type="dxa"/>
          </w:tblCellMar>
          <w:tblLook w:val="04A0"/>
        </w:tblPrEx>
        <w:trPr>
          <w:trHeight w:val="281"/>
        </w:trPr>
        <w:tc>
          <w:tcPr>
            <w:tcW w:w="2120" w:type="dxa"/>
            <w:tcBorders>
              <w:top w:val="nil"/>
              <w:left w:val="single" w:sz="4" w:space="0" w:color="auto"/>
              <w:bottom w:val="single" w:sz="4" w:space="0" w:color="auto"/>
              <w:right w:val="single" w:sz="4" w:space="0" w:color="auto"/>
            </w:tcBorders>
            <w:noWrap/>
            <w:textDirection w:val="lrTb"/>
            <w:vAlign w:val="bottom"/>
            <w:hideMark/>
          </w:tcPr>
          <w:p w:rsidR="00CB350B" w:rsidRPr="002B1456" w:rsidP="00257E12">
            <w:pPr>
              <w:bidi w:val="0"/>
              <w:rPr>
                <w:rFonts w:ascii="Times New Roman" w:hAnsi="Times New Roman" w:cs="Times New Roman"/>
                <w:color w:val="000000"/>
                <w:sz w:val="14"/>
                <w:szCs w:val="14"/>
                <w:lang w:eastAsia="sk-SK"/>
              </w:rPr>
            </w:pPr>
            <w:r w:rsidRPr="002B1456">
              <w:rPr>
                <w:rFonts w:ascii="Times New Roman" w:hAnsi="Times New Roman" w:cs="Times New Roman"/>
                <w:color w:val="000000"/>
                <w:sz w:val="14"/>
                <w:szCs w:val="14"/>
                <w:lang w:eastAsia="sk-SK"/>
              </w:rPr>
              <w:t xml:space="preserve">    kapitálové výdavky</w:t>
            </w:r>
          </w:p>
        </w:tc>
        <w:tc>
          <w:tcPr>
            <w:tcW w:w="1000" w:type="dxa"/>
            <w:tcBorders>
              <w:top w:val="nil"/>
              <w:left w:val="nil"/>
              <w:bottom w:val="single" w:sz="4" w:space="0" w:color="auto"/>
              <w:right w:val="single" w:sz="4" w:space="0" w:color="auto"/>
            </w:tcBorders>
            <w:noWrap/>
            <w:textDirection w:val="lrTb"/>
            <w:vAlign w:val="bottom"/>
            <w:hideMark/>
          </w:tcPr>
          <w:p w:rsidR="00CB350B" w:rsidRPr="002B1456" w:rsidP="00257E12">
            <w:pPr>
              <w:bidi w:val="0"/>
              <w:jc w:val="right"/>
              <w:rPr>
                <w:rFonts w:ascii="Times New Roman" w:hAnsi="Times New Roman" w:cs="Times New Roman"/>
                <w:sz w:val="14"/>
                <w:szCs w:val="14"/>
                <w:lang w:eastAsia="sk-SK"/>
              </w:rPr>
            </w:pPr>
            <w:r w:rsidRPr="002B1456">
              <w:rPr>
                <w:rFonts w:ascii="Times New Roman" w:hAnsi="Times New Roman" w:cs="Times New Roman"/>
                <w:sz w:val="14"/>
                <w:szCs w:val="14"/>
                <w:lang w:eastAsia="sk-SK"/>
              </w:rPr>
              <w:t>9 578 445</w:t>
            </w:r>
          </w:p>
        </w:tc>
        <w:tc>
          <w:tcPr>
            <w:tcW w:w="1000" w:type="dxa"/>
            <w:tcBorders>
              <w:top w:val="nil"/>
              <w:left w:val="nil"/>
              <w:bottom w:val="single" w:sz="4" w:space="0" w:color="auto"/>
              <w:right w:val="single" w:sz="4" w:space="0" w:color="auto"/>
            </w:tcBorders>
            <w:noWrap/>
            <w:textDirection w:val="lrTb"/>
            <w:vAlign w:val="bottom"/>
            <w:hideMark/>
          </w:tcPr>
          <w:p w:rsidR="00CB350B" w:rsidRPr="002B1456" w:rsidP="00257E12">
            <w:pPr>
              <w:bidi w:val="0"/>
              <w:jc w:val="right"/>
              <w:rPr>
                <w:rFonts w:ascii="Times New Roman" w:hAnsi="Times New Roman" w:cs="Times New Roman"/>
                <w:sz w:val="14"/>
                <w:szCs w:val="14"/>
                <w:lang w:eastAsia="sk-SK"/>
              </w:rPr>
            </w:pPr>
            <w:r w:rsidRPr="002B1456">
              <w:rPr>
                <w:rFonts w:ascii="Times New Roman" w:hAnsi="Times New Roman" w:cs="Times New Roman"/>
                <w:sz w:val="14"/>
                <w:szCs w:val="14"/>
                <w:lang w:eastAsia="sk-SK"/>
              </w:rPr>
              <w:t>2 042 690</w:t>
            </w:r>
          </w:p>
        </w:tc>
        <w:tc>
          <w:tcPr>
            <w:tcW w:w="1000" w:type="dxa"/>
            <w:tcBorders>
              <w:top w:val="nil"/>
              <w:left w:val="nil"/>
              <w:bottom w:val="single" w:sz="4" w:space="0" w:color="auto"/>
              <w:right w:val="single" w:sz="4" w:space="0" w:color="auto"/>
            </w:tcBorders>
            <w:textDirection w:val="lrTb"/>
            <w:vAlign w:val="bottom"/>
            <w:hideMark/>
          </w:tcPr>
          <w:p w:rsidR="00CB350B" w:rsidRPr="002B1456" w:rsidP="00257E12">
            <w:pPr>
              <w:bidi w:val="0"/>
              <w:jc w:val="right"/>
              <w:rPr>
                <w:rFonts w:ascii="Times New Roman" w:hAnsi="Times New Roman" w:cs="Times New Roman"/>
                <w:sz w:val="14"/>
                <w:szCs w:val="14"/>
                <w:lang w:eastAsia="sk-SK"/>
              </w:rPr>
            </w:pPr>
            <w:r w:rsidRPr="002B1456">
              <w:rPr>
                <w:rFonts w:ascii="Times New Roman" w:hAnsi="Times New Roman" w:cs="Times New Roman"/>
                <w:sz w:val="14"/>
                <w:szCs w:val="14"/>
                <w:lang w:eastAsia="sk-SK"/>
              </w:rPr>
              <w:t>1 604 521</w:t>
            </w:r>
          </w:p>
        </w:tc>
        <w:tc>
          <w:tcPr>
            <w:tcW w:w="1000" w:type="dxa"/>
            <w:tcBorders>
              <w:top w:val="nil"/>
              <w:left w:val="nil"/>
              <w:bottom w:val="single" w:sz="4" w:space="0" w:color="auto"/>
              <w:right w:val="single" w:sz="4" w:space="0" w:color="auto"/>
            </w:tcBorders>
            <w:textDirection w:val="lrTb"/>
            <w:vAlign w:val="bottom"/>
            <w:hideMark/>
          </w:tcPr>
          <w:p w:rsidR="00CB350B" w:rsidRPr="002B1456" w:rsidP="00257E12">
            <w:pPr>
              <w:bidi w:val="0"/>
              <w:jc w:val="right"/>
              <w:rPr>
                <w:rFonts w:ascii="Times New Roman" w:hAnsi="Times New Roman" w:cs="Times New Roman"/>
                <w:sz w:val="14"/>
                <w:szCs w:val="14"/>
              </w:rPr>
            </w:pPr>
            <w:r w:rsidRPr="002B1456">
              <w:rPr>
                <w:rFonts w:ascii="Times New Roman" w:hAnsi="Times New Roman" w:cs="Times New Roman"/>
                <w:sz w:val="14"/>
                <w:szCs w:val="14"/>
              </w:rPr>
              <w:t>3 581 630</w:t>
            </w:r>
          </w:p>
        </w:tc>
        <w:tc>
          <w:tcPr>
            <w:tcW w:w="1000" w:type="dxa"/>
            <w:tcBorders>
              <w:top w:val="nil"/>
              <w:left w:val="nil"/>
              <w:bottom w:val="single" w:sz="4" w:space="0" w:color="auto"/>
              <w:right w:val="single" w:sz="4" w:space="0" w:color="auto"/>
            </w:tcBorders>
            <w:textDirection w:val="lrTb"/>
            <w:vAlign w:val="bottom"/>
            <w:hideMark/>
          </w:tcPr>
          <w:p w:rsidR="00CB350B" w:rsidRPr="002B1456" w:rsidP="00257E12">
            <w:pPr>
              <w:bidi w:val="0"/>
              <w:jc w:val="right"/>
              <w:rPr>
                <w:rFonts w:ascii="Times New Roman" w:hAnsi="Times New Roman" w:cs="Times New Roman"/>
                <w:sz w:val="14"/>
                <w:szCs w:val="14"/>
                <w:lang w:eastAsia="sk-SK"/>
              </w:rPr>
            </w:pPr>
            <w:r w:rsidRPr="002B1456">
              <w:rPr>
                <w:rFonts w:ascii="Times New Roman" w:hAnsi="Times New Roman" w:cs="Times New Roman"/>
                <w:sz w:val="14"/>
                <w:szCs w:val="14"/>
                <w:lang w:eastAsia="sk-SK"/>
              </w:rPr>
              <w:t>7 000 000</w:t>
            </w:r>
          </w:p>
        </w:tc>
        <w:tc>
          <w:tcPr>
            <w:tcW w:w="1000" w:type="dxa"/>
            <w:tcBorders>
              <w:top w:val="nil"/>
              <w:left w:val="nil"/>
              <w:bottom w:val="single" w:sz="4" w:space="0" w:color="auto"/>
              <w:right w:val="single" w:sz="4" w:space="0" w:color="auto"/>
            </w:tcBorders>
            <w:textDirection w:val="lrTb"/>
            <w:vAlign w:val="bottom"/>
            <w:hideMark/>
          </w:tcPr>
          <w:p w:rsidR="00CB350B" w:rsidRPr="002B1456" w:rsidP="00257E12">
            <w:pPr>
              <w:bidi w:val="0"/>
              <w:jc w:val="right"/>
              <w:rPr>
                <w:rFonts w:ascii="Times New Roman" w:hAnsi="Times New Roman" w:cs="Times New Roman"/>
                <w:sz w:val="14"/>
                <w:szCs w:val="14"/>
                <w:lang w:eastAsia="sk-SK"/>
              </w:rPr>
            </w:pPr>
            <w:r w:rsidRPr="002B1456">
              <w:rPr>
                <w:rFonts w:ascii="Times New Roman" w:hAnsi="Times New Roman" w:cs="Times New Roman"/>
                <w:sz w:val="14"/>
                <w:szCs w:val="14"/>
                <w:lang w:eastAsia="sk-SK"/>
              </w:rPr>
              <w:t>7 000 000</w:t>
            </w:r>
          </w:p>
        </w:tc>
        <w:tc>
          <w:tcPr>
            <w:tcW w:w="1000" w:type="dxa"/>
            <w:tcBorders>
              <w:top w:val="nil"/>
              <w:left w:val="nil"/>
              <w:bottom w:val="single" w:sz="4" w:space="0" w:color="auto"/>
              <w:right w:val="single" w:sz="4" w:space="0" w:color="auto"/>
            </w:tcBorders>
            <w:textDirection w:val="lrTb"/>
            <w:vAlign w:val="bottom"/>
            <w:hideMark/>
          </w:tcPr>
          <w:p w:rsidR="00CB350B" w:rsidRPr="002B1456" w:rsidP="00257E12">
            <w:pPr>
              <w:bidi w:val="0"/>
              <w:jc w:val="right"/>
              <w:rPr>
                <w:rFonts w:ascii="Times New Roman" w:hAnsi="Times New Roman" w:cs="Times New Roman"/>
                <w:sz w:val="14"/>
                <w:szCs w:val="14"/>
                <w:lang w:eastAsia="sk-SK"/>
              </w:rPr>
            </w:pPr>
            <w:r w:rsidRPr="002B1456">
              <w:rPr>
                <w:rFonts w:ascii="Times New Roman" w:hAnsi="Times New Roman" w:cs="Times New Roman"/>
                <w:sz w:val="14"/>
                <w:szCs w:val="14"/>
                <w:lang w:eastAsia="sk-SK"/>
              </w:rPr>
              <w:t>7 000 000</w:t>
            </w:r>
          </w:p>
        </w:tc>
      </w:tr>
    </w:tbl>
    <w:p w:rsidR="00CB350B" w:rsidRPr="0004638E" w:rsidP="00CB350B">
      <w:pPr>
        <w:bidi w:val="0"/>
        <w:jc w:val="both"/>
        <w:rPr>
          <w:rFonts w:ascii="Times New Roman" w:hAnsi="Times New Roman" w:cs="Times New Roman"/>
        </w:rPr>
      </w:pPr>
    </w:p>
    <w:p w:rsidR="00CB350B" w:rsidRPr="00063075" w:rsidP="00CB350B">
      <w:pPr>
        <w:bidi w:val="0"/>
        <w:ind w:firstLine="708"/>
        <w:jc w:val="both"/>
        <w:rPr>
          <w:rFonts w:ascii="Times New Roman" w:hAnsi="Times New Roman" w:cs="Times New Roman"/>
        </w:rPr>
      </w:pPr>
      <w:r w:rsidRPr="0004638E">
        <w:rPr>
          <w:rFonts w:ascii="Times New Roman" w:hAnsi="Times New Roman" w:cs="Times New Roman"/>
        </w:rPr>
        <w:t xml:space="preserve">Na personálne a materiálno–technické zabezpečenie činnosti súdov a na efektívny výkon okresných a krajských súdov sa na rok 2012 rozpočtujú </w:t>
      </w:r>
      <w:r w:rsidRPr="00063075">
        <w:rPr>
          <w:rFonts w:ascii="Times New Roman" w:hAnsi="Times New Roman" w:cs="Times New Roman"/>
        </w:rPr>
        <w:t>výdavky v sume 147 mil. eur. V porovnaní s rokom 2011 sa na súdnictvo v roku 2012 rozpočtujú výdavky o 3,22 % vyššie.</w:t>
      </w:r>
    </w:p>
    <w:p w:rsidR="00CB350B" w:rsidRPr="00063075"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Osobné výdavky oproti schválenému rozpočtu roku 2011 stúpajú o 1,48 % z dôvodu valorizácie platov sudcov okresných a krajských súdov. Tovary a služby oproti schválenému rozpočtu roku 2011 klesajú o 3,59 % v nadväznosti na celoplošné zníženie prevádzkových výdavkov. Bežné transfery klesajú o 47,7 %, nakoľko si kapitola bežné transfery súdnictva v sume 1,27 mil. eur presunula do administratívy na odškodňovanie pre potreby vyplatenia úhrad platného nároku odškodňovaným osobám a na vyplatenie príplatku k dôchodku sudcov.</w:t>
      </w:r>
    </w:p>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 xml:space="preserve">V zmysle návrhu novely zákona č. 327/2005 Z. z. o poskytovaní právnej pomoci osobám v materiálnej núdzi sa súdnictvu rozpočtujú náklady v rámci tovarov a služieb na rok 2012  v sume 500 tis. eur, na rok 2013 v sume 468 tis. eur, na rok 2014 v sume 468 tis. eur a na rok 2015 v sume 468 tis. eur. </w:t>
      </w:r>
    </w:p>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Kapitálové výdavky rastú v roku 2012 na úroveň 7,00 mil. eur, čo je viac o 4,13 mil. eur oproti očakávanej skutočnosti roku 2011. Kapitola bude z kapitálových prostriedkov financovať predovšetkým nové projekty s vysokou prioritou v zmysle Koncepcie rozvoja informatizácie spoločnosti, ako i pokračovať vo financovaní projektov, ktoré sa začali financovať v roku 2011.</w:t>
      </w:r>
    </w:p>
    <w:p w:rsidR="00CB350B" w:rsidRPr="0004638E" w:rsidP="00CB350B">
      <w:pPr>
        <w:bidi w:val="0"/>
        <w:rPr>
          <w:rFonts w:ascii="Times New Roman" w:hAnsi="Times New Roman" w:cs="Times New Roman"/>
        </w:rPr>
      </w:pPr>
    </w:p>
    <w:p w:rsidR="00CB350B" w:rsidRPr="0004638E" w:rsidP="00CB350B">
      <w:pPr>
        <w:bidi w:val="0"/>
        <w:spacing w:after="200"/>
        <w:ind w:firstLine="708"/>
        <w:jc w:val="both"/>
        <w:rPr>
          <w:rFonts w:ascii="Times New Roman" w:hAnsi="Times New Roman" w:cs="Times New Roman"/>
        </w:rPr>
      </w:pPr>
      <w:r w:rsidRPr="0004638E">
        <w:rPr>
          <w:rFonts w:ascii="Times New Roman" w:hAnsi="Times New Roman" w:cs="Times New Roman"/>
        </w:rPr>
        <w:t>Cieľom uvedených aktivít je</w:t>
      </w:r>
      <w:r w:rsidRPr="0004638E">
        <w:rPr>
          <w:rFonts w:ascii="Times New Roman" w:hAnsi="Times New Roman" w:cs="Times New Roman"/>
          <w:b/>
        </w:rPr>
        <w:t xml:space="preserve"> </w:t>
      </w:r>
      <w:r w:rsidRPr="0004638E">
        <w:rPr>
          <w:rFonts w:ascii="Times New Roman" w:hAnsi="Times New Roman" w:cs="Times New Roman"/>
        </w:rPr>
        <w:t>zníženie prevádzkových výdavkov a zníženie administratívnej náročnosti, ako aj výrazné skrátenie lehôt potrebných na doručovanie súdnych písomností. Ďalším prínosom pre občanov bude on-line prístup k výpisom z obchodného registra, zjednodušenie prístupu, výrazné zrýchlenie a zefektívnenie súdneho konania, zníženie prieťahov v súdnych konaniach a zvýraznenie prehľadnosti, transparentnosti a možnosti kontroly v justícii, a tým posilnenie dôveryhodnosti justície.</w:t>
      </w: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 xml:space="preserve">Ide hlavne o projekt „Aktualizácie, technologickej nadstavby a rozšírenia služieb Obchodného registra Slovenskej republiky, zavedenia dátových schránok v projekte elektronického doručovania súdnych písomností a obnovu výpočtovej techniky v celom rezorte spravodlivosti“. Súčasne pôjde i o dobudovanie záložného výpočtového centra, vrátane zálohovacieho centra a nákupu príslušnej výpočtovej techniky a softvéru pre sudcov.  </w:t>
      </w:r>
    </w:p>
    <w:p w:rsidR="00CB350B" w:rsidRPr="0004638E" w:rsidP="00CB350B">
      <w:pPr>
        <w:bidi w:val="0"/>
        <w:jc w:val="both"/>
        <w:rPr>
          <w:rFonts w:ascii="Times New Roman" w:hAnsi="Times New Roman" w:cs="Times New Roman"/>
          <w:b/>
          <w:i/>
        </w:rPr>
      </w:pPr>
    </w:p>
    <w:p w:rsidR="00CB350B" w:rsidRPr="00063075" w:rsidP="00CB350B">
      <w:pPr>
        <w:bidi w:val="0"/>
        <w:jc w:val="both"/>
        <w:rPr>
          <w:rFonts w:ascii="Times New Roman" w:hAnsi="Times New Roman" w:cs="Times New Roman"/>
          <w:i/>
        </w:rPr>
      </w:pPr>
      <w:r w:rsidRPr="00063075">
        <w:rPr>
          <w:rFonts w:ascii="Times New Roman" w:hAnsi="Times New Roman" w:cs="Times New Roman"/>
          <w:i/>
        </w:rPr>
        <w:t>Odmeny a náhrady za služby</w:t>
      </w:r>
    </w:p>
    <w:p w:rsidR="00CB350B" w:rsidRPr="0004638E" w:rsidP="00CB350B">
      <w:pPr>
        <w:bidi w:val="0"/>
        <w:ind w:firstLine="708"/>
        <w:jc w:val="both"/>
        <w:rPr>
          <w:rFonts w:ascii="Times New Roman" w:hAnsi="Times New Roman" w:cs="Times New Roman"/>
          <w:b/>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 xml:space="preserve">V rámci odmien a náhrad za služby sú rozpočtované prostriedky pre advokátov, notárov, exekútorov, svedkov, tlmočníkov, prekladateľov a znalcov vrátane nálezov Ústavného súdu. Rast výdavkov, ktorý je medzi rokmi 2009 a 2010 vznikol z toho dôvodu, že kapitola spravodlivosti vyplatila ex offo odmeny a náhrady za služby v roku 2010 </w:t>
      </w:r>
      <w:r>
        <w:rPr>
          <w:rFonts w:ascii="Times New Roman" w:hAnsi="Times New Roman" w:cs="Times New Roman"/>
        </w:rPr>
        <w:t>aj</w:t>
      </w:r>
      <w:r w:rsidRPr="0004638E">
        <w:rPr>
          <w:rFonts w:ascii="Times New Roman" w:hAnsi="Times New Roman" w:cs="Times New Roman"/>
        </w:rPr>
        <w:t xml:space="preserve"> za odmeny a náhrady za služby z rokov 2008 a 2009.   </w:t>
      </w:r>
    </w:p>
    <w:p w:rsidR="00CB350B" w:rsidRPr="0004638E" w:rsidP="00CB350B">
      <w:pPr>
        <w:bidi w:val="0"/>
        <w:jc w:val="both"/>
        <w:rPr>
          <w:rFonts w:ascii="Times New Roman" w:hAnsi="Times New Roman" w:cs="Times New Roman"/>
        </w:rPr>
      </w:pPr>
    </w:p>
    <w:tbl>
      <w:tblPr>
        <w:tblStyle w:val="TableNormal"/>
        <w:tblW w:w="9100" w:type="dxa"/>
        <w:tblInd w:w="57" w:type="dxa"/>
        <w:tblCellMar>
          <w:left w:w="70" w:type="dxa"/>
          <w:right w:w="70" w:type="dxa"/>
        </w:tblCellMar>
        <w:tblLook w:val="04A0"/>
      </w:tblPr>
      <w:tblGrid>
        <w:gridCol w:w="2380"/>
        <w:gridCol w:w="960"/>
        <w:gridCol w:w="960"/>
        <w:gridCol w:w="960"/>
        <w:gridCol w:w="960"/>
        <w:gridCol w:w="960"/>
        <w:gridCol w:w="960"/>
        <w:gridCol w:w="960"/>
      </w:tblGrid>
      <w:tr>
        <w:tblPrEx>
          <w:tblW w:w="9100" w:type="dxa"/>
          <w:tblInd w:w="57" w:type="dxa"/>
          <w:tblCellMar>
            <w:left w:w="70" w:type="dxa"/>
            <w:right w:w="70" w:type="dxa"/>
          </w:tblCellMar>
          <w:tblLook w:val="04A0"/>
        </w:tblPrEx>
        <w:trPr>
          <w:trHeight w:val="284"/>
        </w:trPr>
        <w:tc>
          <w:tcPr>
            <w:tcW w:w="2380"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b/>
                <w:bCs/>
                <w:color w:val="000000"/>
                <w:sz w:val="14"/>
                <w:szCs w:val="14"/>
                <w:lang w:eastAsia="sk-SK"/>
              </w:rPr>
            </w:pPr>
            <w:r w:rsidRPr="00F57097">
              <w:rPr>
                <w:rFonts w:ascii="Times New Roman" w:hAnsi="Times New Roman" w:cs="Times New Roman"/>
                <w:b/>
                <w:color w:val="000000"/>
                <w:sz w:val="14"/>
                <w:szCs w:val="14"/>
              </w:rPr>
              <w:t> </w:t>
            </w:r>
            <w:r>
              <w:rPr>
                <w:rFonts w:ascii="Times New Roman" w:hAnsi="Times New Roman" w:cs="Times New Roman"/>
                <w:b/>
                <w:color w:val="000000"/>
                <w:sz w:val="14"/>
                <w:szCs w:val="14"/>
              </w:rPr>
              <w:t>v </w:t>
            </w:r>
            <w:r w:rsidRPr="00F57097">
              <w:rPr>
                <w:rFonts w:ascii="Times New Roman" w:hAnsi="Times New Roman" w:cs="Times New Roman"/>
                <w:b/>
                <w:color w:val="000000"/>
                <w:sz w:val="14"/>
                <w:szCs w:val="14"/>
              </w:rPr>
              <w:t>eurách</w:t>
            </w:r>
          </w:p>
        </w:tc>
        <w:tc>
          <w:tcPr>
            <w:tcW w:w="960"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center"/>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2009 S</w:t>
            </w:r>
          </w:p>
        </w:tc>
        <w:tc>
          <w:tcPr>
            <w:tcW w:w="960"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center"/>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2010 S</w:t>
            </w:r>
          </w:p>
        </w:tc>
        <w:tc>
          <w:tcPr>
            <w:tcW w:w="960"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center"/>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2011 R</w:t>
            </w:r>
          </w:p>
        </w:tc>
        <w:tc>
          <w:tcPr>
            <w:tcW w:w="960"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center"/>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2011 OS</w:t>
            </w:r>
          </w:p>
        </w:tc>
        <w:tc>
          <w:tcPr>
            <w:tcW w:w="960"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center"/>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2012 N</w:t>
            </w:r>
          </w:p>
        </w:tc>
        <w:tc>
          <w:tcPr>
            <w:tcW w:w="960"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center"/>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2013 N</w:t>
            </w:r>
          </w:p>
        </w:tc>
        <w:tc>
          <w:tcPr>
            <w:tcW w:w="960"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center"/>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2014 N</w:t>
            </w:r>
          </w:p>
        </w:tc>
      </w:tr>
      <w:tr>
        <w:tblPrEx>
          <w:tblW w:w="9100" w:type="dxa"/>
          <w:tblInd w:w="57" w:type="dxa"/>
          <w:tblCellMar>
            <w:left w:w="70" w:type="dxa"/>
            <w:right w:w="70" w:type="dxa"/>
          </w:tblCellMar>
          <w:tblLook w:val="04A0"/>
        </w:tblPrEx>
        <w:trPr>
          <w:trHeight w:val="284"/>
        </w:trPr>
        <w:tc>
          <w:tcPr>
            <w:tcW w:w="2380"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odmeny a náhrady za služby*</w:t>
            </w:r>
          </w:p>
        </w:tc>
        <w:tc>
          <w:tcPr>
            <w:tcW w:w="96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3 135 092</w:t>
            </w:r>
          </w:p>
        </w:tc>
        <w:tc>
          <w:tcPr>
            <w:tcW w:w="96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17 450 779</w:t>
            </w:r>
          </w:p>
        </w:tc>
        <w:tc>
          <w:tcPr>
            <w:tcW w:w="96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8 423 000</w:t>
            </w:r>
          </w:p>
        </w:tc>
        <w:tc>
          <w:tcPr>
            <w:tcW w:w="96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8 423 000</w:t>
            </w:r>
          </w:p>
        </w:tc>
        <w:tc>
          <w:tcPr>
            <w:tcW w:w="96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8 423 000</w:t>
            </w:r>
          </w:p>
        </w:tc>
        <w:tc>
          <w:tcPr>
            <w:tcW w:w="96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8 423 000</w:t>
            </w:r>
          </w:p>
        </w:tc>
        <w:tc>
          <w:tcPr>
            <w:tcW w:w="96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8 423 000</w:t>
            </w:r>
          </w:p>
        </w:tc>
      </w:tr>
    </w:tbl>
    <w:p w:rsidR="00CB350B" w:rsidRPr="00575C66" w:rsidP="00CB350B">
      <w:pPr>
        <w:bidi w:val="0"/>
        <w:jc w:val="both"/>
        <w:rPr>
          <w:rFonts w:ascii="Times New Roman" w:hAnsi="Times New Roman" w:cs="Times New Roman"/>
          <w:sz w:val="14"/>
          <w:szCs w:val="14"/>
        </w:rPr>
      </w:pPr>
      <w:r w:rsidRPr="00575C66">
        <w:rPr>
          <w:rFonts w:ascii="Times New Roman" w:hAnsi="Times New Roman" w:cs="Times New Roman"/>
          <w:sz w:val="14"/>
          <w:szCs w:val="14"/>
        </w:rPr>
        <w:t>*Výdavky na odmeny a náhrady pre advokátov, notárov, exekútorov, svedkov, tlmočníkov, prekladateľov, znalcov a nálezy Ústavného súdu</w:t>
      </w:r>
    </w:p>
    <w:p w:rsidR="00CB350B" w:rsidRPr="00575C66" w:rsidP="00CB350B">
      <w:pPr>
        <w:bidi w:val="0"/>
        <w:jc w:val="both"/>
        <w:rPr>
          <w:rFonts w:ascii="Times New Roman" w:hAnsi="Times New Roman" w:cs="Times New Roman"/>
          <w:sz w:val="14"/>
          <w:szCs w:val="14"/>
        </w:rPr>
      </w:pPr>
    </w:p>
    <w:p w:rsidR="00CB350B" w:rsidRPr="0004638E" w:rsidP="00CB350B">
      <w:pPr>
        <w:bidi w:val="0"/>
        <w:ind w:firstLine="708"/>
        <w:jc w:val="both"/>
        <w:rPr>
          <w:rFonts w:ascii="Times New Roman" w:hAnsi="Times New Roman" w:cs="Times New Roman"/>
        </w:rPr>
      </w:pPr>
      <w:r>
        <w:rPr>
          <w:rFonts w:ascii="Times New Roman" w:hAnsi="Times New Roman" w:cs="Times New Roman"/>
        </w:rPr>
        <w:t>Kapitola</w:t>
      </w:r>
      <w:r w:rsidRPr="0004638E">
        <w:rPr>
          <w:rFonts w:ascii="Times New Roman" w:hAnsi="Times New Roman" w:cs="Times New Roman"/>
        </w:rPr>
        <w:t xml:space="preserve"> rozpočtuje pre advokátov, notárov, exekútorov, svedkov, tlmočníkov, prekladateľov a znalcov vrátane nálezov Ústavného súdu na odmeny a náhrady za služby </w:t>
      </w:r>
      <w:r>
        <w:rPr>
          <w:rFonts w:ascii="Times New Roman" w:hAnsi="Times New Roman" w:cs="Times New Roman"/>
        </w:rPr>
        <w:t>na</w:t>
      </w:r>
      <w:r w:rsidRPr="0004638E">
        <w:rPr>
          <w:rFonts w:ascii="Times New Roman" w:hAnsi="Times New Roman" w:cs="Times New Roman"/>
        </w:rPr>
        <w:t xml:space="preserve"> roky 2012 až 2014 sumu 8,42 mil. eur tak, aby nevznikol v tejto oblasti deficit.</w:t>
      </w:r>
    </w:p>
    <w:p w:rsidR="00CB350B" w:rsidP="00CB350B">
      <w:pPr>
        <w:bidi w:val="0"/>
        <w:jc w:val="both"/>
        <w:rPr>
          <w:rFonts w:ascii="Times New Roman" w:hAnsi="Times New Roman" w:cs="Times New Roman"/>
          <w:b/>
        </w:rPr>
      </w:pPr>
    </w:p>
    <w:p w:rsidR="00CB350B" w:rsidRPr="00063075" w:rsidP="00CB350B">
      <w:pPr>
        <w:bidi w:val="0"/>
        <w:jc w:val="both"/>
        <w:rPr>
          <w:rFonts w:ascii="Times New Roman" w:hAnsi="Times New Roman" w:cs="Times New Roman"/>
          <w:i/>
        </w:rPr>
      </w:pPr>
      <w:r w:rsidRPr="00063075">
        <w:rPr>
          <w:rFonts w:ascii="Times New Roman" w:hAnsi="Times New Roman" w:cs="Times New Roman"/>
          <w:i/>
        </w:rPr>
        <w:t>Odškodňovanie</w:t>
      </w:r>
      <w:r>
        <w:rPr>
          <w:rFonts w:ascii="Times New Roman" w:hAnsi="Times New Roman" w:cs="Times New Roman"/>
          <w:i/>
        </w:rPr>
        <w:t xml:space="preserve"> v súdnictve</w:t>
      </w:r>
    </w:p>
    <w:p w:rsidR="00CB350B" w:rsidP="00CB350B">
      <w:pPr>
        <w:bidi w:val="0"/>
        <w:jc w:val="both"/>
        <w:rPr>
          <w:rFonts w:ascii="Times New Roman" w:hAnsi="Times New Roman" w:cs="Times New Roman"/>
          <w:b/>
        </w:rPr>
      </w:pPr>
    </w:p>
    <w:p w:rsidR="00CB350B" w:rsidP="00CB350B">
      <w:pPr>
        <w:bidi w:val="0"/>
        <w:ind w:firstLine="708"/>
        <w:jc w:val="both"/>
        <w:rPr>
          <w:rFonts w:ascii="Times New Roman" w:hAnsi="Times New Roman" w:cs="Times New Roman"/>
        </w:rPr>
      </w:pPr>
      <w:r>
        <w:rPr>
          <w:rFonts w:ascii="Times New Roman" w:hAnsi="Times New Roman" w:cs="Times New Roman"/>
        </w:rPr>
        <w:t>K</w:t>
      </w:r>
      <w:r w:rsidRPr="006B0E21">
        <w:rPr>
          <w:rFonts w:ascii="Times New Roman" w:hAnsi="Times New Roman" w:cs="Times New Roman"/>
        </w:rPr>
        <w:t xml:space="preserve">apitola rozpočtuje v oblasti súdnictva </w:t>
      </w:r>
      <w:r>
        <w:rPr>
          <w:rFonts w:ascii="Times New Roman" w:hAnsi="Times New Roman" w:cs="Times New Roman"/>
        </w:rPr>
        <w:t>výdavky na odškodňovanie určené n</w:t>
      </w:r>
      <w:r w:rsidRPr="006B0E21">
        <w:rPr>
          <w:rFonts w:ascii="Times New Roman" w:hAnsi="Times New Roman" w:cs="Times New Roman"/>
        </w:rPr>
        <w:t>a </w:t>
      </w:r>
      <w:r>
        <w:rPr>
          <w:rFonts w:ascii="Times New Roman" w:hAnsi="Times New Roman" w:cs="Times New Roman"/>
        </w:rPr>
        <w:t>n</w:t>
      </w:r>
      <w:r w:rsidRPr="006B0E21">
        <w:rPr>
          <w:rFonts w:ascii="Times New Roman" w:hAnsi="Times New Roman" w:cs="Times New Roman"/>
        </w:rPr>
        <w:t xml:space="preserve">álezy </w:t>
      </w:r>
      <w:r>
        <w:rPr>
          <w:rFonts w:ascii="Times New Roman" w:hAnsi="Times New Roman" w:cs="Times New Roman"/>
        </w:rPr>
        <w:t>Ú</w:t>
      </w:r>
      <w:r w:rsidRPr="006B0E21">
        <w:rPr>
          <w:rFonts w:ascii="Times New Roman" w:hAnsi="Times New Roman" w:cs="Times New Roman"/>
        </w:rPr>
        <w:t>stavného súdu</w:t>
      </w:r>
      <w:r>
        <w:rPr>
          <w:rFonts w:ascii="Times New Roman" w:hAnsi="Times New Roman" w:cs="Times New Roman"/>
        </w:rPr>
        <w:t xml:space="preserve"> a na odškodňovanie na základe rozsudkov Európskeho súdu pre ľudské práva</w:t>
      </w:r>
      <w:r w:rsidRPr="006B0E21">
        <w:rPr>
          <w:rFonts w:ascii="Times New Roman" w:hAnsi="Times New Roman" w:cs="Times New Roman"/>
        </w:rPr>
        <w:t>.</w:t>
      </w:r>
    </w:p>
    <w:p w:rsidR="00CB350B" w:rsidRPr="006B0E21" w:rsidP="00CB350B">
      <w:pPr>
        <w:bidi w:val="0"/>
        <w:jc w:val="both"/>
        <w:rPr>
          <w:rFonts w:ascii="Times New Roman" w:hAnsi="Times New Roman" w:cs="Times New Roman"/>
        </w:rPr>
      </w:pPr>
    </w:p>
    <w:tbl>
      <w:tblPr>
        <w:tblStyle w:val="TableNormal"/>
        <w:tblW w:w="9087" w:type="dxa"/>
        <w:tblInd w:w="55" w:type="dxa"/>
        <w:tblCellMar>
          <w:left w:w="70" w:type="dxa"/>
          <w:right w:w="70" w:type="dxa"/>
        </w:tblCellMar>
        <w:tblLook w:val="04A0"/>
      </w:tblPr>
      <w:tblGrid>
        <w:gridCol w:w="2560"/>
        <w:gridCol w:w="932"/>
        <w:gridCol w:w="932"/>
        <w:gridCol w:w="933"/>
        <w:gridCol w:w="932"/>
        <w:gridCol w:w="933"/>
        <w:gridCol w:w="932"/>
        <w:gridCol w:w="933"/>
      </w:tblGrid>
      <w:tr>
        <w:tblPrEx>
          <w:tblW w:w="9087" w:type="dxa"/>
          <w:tblInd w:w="55" w:type="dxa"/>
          <w:tblCellMar>
            <w:left w:w="70" w:type="dxa"/>
            <w:right w:w="70" w:type="dxa"/>
          </w:tblCellMar>
          <w:tblLook w:val="04A0"/>
        </w:tblPrEx>
        <w:trPr>
          <w:trHeight w:val="333"/>
        </w:trPr>
        <w:tc>
          <w:tcPr>
            <w:tcW w:w="2560"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F57097" w:rsidP="00257E12">
            <w:pPr>
              <w:bidi w:val="0"/>
              <w:rPr>
                <w:rFonts w:ascii="Times New Roman" w:hAnsi="Times New Roman" w:cs="Times New Roman"/>
                <w:b/>
                <w:color w:val="000000"/>
                <w:sz w:val="14"/>
                <w:szCs w:val="14"/>
              </w:rPr>
            </w:pPr>
            <w:r w:rsidRPr="00F57097">
              <w:rPr>
                <w:rFonts w:ascii="Times New Roman" w:hAnsi="Times New Roman" w:cs="Times New Roman"/>
                <w:b/>
                <w:color w:val="000000"/>
                <w:sz w:val="14"/>
                <w:szCs w:val="14"/>
              </w:rPr>
              <w:t> </w:t>
            </w:r>
            <w:r>
              <w:rPr>
                <w:rFonts w:ascii="Times New Roman" w:hAnsi="Times New Roman" w:cs="Times New Roman"/>
                <w:b/>
                <w:color w:val="000000"/>
                <w:sz w:val="14"/>
                <w:szCs w:val="14"/>
              </w:rPr>
              <w:t>v </w:t>
            </w:r>
            <w:r w:rsidRPr="00F57097">
              <w:rPr>
                <w:rFonts w:ascii="Times New Roman" w:hAnsi="Times New Roman" w:cs="Times New Roman"/>
                <w:b/>
                <w:color w:val="000000"/>
                <w:sz w:val="14"/>
                <w:szCs w:val="14"/>
              </w:rPr>
              <w:t>eurách</w:t>
            </w:r>
          </w:p>
        </w:tc>
        <w:tc>
          <w:tcPr>
            <w:tcW w:w="932" w:type="dxa"/>
            <w:tcBorders>
              <w:top w:val="single" w:sz="4" w:space="0" w:color="auto"/>
              <w:left w:val="nil"/>
              <w:bottom w:val="single" w:sz="4" w:space="0" w:color="auto"/>
              <w:right w:val="single" w:sz="4" w:space="0" w:color="auto"/>
            </w:tcBorders>
            <w:textDirection w:val="lrTb"/>
            <w:vAlign w:val="bottom"/>
            <w:hideMark/>
          </w:tcPr>
          <w:p w:rsidR="00CB350B" w:rsidRPr="00F57097" w:rsidP="00257E12">
            <w:pPr>
              <w:bidi w:val="0"/>
              <w:jc w:val="center"/>
              <w:rPr>
                <w:rFonts w:ascii="Times New Roman" w:hAnsi="Times New Roman" w:cs="Times New Roman"/>
                <w:b/>
                <w:bCs/>
                <w:color w:val="000000"/>
                <w:sz w:val="14"/>
                <w:szCs w:val="14"/>
                <w:lang w:eastAsia="sk-SK"/>
              </w:rPr>
            </w:pPr>
            <w:r w:rsidRPr="00F57097">
              <w:rPr>
                <w:rFonts w:ascii="Times New Roman" w:hAnsi="Times New Roman" w:cs="Times New Roman"/>
                <w:b/>
                <w:bCs/>
                <w:color w:val="000000"/>
                <w:sz w:val="14"/>
                <w:szCs w:val="14"/>
                <w:lang w:eastAsia="sk-SK"/>
              </w:rPr>
              <w:t>2009 S</w:t>
            </w:r>
          </w:p>
        </w:tc>
        <w:tc>
          <w:tcPr>
            <w:tcW w:w="932" w:type="dxa"/>
            <w:tcBorders>
              <w:top w:val="single" w:sz="4" w:space="0" w:color="auto"/>
              <w:left w:val="nil"/>
              <w:bottom w:val="single" w:sz="4" w:space="0" w:color="auto"/>
              <w:right w:val="single" w:sz="4" w:space="0" w:color="auto"/>
            </w:tcBorders>
            <w:textDirection w:val="lrTb"/>
            <w:vAlign w:val="bottom"/>
            <w:hideMark/>
          </w:tcPr>
          <w:p w:rsidR="00CB350B" w:rsidRPr="00F57097" w:rsidP="00257E12">
            <w:pPr>
              <w:bidi w:val="0"/>
              <w:jc w:val="center"/>
              <w:rPr>
                <w:rFonts w:ascii="Times New Roman" w:hAnsi="Times New Roman" w:cs="Times New Roman"/>
                <w:b/>
                <w:bCs/>
                <w:color w:val="000000"/>
                <w:sz w:val="14"/>
                <w:szCs w:val="14"/>
                <w:lang w:eastAsia="sk-SK"/>
              </w:rPr>
            </w:pPr>
            <w:r w:rsidRPr="00F57097">
              <w:rPr>
                <w:rFonts w:ascii="Times New Roman" w:hAnsi="Times New Roman" w:cs="Times New Roman"/>
                <w:b/>
                <w:bCs/>
                <w:color w:val="000000"/>
                <w:sz w:val="14"/>
                <w:szCs w:val="14"/>
                <w:lang w:eastAsia="sk-SK"/>
              </w:rPr>
              <w:t>2010 S</w:t>
            </w:r>
          </w:p>
        </w:tc>
        <w:tc>
          <w:tcPr>
            <w:tcW w:w="933" w:type="dxa"/>
            <w:tcBorders>
              <w:top w:val="single" w:sz="4" w:space="0" w:color="auto"/>
              <w:left w:val="nil"/>
              <w:bottom w:val="single" w:sz="4" w:space="0" w:color="auto"/>
              <w:right w:val="single" w:sz="4" w:space="0" w:color="auto"/>
            </w:tcBorders>
            <w:textDirection w:val="lrTb"/>
            <w:vAlign w:val="bottom"/>
            <w:hideMark/>
          </w:tcPr>
          <w:p w:rsidR="00CB350B" w:rsidRPr="00F57097" w:rsidP="00257E12">
            <w:pPr>
              <w:bidi w:val="0"/>
              <w:jc w:val="center"/>
              <w:rPr>
                <w:rFonts w:ascii="Times New Roman" w:hAnsi="Times New Roman" w:cs="Times New Roman"/>
                <w:b/>
                <w:bCs/>
                <w:color w:val="000000"/>
                <w:sz w:val="14"/>
                <w:szCs w:val="14"/>
                <w:lang w:eastAsia="sk-SK"/>
              </w:rPr>
            </w:pPr>
            <w:r w:rsidRPr="00F57097">
              <w:rPr>
                <w:rFonts w:ascii="Times New Roman" w:hAnsi="Times New Roman" w:cs="Times New Roman"/>
                <w:b/>
                <w:bCs/>
                <w:color w:val="000000"/>
                <w:sz w:val="14"/>
                <w:szCs w:val="14"/>
                <w:lang w:eastAsia="sk-SK"/>
              </w:rPr>
              <w:t>2011 R</w:t>
            </w:r>
          </w:p>
        </w:tc>
        <w:tc>
          <w:tcPr>
            <w:tcW w:w="932" w:type="dxa"/>
            <w:tcBorders>
              <w:top w:val="single" w:sz="4" w:space="0" w:color="auto"/>
              <w:left w:val="nil"/>
              <w:bottom w:val="single" w:sz="4" w:space="0" w:color="auto"/>
              <w:right w:val="single" w:sz="4" w:space="0" w:color="auto"/>
            </w:tcBorders>
            <w:textDirection w:val="lrTb"/>
            <w:vAlign w:val="bottom"/>
            <w:hideMark/>
          </w:tcPr>
          <w:p w:rsidR="00CB350B" w:rsidRPr="00F57097" w:rsidP="00257E12">
            <w:pPr>
              <w:bidi w:val="0"/>
              <w:jc w:val="center"/>
              <w:rPr>
                <w:rFonts w:ascii="Times New Roman" w:hAnsi="Times New Roman" w:cs="Times New Roman"/>
                <w:b/>
                <w:bCs/>
                <w:color w:val="000000"/>
                <w:sz w:val="14"/>
                <w:szCs w:val="14"/>
                <w:lang w:eastAsia="sk-SK"/>
              </w:rPr>
            </w:pPr>
            <w:r w:rsidRPr="00F57097">
              <w:rPr>
                <w:rFonts w:ascii="Times New Roman" w:hAnsi="Times New Roman" w:cs="Times New Roman"/>
                <w:b/>
                <w:bCs/>
                <w:color w:val="000000"/>
                <w:sz w:val="14"/>
                <w:szCs w:val="14"/>
                <w:lang w:eastAsia="sk-SK"/>
              </w:rPr>
              <w:t>2011 OS</w:t>
            </w:r>
          </w:p>
        </w:tc>
        <w:tc>
          <w:tcPr>
            <w:tcW w:w="933" w:type="dxa"/>
            <w:tcBorders>
              <w:top w:val="single" w:sz="4" w:space="0" w:color="auto"/>
              <w:left w:val="nil"/>
              <w:bottom w:val="single" w:sz="4" w:space="0" w:color="auto"/>
              <w:right w:val="single" w:sz="4" w:space="0" w:color="auto"/>
            </w:tcBorders>
            <w:textDirection w:val="lrTb"/>
            <w:vAlign w:val="bottom"/>
            <w:hideMark/>
          </w:tcPr>
          <w:p w:rsidR="00CB350B" w:rsidRPr="00F57097" w:rsidP="00257E12">
            <w:pPr>
              <w:bidi w:val="0"/>
              <w:jc w:val="center"/>
              <w:rPr>
                <w:rFonts w:ascii="Times New Roman" w:hAnsi="Times New Roman" w:cs="Times New Roman"/>
                <w:b/>
                <w:bCs/>
                <w:color w:val="000000"/>
                <w:sz w:val="14"/>
                <w:szCs w:val="14"/>
                <w:lang w:eastAsia="sk-SK"/>
              </w:rPr>
            </w:pPr>
            <w:r w:rsidRPr="00F57097">
              <w:rPr>
                <w:rFonts w:ascii="Times New Roman" w:hAnsi="Times New Roman" w:cs="Times New Roman"/>
                <w:b/>
                <w:bCs/>
                <w:color w:val="000000"/>
                <w:sz w:val="14"/>
                <w:szCs w:val="14"/>
                <w:lang w:eastAsia="sk-SK"/>
              </w:rPr>
              <w:t>2012 N</w:t>
            </w:r>
          </w:p>
        </w:tc>
        <w:tc>
          <w:tcPr>
            <w:tcW w:w="932" w:type="dxa"/>
            <w:tcBorders>
              <w:top w:val="single" w:sz="4" w:space="0" w:color="auto"/>
              <w:left w:val="nil"/>
              <w:bottom w:val="single" w:sz="4" w:space="0" w:color="auto"/>
              <w:right w:val="single" w:sz="4" w:space="0" w:color="auto"/>
            </w:tcBorders>
            <w:textDirection w:val="lrTb"/>
            <w:vAlign w:val="bottom"/>
            <w:hideMark/>
          </w:tcPr>
          <w:p w:rsidR="00CB350B" w:rsidRPr="00F57097" w:rsidP="00257E12">
            <w:pPr>
              <w:bidi w:val="0"/>
              <w:jc w:val="center"/>
              <w:rPr>
                <w:rFonts w:ascii="Times New Roman" w:hAnsi="Times New Roman" w:cs="Times New Roman"/>
                <w:b/>
                <w:bCs/>
                <w:color w:val="000000"/>
                <w:sz w:val="14"/>
                <w:szCs w:val="14"/>
                <w:lang w:eastAsia="sk-SK"/>
              </w:rPr>
            </w:pPr>
            <w:r w:rsidRPr="00F57097">
              <w:rPr>
                <w:rFonts w:ascii="Times New Roman" w:hAnsi="Times New Roman" w:cs="Times New Roman"/>
                <w:b/>
                <w:bCs/>
                <w:color w:val="000000"/>
                <w:sz w:val="14"/>
                <w:szCs w:val="14"/>
                <w:lang w:eastAsia="sk-SK"/>
              </w:rPr>
              <w:t>2013 N</w:t>
            </w:r>
          </w:p>
        </w:tc>
        <w:tc>
          <w:tcPr>
            <w:tcW w:w="933" w:type="dxa"/>
            <w:tcBorders>
              <w:top w:val="single" w:sz="4" w:space="0" w:color="auto"/>
              <w:left w:val="nil"/>
              <w:bottom w:val="single" w:sz="4" w:space="0" w:color="auto"/>
              <w:right w:val="single" w:sz="4" w:space="0" w:color="auto"/>
            </w:tcBorders>
            <w:textDirection w:val="lrTb"/>
            <w:vAlign w:val="bottom"/>
            <w:hideMark/>
          </w:tcPr>
          <w:p w:rsidR="00CB350B" w:rsidRPr="00F57097" w:rsidP="00257E12">
            <w:pPr>
              <w:bidi w:val="0"/>
              <w:jc w:val="center"/>
              <w:rPr>
                <w:rFonts w:ascii="Times New Roman" w:hAnsi="Times New Roman" w:cs="Times New Roman"/>
                <w:b/>
                <w:bCs/>
                <w:color w:val="000000"/>
                <w:sz w:val="14"/>
                <w:szCs w:val="14"/>
                <w:lang w:eastAsia="sk-SK"/>
              </w:rPr>
            </w:pPr>
            <w:r w:rsidRPr="00F57097">
              <w:rPr>
                <w:rFonts w:ascii="Times New Roman" w:hAnsi="Times New Roman" w:cs="Times New Roman"/>
                <w:b/>
                <w:bCs/>
                <w:color w:val="000000"/>
                <w:sz w:val="14"/>
                <w:szCs w:val="14"/>
                <w:lang w:eastAsia="sk-SK"/>
              </w:rPr>
              <w:t>2014 N</w:t>
            </w:r>
          </w:p>
        </w:tc>
      </w:tr>
      <w:tr>
        <w:tblPrEx>
          <w:tblW w:w="9087" w:type="dxa"/>
          <w:tblInd w:w="55" w:type="dxa"/>
          <w:tblCellMar>
            <w:left w:w="70" w:type="dxa"/>
            <w:right w:w="70" w:type="dxa"/>
          </w:tblCellMar>
          <w:tblLook w:val="04A0"/>
        </w:tblPrEx>
        <w:trPr>
          <w:trHeight w:val="333"/>
        </w:trPr>
        <w:tc>
          <w:tcPr>
            <w:tcW w:w="2560" w:type="dxa"/>
            <w:tcBorders>
              <w:top w:val="nil"/>
              <w:left w:val="single" w:sz="4" w:space="0" w:color="auto"/>
              <w:bottom w:val="single" w:sz="4" w:space="0" w:color="auto"/>
              <w:right w:val="single" w:sz="4" w:space="0" w:color="auto"/>
            </w:tcBorders>
            <w:textDirection w:val="lrTb"/>
            <w:vAlign w:val="bottom"/>
            <w:hideMark/>
          </w:tcPr>
          <w:p w:rsidR="00CB350B" w:rsidRPr="00F57097" w:rsidP="00257E12">
            <w:pPr>
              <w:bidi w:val="0"/>
              <w:rPr>
                <w:rFonts w:ascii="Times New Roman" w:hAnsi="Times New Roman" w:cs="Times New Roman"/>
                <w:color w:val="000000"/>
                <w:sz w:val="14"/>
                <w:szCs w:val="14"/>
              </w:rPr>
            </w:pPr>
            <w:r w:rsidRPr="00F57097">
              <w:rPr>
                <w:rFonts w:ascii="Times New Roman" w:hAnsi="Times New Roman" w:cs="Times New Roman"/>
                <w:color w:val="000000"/>
                <w:sz w:val="14"/>
                <w:szCs w:val="14"/>
              </w:rPr>
              <w:t xml:space="preserve">Odškodňovanie </w:t>
            </w:r>
            <w:r>
              <w:rPr>
                <w:rFonts w:ascii="Times New Roman" w:hAnsi="Times New Roman" w:cs="Times New Roman"/>
                <w:color w:val="000000"/>
                <w:sz w:val="14"/>
                <w:szCs w:val="14"/>
              </w:rPr>
              <w:t>v oblasti súdnictvo</w:t>
            </w:r>
          </w:p>
        </w:tc>
        <w:tc>
          <w:tcPr>
            <w:tcW w:w="932" w:type="dxa"/>
            <w:tcBorders>
              <w:top w:val="nil"/>
              <w:left w:val="nil"/>
              <w:bottom w:val="single" w:sz="4" w:space="0" w:color="auto"/>
              <w:right w:val="single" w:sz="4" w:space="0" w:color="auto"/>
            </w:tcBorders>
            <w:textDirection w:val="lrTb"/>
            <w:vAlign w:val="bottom"/>
            <w:hideMark/>
          </w:tcPr>
          <w:p w:rsidR="00CB350B" w:rsidRPr="00F57097" w:rsidP="00257E12">
            <w:pPr>
              <w:bidi w:val="0"/>
              <w:jc w:val="right"/>
              <w:rPr>
                <w:rFonts w:ascii="Times New Roman" w:hAnsi="Times New Roman" w:cs="Times New Roman"/>
                <w:color w:val="000000"/>
                <w:sz w:val="14"/>
                <w:szCs w:val="14"/>
              </w:rPr>
            </w:pPr>
            <w:r w:rsidRPr="00F57097">
              <w:rPr>
                <w:rFonts w:ascii="Times New Roman" w:hAnsi="Times New Roman" w:cs="Times New Roman"/>
                <w:color w:val="000000"/>
                <w:sz w:val="14"/>
                <w:szCs w:val="14"/>
              </w:rPr>
              <w:t>868 421</w:t>
            </w:r>
          </w:p>
        </w:tc>
        <w:tc>
          <w:tcPr>
            <w:tcW w:w="932" w:type="dxa"/>
            <w:tcBorders>
              <w:top w:val="nil"/>
              <w:left w:val="nil"/>
              <w:bottom w:val="single" w:sz="4" w:space="0" w:color="auto"/>
              <w:right w:val="single" w:sz="4" w:space="0" w:color="auto"/>
            </w:tcBorders>
            <w:textDirection w:val="lrTb"/>
            <w:vAlign w:val="bottom"/>
            <w:hideMark/>
          </w:tcPr>
          <w:p w:rsidR="00CB350B" w:rsidRPr="00F57097" w:rsidP="00257E12">
            <w:pPr>
              <w:bidi w:val="0"/>
              <w:jc w:val="right"/>
              <w:rPr>
                <w:rFonts w:ascii="Times New Roman" w:hAnsi="Times New Roman" w:cs="Times New Roman"/>
                <w:color w:val="000000"/>
                <w:sz w:val="14"/>
                <w:szCs w:val="14"/>
              </w:rPr>
            </w:pPr>
            <w:r w:rsidRPr="00F57097">
              <w:rPr>
                <w:rFonts w:ascii="Times New Roman" w:hAnsi="Times New Roman" w:cs="Times New Roman"/>
                <w:color w:val="000000"/>
                <w:sz w:val="14"/>
                <w:szCs w:val="14"/>
              </w:rPr>
              <w:t>1 112 984</w:t>
            </w:r>
          </w:p>
        </w:tc>
        <w:tc>
          <w:tcPr>
            <w:tcW w:w="933" w:type="dxa"/>
            <w:tcBorders>
              <w:top w:val="nil"/>
              <w:left w:val="nil"/>
              <w:bottom w:val="single" w:sz="4" w:space="0" w:color="auto"/>
              <w:right w:val="single" w:sz="4" w:space="0" w:color="auto"/>
            </w:tcBorders>
            <w:textDirection w:val="lrTb"/>
            <w:vAlign w:val="bottom"/>
            <w:hideMark/>
          </w:tcPr>
          <w:p w:rsidR="00CB350B" w:rsidRPr="00F57097" w:rsidP="00257E12">
            <w:pPr>
              <w:bidi w:val="0"/>
              <w:jc w:val="right"/>
              <w:rPr>
                <w:rFonts w:ascii="Times New Roman" w:hAnsi="Times New Roman" w:cs="Times New Roman"/>
                <w:color w:val="000000"/>
                <w:sz w:val="14"/>
                <w:szCs w:val="14"/>
              </w:rPr>
            </w:pPr>
            <w:r w:rsidRPr="00F57097">
              <w:rPr>
                <w:rFonts w:ascii="Times New Roman" w:hAnsi="Times New Roman" w:cs="Times New Roman"/>
                <w:color w:val="000000"/>
                <w:sz w:val="14"/>
                <w:szCs w:val="14"/>
              </w:rPr>
              <w:t>418 140</w:t>
            </w:r>
          </w:p>
        </w:tc>
        <w:tc>
          <w:tcPr>
            <w:tcW w:w="932" w:type="dxa"/>
            <w:tcBorders>
              <w:top w:val="nil"/>
              <w:left w:val="nil"/>
              <w:bottom w:val="single" w:sz="4" w:space="0" w:color="auto"/>
              <w:right w:val="single" w:sz="4" w:space="0" w:color="auto"/>
            </w:tcBorders>
            <w:textDirection w:val="lrTb"/>
            <w:vAlign w:val="bottom"/>
            <w:hideMark/>
          </w:tcPr>
          <w:p w:rsidR="00CB350B" w:rsidRPr="00F57097" w:rsidP="00257E12">
            <w:pPr>
              <w:bidi w:val="0"/>
              <w:jc w:val="right"/>
              <w:rPr>
                <w:rFonts w:ascii="Times New Roman" w:hAnsi="Times New Roman" w:cs="Times New Roman"/>
                <w:color w:val="000000"/>
                <w:sz w:val="14"/>
                <w:szCs w:val="14"/>
              </w:rPr>
            </w:pPr>
            <w:r w:rsidRPr="00F57097">
              <w:rPr>
                <w:rFonts w:ascii="Times New Roman" w:hAnsi="Times New Roman" w:cs="Times New Roman"/>
                <w:color w:val="000000"/>
                <w:sz w:val="14"/>
                <w:szCs w:val="14"/>
              </w:rPr>
              <w:t>514 046</w:t>
            </w:r>
          </w:p>
        </w:tc>
        <w:tc>
          <w:tcPr>
            <w:tcW w:w="933" w:type="dxa"/>
            <w:tcBorders>
              <w:top w:val="nil"/>
              <w:left w:val="nil"/>
              <w:bottom w:val="single" w:sz="4" w:space="0" w:color="auto"/>
              <w:right w:val="single" w:sz="4" w:space="0" w:color="auto"/>
            </w:tcBorders>
            <w:textDirection w:val="lrTb"/>
            <w:vAlign w:val="bottom"/>
            <w:hideMark/>
          </w:tcPr>
          <w:p w:rsidR="00CB350B" w:rsidRPr="00F57097" w:rsidP="00257E12">
            <w:pPr>
              <w:bidi w:val="0"/>
              <w:jc w:val="right"/>
              <w:rPr>
                <w:rFonts w:ascii="Times New Roman" w:hAnsi="Times New Roman" w:cs="Times New Roman"/>
                <w:color w:val="000000"/>
                <w:sz w:val="14"/>
                <w:szCs w:val="14"/>
              </w:rPr>
            </w:pPr>
            <w:r w:rsidRPr="00F57097">
              <w:rPr>
                <w:rFonts w:ascii="Times New Roman" w:hAnsi="Times New Roman" w:cs="Times New Roman"/>
                <w:color w:val="000000"/>
                <w:sz w:val="14"/>
                <w:szCs w:val="14"/>
              </w:rPr>
              <w:t>296 155</w:t>
            </w:r>
          </w:p>
        </w:tc>
        <w:tc>
          <w:tcPr>
            <w:tcW w:w="932" w:type="dxa"/>
            <w:tcBorders>
              <w:top w:val="nil"/>
              <w:left w:val="nil"/>
              <w:bottom w:val="single" w:sz="4" w:space="0" w:color="auto"/>
              <w:right w:val="single" w:sz="4" w:space="0" w:color="auto"/>
            </w:tcBorders>
            <w:textDirection w:val="lrTb"/>
            <w:vAlign w:val="bottom"/>
            <w:hideMark/>
          </w:tcPr>
          <w:p w:rsidR="00CB350B" w:rsidRPr="00F57097" w:rsidP="00257E12">
            <w:pPr>
              <w:bidi w:val="0"/>
              <w:jc w:val="right"/>
              <w:rPr>
                <w:rFonts w:ascii="Times New Roman" w:hAnsi="Times New Roman" w:cs="Times New Roman"/>
                <w:color w:val="000000"/>
                <w:sz w:val="14"/>
                <w:szCs w:val="14"/>
              </w:rPr>
            </w:pPr>
            <w:r w:rsidRPr="00F57097">
              <w:rPr>
                <w:rFonts w:ascii="Times New Roman" w:hAnsi="Times New Roman" w:cs="Times New Roman"/>
                <w:color w:val="000000"/>
                <w:sz w:val="14"/>
                <w:szCs w:val="14"/>
              </w:rPr>
              <w:t>296 155</w:t>
            </w:r>
          </w:p>
        </w:tc>
        <w:tc>
          <w:tcPr>
            <w:tcW w:w="933" w:type="dxa"/>
            <w:tcBorders>
              <w:top w:val="nil"/>
              <w:left w:val="nil"/>
              <w:bottom w:val="single" w:sz="4" w:space="0" w:color="auto"/>
              <w:right w:val="single" w:sz="4" w:space="0" w:color="auto"/>
            </w:tcBorders>
            <w:textDirection w:val="lrTb"/>
            <w:vAlign w:val="bottom"/>
            <w:hideMark/>
          </w:tcPr>
          <w:p w:rsidR="00CB350B" w:rsidRPr="00F57097" w:rsidP="00257E12">
            <w:pPr>
              <w:bidi w:val="0"/>
              <w:jc w:val="right"/>
              <w:rPr>
                <w:rFonts w:ascii="Times New Roman" w:hAnsi="Times New Roman" w:cs="Times New Roman"/>
                <w:color w:val="000000"/>
                <w:sz w:val="14"/>
                <w:szCs w:val="14"/>
              </w:rPr>
            </w:pPr>
            <w:r w:rsidRPr="00F57097">
              <w:rPr>
                <w:rFonts w:ascii="Times New Roman" w:hAnsi="Times New Roman" w:cs="Times New Roman"/>
                <w:color w:val="000000"/>
                <w:sz w:val="14"/>
                <w:szCs w:val="14"/>
              </w:rPr>
              <w:t>296 155</w:t>
            </w:r>
          </w:p>
        </w:tc>
      </w:tr>
    </w:tbl>
    <w:p w:rsidR="00CB350B" w:rsidRPr="0004638E" w:rsidP="00CB350B">
      <w:pPr>
        <w:bidi w:val="0"/>
        <w:jc w:val="both"/>
        <w:rPr>
          <w:rFonts w:ascii="Times New Roman" w:hAnsi="Times New Roman" w:cs="Times New Roman"/>
          <w:b/>
        </w:rPr>
      </w:pPr>
    </w:p>
    <w:p w:rsidR="00CB350B" w:rsidRPr="0004638E" w:rsidP="00CB350B">
      <w:pPr>
        <w:bidi w:val="0"/>
        <w:jc w:val="both"/>
        <w:rPr>
          <w:rFonts w:ascii="Times New Roman" w:hAnsi="Times New Roman" w:cs="Times New Roman"/>
          <w:b/>
        </w:rPr>
      </w:pPr>
      <w:r w:rsidRPr="0004638E">
        <w:rPr>
          <w:rFonts w:ascii="Times New Roman" w:hAnsi="Times New Roman" w:cs="Times New Roman"/>
          <w:b/>
        </w:rPr>
        <w:t>Administratíva</w:t>
      </w:r>
    </w:p>
    <w:p w:rsidR="00CB350B" w:rsidRPr="0004638E" w:rsidP="00CB350B">
      <w:pPr>
        <w:bidi w:val="0"/>
        <w:jc w:val="both"/>
        <w:rPr>
          <w:rFonts w:ascii="Times New Roman" w:hAnsi="Times New Roman" w:cs="Times New Roman"/>
          <w:b/>
          <w:bCs/>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 xml:space="preserve">Na zabezpečenie činnosti ústredného orgánu ministerstva spravodlivosti sa na rok 2012 rozpočtujú výdavky v sume 9,57 mil. eur, ktoré sú určené pre ekonomické, personálne, legislatívne a metodické riadenie organizácie. Úlohy v tejto oblasti sú zamerané aj na edičnú činnosť a realizáciu odškodňovania občanov v súlade s platnou legislatívou a činnosťou zástupcov Slovenskej republiky pred medzinárodnými súdnymi inštitúciami.  </w:t>
      </w:r>
    </w:p>
    <w:p w:rsidR="00CB350B" w:rsidP="00CB350B">
      <w:pPr>
        <w:bidi w:val="0"/>
        <w:jc w:val="both"/>
        <w:rPr>
          <w:rFonts w:ascii="Times New Roman" w:hAnsi="Times New Roman" w:cs="Times New Roman"/>
        </w:rPr>
      </w:pPr>
    </w:p>
    <w:p w:rsidR="00257E12" w:rsidP="00CB350B">
      <w:pPr>
        <w:bidi w:val="0"/>
        <w:jc w:val="both"/>
        <w:rPr>
          <w:rFonts w:ascii="Times New Roman" w:hAnsi="Times New Roman" w:cs="Times New Roman"/>
        </w:rPr>
      </w:pPr>
    </w:p>
    <w:p w:rsidR="00257E12" w:rsidP="00CB350B">
      <w:pPr>
        <w:bidi w:val="0"/>
        <w:jc w:val="both"/>
        <w:rPr>
          <w:rFonts w:ascii="Times New Roman" w:hAnsi="Times New Roman" w:cs="Times New Roman"/>
        </w:rPr>
      </w:pPr>
    </w:p>
    <w:p w:rsidR="00257E12" w:rsidP="00CB350B">
      <w:pPr>
        <w:bidi w:val="0"/>
        <w:jc w:val="both"/>
        <w:rPr>
          <w:rFonts w:ascii="Times New Roman" w:hAnsi="Times New Roman" w:cs="Times New Roman"/>
        </w:rPr>
      </w:pPr>
    </w:p>
    <w:p w:rsidR="00257E12" w:rsidP="00CB350B">
      <w:pPr>
        <w:bidi w:val="0"/>
        <w:jc w:val="both"/>
        <w:rPr>
          <w:rFonts w:ascii="Times New Roman" w:hAnsi="Times New Roman" w:cs="Times New Roman"/>
        </w:rPr>
      </w:pPr>
    </w:p>
    <w:p w:rsidR="00257E12" w:rsidP="00CB350B">
      <w:pPr>
        <w:bidi w:val="0"/>
        <w:jc w:val="both"/>
        <w:rPr>
          <w:rFonts w:ascii="Times New Roman" w:hAnsi="Times New Roman" w:cs="Times New Roman"/>
        </w:rPr>
      </w:pPr>
    </w:p>
    <w:p w:rsidR="00257E12" w:rsidP="00CB350B">
      <w:pPr>
        <w:bidi w:val="0"/>
        <w:jc w:val="both"/>
        <w:rPr>
          <w:rFonts w:ascii="Times New Roman" w:hAnsi="Times New Roman" w:cs="Times New Roman"/>
        </w:rPr>
      </w:pPr>
    </w:p>
    <w:p w:rsidR="00257E12" w:rsidRPr="0004638E" w:rsidP="00CB350B">
      <w:pPr>
        <w:bidi w:val="0"/>
        <w:jc w:val="both"/>
        <w:rPr>
          <w:rFonts w:ascii="Times New Roman" w:hAnsi="Times New Roman" w:cs="Times New Roman"/>
        </w:rPr>
      </w:pPr>
    </w:p>
    <w:tbl>
      <w:tblPr>
        <w:tblStyle w:val="TableNormal"/>
        <w:tblW w:w="9120" w:type="dxa"/>
        <w:tblInd w:w="65" w:type="dxa"/>
        <w:tblLayout w:type="fixed"/>
        <w:tblCellMar>
          <w:left w:w="70" w:type="dxa"/>
          <w:right w:w="70" w:type="dxa"/>
        </w:tblCellMar>
        <w:tblLook w:val="04A0"/>
      </w:tblPr>
      <w:tblGrid>
        <w:gridCol w:w="2415"/>
        <w:gridCol w:w="957"/>
        <w:gridCol w:w="958"/>
        <w:gridCol w:w="958"/>
        <w:gridCol w:w="958"/>
        <w:gridCol w:w="958"/>
        <w:gridCol w:w="958"/>
        <w:gridCol w:w="958"/>
      </w:tblGrid>
      <w:tr>
        <w:tblPrEx>
          <w:tblW w:w="9120" w:type="dxa"/>
          <w:tblInd w:w="65" w:type="dxa"/>
          <w:tblLayout w:type="fixed"/>
          <w:tblCellMar>
            <w:left w:w="70" w:type="dxa"/>
            <w:right w:w="70" w:type="dxa"/>
          </w:tblCellMar>
          <w:tblLook w:val="04A0"/>
        </w:tblPrEx>
        <w:trPr>
          <w:trHeight w:val="305"/>
        </w:trPr>
        <w:tc>
          <w:tcPr>
            <w:tcW w:w="2415"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b/>
                <w:color w:val="000000"/>
                <w:sz w:val="14"/>
                <w:szCs w:val="14"/>
                <w:lang w:eastAsia="sk-SK"/>
              </w:rPr>
            </w:pPr>
            <w:r w:rsidRPr="009E58F9">
              <w:rPr>
                <w:rFonts w:ascii="Times New Roman" w:hAnsi="Times New Roman" w:cs="Times New Roman"/>
                <w:b/>
                <w:color w:val="000000"/>
                <w:sz w:val="14"/>
                <w:szCs w:val="14"/>
                <w:lang w:eastAsia="sk-SK"/>
              </w:rPr>
              <w:t> </w:t>
            </w:r>
            <w:r w:rsidRPr="009E58F9">
              <w:rPr>
                <w:rFonts w:ascii="Times New Roman" w:hAnsi="Times New Roman" w:cs="Times New Roman"/>
                <w:b/>
                <w:bCs/>
                <w:color w:val="000000"/>
                <w:sz w:val="14"/>
                <w:szCs w:val="14"/>
                <w:lang w:eastAsia="sk-SK"/>
              </w:rPr>
              <w:t>v</w:t>
            </w:r>
            <w:r>
              <w:rPr>
                <w:rFonts w:ascii="Times New Roman" w:hAnsi="Times New Roman" w:cs="Times New Roman"/>
                <w:b/>
                <w:bCs/>
                <w:color w:val="000000"/>
                <w:sz w:val="14"/>
                <w:szCs w:val="14"/>
                <w:lang w:eastAsia="sk-SK"/>
              </w:rPr>
              <w:t> </w:t>
            </w:r>
            <w:r w:rsidRPr="009E58F9">
              <w:rPr>
                <w:rFonts w:ascii="Times New Roman" w:hAnsi="Times New Roman" w:cs="Times New Roman"/>
                <w:b/>
                <w:bCs/>
                <w:color w:val="000000"/>
                <w:sz w:val="14"/>
                <w:szCs w:val="14"/>
                <w:lang w:eastAsia="sk-SK"/>
              </w:rPr>
              <w:t>eurách</w:t>
            </w:r>
          </w:p>
        </w:tc>
        <w:tc>
          <w:tcPr>
            <w:tcW w:w="957"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sz w:val="14"/>
                <w:szCs w:val="14"/>
                <w:lang w:eastAsia="sk-SK"/>
              </w:rPr>
            </w:pPr>
            <w:r w:rsidRPr="009E58F9">
              <w:rPr>
                <w:rFonts w:ascii="Times New Roman" w:hAnsi="Times New Roman" w:cs="Times New Roman"/>
                <w:b/>
                <w:sz w:val="14"/>
                <w:szCs w:val="14"/>
                <w:lang w:eastAsia="sk-SK"/>
              </w:rPr>
              <w:t>2009 S</w:t>
            </w:r>
          </w:p>
        </w:tc>
        <w:tc>
          <w:tcPr>
            <w:tcW w:w="958"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sz w:val="14"/>
                <w:szCs w:val="14"/>
                <w:lang w:eastAsia="sk-SK"/>
              </w:rPr>
            </w:pPr>
            <w:r w:rsidRPr="009E58F9">
              <w:rPr>
                <w:rFonts w:ascii="Times New Roman" w:hAnsi="Times New Roman" w:cs="Times New Roman"/>
                <w:b/>
                <w:sz w:val="14"/>
                <w:szCs w:val="14"/>
                <w:lang w:eastAsia="sk-SK"/>
              </w:rPr>
              <w:t>2010 S</w:t>
            </w:r>
          </w:p>
        </w:tc>
        <w:tc>
          <w:tcPr>
            <w:tcW w:w="958"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sz w:val="14"/>
                <w:szCs w:val="14"/>
                <w:lang w:eastAsia="sk-SK"/>
              </w:rPr>
            </w:pPr>
            <w:r w:rsidRPr="009E58F9">
              <w:rPr>
                <w:rFonts w:ascii="Times New Roman" w:hAnsi="Times New Roman" w:cs="Times New Roman"/>
                <w:b/>
                <w:sz w:val="14"/>
                <w:szCs w:val="14"/>
                <w:lang w:eastAsia="sk-SK"/>
              </w:rPr>
              <w:t>2011 R</w:t>
            </w:r>
          </w:p>
        </w:tc>
        <w:tc>
          <w:tcPr>
            <w:tcW w:w="958"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center"/>
              <w:rPr>
                <w:rFonts w:ascii="Times New Roman" w:hAnsi="Times New Roman" w:cs="Times New Roman"/>
                <w:b/>
                <w:sz w:val="14"/>
                <w:szCs w:val="14"/>
                <w:lang w:eastAsia="sk-SK"/>
              </w:rPr>
            </w:pPr>
            <w:r w:rsidRPr="009E58F9">
              <w:rPr>
                <w:rFonts w:ascii="Times New Roman" w:hAnsi="Times New Roman" w:cs="Times New Roman"/>
                <w:b/>
                <w:sz w:val="14"/>
                <w:szCs w:val="14"/>
                <w:lang w:eastAsia="sk-SK"/>
              </w:rPr>
              <w:t>2011 OS</w:t>
            </w:r>
          </w:p>
        </w:tc>
        <w:tc>
          <w:tcPr>
            <w:tcW w:w="958"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center"/>
              <w:rPr>
                <w:rFonts w:ascii="Times New Roman" w:hAnsi="Times New Roman" w:cs="Times New Roman"/>
                <w:b/>
                <w:sz w:val="14"/>
                <w:szCs w:val="14"/>
                <w:lang w:eastAsia="sk-SK"/>
              </w:rPr>
            </w:pPr>
            <w:r w:rsidRPr="009E58F9">
              <w:rPr>
                <w:rFonts w:ascii="Times New Roman" w:hAnsi="Times New Roman" w:cs="Times New Roman"/>
                <w:b/>
                <w:sz w:val="14"/>
                <w:szCs w:val="14"/>
                <w:lang w:eastAsia="sk-SK"/>
              </w:rPr>
              <w:t>2012 N</w:t>
            </w:r>
          </w:p>
        </w:tc>
        <w:tc>
          <w:tcPr>
            <w:tcW w:w="958"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center"/>
              <w:rPr>
                <w:rFonts w:ascii="Times New Roman" w:hAnsi="Times New Roman" w:cs="Times New Roman"/>
                <w:b/>
                <w:sz w:val="14"/>
                <w:szCs w:val="14"/>
                <w:lang w:eastAsia="sk-SK"/>
              </w:rPr>
            </w:pPr>
            <w:r w:rsidRPr="009E58F9">
              <w:rPr>
                <w:rFonts w:ascii="Times New Roman" w:hAnsi="Times New Roman" w:cs="Times New Roman"/>
                <w:b/>
                <w:sz w:val="14"/>
                <w:szCs w:val="14"/>
                <w:lang w:eastAsia="sk-SK"/>
              </w:rPr>
              <w:t>2013 N</w:t>
            </w:r>
          </w:p>
        </w:tc>
        <w:tc>
          <w:tcPr>
            <w:tcW w:w="958"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center"/>
              <w:rPr>
                <w:rFonts w:ascii="Times New Roman" w:hAnsi="Times New Roman" w:cs="Times New Roman"/>
                <w:b/>
                <w:sz w:val="14"/>
                <w:szCs w:val="14"/>
                <w:lang w:eastAsia="sk-SK"/>
              </w:rPr>
            </w:pPr>
            <w:r w:rsidRPr="009E58F9">
              <w:rPr>
                <w:rFonts w:ascii="Times New Roman" w:hAnsi="Times New Roman" w:cs="Times New Roman"/>
                <w:b/>
                <w:sz w:val="14"/>
                <w:szCs w:val="14"/>
                <w:lang w:eastAsia="sk-SK"/>
              </w:rPr>
              <w:t>2014 N</w:t>
            </w:r>
          </w:p>
        </w:tc>
      </w:tr>
      <w:tr>
        <w:tblPrEx>
          <w:tblW w:w="9120" w:type="dxa"/>
          <w:tblInd w:w="65" w:type="dxa"/>
          <w:tblLayout w:type="fixed"/>
          <w:tblCellMar>
            <w:left w:w="70" w:type="dxa"/>
            <w:right w:w="70" w:type="dxa"/>
          </w:tblCellMar>
          <w:tblLook w:val="04A0"/>
        </w:tblPrEx>
        <w:trPr>
          <w:trHeight w:val="305"/>
        </w:trPr>
        <w:tc>
          <w:tcPr>
            <w:tcW w:w="2415"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b/>
                <w:bCs/>
                <w:sz w:val="14"/>
                <w:szCs w:val="14"/>
                <w:lang w:eastAsia="sk-SK"/>
              </w:rPr>
            </w:pPr>
            <w:r w:rsidRPr="009E58F9">
              <w:rPr>
                <w:rFonts w:ascii="Times New Roman" w:hAnsi="Times New Roman" w:cs="Times New Roman"/>
                <w:b/>
                <w:bCs/>
                <w:sz w:val="14"/>
                <w:szCs w:val="14"/>
                <w:lang w:eastAsia="sk-SK"/>
              </w:rPr>
              <w:t>riadenie, kontrola a podpora</w:t>
            </w:r>
          </w:p>
        </w:tc>
        <w:tc>
          <w:tcPr>
            <w:tcW w:w="957"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sz w:val="14"/>
                <w:szCs w:val="14"/>
                <w:lang w:eastAsia="sk-SK"/>
              </w:rPr>
            </w:pPr>
            <w:r w:rsidRPr="009E58F9">
              <w:rPr>
                <w:rFonts w:ascii="Times New Roman" w:hAnsi="Times New Roman" w:cs="Times New Roman"/>
                <w:b/>
                <w:bCs/>
                <w:sz w:val="14"/>
                <w:szCs w:val="14"/>
                <w:lang w:eastAsia="sk-SK"/>
              </w:rPr>
              <w:t>9 539 973</w:t>
            </w:r>
          </w:p>
        </w:tc>
        <w:tc>
          <w:tcPr>
            <w:tcW w:w="958"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sz w:val="14"/>
                <w:szCs w:val="14"/>
                <w:lang w:eastAsia="sk-SK"/>
              </w:rPr>
            </w:pPr>
            <w:r w:rsidRPr="009E58F9">
              <w:rPr>
                <w:rFonts w:ascii="Times New Roman" w:hAnsi="Times New Roman" w:cs="Times New Roman"/>
                <w:b/>
                <w:bCs/>
                <w:sz w:val="14"/>
                <w:szCs w:val="14"/>
                <w:lang w:eastAsia="sk-SK"/>
              </w:rPr>
              <w:t>10 213 454</w:t>
            </w:r>
          </w:p>
        </w:tc>
        <w:tc>
          <w:tcPr>
            <w:tcW w:w="958"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sz w:val="14"/>
                <w:szCs w:val="14"/>
                <w:lang w:eastAsia="sk-SK"/>
              </w:rPr>
            </w:pPr>
            <w:r w:rsidRPr="009E58F9">
              <w:rPr>
                <w:rFonts w:ascii="Times New Roman" w:hAnsi="Times New Roman" w:cs="Times New Roman"/>
                <w:b/>
                <w:bCs/>
                <w:sz w:val="14"/>
                <w:szCs w:val="14"/>
                <w:lang w:eastAsia="sk-SK"/>
              </w:rPr>
              <w:t>8 787 063</w:t>
            </w:r>
          </w:p>
        </w:tc>
        <w:tc>
          <w:tcPr>
            <w:tcW w:w="958"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10 387 373</w:t>
            </w:r>
          </w:p>
        </w:tc>
        <w:tc>
          <w:tcPr>
            <w:tcW w:w="958"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sz w:val="14"/>
                <w:szCs w:val="14"/>
                <w:lang w:eastAsia="sk-SK"/>
              </w:rPr>
            </w:pPr>
            <w:r w:rsidRPr="009E58F9">
              <w:rPr>
                <w:rFonts w:ascii="Times New Roman" w:hAnsi="Times New Roman" w:cs="Times New Roman"/>
                <w:b/>
                <w:bCs/>
                <w:sz w:val="14"/>
                <w:szCs w:val="14"/>
                <w:lang w:eastAsia="sk-SK"/>
              </w:rPr>
              <w:t>9 567 133</w:t>
            </w:r>
          </w:p>
        </w:tc>
        <w:tc>
          <w:tcPr>
            <w:tcW w:w="958"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sz w:val="14"/>
                <w:szCs w:val="14"/>
                <w:lang w:eastAsia="sk-SK"/>
              </w:rPr>
            </w:pPr>
            <w:r w:rsidRPr="009E58F9">
              <w:rPr>
                <w:rFonts w:ascii="Times New Roman" w:hAnsi="Times New Roman" w:cs="Times New Roman"/>
                <w:b/>
                <w:bCs/>
                <w:sz w:val="14"/>
                <w:szCs w:val="14"/>
                <w:lang w:eastAsia="sk-SK"/>
              </w:rPr>
              <w:t>9 587 577</w:t>
            </w:r>
          </w:p>
        </w:tc>
        <w:tc>
          <w:tcPr>
            <w:tcW w:w="958"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sz w:val="14"/>
                <w:szCs w:val="14"/>
                <w:lang w:eastAsia="sk-SK"/>
              </w:rPr>
            </w:pPr>
            <w:r w:rsidRPr="009E58F9">
              <w:rPr>
                <w:rFonts w:ascii="Times New Roman" w:hAnsi="Times New Roman" w:cs="Times New Roman"/>
                <w:b/>
                <w:bCs/>
                <w:sz w:val="14"/>
                <w:szCs w:val="14"/>
                <w:lang w:eastAsia="sk-SK"/>
              </w:rPr>
              <w:t>9 600 216</w:t>
            </w:r>
          </w:p>
        </w:tc>
      </w:tr>
      <w:tr>
        <w:tblPrEx>
          <w:tblW w:w="9120" w:type="dxa"/>
          <w:tblInd w:w="65" w:type="dxa"/>
          <w:tblLayout w:type="fixed"/>
          <w:tblCellMar>
            <w:left w:w="70" w:type="dxa"/>
            <w:right w:w="70" w:type="dxa"/>
          </w:tblCellMar>
          <w:tblLook w:val="04A0"/>
        </w:tblPrEx>
        <w:trPr>
          <w:trHeight w:val="305"/>
        </w:trPr>
        <w:tc>
          <w:tcPr>
            <w:tcW w:w="2415"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 xml:space="preserve">   610 mzdy</w:t>
            </w:r>
          </w:p>
        </w:tc>
        <w:tc>
          <w:tcPr>
            <w:tcW w:w="957"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3 612 368</w:t>
            </w:r>
          </w:p>
        </w:tc>
        <w:tc>
          <w:tcPr>
            <w:tcW w:w="95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3 479 592</w:t>
            </w:r>
          </w:p>
        </w:tc>
        <w:tc>
          <w:tcPr>
            <w:tcW w:w="95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3 400 982</w:t>
            </w:r>
          </w:p>
        </w:tc>
        <w:tc>
          <w:tcPr>
            <w:tcW w:w="95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3 400 982</w:t>
            </w:r>
          </w:p>
        </w:tc>
        <w:tc>
          <w:tcPr>
            <w:tcW w:w="95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3 406 844</w:t>
            </w:r>
          </w:p>
        </w:tc>
        <w:tc>
          <w:tcPr>
            <w:tcW w:w="95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3 424 328</w:t>
            </w:r>
          </w:p>
        </w:tc>
        <w:tc>
          <w:tcPr>
            <w:tcW w:w="95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3 430 088</w:t>
            </w:r>
          </w:p>
        </w:tc>
      </w:tr>
      <w:tr>
        <w:tblPrEx>
          <w:tblW w:w="9120" w:type="dxa"/>
          <w:tblInd w:w="65" w:type="dxa"/>
          <w:tblLayout w:type="fixed"/>
          <w:tblCellMar>
            <w:left w:w="70" w:type="dxa"/>
            <w:right w:w="70" w:type="dxa"/>
          </w:tblCellMar>
          <w:tblLook w:val="04A0"/>
        </w:tblPrEx>
        <w:trPr>
          <w:trHeight w:val="305"/>
        </w:trPr>
        <w:tc>
          <w:tcPr>
            <w:tcW w:w="2415"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 xml:space="preserve">   620 odvody</w:t>
            </w:r>
          </w:p>
        </w:tc>
        <w:tc>
          <w:tcPr>
            <w:tcW w:w="957"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1 148 261</w:t>
            </w:r>
          </w:p>
        </w:tc>
        <w:tc>
          <w:tcPr>
            <w:tcW w:w="958"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1 144 391</w:t>
            </w:r>
          </w:p>
        </w:tc>
        <w:tc>
          <w:tcPr>
            <w:tcW w:w="95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1 224 354</w:t>
            </w:r>
          </w:p>
        </w:tc>
        <w:tc>
          <w:tcPr>
            <w:tcW w:w="95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1 224 354</w:t>
            </w:r>
          </w:p>
        </w:tc>
        <w:tc>
          <w:tcPr>
            <w:tcW w:w="95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1 197 844</w:t>
            </w:r>
          </w:p>
        </w:tc>
        <w:tc>
          <w:tcPr>
            <w:tcW w:w="95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1 203 804</w:t>
            </w:r>
          </w:p>
        </w:tc>
        <w:tc>
          <w:tcPr>
            <w:tcW w:w="95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1 205 683</w:t>
            </w:r>
          </w:p>
        </w:tc>
      </w:tr>
      <w:tr>
        <w:tblPrEx>
          <w:tblW w:w="9120" w:type="dxa"/>
          <w:tblInd w:w="65" w:type="dxa"/>
          <w:tblLayout w:type="fixed"/>
          <w:tblCellMar>
            <w:left w:w="70" w:type="dxa"/>
            <w:right w:w="70" w:type="dxa"/>
          </w:tblCellMar>
          <w:tblLook w:val="04A0"/>
        </w:tblPrEx>
        <w:trPr>
          <w:trHeight w:val="305"/>
        </w:trPr>
        <w:tc>
          <w:tcPr>
            <w:tcW w:w="2415"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 xml:space="preserve">   630 tovary a služby</w:t>
            </w:r>
          </w:p>
        </w:tc>
        <w:tc>
          <w:tcPr>
            <w:tcW w:w="957"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1 685 327</w:t>
            </w:r>
          </w:p>
        </w:tc>
        <w:tc>
          <w:tcPr>
            <w:tcW w:w="958"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1 833 699</w:t>
            </w:r>
          </w:p>
        </w:tc>
        <w:tc>
          <w:tcPr>
            <w:tcW w:w="958"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1 948 129</w:t>
            </w:r>
          </w:p>
        </w:tc>
        <w:tc>
          <w:tcPr>
            <w:tcW w:w="958"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1 948 129</w:t>
            </w:r>
          </w:p>
        </w:tc>
        <w:tc>
          <w:tcPr>
            <w:tcW w:w="958"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1 909 445</w:t>
            </w:r>
          </w:p>
        </w:tc>
        <w:tc>
          <w:tcPr>
            <w:tcW w:w="958"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1 909 445</w:t>
            </w:r>
          </w:p>
        </w:tc>
        <w:tc>
          <w:tcPr>
            <w:tcW w:w="958"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1 909 445</w:t>
            </w:r>
          </w:p>
        </w:tc>
      </w:tr>
      <w:tr>
        <w:tblPrEx>
          <w:tblW w:w="9120" w:type="dxa"/>
          <w:tblInd w:w="65" w:type="dxa"/>
          <w:tblLayout w:type="fixed"/>
          <w:tblCellMar>
            <w:left w:w="70" w:type="dxa"/>
            <w:right w:w="70" w:type="dxa"/>
          </w:tblCellMar>
          <w:tblLook w:val="04A0"/>
        </w:tblPrEx>
        <w:trPr>
          <w:trHeight w:val="305"/>
        </w:trPr>
        <w:tc>
          <w:tcPr>
            <w:tcW w:w="2415"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 xml:space="preserve">   640 bežné transfery</w:t>
            </w:r>
          </w:p>
        </w:tc>
        <w:tc>
          <w:tcPr>
            <w:tcW w:w="957"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2 495 360</w:t>
            </w:r>
          </w:p>
        </w:tc>
        <w:tc>
          <w:tcPr>
            <w:tcW w:w="958"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3 267 535</w:t>
            </w:r>
          </w:p>
        </w:tc>
        <w:tc>
          <w:tcPr>
            <w:tcW w:w="958"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1 561 598</w:t>
            </w:r>
          </w:p>
        </w:tc>
        <w:tc>
          <w:tcPr>
            <w:tcW w:w="958"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2 829 908</w:t>
            </w:r>
          </w:p>
        </w:tc>
        <w:tc>
          <w:tcPr>
            <w:tcW w:w="958"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2 830 000</w:t>
            </w:r>
          </w:p>
        </w:tc>
        <w:tc>
          <w:tcPr>
            <w:tcW w:w="958"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2 830 000</w:t>
            </w:r>
          </w:p>
        </w:tc>
        <w:tc>
          <w:tcPr>
            <w:tcW w:w="958"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2 830 000</w:t>
            </w:r>
          </w:p>
        </w:tc>
      </w:tr>
      <w:tr>
        <w:tblPrEx>
          <w:tblW w:w="9120" w:type="dxa"/>
          <w:tblInd w:w="65" w:type="dxa"/>
          <w:tblLayout w:type="fixed"/>
          <w:tblCellMar>
            <w:left w:w="70" w:type="dxa"/>
            <w:right w:w="70" w:type="dxa"/>
          </w:tblCellMar>
          <w:tblLook w:val="04A0"/>
        </w:tblPrEx>
        <w:trPr>
          <w:trHeight w:val="305"/>
        </w:trPr>
        <w:tc>
          <w:tcPr>
            <w:tcW w:w="2415"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 xml:space="preserve">   700 kapitálové výdavky</w:t>
            </w:r>
          </w:p>
        </w:tc>
        <w:tc>
          <w:tcPr>
            <w:tcW w:w="957"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598 657</w:t>
            </w:r>
          </w:p>
        </w:tc>
        <w:tc>
          <w:tcPr>
            <w:tcW w:w="95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488 237</w:t>
            </w:r>
          </w:p>
        </w:tc>
        <w:tc>
          <w:tcPr>
            <w:tcW w:w="958"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652 000</w:t>
            </w:r>
          </w:p>
        </w:tc>
        <w:tc>
          <w:tcPr>
            <w:tcW w:w="958"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984 000</w:t>
            </w:r>
          </w:p>
        </w:tc>
        <w:tc>
          <w:tcPr>
            <w:tcW w:w="958"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223 000</w:t>
            </w:r>
          </w:p>
        </w:tc>
        <w:tc>
          <w:tcPr>
            <w:tcW w:w="958"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220 000</w:t>
            </w:r>
          </w:p>
        </w:tc>
        <w:tc>
          <w:tcPr>
            <w:tcW w:w="958"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225 000</w:t>
            </w:r>
          </w:p>
        </w:tc>
      </w:tr>
    </w:tbl>
    <w:p w:rsidR="00CB350B" w:rsidRPr="0004638E" w:rsidP="00CB350B">
      <w:pPr>
        <w:bidi w:val="0"/>
        <w:jc w:val="both"/>
        <w:rPr>
          <w:rFonts w:ascii="Times New Roman" w:hAnsi="Times New Roman" w:cs="Times New Roman"/>
        </w:rPr>
      </w:pPr>
    </w:p>
    <w:p w:rsidR="00CB350B" w:rsidRPr="00063075" w:rsidP="00CB350B">
      <w:pPr>
        <w:bidi w:val="0"/>
        <w:ind w:firstLine="708"/>
        <w:jc w:val="both"/>
        <w:rPr>
          <w:rFonts w:ascii="Times New Roman" w:hAnsi="Times New Roman" w:cs="Times New Roman"/>
        </w:rPr>
      </w:pPr>
      <w:r w:rsidRPr="00063075">
        <w:rPr>
          <w:rFonts w:ascii="Times New Roman" w:hAnsi="Times New Roman" w:cs="Times New Roman"/>
        </w:rPr>
        <w:t>V porovnaní so schváleným rozpočtom roku 2011 sa na administratívu v roku 2012 rozpočtujú výdavky o 8,88 % vyššie. Osobné výdavky sú na úrovni roku 2011. Tovary a služby oproti schválenému rozpočtu roku 2011 klesajú o 1,99 % v nadväznosti na celoplošné zníženie prevádzkových výdavkov. Bežné transfery stúpajú o 81,2 %, nakoľko si kapitola bežné transfery zo súdnictva v sume 1,27 mil. eur presunula do administratívy na odškodňovanie pre potrebu vyplatenia úhrad platného nároku odškodňovaným osobám a na vyplatenie príplatku k dôchodku sudcom.</w:t>
      </w:r>
    </w:p>
    <w:p w:rsidR="00CB350B" w:rsidRPr="00063075" w:rsidP="00CB350B">
      <w:pPr>
        <w:bidi w:val="0"/>
        <w:jc w:val="both"/>
        <w:rPr>
          <w:rFonts w:ascii="Times New Roman" w:hAnsi="Times New Roman" w:cs="Times New Roman"/>
        </w:rPr>
      </w:pPr>
    </w:p>
    <w:p w:rsidR="00CB350B" w:rsidRPr="00063075" w:rsidP="00CB350B">
      <w:pPr>
        <w:bidi w:val="0"/>
        <w:ind w:firstLine="708"/>
        <w:jc w:val="both"/>
        <w:rPr>
          <w:rFonts w:ascii="Times New Roman" w:hAnsi="Times New Roman" w:cs="Times New Roman"/>
        </w:rPr>
      </w:pPr>
      <w:r w:rsidRPr="00063075">
        <w:rPr>
          <w:rFonts w:ascii="Times New Roman" w:hAnsi="Times New Roman" w:cs="Times New Roman"/>
        </w:rPr>
        <w:t xml:space="preserve">Kapitálové výdavky sú rozpočtované </w:t>
      </w:r>
      <w:r>
        <w:rPr>
          <w:rFonts w:ascii="Times New Roman" w:hAnsi="Times New Roman" w:cs="Times New Roman"/>
        </w:rPr>
        <w:t>na</w:t>
      </w:r>
      <w:r w:rsidRPr="00063075">
        <w:rPr>
          <w:rFonts w:ascii="Times New Roman" w:hAnsi="Times New Roman" w:cs="Times New Roman"/>
        </w:rPr>
        <w:t xml:space="preserve"> rok 201</w:t>
      </w:r>
      <w:r>
        <w:rPr>
          <w:rFonts w:ascii="Times New Roman" w:hAnsi="Times New Roman" w:cs="Times New Roman"/>
        </w:rPr>
        <w:t>2</w:t>
      </w:r>
      <w:r w:rsidRPr="00063075">
        <w:rPr>
          <w:rFonts w:ascii="Times New Roman" w:hAnsi="Times New Roman" w:cs="Times New Roman"/>
        </w:rPr>
        <w:t xml:space="preserve"> v sume 223 tis. eur.  </w:t>
      </w:r>
    </w:p>
    <w:p w:rsidR="00CB350B" w:rsidRPr="00063075" w:rsidP="00CB350B">
      <w:pPr>
        <w:bidi w:val="0"/>
        <w:jc w:val="both"/>
        <w:rPr>
          <w:rFonts w:ascii="Times New Roman" w:hAnsi="Times New Roman" w:cs="Times New Roman"/>
          <w:i/>
        </w:rPr>
      </w:pPr>
    </w:p>
    <w:p w:rsidR="00CB350B" w:rsidRPr="00063075" w:rsidP="00CB350B">
      <w:pPr>
        <w:bidi w:val="0"/>
        <w:jc w:val="both"/>
        <w:rPr>
          <w:rFonts w:ascii="Times New Roman" w:hAnsi="Times New Roman" w:cs="Times New Roman"/>
          <w:i/>
        </w:rPr>
      </w:pPr>
      <w:r w:rsidRPr="00063075">
        <w:rPr>
          <w:rFonts w:ascii="Times New Roman" w:hAnsi="Times New Roman" w:cs="Times New Roman"/>
          <w:i/>
        </w:rPr>
        <w:t>Odškodňovanie</w:t>
      </w:r>
      <w:r>
        <w:rPr>
          <w:rFonts w:ascii="Times New Roman" w:hAnsi="Times New Roman" w:cs="Times New Roman"/>
          <w:i/>
        </w:rPr>
        <w:t xml:space="preserve"> v administratíve</w:t>
      </w:r>
    </w:p>
    <w:p w:rsidR="00CB350B" w:rsidRPr="00063075" w:rsidP="00CB350B">
      <w:pPr>
        <w:bidi w:val="0"/>
        <w:jc w:val="both"/>
        <w:rPr>
          <w:rFonts w:ascii="Times New Roman" w:hAnsi="Times New Roman" w:cs="Times New Roman"/>
          <w:i/>
        </w:rPr>
      </w:pPr>
    </w:p>
    <w:p w:rsidR="00CB350B" w:rsidP="00CB350B">
      <w:pPr>
        <w:bidi w:val="0"/>
        <w:ind w:firstLine="708"/>
        <w:jc w:val="both"/>
        <w:rPr>
          <w:rFonts w:ascii="Times New Roman" w:hAnsi="Times New Roman" w:cs="Times New Roman"/>
        </w:rPr>
      </w:pPr>
      <w:r>
        <w:rPr>
          <w:rFonts w:ascii="Times New Roman" w:hAnsi="Times New Roman" w:cs="Times New Roman"/>
        </w:rPr>
        <w:t>V rámci administratívy sa na</w:t>
      </w:r>
      <w:r w:rsidRPr="006B0E21">
        <w:rPr>
          <w:rFonts w:ascii="Times New Roman" w:hAnsi="Times New Roman" w:cs="Times New Roman"/>
        </w:rPr>
        <w:t xml:space="preserve"> odškodnenie obetí deportácií do gulagov na území bývalého ZSSR, za zodpovednosť za škodu spôsobenú rozhodnutím orgánu štátu alebo jeho nesprávnym úradným postupom, za následky násilných trestných činov, spáchaných po 1. máji 2006 o odškodňovaní osôb poškodených násilnými trestnými činmi, </w:t>
      </w:r>
      <w:r>
        <w:rPr>
          <w:rFonts w:ascii="Times New Roman" w:hAnsi="Times New Roman" w:cs="Times New Roman"/>
        </w:rPr>
        <w:t>na</w:t>
      </w:r>
      <w:r w:rsidRPr="006B0E21">
        <w:rPr>
          <w:rFonts w:ascii="Times New Roman" w:hAnsi="Times New Roman" w:cs="Times New Roman"/>
        </w:rPr>
        <w:t> zmiernen</w:t>
      </w:r>
      <w:r>
        <w:rPr>
          <w:rFonts w:ascii="Times New Roman" w:hAnsi="Times New Roman" w:cs="Times New Roman"/>
        </w:rPr>
        <w:t>ie</w:t>
      </w:r>
      <w:r w:rsidRPr="006B0E21">
        <w:rPr>
          <w:rFonts w:ascii="Times New Roman" w:hAnsi="Times New Roman" w:cs="Times New Roman"/>
        </w:rPr>
        <w:t xml:space="preserve"> niektorých krívd osobám deportovaným do nacistických koncentračných táborov a zajateckých táborov, príslušníko</w:t>
      </w:r>
      <w:r>
        <w:rPr>
          <w:rFonts w:ascii="Times New Roman" w:hAnsi="Times New Roman" w:cs="Times New Roman"/>
        </w:rPr>
        <w:t>v</w:t>
      </w:r>
      <w:r w:rsidRPr="006B0E21">
        <w:rPr>
          <w:rFonts w:ascii="Times New Roman" w:hAnsi="Times New Roman" w:cs="Times New Roman"/>
        </w:rPr>
        <w:t xml:space="preserve"> československých zahraničných alebo spojeneckých armád, ako aj domáceho odboja v  rokoch 1939 až 1945</w:t>
      </w:r>
      <w:r>
        <w:rPr>
          <w:rFonts w:ascii="Times New Roman" w:hAnsi="Times New Roman" w:cs="Times New Roman"/>
        </w:rPr>
        <w:t>,</w:t>
      </w:r>
      <w:r w:rsidRPr="006B0E21">
        <w:rPr>
          <w:rFonts w:ascii="Times New Roman" w:hAnsi="Times New Roman" w:cs="Times New Roman"/>
        </w:rPr>
        <w:t> obetí okupácie ČSSR vojskami ZSSR, NDR, PĽR, MĽR a BĽR v roku 1968</w:t>
      </w:r>
      <w:r>
        <w:rPr>
          <w:rFonts w:ascii="Times New Roman" w:hAnsi="Times New Roman" w:cs="Times New Roman"/>
        </w:rPr>
        <w:t xml:space="preserve"> a za prieťahy v súdnom konaní</w:t>
      </w:r>
      <w:r w:rsidRPr="006B0E21">
        <w:rPr>
          <w:rFonts w:ascii="Times New Roman" w:hAnsi="Times New Roman" w:cs="Times New Roman"/>
        </w:rPr>
        <w:t xml:space="preserve"> </w:t>
      </w:r>
      <w:r>
        <w:rPr>
          <w:rFonts w:ascii="Times New Roman" w:hAnsi="Times New Roman" w:cs="Times New Roman"/>
        </w:rPr>
        <w:t xml:space="preserve">rozpočtuje </w:t>
      </w:r>
      <w:r w:rsidRPr="006B0E21">
        <w:rPr>
          <w:rFonts w:ascii="Times New Roman" w:hAnsi="Times New Roman" w:cs="Times New Roman"/>
        </w:rPr>
        <w:t>sum</w:t>
      </w:r>
      <w:r>
        <w:rPr>
          <w:rFonts w:ascii="Times New Roman" w:hAnsi="Times New Roman" w:cs="Times New Roman"/>
        </w:rPr>
        <w:t>a</w:t>
      </w:r>
      <w:r w:rsidRPr="006B0E21">
        <w:rPr>
          <w:rFonts w:ascii="Times New Roman" w:hAnsi="Times New Roman" w:cs="Times New Roman"/>
        </w:rPr>
        <w:t xml:space="preserve"> </w:t>
      </w:r>
      <w:r w:rsidRPr="00AB32AC">
        <w:rPr>
          <w:rFonts w:ascii="Times New Roman" w:hAnsi="Times New Roman" w:cs="Times New Roman"/>
        </w:rPr>
        <w:t>1,11 mil. eur</w:t>
      </w:r>
      <w:r>
        <w:rPr>
          <w:rFonts w:ascii="Times New Roman" w:hAnsi="Times New Roman" w:cs="Times New Roman"/>
        </w:rPr>
        <w:t>.</w:t>
      </w:r>
    </w:p>
    <w:p w:rsidR="00CB350B" w:rsidRPr="006B0E21" w:rsidP="00CB350B">
      <w:pPr>
        <w:bidi w:val="0"/>
        <w:jc w:val="both"/>
        <w:rPr>
          <w:rFonts w:ascii="Times New Roman" w:hAnsi="Times New Roman" w:cs="Times New Roman"/>
        </w:rPr>
      </w:pPr>
    </w:p>
    <w:tbl>
      <w:tblPr>
        <w:tblStyle w:val="TableNormal"/>
        <w:tblW w:w="9087" w:type="dxa"/>
        <w:tblInd w:w="55" w:type="dxa"/>
        <w:tblCellMar>
          <w:left w:w="70" w:type="dxa"/>
          <w:right w:w="70" w:type="dxa"/>
        </w:tblCellMar>
        <w:tblLook w:val="04A0"/>
      </w:tblPr>
      <w:tblGrid>
        <w:gridCol w:w="2560"/>
        <w:gridCol w:w="932"/>
        <w:gridCol w:w="932"/>
        <w:gridCol w:w="933"/>
        <w:gridCol w:w="932"/>
        <w:gridCol w:w="933"/>
        <w:gridCol w:w="932"/>
        <w:gridCol w:w="933"/>
      </w:tblGrid>
      <w:tr>
        <w:tblPrEx>
          <w:tblW w:w="9087" w:type="dxa"/>
          <w:tblInd w:w="55" w:type="dxa"/>
          <w:tblCellMar>
            <w:left w:w="70" w:type="dxa"/>
            <w:right w:w="70" w:type="dxa"/>
          </w:tblCellMar>
          <w:tblLook w:val="04A0"/>
        </w:tblPrEx>
        <w:trPr>
          <w:trHeight w:val="330"/>
        </w:trPr>
        <w:tc>
          <w:tcPr>
            <w:tcW w:w="2560"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F57097" w:rsidP="00257E12">
            <w:pPr>
              <w:bidi w:val="0"/>
              <w:rPr>
                <w:rFonts w:ascii="Times New Roman" w:hAnsi="Times New Roman" w:cs="Times New Roman"/>
                <w:b/>
                <w:color w:val="000000"/>
                <w:sz w:val="14"/>
                <w:szCs w:val="14"/>
              </w:rPr>
            </w:pPr>
            <w:r w:rsidRPr="00F57097">
              <w:rPr>
                <w:rFonts w:ascii="Times New Roman" w:hAnsi="Times New Roman" w:cs="Times New Roman"/>
                <w:b/>
                <w:color w:val="000000"/>
                <w:sz w:val="14"/>
                <w:szCs w:val="14"/>
              </w:rPr>
              <w:t>v</w:t>
            </w:r>
            <w:r>
              <w:rPr>
                <w:rFonts w:ascii="Times New Roman" w:hAnsi="Times New Roman" w:cs="Times New Roman"/>
                <w:b/>
                <w:color w:val="000000"/>
                <w:sz w:val="14"/>
                <w:szCs w:val="14"/>
              </w:rPr>
              <w:t> </w:t>
            </w:r>
            <w:r w:rsidRPr="00F57097">
              <w:rPr>
                <w:rFonts w:ascii="Times New Roman" w:hAnsi="Times New Roman" w:cs="Times New Roman"/>
                <w:b/>
                <w:color w:val="000000"/>
                <w:sz w:val="14"/>
                <w:szCs w:val="14"/>
              </w:rPr>
              <w:t>eurách</w:t>
            </w:r>
          </w:p>
        </w:tc>
        <w:tc>
          <w:tcPr>
            <w:tcW w:w="932" w:type="dxa"/>
            <w:tcBorders>
              <w:top w:val="single" w:sz="4" w:space="0" w:color="auto"/>
              <w:left w:val="nil"/>
              <w:bottom w:val="single" w:sz="4" w:space="0" w:color="auto"/>
              <w:right w:val="single" w:sz="4" w:space="0" w:color="auto"/>
            </w:tcBorders>
            <w:textDirection w:val="lrTb"/>
            <w:vAlign w:val="bottom"/>
            <w:hideMark/>
          </w:tcPr>
          <w:p w:rsidR="00CB350B" w:rsidRPr="00F57097" w:rsidP="00257E12">
            <w:pPr>
              <w:bidi w:val="0"/>
              <w:jc w:val="center"/>
              <w:rPr>
                <w:rFonts w:ascii="Times New Roman" w:hAnsi="Times New Roman" w:cs="Times New Roman"/>
                <w:b/>
                <w:bCs/>
                <w:color w:val="000000"/>
                <w:sz w:val="14"/>
                <w:szCs w:val="14"/>
                <w:lang w:eastAsia="sk-SK"/>
              </w:rPr>
            </w:pPr>
            <w:r w:rsidRPr="00F57097">
              <w:rPr>
                <w:rFonts w:ascii="Times New Roman" w:hAnsi="Times New Roman" w:cs="Times New Roman"/>
                <w:b/>
                <w:bCs/>
                <w:color w:val="000000"/>
                <w:sz w:val="14"/>
                <w:szCs w:val="14"/>
                <w:lang w:eastAsia="sk-SK"/>
              </w:rPr>
              <w:t>2009 S</w:t>
            </w:r>
          </w:p>
        </w:tc>
        <w:tc>
          <w:tcPr>
            <w:tcW w:w="932" w:type="dxa"/>
            <w:tcBorders>
              <w:top w:val="single" w:sz="4" w:space="0" w:color="auto"/>
              <w:left w:val="nil"/>
              <w:bottom w:val="single" w:sz="4" w:space="0" w:color="auto"/>
              <w:right w:val="single" w:sz="4" w:space="0" w:color="auto"/>
            </w:tcBorders>
            <w:textDirection w:val="lrTb"/>
            <w:vAlign w:val="bottom"/>
            <w:hideMark/>
          </w:tcPr>
          <w:p w:rsidR="00CB350B" w:rsidRPr="00F57097" w:rsidP="00257E12">
            <w:pPr>
              <w:bidi w:val="0"/>
              <w:jc w:val="center"/>
              <w:rPr>
                <w:rFonts w:ascii="Times New Roman" w:hAnsi="Times New Roman" w:cs="Times New Roman"/>
                <w:b/>
                <w:bCs/>
                <w:color w:val="000000"/>
                <w:sz w:val="14"/>
                <w:szCs w:val="14"/>
                <w:lang w:eastAsia="sk-SK"/>
              </w:rPr>
            </w:pPr>
            <w:r w:rsidRPr="00F57097">
              <w:rPr>
                <w:rFonts w:ascii="Times New Roman" w:hAnsi="Times New Roman" w:cs="Times New Roman"/>
                <w:b/>
                <w:bCs/>
                <w:color w:val="000000"/>
                <w:sz w:val="14"/>
                <w:szCs w:val="14"/>
                <w:lang w:eastAsia="sk-SK"/>
              </w:rPr>
              <w:t>2010 S</w:t>
            </w:r>
          </w:p>
        </w:tc>
        <w:tc>
          <w:tcPr>
            <w:tcW w:w="933" w:type="dxa"/>
            <w:tcBorders>
              <w:top w:val="single" w:sz="4" w:space="0" w:color="auto"/>
              <w:left w:val="nil"/>
              <w:bottom w:val="single" w:sz="4" w:space="0" w:color="auto"/>
              <w:right w:val="single" w:sz="4" w:space="0" w:color="auto"/>
            </w:tcBorders>
            <w:textDirection w:val="lrTb"/>
            <w:vAlign w:val="bottom"/>
            <w:hideMark/>
          </w:tcPr>
          <w:p w:rsidR="00CB350B" w:rsidRPr="00F57097" w:rsidP="00257E12">
            <w:pPr>
              <w:bidi w:val="0"/>
              <w:jc w:val="center"/>
              <w:rPr>
                <w:rFonts w:ascii="Times New Roman" w:hAnsi="Times New Roman" w:cs="Times New Roman"/>
                <w:b/>
                <w:bCs/>
                <w:color w:val="000000"/>
                <w:sz w:val="14"/>
                <w:szCs w:val="14"/>
                <w:lang w:eastAsia="sk-SK"/>
              </w:rPr>
            </w:pPr>
            <w:r w:rsidRPr="00F57097">
              <w:rPr>
                <w:rFonts w:ascii="Times New Roman" w:hAnsi="Times New Roman" w:cs="Times New Roman"/>
                <w:b/>
                <w:bCs/>
                <w:color w:val="000000"/>
                <w:sz w:val="14"/>
                <w:szCs w:val="14"/>
                <w:lang w:eastAsia="sk-SK"/>
              </w:rPr>
              <w:t>2011 R</w:t>
            </w:r>
          </w:p>
        </w:tc>
        <w:tc>
          <w:tcPr>
            <w:tcW w:w="932" w:type="dxa"/>
            <w:tcBorders>
              <w:top w:val="single" w:sz="4" w:space="0" w:color="auto"/>
              <w:left w:val="nil"/>
              <w:bottom w:val="single" w:sz="4" w:space="0" w:color="auto"/>
              <w:right w:val="single" w:sz="4" w:space="0" w:color="auto"/>
            </w:tcBorders>
            <w:textDirection w:val="lrTb"/>
            <w:vAlign w:val="bottom"/>
            <w:hideMark/>
          </w:tcPr>
          <w:p w:rsidR="00CB350B" w:rsidRPr="00F57097" w:rsidP="00257E12">
            <w:pPr>
              <w:bidi w:val="0"/>
              <w:jc w:val="center"/>
              <w:rPr>
                <w:rFonts w:ascii="Times New Roman" w:hAnsi="Times New Roman" w:cs="Times New Roman"/>
                <w:b/>
                <w:bCs/>
                <w:color w:val="000000"/>
                <w:sz w:val="14"/>
                <w:szCs w:val="14"/>
                <w:lang w:eastAsia="sk-SK"/>
              </w:rPr>
            </w:pPr>
            <w:r w:rsidRPr="00F57097">
              <w:rPr>
                <w:rFonts w:ascii="Times New Roman" w:hAnsi="Times New Roman" w:cs="Times New Roman"/>
                <w:b/>
                <w:bCs/>
                <w:color w:val="000000"/>
                <w:sz w:val="14"/>
                <w:szCs w:val="14"/>
                <w:lang w:eastAsia="sk-SK"/>
              </w:rPr>
              <w:t>2011 OS</w:t>
            </w:r>
          </w:p>
        </w:tc>
        <w:tc>
          <w:tcPr>
            <w:tcW w:w="933" w:type="dxa"/>
            <w:tcBorders>
              <w:top w:val="single" w:sz="4" w:space="0" w:color="auto"/>
              <w:left w:val="nil"/>
              <w:bottom w:val="single" w:sz="4" w:space="0" w:color="auto"/>
              <w:right w:val="single" w:sz="4" w:space="0" w:color="auto"/>
            </w:tcBorders>
            <w:textDirection w:val="lrTb"/>
            <w:vAlign w:val="bottom"/>
            <w:hideMark/>
          </w:tcPr>
          <w:p w:rsidR="00CB350B" w:rsidRPr="00F57097" w:rsidP="00257E12">
            <w:pPr>
              <w:bidi w:val="0"/>
              <w:jc w:val="center"/>
              <w:rPr>
                <w:rFonts w:ascii="Times New Roman" w:hAnsi="Times New Roman" w:cs="Times New Roman"/>
                <w:b/>
                <w:bCs/>
                <w:color w:val="000000"/>
                <w:sz w:val="14"/>
                <w:szCs w:val="14"/>
                <w:lang w:eastAsia="sk-SK"/>
              </w:rPr>
            </w:pPr>
            <w:r w:rsidRPr="00F57097">
              <w:rPr>
                <w:rFonts w:ascii="Times New Roman" w:hAnsi="Times New Roman" w:cs="Times New Roman"/>
                <w:b/>
                <w:bCs/>
                <w:color w:val="000000"/>
                <w:sz w:val="14"/>
                <w:szCs w:val="14"/>
                <w:lang w:eastAsia="sk-SK"/>
              </w:rPr>
              <w:t>2012 N</w:t>
            </w:r>
          </w:p>
        </w:tc>
        <w:tc>
          <w:tcPr>
            <w:tcW w:w="932" w:type="dxa"/>
            <w:tcBorders>
              <w:top w:val="single" w:sz="4" w:space="0" w:color="auto"/>
              <w:left w:val="nil"/>
              <w:bottom w:val="single" w:sz="4" w:space="0" w:color="auto"/>
              <w:right w:val="single" w:sz="4" w:space="0" w:color="auto"/>
            </w:tcBorders>
            <w:textDirection w:val="lrTb"/>
            <w:vAlign w:val="bottom"/>
            <w:hideMark/>
          </w:tcPr>
          <w:p w:rsidR="00CB350B" w:rsidRPr="00F57097" w:rsidP="00257E12">
            <w:pPr>
              <w:bidi w:val="0"/>
              <w:jc w:val="center"/>
              <w:rPr>
                <w:rFonts w:ascii="Times New Roman" w:hAnsi="Times New Roman" w:cs="Times New Roman"/>
                <w:b/>
                <w:bCs/>
                <w:color w:val="000000"/>
                <w:sz w:val="14"/>
                <w:szCs w:val="14"/>
                <w:lang w:eastAsia="sk-SK"/>
              </w:rPr>
            </w:pPr>
            <w:r w:rsidRPr="00F57097">
              <w:rPr>
                <w:rFonts w:ascii="Times New Roman" w:hAnsi="Times New Roman" w:cs="Times New Roman"/>
                <w:b/>
                <w:bCs/>
                <w:color w:val="000000"/>
                <w:sz w:val="14"/>
                <w:szCs w:val="14"/>
                <w:lang w:eastAsia="sk-SK"/>
              </w:rPr>
              <w:t>2013 N</w:t>
            </w:r>
          </w:p>
        </w:tc>
        <w:tc>
          <w:tcPr>
            <w:tcW w:w="933" w:type="dxa"/>
            <w:tcBorders>
              <w:top w:val="single" w:sz="4" w:space="0" w:color="auto"/>
              <w:left w:val="nil"/>
              <w:bottom w:val="single" w:sz="4" w:space="0" w:color="auto"/>
              <w:right w:val="single" w:sz="4" w:space="0" w:color="auto"/>
            </w:tcBorders>
            <w:textDirection w:val="lrTb"/>
            <w:vAlign w:val="bottom"/>
            <w:hideMark/>
          </w:tcPr>
          <w:p w:rsidR="00CB350B" w:rsidRPr="00F57097" w:rsidP="00257E12">
            <w:pPr>
              <w:bidi w:val="0"/>
              <w:jc w:val="center"/>
              <w:rPr>
                <w:rFonts w:ascii="Times New Roman" w:hAnsi="Times New Roman" w:cs="Times New Roman"/>
                <w:b/>
                <w:bCs/>
                <w:color w:val="000000"/>
                <w:sz w:val="14"/>
                <w:szCs w:val="14"/>
                <w:lang w:eastAsia="sk-SK"/>
              </w:rPr>
            </w:pPr>
            <w:r w:rsidRPr="00F57097">
              <w:rPr>
                <w:rFonts w:ascii="Times New Roman" w:hAnsi="Times New Roman" w:cs="Times New Roman"/>
                <w:b/>
                <w:bCs/>
                <w:color w:val="000000"/>
                <w:sz w:val="14"/>
                <w:szCs w:val="14"/>
                <w:lang w:eastAsia="sk-SK"/>
              </w:rPr>
              <w:t>2014 N</w:t>
            </w:r>
          </w:p>
        </w:tc>
      </w:tr>
      <w:tr>
        <w:tblPrEx>
          <w:tblW w:w="9087" w:type="dxa"/>
          <w:tblInd w:w="55" w:type="dxa"/>
          <w:tblCellMar>
            <w:left w:w="70" w:type="dxa"/>
            <w:right w:w="70" w:type="dxa"/>
          </w:tblCellMar>
          <w:tblLook w:val="04A0"/>
        </w:tblPrEx>
        <w:trPr>
          <w:trHeight w:val="330"/>
        </w:trPr>
        <w:tc>
          <w:tcPr>
            <w:tcW w:w="2560" w:type="dxa"/>
            <w:tcBorders>
              <w:top w:val="nil"/>
              <w:left w:val="single" w:sz="4" w:space="0" w:color="auto"/>
              <w:bottom w:val="single" w:sz="4" w:space="0" w:color="auto"/>
              <w:right w:val="single" w:sz="4" w:space="0" w:color="auto"/>
            </w:tcBorders>
            <w:textDirection w:val="lrTb"/>
            <w:vAlign w:val="bottom"/>
            <w:hideMark/>
          </w:tcPr>
          <w:p w:rsidR="00CB350B" w:rsidRPr="00F57097" w:rsidP="00257E12">
            <w:pPr>
              <w:bidi w:val="0"/>
              <w:rPr>
                <w:rFonts w:ascii="Times New Roman" w:hAnsi="Times New Roman" w:cs="Times New Roman"/>
                <w:color w:val="000000"/>
                <w:sz w:val="14"/>
                <w:szCs w:val="14"/>
              </w:rPr>
            </w:pPr>
            <w:r w:rsidRPr="00F57097">
              <w:rPr>
                <w:rFonts w:ascii="Times New Roman" w:hAnsi="Times New Roman" w:cs="Times New Roman"/>
                <w:color w:val="000000"/>
                <w:sz w:val="14"/>
                <w:szCs w:val="14"/>
              </w:rPr>
              <w:t>Odškodňovanie v</w:t>
            </w:r>
            <w:r>
              <w:rPr>
                <w:rFonts w:ascii="Times New Roman" w:hAnsi="Times New Roman" w:cs="Times New Roman"/>
                <w:color w:val="000000"/>
                <w:sz w:val="14"/>
                <w:szCs w:val="14"/>
              </w:rPr>
              <w:t> oblasti administratíva</w:t>
            </w:r>
          </w:p>
        </w:tc>
        <w:tc>
          <w:tcPr>
            <w:tcW w:w="932" w:type="dxa"/>
            <w:tcBorders>
              <w:top w:val="nil"/>
              <w:left w:val="nil"/>
              <w:bottom w:val="single" w:sz="4" w:space="0" w:color="auto"/>
              <w:right w:val="single" w:sz="4" w:space="0" w:color="auto"/>
            </w:tcBorders>
            <w:textDirection w:val="lrTb"/>
            <w:vAlign w:val="bottom"/>
            <w:hideMark/>
          </w:tcPr>
          <w:p w:rsidR="00CB350B" w:rsidRPr="00F57097" w:rsidP="00257E12">
            <w:pPr>
              <w:bidi w:val="0"/>
              <w:jc w:val="right"/>
              <w:rPr>
                <w:rFonts w:ascii="Times New Roman" w:hAnsi="Times New Roman" w:cs="Times New Roman"/>
                <w:color w:val="000000"/>
                <w:sz w:val="14"/>
                <w:szCs w:val="14"/>
              </w:rPr>
            </w:pPr>
            <w:r w:rsidRPr="00F57097">
              <w:rPr>
                <w:rFonts w:ascii="Times New Roman" w:hAnsi="Times New Roman" w:cs="Times New Roman"/>
                <w:color w:val="000000"/>
                <w:sz w:val="14"/>
                <w:szCs w:val="14"/>
              </w:rPr>
              <w:t>1 064 168</w:t>
            </w:r>
          </w:p>
        </w:tc>
        <w:tc>
          <w:tcPr>
            <w:tcW w:w="932" w:type="dxa"/>
            <w:tcBorders>
              <w:top w:val="nil"/>
              <w:left w:val="nil"/>
              <w:bottom w:val="single" w:sz="4" w:space="0" w:color="auto"/>
              <w:right w:val="single" w:sz="4" w:space="0" w:color="auto"/>
            </w:tcBorders>
            <w:textDirection w:val="lrTb"/>
            <w:vAlign w:val="bottom"/>
            <w:hideMark/>
          </w:tcPr>
          <w:p w:rsidR="00CB350B" w:rsidRPr="00F57097" w:rsidP="00257E12">
            <w:pPr>
              <w:bidi w:val="0"/>
              <w:jc w:val="right"/>
              <w:rPr>
                <w:rFonts w:ascii="Times New Roman" w:hAnsi="Times New Roman" w:cs="Times New Roman"/>
                <w:color w:val="000000"/>
                <w:sz w:val="14"/>
                <w:szCs w:val="14"/>
              </w:rPr>
            </w:pPr>
            <w:r w:rsidRPr="00F57097">
              <w:rPr>
                <w:rFonts w:ascii="Times New Roman" w:hAnsi="Times New Roman" w:cs="Times New Roman"/>
                <w:color w:val="000000"/>
                <w:sz w:val="14"/>
                <w:szCs w:val="14"/>
              </w:rPr>
              <w:t>1 719 299</w:t>
            </w:r>
          </w:p>
        </w:tc>
        <w:tc>
          <w:tcPr>
            <w:tcW w:w="933" w:type="dxa"/>
            <w:tcBorders>
              <w:top w:val="nil"/>
              <w:left w:val="nil"/>
              <w:bottom w:val="single" w:sz="4" w:space="0" w:color="auto"/>
              <w:right w:val="single" w:sz="4" w:space="0" w:color="auto"/>
            </w:tcBorders>
            <w:textDirection w:val="lrTb"/>
            <w:vAlign w:val="bottom"/>
            <w:hideMark/>
          </w:tcPr>
          <w:p w:rsidR="00CB350B" w:rsidRPr="00F57097" w:rsidP="00257E12">
            <w:pPr>
              <w:bidi w:val="0"/>
              <w:jc w:val="right"/>
              <w:rPr>
                <w:rFonts w:ascii="Times New Roman" w:hAnsi="Times New Roman" w:cs="Times New Roman"/>
                <w:color w:val="000000"/>
                <w:sz w:val="14"/>
                <w:szCs w:val="14"/>
              </w:rPr>
            </w:pPr>
            <w:r w:rsidRPr="00F57097">
              <w:rPr>
                <w:rFonts w:ascii="Times New Roman" w:hAnsi="Times New Roman" w:cs="Times New Roman"/>
                <w:color w:val="000000"/>
                <w:sz w:val="14"/>
                <w:szCs w:val="14"/>
              </w:rPr>
              <w:t>1 098 150</w:t>
            </w:r>
          </w:p>
        </w:tc>
        <w:tc>
          <w:tcPr>
            <w:tcW w:w="932" w:type="dxa"/>
            <w:tcBorders>
              <w:top w:val="nil"/>
              <w:left w:val="nil"/>
              <w:bottom w:val="single" w:sz="4" w:space="0" w:color="auto"/>
              <w:right w:val="single" w:sz="4" w:space="0" w:color="auto"/>
            </w:tcBorders>
            <w:textDirection w:val="lrTb"/>
            <w:vAlign w:val="bottom"/>
            <w:hideMark/>
          </w:tcPr>
          <w:p w:rsidR="00CB350B" w:rsidRPr="00F57097" w:rsidP="00257E12">
            <w:pPr>
              <w:bidi w:val="0"/>
              <w:jc w:val="right"/>
              <w:rPr>
                <w:rFonts w:ascii="Times New Roman" w:hAnsi="Times New Roman" w:cs="Times New Roman"/>
                <w:color w:val="000000"/>
                <w:sz w:val="14"/>
                <w:szCs w:val="14"/>
              </w:rPr>
            </w:pPr>
            <w:r w:rsidRPr="00F57097">
              <w:rPr>
                <w:rFonts w:ascii="Times New Roman" w:hAnsi="Times New Roman" w:cs="Times New Roman"/>
                <w:color w:val="000000"/>
                <w:sz w:val="14"/>
                <w:szCs w:val="14"/>
              </w:rPr>
              <w:t>1 739 176</w:t>
            </w:r>
          </w:p>
        </w:tc>
        <w:tc>
          <w:tcPr>
            <w:tcW w:w="933" w:type="dxa"/>
            <w:tcBorders>
              <w:top w:val="nil"/>
              <w:left w:val="nil"/>
              <w:bottom w:val="single" w:sz="4" w:space="0" w:color="auto"/>
              <w:right w:val="single" w:sz="4" w:space="0" w:color="auto"/>
            </w:tcBorders>
            <w:textDirection w:val="lrTb"/>
            <w:vAlign w:val="bottom"/>
            <w:hideMark/>
          </w:tcPr>
          <w:p w:rsidR="00CB350B" w:rsidRPr="00F57097" w:rsidP="00257E12">
            <w:pPr>
              <w:bidi w:val="0"/>
              <w:jc w:val="right"/>
              <w:rPr>
                <w:rFonts w:ascii="Times New Roman" w:hAnsi="Times New Roman" w:cs="Times New Roman"/>
                <w:color w:val="000000"/>
                <w:sz w:val="14"/>
                <w:szCs w:val="14"/>
              </w:rPr>
            </w:pPr>
            <w:r w:rsidRPr="00F57097">
              <w:rPr>
                <w:rFonts w:ascii="Times New Roman" w:hAnsi="Times New Roman" w:cs="Times New Roman"/>
                <w:color w:val="000000"/>
                <w:sz w:val="14"/>
                <w:szCs w:val="14"/>
              </w:rPr>
              <w:t>1 110 000</w:t>
            </w:r>
          </w:p>
        </w:tc>
        <w:tc>
          <w:tcPr>
            <w:tcW w:w="932" w:type="dxa"/>
            <w:tcBorders>
              <w:top w:val="nil"/>
              <w:left w:val="nil"/>
              <w:bottom w:val="single" w:sz="4" w:space="0" w:color="auto"/>
              <w:right w:val="single" w:sz="4" w:space="0" w:color="auto"/>
            </w:tcBorders>
            <w:textDirection w:val="lrTb"/>
            <w:vAlign w:val="bottom"/>
            <w:hideMark/>
          </w:tcPr>
          <w:p w:rsidR="00CB350B" w:rsidRPr="00F57097" w:rsidP="00257E12">
            <w:pPr>
              <w:bidi w:val="0"/>
              <w:jc w:val="right"/>
              <w:rPr>
                <w:rFonts w:ascii="Times New Roman" w:hAnsi="Times New Roman" w:cs="Times New Roman"/>
                <w:color w:val="000000"/>
                <w:sz w:val="14"/>
                <w:szCs w:val="14"/>
              </w:rPr>
            </w:pPr>
            <w:r w:rsidRPr="00F57097">
              <w:rPr>
                <w:rFonts w:ascii="Times New Roman" w:hAnsi="Times New Roman" w:cs="Times New Roman"/>
                <w:color w:val="000000"/>
                <w:sz w:val="14"/>
                <w:szCs w:val="14"/>
              </w:rPr>
              <w:t>1 110 000</w:t>
            </w:r>
          </w:p>
        </w:tc>
        <w:tc>
          <w:tcPr>
            <w:tcW w:w="933" w:type="dxa"/>
            <w:tcBorders>
              <w:top w:val="nil"/>
              <w:left w:val="nil"/>
              <w:bottom w:val="single" w:sz="4" w:space="0" w:color="auto"/>
              <w:right w:val="single" w:sz="4" w:space="0" w:color="auto"/>
            </w:tcBorders>
            <w:textDirection w:val="lrTb"/>
            <w:vAlign w:val="bottom"/>
            <w:hideMark/>
          </w:tcPr>
          <w:p w:rsidR="00CB350B" w:rsidRPr="00F57097" w:rsidP="00257E12">
            <w:pPr>
              <w:bidi w:val="0"/>
              <w:jc w:val="right"/>
              <w:rPr>
                <w:rFonts w:ascii="Times New Roman" w:hAnsi="Times New Roman" w:cs="Times New Roman"/>
                <w:bCs/>
                <w:color w:val="000000"/>
                <w:sz w:val="14"/>
                <w:szCs w:val="14"/>
              </w:rPr>
            </w:pPr>
            <w:r w:rsidRPr="00F57097">
              <w:rPr>
                <w:rFonts w:ascii="Times New Roman" w:hAnsi="Times New Roman" w:cs="Times New Roman"/>
                <w:bCs/>
                <w:color w:val="000000"/>
                <w:sz w:val="14"/>
                <w:szCs w:val="14"/>
              </w:rPr>
              <w:t>1 110 000</w:t>
            </w:r>
          </w:p>
        </w:tc>
      </w:tr>
    </w:tbl>
    <w:p w:rsidR="00CB350B" w:rsidRPr="006B0E21" w:rsidP="00CB350B">
      <w:pPr>
        <w:bidi w:val="0"/>
        <w:jc w:val="both"/>
        <w:rPr>
          <w:rFonts w:ascii="Times New Roman" w:hAnsi="Times New Roman" w:cs="Times New Roman"/>
        </w:rPr>
      </w:pPr>
    </w:p>
    <w:p w:rsidR="00CB350B" w:rsidRPr="006B0E21" w:rsidP="00CB350B">
      <w:pPr>
        <w:bidi w:val="0"/>
        <w:ind w:firstLine="708"/>
        <w:jc w:val="both"/>
        <w:rPr>
          <w:rFonts w:ascii="Times New Roman" w:hAnsi="Times New Roman" w:cs="Times New Roman"/>
          <w:b/>
        </w:rPr>
      </w:pPr>
      <w:r w:rsidRPr="006B0E21">
        <w:rPr>
          <w:rFonts w:ascii="Times New Roman" w:hAnsi="Times New Roman" w:cs="Times New Roman"/>
        </w:rPr>
        <w:t xml:space="preserve">Agenda odškodňovania prebieha v zmysle platných zákonov a na základe súdnych rozhodnutí, až do obdobia rokov 2016 až 2017, pretože žiadosti, ktoré boli podané v zákonom stanovenej lehote nie sú časovo obmedzené a nárok na odškodnenie nezaniká, čiže je potrebné čakať na ukončenie právoplatných dedičských konaní. </w:t>
      </w:r>
    </w:p>
    <w:p w:rsidR="00CB350B" w:rsidRPr="00100B6C" w:rsidP="00CB350B">
      <w:pPr>
        <w:bidi w:val="0"/>
        <w:jc w:val="both"/>
        <w:rPr>
          <w:rFonts w:ascii="Times New Roman" w:hAnsi="Times New Roman" w:cs="Times New Roman"/>
        </w:rPr>
      </w:pPr>
    </w:p>
    <w:p w:rsidR="00CB350B" w:rsidRPr="0004638E" w:rsidP="00CB350B">
      <w:pPr>
        <w:bidi w:val="0"/>
        <w:jc w:val="both"/>
        <w:rPr>
          <w:rFonts w:ascii="Times New Roman" w:hAnsi="Times New Roman" w:cs="Times New Roman"/>
          <w:b/>
        </w:rPr>
      </w:pPr>
      <w:r w:rsidRPr="0004638E">
        <w:rPr>
          <w:rFonts w:ascii="Times New Roman" w:hAnsi="Times New Roman" w:cs="Times New Roman"/>
          <w:b/>
        </w:rPr>
        <w:t>Medzirezortné programy</w:t>
      </w:r>
    </w:p>
    <w:p w:rsidR="00CB350B" w:rsidRPr="0004638E" w:rsidP="00CB350B">
      <w:pPr>
        <w:bidi w:val="0"/>
        <w:jc w:val="both"/>
        <w:rPr>
          <w:rFonts w:ascii="Times New Roman" w:hAnsi="Times New Roman" w:cs="Times New Roman"/>
          <w:b/>
        </w:rPr>
      </w:pPr>
    </w:p>
    <w:tbl>
      <w:tblPr>
        <w:tblStyle w:val="TableNormal"/>
        <w:tblW w:w="9077" w:type="dxa"/>
        <w:tblInd w:w="65" w:type="dxa"/>
        <w:tblLayout w:type="fixed"/>
        <w:tblCellMar>
          <w:left w:w="70" w:type="dxa"/>
          <w:right w:w="70" w:type="dxa"/>
        </w:tblCellMar>
        <w:tblLook w:val="04A0"/>
      </w:tblPr>
      <w:tblGrid>
        <w:gridCol w:w="2557"/>
        <w:gridCol w:w="931"/>
        <w:gridCol w:w="931"/>
        <w:gridCol w:w="932"/>
        <w:gridCol w:w="931"/>
        <w:gridCol w:w="932"/>
        <w:gridCol w:w="931"/>
        <w:gridCol w:w="932"/>
      </w:tblGrid>
      <w:tr>
        <w:tblPrEx>
          <w:tblW w:w="9077" w:type="dxa"/>
          <w:tblInd w:w="65" w:type="dxa"/>
          <w:tblLayout w:type="fixed"/>
          <w:tblCellMar>
            <w:left w:w="70" w:type="dxa"/>
            <w:right w:w="70" w:type="dxa"/>
          </w:tblCellMar>
          <w:tblLook w:val="04A0"/>
        </w:tblPrEx>
        <w:trPr>
          <w:trHeight w:val="262"/>
        </w:trPr>
        <w:tc>
          <w:tcPr>
            <w:tcW w:w="2557"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 </w:t>
            </w:r>
            <w:r w:rsidRPr="009E58F9">
              <w:rPr>
                <w:rFonts w:ascii="Times New Roman" w:hAnsi="Times New Roman" w:cs="Times New Roman"/>
                <w:b/>
                <w:bCs/>
                <w:color w:val="000000"/>
                <w:sz w:val="14"/>
                <w:szCs w:val="14"/>
                <w:lang w:eastAsia="sk-SK"/>
              </w:rPr>
              <w:t>v</w:t>
            </w:r>
            <w:r>
              <w:rPr>
                <w:rFonts w:ascii="Times New Roman" w:hAnsi="Times New Roman" w:cs="Times New Roman"/>
                <w:b/>
                <w:bCs/>
                <w:color w:val="000000"/>
                <w:sz w:val="14"/>
                <w:szCs w:val="14"/>
                <w:lang w:eastAsia="sk-SK"/>
              </w:rPr>
              <w:t> </w:t>
            </w:r>
            <w:r w:rsidRPr="009E58F9">
              <w:rPr>
                <w:rFonts w:ascii="Times New Roman" w:hAnsi="Times New Roman" w:cs="Times New Roman"/>
                <w:b/>
                <w:bCs/>
                <w:color w:val="000000"/>
                <w:sz w:val="14"/>
                <w:szCs w:val="14"/>
                <w:lang w:eastAsia="sk-SK"/>
              </w:rPr>
              <w:t>eurách</w:t>
            </w:r>
          </w:p>
        </w:tc>
        <w:tc>
          <w:tcPr>
            <w:tcW w:w="931"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2009 S</w:t>
            </w:r>
          </w:p>
        </w:tc>
        <w:tc>
          <w:tcPr>
            <w:tcW w:w="931"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2010 S</w:t>
            </w:r>
          </w:p>
        </w:tc>
        <w:tc>
          <w:tcPr>
            <w:tcW w:w="932"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2011 R</w:t>
            </w:r>
          </w:p>
        </w:tc>
        <w:tc>
          <w:tcPr>
            <w:tcW w:w="931"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 xml:space="preserve">2011 OS </w:t>
            </w:r>
          </w:p>
        </w:tc>
        <w:tc>
          <w:tcPr>
            <w:tcW w:w="932"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2012 N</w:t>
            </w:r>
          </w:p>
        </w:tc>
        <w:tc>
          <w:tcPr>
            <w:tcW w:w="931"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2013 N</w:t>
            </w:r>
          </w:p>
        </w:tc>
        <w:tc>
          <w:tcPr>
            <w:tcW w:w="932"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2014 N</w:t>
            </w:r>
          </w:p>
        </w:tc>
      </w:tr>
      <w:tr>
        <w:tblPrEx>
          <w:tblW w:w="9077" w:type="dxa"/>
          <w:tblInd w:w="65" w:type="dxa"/>
          <w:tblLayout w:type="fixed"/>
          <w:tblCellMar>
            <w:left w:w="70" w:type="dxa"/>
            <w:right w:w="70" w:type="dxa"/>
          </w:tblCellMar>
          <w:tblLook w:val="04A0"/>
        </w:tblPrEx>
        <w:trPr>
          <w:trHeight w:val="262"/>
        </w:trPr>
        <w:tc>
          <w:tcPr>
            <w:tcW w:w="2557"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Medzirezortné programy spolu</w:t>
            </w:r>
          </w:p>
        </w:tc>
        <w:tc>
          <w:tcPr>
            <w:tcW w:w="931"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26 525</w:t>
            </w:r>
          </w:p>
        </w:tc>
        <w:tc>
          <w:tcPr>
            <w:tcW w:w="931"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192 534</w:t>
            </w:r>
          </w:p>
        </w:tc>
        <w:tc>
          <w:tcPr>
            <w:tcW w:w="932"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18 588</w:t>
            </w:r>
          </w:p>
        </w:tc>
        <w:tc>
          <w:tcPr>
            <w:tcW w:w="931"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18 588</w:t>
            </w:r>
          </w:p>
        </w:tc>
        <w:tc>
          <w:tcPr>
            <w:tcW w:w="932"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31 300</w:t>
            </w:r>
          </w:p>
        </w:tc>
        <w:tc>
          <w:tcPr>
            <w:tcW w:w="931"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31 800</w:t>
            </w:r>
          </w:p>
        </w:tc>
        <w:tc>
          <w:tcPr>
            <w:tcW w:w="932"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lang w:eastAsia="sk-SK"/>
              </w:rPr>
            </w:pPr>
            <w:r w:rsidRPr="009E58F9">
              <w:rPr>
                <w:rFonts w:ascii="Times New Roman" w:hAnsi="Times New Roman" w:cs="Times New Roman"/>
                <w:b/>
                <w:bCs/>
                <w:color w:val="000000"/>
                <w:sz w:val="14"/>
                <w:szCs w:val="14"/>
                <w:lang w:eastAsia="sk-SK"/>
              </w:rPr>
              <w:t>31 800</w:t>
            </w:r>
          </w:p>
        </w:tc>
      </w:tr>
      <w:tr>
        <w:tblPrEx>
          <w:tblW w:w="9077" w:type="dxa"/>
          <w:tblInd w:w="65" w:type="dxa"/>
          <w:tblLayout w:type="fixed"/>
          <w:tblCellMar>
            <w:left w:w="70" w:type="dxa"/>
            <w:right w:w="70" w:type="dxa"/>
          </w:tblCellMar>
          <w:tblLook w:val="04A0"/>
        </w:tblPrEx>
        <w:trPr>
          <w:trHeight w:val="262"/>
        </w:trPr>
        <w:tc>
          <w:tcPr>
            <w:tcW w:w="2557"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Ľudské zdroje</w:t>
            </w:r>
          </w:p>
        </w:tc>
        <w:tc>
          <w:tcPr>
            <w:tcW w:w="931"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3 485</w:t>
            </w:r>
          </w:p>
        </w:tc>
        <w:tc>
          <w:tcPr>
            <w:tcW w:w="931"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174 589</w:t>
            </w:r>
          </w:p>
        </w:tc>
        <w:tc>
          <w:tcPr>
            <w:tcW w:w="932"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0</w:t>
            </w:r>
          </w:p>
        </w:tc>
        <w:tc>
          <w:tcPr>
            <w:tcW w:w="931"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0</w:t>
            </w:r>
          </w:p>
        </w:tc>
        <w:tc>
          <w:tcPr>
            <w:tcW w:w="932"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0</w:t>
            </w:r>
          </w:p>
        </w:tc>
        <w:tc>
          <w:tcPr>
            <w:tcW w:w="931"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0</w:t>
            </w:r>
          </w:p>
        </w:tc>
        <w:tc>
          <w:tcPr>
            <w:tcW w:w="932"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0</w:t>
            </w:r>
          </w:p>
        </w:tc>
      </w:tr>
      <w:tr>
        <w:tblPrEx>
          <w:tblW w:w="9077" w:type="dxa"/>
          <w:tblInd w:w="65" w:type="dxa"/>
          <w:tblLayout w:type="fixed"/>
          <w:tblCellMar>
            <w:left w:w="70" w:type="dxa"/>
            <w:right w:w="70" w:type="dxa"/>
          </w:tblCellMar>
          <w:tblLook w:val="04A0"/>
        </w:tblPrEx>
        <w:trPr>
          <w:trHeight w:val="262"/>
        </w:trPr>
        <w:tc>
          <w:tcPr>
            <w:tcW w:w="2557"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Hospodárska mobilizácia</w:t>
            </w:r>
          </w:p>
        </w:tc>
        <w:tc>
          <w:tcPr>
            <w:tcW w:w="931"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23 040</w:t>
            </w:r>
          </w:p>
        </w:tc>
        <w:tc>
          <w:tcPr>
            <w:tcW w:w="931"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17 945</w:t>
            </w:r>
          </w:p>
        </w:tc>
        <w:tc>
          <w:tcPr>
            <w:tcW w:w="932"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18 588</w:t>
            </w:r>
          </w:p>
        </w:tc>
        <w:tc>
          <w:tcPr>
            <w:tcW w:w="931"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18 588</w:t>
            </w:r>
          </w:p>
        </w:tc>
        <w:tc>
          <w:tcPr>
            <w:tcW w:w="932"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18 000</w:t>
            </w:r>
          </w:p>
        </w:tc>
        <w:tc>
          <w:tcPr>
            <w:tcW w:w="931"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18 000</w:t>
            </w:r>
          </w:p>
        </w:tc>
        <w:tc>
          <w:tcPr>
            <w:tcW w:w="932"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18 000</w:t>
            </w:r>
          </w:p>
        </w:tc>
      </w:tr>
      <w:tr>
        <w:tblPrEx>
          <w:tblW w:w="9077" w:type="dxa"/>
          <w:tblInd w:w="65" w:type="dxa"/>
          <w:tblLayout w:type="fixed"/>
          <w:tblCellMar>
            <w:left w:w="70" w:type="dxa"/>
            <w:right w:w="70" w:type="dxa"/>
          </w:tblCellMar>
          <w:tblLook w:val="04A0"/>
        </w:tblPrEx>
        <w:trPr>
          <w:trHeight w:val="262"/>
        </w:trPr>
        <w:tc>
          <w:tcPr>
            <w:tcW w:w="2557"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Protidrogová politika</w:t>
            </w:r>
          </w:p>
        </w:tc>
        <w:tc>
          <w:tcPr>
            <w:tcW w:w="931"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0</w:t>
            </w:r>
          </w:p>
        </w:tc>
        <w:tc>
          <w:tcPr>
            <w:tcW w:w="931"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0</w:t>
            </w:r>
          </w:p>
        </w:tc>
        <w:tc>
          <w:tcPr>
            <w:tcW w:w="932"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0</w:t>
            </w:r>
          </w:p>
        </w:tc>
        <w:tc>
          <w:tcPr>
            <w:tcW w:w="931"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0</w:t>
            </w:r>
          </w:p>
        </w:tc>
        <w:tc>
          <w:tcPr>
            <w:tcW w:w="932"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13 300</w:t>
            </w:r>
          </w:p>
        </w:tc>
        <w:tc>
          <w:tcPr>
            <w:tcW w:w="931"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13 800</w:t>
            </w:r>
          </w:p>
        </w:tc>
        <w:tc>
          <w:tcPr>
            <w:tcW w:w="932"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lang w:eastAsia="sk-SK"/>
              </w:rPr>
            </w:pPr>
            <w:r w:rsidRPr="009E58F9">
              <w:rPr>
                <w:rFonts w:ascii="Times New Roman" w:hAnsi="Times New Roman" w:cs="Times New Roman"/>
                <w:color w:val="000000"/>
                <w:sz w:val="14"/>
                <w:szCs w:val="14"/>
                <w:lang w:eastAsia="sk-SK"/>
              </w:rPr>
              <w:t>13 800</w:t>
            </w:r>
          </w:p>
        </w:tc>
      </w:tr>
    </w:tbl>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Na medzirezortný podprogram Ľudské zdroje sa nerozpočtujú prostriedky, nakoľko je to ovplyvnené prerozdeľovaním prostriedkov</w:t>
      </w:r>
      <w:r>
        <w:rPr>
          <w:rFonts w:ascii="Times New Roman" w:hAnsi="Times New Roman" w:cs="Times New Roman"/>
        </w:rPr>
        <w:t xml:space="preserve"> od kapitoly Ministerstva práce, </w:t>
      </w:r>
      <w:r w:rsidRPr="0004638E">
        <w:rPr>
          <w:rFonts w:ascii="Times New Roman" w:hAnsi="Times New Roman" w:cs="Times New Roman"/>
        </w:rPr>
        <w:t>sociálnych vecí</w:t>
      </w:r>
      <w:r>
        <w:rPr>
          <w:rFonts w:ascii="Times New Roman" w:hAnsi="Times New Roman" w:cs="Times New Roman"/>
        </w:rPr>
        <w:t xml:space="preserve"> a rodiny</w:t>
      </w:r>
      <w:r w:rsidRPr="0004638E">
        <w:rPr>
          <w:rFonts w:ascii="Times New Roman" w:hAnsi="Times New Roman" w:cs="Times New Roman"/>
        </w:rPr>
        <w:t xml:space="preserve"> SR. Na medzirezortný podprogram Hospodárska mobilizácia kapitola rozpočtuje výdavky v sume 18,0 tis. eur, kt</w:t>
      </w:r>
      <w:r>
        <w:rPr>
          <w:rFonts w:ascii="Times New Roman" w:hAnsi="Times New Roman" w:cs="Times New Roman"/>
        </w:rPr>
        <w:t>oré sú na úrovni minulých rokov</w:t>
      </w:r>
      <w:r w:rsidRPr="0004638E">
        <w:rPr>
          <w:rFonts w:ascii="Times New Roman" w:hAnsi="Times New Roman" w:cs="Times New Roman"/>
        </w:rPr>
        <w:t>. V roku 2011 vznikol v kapitole spravodlivosti medzirezortný podprogram Protidrogová politika, ako súčasť štátneho rozpočtu s gestorstvom Úradu vlády SR</w:t>
      </w:r>
      <w:r>
        <w:rPr>
          <w:rFonts w:ascii="Times New Roman" w:hAnsi="Times New Roman" w:cs="Times New Roman"/>
        </w:rPr>
        <w:t>,</w:t>
      </w:r>
      <w:r w:rsidRPr="0004638E">
        <w:rPr>
          <w:rFonts w:ascii="Times New Roman" w:hAnsi="Times New Roman" w:cs="Times New Roman"/>
        </w:rPr>
        <w:t xml:space="preserve"> na ktorý sa v oblasti väzenstva rozpočtuje</w:t>
      </w:r>
      <w:r>
        <w:rPr>
          <w:rFonts w:ascii="Times New Roman" w:hAnsi="Times New Roman" w:cs="Times New Roman"/>
        </w:rPr>
        <w:t xml:space="preserve"> v roku 2012 suma 13,3 tis. eur</w:t>
      </w:r>
      <w:r w:rsidRPr="0004638E">
        <w:rPr>
          <w:rFonts w:ascii="Times New Roman" w:hAnsi="Times New Roman" w:cs="Times New Roman"/>
        </w:rPr>
        <w:t xml:space="preserve"> a na roky 2013 a 2014 suma 13,8 tis. eur. </w:t>
      </w:r>
    </w:p>
    <w:p w:rsidR="00CB350B" w:rsidP="00CB350B">
      <w:pPr>
        <w:bidi w:val="0"/>
        <w:rPr>
          <w:rFonts w:ascii="Times New Roman" w:hAnsi="Times New Roman" w:cs="Times New Roman"/>
          <w:b/>
          <w:color w:val="000000"/>
          <w:lang w:eastAsia="sk-SK"/>
        </w:rPr>
      </w:pPr>
    </w:p>
    <w:p w:rsidR="00CB350B" w:rsidRPr="00AE033E" w:rsidP="00CB350B">
      <w:pPr>
        <w:bidi w:val="0"/>
        <w:rPr>
          <w:rFonts w:ascii="Times New Roman" w:hAnsi="Times New Roman" w:cs="Times New Roman"/>
          <w:i/>
          <w:color w:val="000000"/>
          <w:lang w:eastAsia="sk-SK"/>
        </w:rPr>
      </w:pPr>
      <w:r w:rsidRPr="00CF4372">
        <w:rPr>
          <w:rFonts w:ascii="Times New Roman" w:hAnsi="Times New Roman" w:cs="Times New Roman"/>
          <w:b/>
          <w:color w:val="000000"/>
          <w:lang w:eastAsia="sk-SK"/>
        </w:rPr>
        <w:t>Švajčiarsky finančný mechanizmus</w:t>
      </w:r>
      <w:r w:rsidRPr="00AE033E">
        <w:rPr>
          <w:rFonts w:ascii="Times New Roman" w:hAnsi="Times New Roman" w:cs="Times New Roman"/>
          <w:i/>
          <w:color w:val="000000"/>
          <w:lang w:eastAsia="sk-SK"/>
        </w:rPr>
        <w:t xml:space="preserve"> - ostatné financovanie súdnictva</w:t>
      </w:r>
    </w:p>
    <w:p w:rsidR="00CB350B" w:rsidP="00CB350B">
      <w:pPr>
        <w:bidi w:val="0"/>
        <w:ind w:firstLine="708"/>
        <w:jc w:val="both"/>
        <w:rPr>
          <w:rFonts w:ascii="Times New Roman" w:hAnsi="Times New Roman" w:cs="Times New Roman"/>
          <w:color w:val="000000"/>
          <w:lang w:eastAsia="sk-SK"/>
        </w:rPr>
      </w:pPr>
    </w:p>
    <w:p w:rsidR="00CB350B" w:rsidP="00CB350B">
      <w:pPr>
        <w:bidi w:val="0"/>
        <w:ind w:firstLine="708"/>
        <w:jc w:val="both"/>
        <w:rPr>
          <w:rFonts w:ascii="Times New Roman" w:hAnsi="Times New Roman" w:cs="Times New Roman"/>
          <w:color w:val="000000"/>
          <w:lang w:eastAsia="sk-SK"/>
        </w:rPr>
      </w:pPr>
      <w:r w:rsidRPr="00AE033E">
        <w:rPr>
          <w:rFonts w:ascii="Times New Roman" w:hAnsi="Times New Roman" w:cs="Times New Roman"/>
          <w:color w:val="000000"/>
          <w:lang w:eastAsia="sk-SK"/>
        </w:rPr>
        <w:t xml:space="preserve">V oblasti súdnictva sa na prevádzku súdov </w:t>
      </w:r>
      <w:r>
        <w:rPr>
          <w:rFonts w:ascii="Times New Roman" w:hAnsi="Times New Roman" w:cs="Times New Roman"/>
          <w:color w:val="000000"/>
          <w:lang w:eastAsia="sk-SK"/>
        </w:rPr>
        <w:t>vy</w:t>
      </w:r>
      <w:r w:rsidRPr="00AE033E">
        <w:rPr>
          <w:rFonts w:ascii="Times New Roman" w:hAnsi="Times New Roman" w:cs="Times New Roman"/>
          <w:color w:val="000000"/>
          <w:lang w:eastAsia="sk-SK"/>
        </w:rPr>
        <w:t xml:space="preserve">čleňujú </w:t>
      </w:r>
      <w:r>
        <w:rPr>
          <w:rFonts w:ascii="Times New Roman" w:hAnsi="Times New Roman" w:cs="Times New Roman"/>
          <w:color w:val="000000"/>
          <w:lang w:eastAsia="sk-SK"/>
        </w:rPr>
        <w:t>aj</w:t>
      </w:r>
      <w:r w:rsidRPr="00AE033E">
        <w:rPr>
          <w:rFonts w:ascii="Times New Roman" w:hAnsi="Times New Roman" w:cs="Times New Roman"/>
          <w:color w:val="000000"/>
          <w:lang w:eastAsia="sk-SK"/>
        </w:rPr>
        <w:t xml:space="preserve"> prostriedky zo Švajčiarskeho finančného mechanizmu, ako príspevok Švajčiarskej federácie na zvýšenie efektívnosti súdov a tieto prostriedky sú určené na nákup výpočtovej techniky, licencií a softvéru, ktoré sú uvedené v nasledovnej tabuľke.</w:t>
      </w:r>
    </w:p>
    <w:p w:rsidR="00CB350B" w:rsidRPr="00AE033E" w:rsidP="00CB350B">
      <w:pPr>
        <w:bidi w:val="0"/>
        <w:ind w:firstLine="708"/>
        <w:jc w:val="both"/>
        <w:rPr>
          <w:rFonts w:ascii="Times New Roman" w:hAnsi="Times New Roman" w:cs="Times New Roman"/>
          <w:color w:val="000000"/>
          <w:lang w:eastAsia="sk-SK"/>
        </w:rPr>
      </w:pPr>
    </w:p>
    <w:tbl>
      <w:tblPr>
        <w:tblStyle w:val="TableNormal"/>
        <w:tblW w:w="8939" w:type="dxa"/>
        <w:tblInd w:w="62" w:type="dxa"/>
        <w:tblLayout w:type="fixed"/>
        <w:tblCellMar>
          <w:left w:w="70" w:type="dxa"/>
          <w:right w:w="70" w:type="dxa"/>
        </w:tblCellMar>
        <w:tblLook w:val="04A0"/>
      </w:tblPr>
      <w:tblGrid>
        <w:gridCol w:w="3694"/>
        <w:gridCol w:w="1748"/>
        <w:gridCol w:w="1748"/>
        <w:gridCol w:w="1749"/>
      </w:tblGrid>
      <w:tr>
        <w:tblPrEx>
          <w:tblW w:w="8939" w:type="dxa"/>
          <w:tblInd w:w="62" w:type="dxa"/>
          <w:tblLayout w:type="fixed"/>
          <w:tblCellMar>
            <w:left w:w="70" w:type="dxa"/>
            <w:right w:w="70" w:type="dxa"/>
          </w:tblCellMar>
          <w:tblLook w:val="04A0"/>
        </w:tblPrEx>
        <w:trPr>
          <w:trHeight w:val="210"/>
        </w:trPr>
        <w:tc>
          <w:tcPr>
            <w:tcW w:w="3694"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A00689" w:rsidP="00257E12">
            <w:pPr>
              <w:bidi w:val="0"/>
              <w:rPr>
                <w:rFonts w:ascii="Times New Roman" w:hAnsi="Times New Roman" w:cs="Times New Roman"/>
                <w:b/>
                <w:bCs/>
                <w:color w:val="000000"/>
                <w:sz w:val="14"/>
                <w:szCs w:val="14"/>
                <w:lang w:eastAsia="sk-SK"/>
              </w:rPr>
            </w:pPr>
            <w:r w:rsidRPr="00A00689">
              <w:rPr>
                <w:rFonts w:ascii="Times New Roman" w:hAnsi="Times New Roman" w:cs="Times New Roman"/>
                <w:b/>
                <w:bCs/>
                <w:color w:val="000000"/>
                <w:sz w:val="14"/>
                <w:szCs w:val="14"/>
                <w:lang w:eastAsia="sk-SK"/>
              </w:rPr>
              <w:t>v</w:t>
            </w:r>
            <w:r>
              <w:rPr>
                <w:rFonts w:ascii="Times New Roman" w:hAnsi="Times New Roman" w:cs="Times New Roman"/>
                <w:b/>
                <w:bCs/>
                <w:color w:val="000000"/>
                <w:sz w:val="14"/>
                <w:szCs w:val="14"/>
                <w:lang w:eastAsia="sk-SK"/>
              </w:rPr>
              <w:t> </w:t>
            </w:r>
            <w:r w:rsidRPr="00A00689">
              <w:rPr>
                <w:rFonts w:ascii="Times New Roman" w:hAnsi="Times New Roman" w:cs="Times New Roman"/>
                <w:b/>
                <w:bCs/>
                <w:color w:val="000000"/>
                <w:sz w:val="14"/>
                <w:szCs w:val="14"/>
                <w:lang w:eastAsia="sk-SK"/>
              </w:rPr>
              <w:t>eurách</w:t>
            </w:r>
          </w:p>
        </w:tc>
        <w:tc>
          <w:tcPr>
            <w:tcW w:w="1748" w:type="dxa"/>
            <w:tcBorders>
              <w:top w:val="single" w:sz="4" w:space="0" w:color="auto"/>
              <w:left w:val="nil"/>
              <w:bottom w:val="single" w:sz="4" w:space="0" w:color="auto"/>
              <w:right w:val="single" w:sz="4" w:space="0" w:color="auto"/>
            </w:tcBorders>
            <w:noWrap/>
            <w:textDirection w:val="lrTb"/>
            <w:vAlign w:val="bottom"/>
            <w:hideMark/>
          </w:tcPr>
          <w:p w:rsidR="00CB350B" w:rsidRPr="00A00689" w:rsidP="00257E12">
            <w:pPr>
              <w:bidi w:val="0"/>
              <w:jc w:val="center"/>
              <w:rPr>
                <w:rFonts w:ascii="Times New Roman" w:hAnsi="Times New Roman" w:cs="Times New Roman"/>
                <w:b/>
                <w:bCs/>
                <w:color w:val="000000"/>
                <w:sz w:val="14"/>
                <w:szCs w:val="14"/>
                <w:lang w:eastAsia="sk-SK"/>
              </w:rPr>
            </w:pPr>
            <w:r w:rsidRPr="00A00689">
              <w:rPr>
                <w:rFonts w:ascii="Times New Roman" w:hAnsi="Times New Roman" w:cs="Times New Roman"/>
                <w:b/>
                <w:bCs/>
                <w:color w:val="000000"/>
                <w:sz w:val="14"/>
                <w:szCs w:val="14"/>
                <w:lang w:eastAsia="sk-SK"/>
              </w:rPr>
              <w:t>2012</w:t>
            </w:r>
          </w:p>
        </w:tc>
        <w:tc>
          <w:tcPr>
            <w:tcW w:w="1748" w:type="dxa"/>
            <w:tcBorders>
              <w:top w:val="single" w:sz="4" w:space="0" w:color="auto"/>
              <w:left w:val="nil"/>
              <w:bottom w:val="single" w:sz="4" w:space="0" w:color="auto"/>
              <w:right w:val="single" w:sz="4" w:space="0" w:color="auto"/>
            </w:tcBorders>
            <w:noWrap/>
            <w:textDirection w:val="lrTb"/>
            <w:vAlign w:val="bottom"/>
            <w:hideMark/>
          </w:tcPr>
          <w:p w:rsidR="00CB350B" w:rsidRPr="00A00689" w:rsidP="00257E12">
            <w:pPr>
              <w:bidi w:val="0"/>
              <w:jc w:val="center"/>
              <w:rPr>
                <w:rFonts w:ascii="Times New Roman" w:hAnsi="Times New Roman" w:cs="Times New Roman"/>
                <w:b/>
                <w:bCs/>
                <w:color w:val="000000"/>
                <w:sz w:val="14"/>
                <w:szCs w:val="14"/>
                <w:lang w:eastAsia="sk-SK"/>
              </w:rPr>
            </w:pPr>
            <w:r w:rsidRPr="00A00689">
              <w:rPr>
                <w:rFonts w:ascii="Times New Roman" w:hAnsi="Times New Roman" w:cs="Times New Roman"/>
                <w:b/>
                <w:bCs/>
                <w:color w:val="000000"/>
                <w:sz w:val="14"/>
                <w:szCs w:val="14"/>
                <w:lang w:eastAsia="sk-SK"/>
              </w:rPr>
              <w:t>2013</w:t>
            </w:r>
          </w:p>
        </w:tc>
        <w:tc>
          <w:tcPr>
            <w:tcW w:w="1749" w:type="dxa"/>
            <w:tcBorders>
              <w:top w:val="single" w:sz="4" w:space="0" w:color="auto"/>
              <w:left w:val="nil"/>
              <w:bottom w:val="single" w:sz="4" w:space="0" w:color="auto"/>
              <w:right w:val="single" w:sz="4" w:space="0" w:color="auto"/>
            </w:tcBorders>
            <w:noWrap/>
            <w:textDirection w:val="lrTb"/>
            <w:vAlign w:val="bottom"/>
            <w:hideMark/>
          </w:tcPr>
          <w:p w:rsidR="00CB350B" w:rsidRPr="00A00689" w:rsidP="00257E12">
            <w:pPr>
              <w:bidi w:val="0"/>
              <w:jc w:val="center"/>
              <w:rPr>
                <w:rFonts w:ascii="Times New Roman" w:hAnsi="Times New Roman" w:cs="Times New Roman"/>
                <w:b/>
                <w:bCs/>
                <w:color w:val="000000"/>
                <w:sz w:val="14"/>
                <w:szCs w:val="14"/>
                <w:lang w:eastAsia="sk-SK"/>
              </w:rPr>
            </w:pPr>
            <w:r w:rsidRPr="00A00689">
              <w:rPr>
                <w:rFonts w:ascii="Times New Roman" w:hAnsi="Times New Roman" w:cs="Times New Roman"/>
                <w:b/>
                <w:bCs/>
                <w:color w:val="000000"/>
                <w:sz w:val="14"/>
                <w:szCs w:val="14"/>
                <w:lang w:eastAsia="sk-SK"/>
              </w:rPr>
              <w:t>2014</w:t>
            </w:r>
          </w:p>
        </w:tc>
      </w:tr>
      <w:tr>
        <w:tblPrEx>
          <w:tblW w:w="8939" w:type="dxa"/>
          <w:tblInd w:w="62" w:type="dxa"/>
          <w:tblLayout w:type="fixed"/>
          <w:tblCellMar>
            <w:left w:w="70" w:type="dxa"/>
            <w:right w:w="70" w:type="dxa"/>
          </w:tblCellMar>
          <w:tblLook w:val="04A0"/>
        </w:tblPrEx>
        <w:trPr>
          <w:trHeight w:val="210"/>
        </w:trPr>
        <w:tc>
          <w:tcPr>
            <w:tcW w:w="3694"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A00689" w:rsidP="00257E12">
            <w:pPr>
              <w:bidi w:val="0"/>
              <w:rPr>
                <w:rFonts w:ascii="Times New Roman" w:hAnsi="Times New Roman" w:cs="Times New Roman"/>
                <w:b/>
                <w:bCs/>
                <w:color w:val="000000"/>
                <w:sz w:val="14"/>
                <w:szCs w:val="14"/>
                <w:lang w:eastAsia="sk-SK"/>
              </w:rPr>
            </w:pPr>
            <w:r w:rsidRPr="00A00689">
              <w:rPr>
                <w:rFonts w:ascii="Times New Roman" w:hAnsi="Times New Roman" w:cs="Times New Roman"/>
                <w:b/>
                <w:bCs/>
                <w:color w:val="000000"/>
                <w:sz w:val="14"/>
                <w:szCs w:val="14"/>
                <w:lang w:eastAsia="sk-SK"/>
              </w:rPr>
              <w:t>Švajčiarsk</w:t>
            </w:r>
            <w:r>
              <w:rPr>
                <w:rFonts w:ascii="Times New Roman" w:hAnsi="Times New Roman" w:cs="Times New Roman"/>
                <w:b/>
                <w:bCs/>
                <w:color w:val="000000"/>
                <w:sz w:val="14"/>
                <w:szCs w:val="14"/>
                <w:lang w:eastAsia="sk-SK"/>
              </w:rPr>
              <w:t>y</w:t>
            </w:r>
            <w:r w:rsidRPr="00A00689">
              <w:rPr>
                <w:rFonts w:ascii="Times New Roman" w:hAnsi="Times New Roman" w:cs="Times New Roman"/>
                <w:b/>
                <w:bCs/>
                <w:color w:val="000000"/>
                <w:sz w:val="14"/>
                <w:szCs w:val="14"/>
                <w:lang w:eastAsia="sk-SK"/>
              </w:rPr>
              <w:t xml:space="preserve"> finančný </w:t>
            </w:r>
            <w:r>
              <w:rPr>
                <w:rFonts w:ascii="Times New Roman" w:hAnsi="Times New Roman" w:cs="Times New Roman"/>
                <w:b/>
                <w:bCs/>
                <w:color w:val="000000"/>
                <w:sz w:val="14"/>
                <w:szCs w:val="14"/>
                <w:lang w:eastAsia="sk-SK"/>
              </w:rPr>
              <w:t>mechanizmus spolu</w:t>
            </w:r>
          </w:p>
        </w:tc>
        <w:tc>
          <w:tcPr>
            <w:tcW w:w="1748" w:type="dxa"/>
            <w:tcBorders>
              <w:top w:val="single" w:sz="4" w:space="0" w:color="auto"/>
              <w:left w:val="nil"/>
              <w:bottom w:val="single" w:sz="4" w:space="0" w:color="auto"/>
              <w:right w:val="single" w:sz="4" w:space="0" w:color="auto"/>
            </w:tcBorders>
            <w:noWrap/>
            <w:textDirection w:val="lrTb"/>
            <w:vAlign w:val="bottom"/>
            <w:hideMark/>
          </w:tcPr>
          <w:p w:rsidR="00CB350B" w:rsidRPr="00A00689" w:rsidP="00257E12">
            <w:pPr>
              <w:bidi w:val="0"/>
              <w:jc w:val="right"/>
              <w:rPr>
                <w:rFonts w:ascii="Times New Roman" w:hAnsi="Times New Roman" w:cs="Times New Roman"/>
                <w:b/>
                <w:bCs/>
                <w:color w:val="000000"/>
                <w:sz w:val="14"/>
                <w:szCs w:val="14"/>
                <w:lang w:eastAsia="sk-SK"/>
              </w:rPr>
            </w:pPr>
            <w:r w:rsidRPr="00A00689">
              <w:rPr>
                <w:rFonts w:ascii="Times New Roman" w:hAnsi="Times New Roman" w:cs="Times New Roman"/>
                <w:b/>
                <w:bCs/>
                <w:color w:val="000000"/>
                <w:sz w:val="14"/>
                <w:szCs w:val="14"/>
                <w:lang w:eastAsia="sk-SK"/>
              </w:rPr>
              <w:t>513 738</w:t>
            </w:r>
          </w:p>
        </w:tc>
        <w:tc>
          <w:tcPr>
            <w:tcW w:w="1748" w:type="dxa"/>
            <w:tcBorders>
              <w:top w:val="single" w:sz="4" w:space="0" w:color="auto"/>
              <w:left w:val="nil"/>
              <w:bottom w:val="single" w:sz="4" w:space="0" w:color="auto"/>
              <w:right w:val="single" w:sz="4" w:space="0" w:color="auto"/>
            </w:tcBorders>
            <w:noWrap/>
            <w:textDirection w:val="lrTb"/>
            <w:vAlign w:val="bottom"/>
            <w:hideMark/>
          </w:tcPr>
          <w:p w:rsidR="00CB350B" w:rsidRPr="00A00689" w:rsidP="00257E12">
            <w:pPr>
              <w:bidi w:val="0"/>
              <w:jc w:val="right"/>
              <w:rPr>
                <w:rFonts w:ascii="Times New Roman" w:hAnsi="Times New Roman" w:cs="Times New Roman"/>
                <w:b/>
                <w:bCs/>
                <w:color w:val="000000"/>
                <w:sz w:val="14"/>
                <w:szCs w:val="14"/>
                <w:lang w:eastAsia="sk-SK"/>
              </w:rPr>
            </w:pPr>
            <w:r w:rsidRPr="00A00689">
              <w:rPr>
                <w:rFonts w:ascii="Times New Roman" w:hAnsi="Times New Roman" w:cs="Times New Roman"/>
                <w:b/>
                <w:bCs/>
                <w:color w:val="000000"/>
                <w:sz w:val="14"/>
                <w:szCs w:val="14"/>
                <w:lang w:eastAsia="sk-SK"/>
              </w:rPr>
              <w:t>544 385</w:t>
            </w:r>
          </w:p>
        </w:tc>
        <w:tc>
          <w:tcPr>
            <w:tcW w:w="1749" w:type="dxa"/>
            <w:tcBorders>
              <w:top w:val="single" w:sz="4" w:space="0" w:color="auto"/>
              <w:left w:val="nil"/>
              <w:bottom w:val="single" w:sz="4" w:space="0" w:color="auto"/>
              <w:right w:val="single" w:sz="4" w:space="0" w:color="auto"/>
            </w:tcBorders>
            <w:noWrap/>
            <w:textDirection w:val="lrTb"/>
            <w:vAlign w:val="bottom"/>
            <w:hideMark/>
          </w:tcPr>
          <w:p w:rsidR="00CB350B" w:rsidRPr="00A00689" w:rsidP="00257E12">
            <w:pPr>
              <w:bidi w:val="0"/>
              <w:jc w:val="right"/>
              <w:rPr>
                <w:rFonts w:ascii="Times New Roman" w:hAnsi="Times New Roman" w:cs="Times New Roman"/>
                <w:b/>
                <w:bCs/>
                <w:color w:val="000000"/>
                <w:sz w:val="14"/>
                <w:szCs w:val="14"/>
                <w:lang w:eastAsia="sk-SK"/>
              </w:rPr>
            </w:pPr>
            <w:r w:rsidRPr="00A00689">
              <w:rPr>
                <w:rFonts w:ascii="Times New Roman" w:hAnsi="Times New Roman" w:cs="Times New Roman"/>
                <w:b/>
                <w:bCs/>
                <w:color w:val="000000"/>
                <w:sz w:val="14"/>
                <w:szCs w:val="14"/>
                <w:lang w:eastAsia="sk-SK"/>
              </w:rPr>
              <w:t>530 892</w:t>
            </w:r>
          </w:p>
        </w:tc>
      </w:tr>
      <w:tr>
        <w:tblPrEx>
          <w:tblW w:w="8939" w:type="dxa"/>
          <w:tblInd w:w="62" w:type="dxa"/>
          <w:tblLayout w:type="fixed"/>
          <w:tblCellMar>
            <w:left w:w="70" w:type="dxa"/>
            <w:right w:w="70" w:type="dxa"/>
          </w:tblCellMar>
          <w:tblLook w:val="04A0"/>
        </w:tblPrEx>
        <w:trPr>
          <w:trHeight w:val="210"/>
        </w:trPr>
        <w:tc>
          <w:tcPr>
            <w:tcW w:w="3694" w:type="dxa"/>
            <w:tcBorders>
              <w:top w:val="nil"/>
              <w:left w:val="single" w:sz="4" w:space="0" w:color="auto"/>
              <w:bottom w:val="single" w:sz="4" w:space="0" w:color="auto"/>
              <w:right w:val="single" w:sz="4" w:space="0" w:color="auto"/>
            </w:tcBorders>
            <w:noWrap/>
            <w:textDirection w:val="lrTb"/>
            <w:vAlign w:val="bottom"/>
            <w:hideMark/>
          </w:tcPr>
          <w:p w:rsidR="00CB350B" w:rsidRPr="00A00689" w:rsidP="00257E12">
            <w:pPr>
              <w:bidi w:val="0"/>
              <w:rPr>
                <w:rFonts w:ascii="Times New Roman" w:hAnsi="Times New Roman" w:cs="Times New Roman"/>
                <w:color w:val="000000"/>
                <w:sz w:val="14"/>
                <w:szCs w:val="14"/>
                <w:lang w:eastAsia="sk-SK"/>
              </w:rPr>
            </w:pPr>
            <w:r w:rsidRPr="00A00689">
              <w:rPr>
                <w:rFonts w:ascii="Times New Roman" w:hAnsi="Times New Roman" w:cs="Times New Roman"/>
                <w:color w:val="000000"/>
                <w:sz w:val="14"/>
                <w:szCs w:val="14"/>
                <w:lang w:eastAsia="sk-SK"/>
              </w:rPr>
              <w:t>630 - tovary a</w:t>
            </w:r>
            <w:r>
              <w:rPr>
                <w:rFonts w:ascii="Times New Roman" w:hAnsi="Times New Roman" w:cs="Times New Roman"/>
                <w:color w:val="000000"/>
                <w:sz w:val="14"/>
                <w:szCs w:val="14"/>
                <w:lang w:eastAsia="sk-SK"/>
              </w:rPr>
              <w:t> </w:t>
            </w:r>
            <w:r w:rsidRPr="00A00689">
              <w:rPr>
                <w:rFonts w:ascii="Times New Roman" w:hAnsi="Times New Roman" w:cs="Times New Roman"/>
                <w:color w:val="000000"/>
                <w:sz w:val="14"/>
                <w:szCs w:val="14"/>
                <w:lang w:eastAsia="sk-SK"/>
              </w:rPr>
              <w:t>služby</w:t>
            </w:r>
          </w:p>
        </w:tc>
        <w:tc>
          <w:tcPr>
            <w:tcW w:w="1748" w:type="dxa"/>
            <w:tcBorders>
              <w:top w:val="nil"/>
              <w:left w:val="nil"/>
              <w:bottom w:val="single" w:sz="4" w:space="0" w:color="auto"/>
              <w:right w:val="single" w:sz="4" w:space="0" w:color="auto"/>
            </w:tcBorders>
            <w:textDirection w:val="lrTb"/>
            <w:vAlign w:val="bottom"/>
            <w:hideMark/>
          </w:tcPr>
          <w:p w:rsidR="00CB350B" w:rsidRPr="00A00689" w:rsidP="00257E12">
            <w:pPr>
              <w:bidi w:val="0"/>
              <w:jc w:val="right"/>
              <w:rPr>
                <w:rFonts w:ascii="Times New Roman" w:hAnsi="Times New Roman" w:cs="Times New Roman"/>
                <w:color w:val="000000"/>
                <w:sz w:val="14"/>
                <w:szCs w:val="14"/>
                <w:lang w:eastAsia="sk-SK"/>
              </w:rPr>
            </w:pPr>
            <w:r w:rsidRPr="00A00689">
              <w:rPr>
                <w:rFonts w:ascii="Times New Roman" w:hAnsi="Times New Roman" w:cs="Times New Roman"/>
                <w:color w:val="000000"/>
                <w:sz w:val="14"/>
                <w:szCs w:val="14"/>
                <w:lang w:eastAsia="sk-SK"/>
              </w:rPr>
              <w:t>445 154</w:t>
            </w:r>
          </w:p>
        </w:tc>
        <w:tc>
          <w:tcPr>
            <w:tcW w:w="1748" w:type="dxa"/>
            <w:tcBorders>
              <w:top w:val="nil"/>
              <w:left w:val="nil"/>
              <w:bottom w:val="single" w:sz="4" w:space="0" w:color="auto"/>
              <w:right w:val="single" w:sz="4" w:space="0" w:color="auto"/>
            </w:tcBorders>
            <w:textDirection w:val="lrTb"/>
            <w:vAlign w:val="bottom"/>
            <w:hideMark/>
          </w:tcPr>
          <w:p w:rsidR="00CB350B" w:rsidRPr="00A00689" w:rsidP="00257E12">
            <w:pPr>
              <w:bidi w:val="0"/>
              <w:jc w:val="right"/>
              <w:rPr>
                <w:rFonts w:ascii="Times New Roman" w:hAnsi="Times New Roman" w:cs="Times New Roman"/>
                <w:color w:val="000000"/>
                <w:sz w:val="14"/>
                <w:szCs w:val="14"/>
                <w:lang w:eastAsia="sk-SK"/>
              </w:rPr>
            </w:pPr>
            <w:r w:rsidRPr="00A00689">
              <w:rPr>
                <w:rFonts w:ascii="Times New Roman" w:hAnsi="Times New Roman" w:cs="Times New Roman"/>
                <w:color w:val="000000"/>
                <w:sz w:val="14"/>
                <w:szCs w:val="14"/>
                <w:lang w:eastAsia="sk-SK"/>
              </w:rPr>
              <w:t>471 711</w:t>
            </w:r>
          </w:p>
        </w:tc>
        <w:tc>
          <w:tcPr>
            <w:tcW w:w="1749" w:type="dxa"/>
            <w:tcBorders>
              <w:top w:val="nil"/>
              <w:left w:val="nil"/>
              <w:bottom w:val="single" w:sz="4" w:space="0" w:color="auto"/>
              <w:right w:val="single" w:sz="4" w:space="0" w:color="auto"/>
            </w:tcBorders>
            <w:textDirection w:val="lrTb"/>
            <w:vAlign w:val="bottom"/>
            <w:hideMark/>
          </w:tcPr>
          <w:p w:rsidR="00CB350B" w:rsidRPr="00A00689" w:rsidP="00257E12">
            <w:pPr>
              <w:bidi w:val="0"/>
              <w:jc w:val="right"/>
              <w:rPr>
                <w:rFonts w:ascii="Times New Roman" w:hAnsi="Times New Roman" w:cs="Times New Roman"/>
                <w:color w:val="000000"/>
                <w:sz w:val="14"/>
                <w:szCs w:val="14"/>
                <w:lang w:eastAsia="sk-SK"/>
              </w:rPr>
            </w:pPr>
            <w:r w:rsidRPr="00A00689">
              <w:rPr>
                <w:rFonts w:ascii="Times New Roman" w:hAnsi="Times New Roman" w:cs="Times New Roman"/>
                <w:color w:val="000000"/>
                <w:sz w:val="14"/>
                <w:szCs w:val="14"/>
                <w:lang w:eastAsia="sk-SK"/>
              </w:rPr>
              <w:t>460 018</w:t>
            </w:r>
          </w:p>
        </w:tc>
      </w:tr>
      <w:tr>
        <w:tblPrEx>
          <w:tblW w:w="8939" w:type="dxa"/>
          <w:tblInd w:w="62" w:type="dxa"/>
          <w:tblLayout w:type="fixed"/>
          <w:tblCellMar>
            <w:left w:w="70" w:type="dxa"/>
            <w:right w:w="70" w:type="dxa"/>
          </w:tblCellMar>
          <w:tblLook w:val="04A0"/>
        </w:tblPrEx>
        <w:trPr>
          <w:trHeight w:val="210"/>
        </w:trPr>
        <w:tc>
          <w:tcPr>
            <w:tcW w:w="3694" w:type="dxa"/>
            <w:tcBorders>
              <w:top w:val="nil"/>
              <w:left w:val="single" w:sz="4" w:space="0" w:color="auto"/>
              <w:bottom w:val="single" w:sz="4" w:space="0" w:color="auto"/>
              <w:right w:val="single" w:sz="4" w:space="0" w:color="auto"/>
            </w:tcBorders>
            <w:noWrap/>
            <w:textDirection w:val="lrTb"/>
            <w:vAlign w:val="bottom"/>
            <w:hideMark/>
          </w:tcPr>
          <w:p w:rsidR="00CB350B" w:rsidRPr="00A00689" w:rsidP="00257E12">
            <w:pPr>
              <w:bidi w:val="0"/>
              <w:rPr>
                <w:rFonts w:ascii="Times New Roman" w:hAnsi="Times New Roman" w:cs="Times New Roman"/>
                <w:color w:val="000000"/>
                <w:sz w:val="14"/>
                <w:szCs w:val="14"/>
                <w:lang w:eastAsia="sk-SK"/>
              </w:rPr>
            </w:pPr>
            <w:r w:rsidRPr="00A00689">
              <w:rPr>
                <w:rFonts w:ascii="Times New Roman" w:hAnsi="Times New Roman" w:cs="Times New Roman"/>
                <w:color w:val="000000"/>
                <w:sz w:val="14"/>
                <w:szCs w:val="14"/>
                <w:lang w:eastAsia="sk-SK"/>
              </w:rPr>
              <w:t>710 - kapitálové výdavky</w:t>
            </w:r>
          </w:p>
        </w:tc>
        <w:tc>
          <w:tcPr>
            <w:tcW w:w="1748" w:type="dxa"/>
            <w:tcBorders>
              <w:top w:val="nil"/>
              <w:left w:val="nil"/>
              <w:bottom w:val="single" w:sz="4" w:space="0" w:color="auto"/>
              <w:right w:val="single" w:sz="4" w:space="0" w:color="auto"/>
            </w:tcBorders>
            <w:noWrap/>
            <w:textDirection w:val="lrTb"/>
            <w:vAlign w:val="bottom"/>
            <w:hideMark/>
          </w:tcPr>
          <w:p w:rsidR="00CB350B" w:rsidRPr="00A00689" w:rsidP="00257E12">
            <w:pPr>
              <w:bidi w:val="0"/>
              <w:jc w:val="right"/>
              <w:rPr>
                <w:rFonts w:ascii="Times New Roman" w:hAnsi="Times New Roman" w:cs="Times New Roman"/>
                <w:color w:val="000000"/>
                <w:sz w:val="14"/>
                <w:szCs w:val="14"/>
                <w:lang w:eastAsia="sk-SK"/>
              </w:rPr>
            </w:pPr>
            <w:r w:rsidRPr="00A00689">
              <w:rPr>
                <w:rFonts w:ascii="Times New Roman" w:hAnsi="Times New Roman" w:cs="Times New Roman"/>
                <w:color w:val="000000"/>
                <w:sz w:val="14"/>
                <w:szCs w:val="14"/>
                <w:lang w:eastAsia="sk-SK"/>
              </w:rPr>
              <w:t>68 584</w:t>
            </w:r>
          </w:p>
        </w:tc>
        <w:tc>
          <w:tcPr>
            <w:tcW w:w="1748" w:type="dxa"/>
            <w:tcBorders>
              <w:top w:val="nil"/>
              <w:left w:val="nil"/>
              <w:bottom w:val="single" w:sz="4" w:space="0" w:color="auto"/>
              <w:right w:val="single" w:sz="4" w:space="0" w:color="auto"/>
            </w:tcBorders>
            <w:noWrap/>
            <w:textDirection w:val="lrTb"/>
            <w:vAlign w:val="bottom"/>
            <w:hideMark/>
          </w:tcPr>
          <w:p w:rsidR="00CB350B" w:rsidRPr="00A00689" w:rsidP="00257E12">
            <w:pPr>
              <w:bidi w:val="0"/>
              <w:jc w:val="right"/>
              <w:rPr>
                <w:rFonts w:ascii="Times New Roman" w:hAnsi="Times New Roman" w:cs="Times New Roman"/>
                <w:color w:val="000000"/>
                <w:sz w:val="14"/>
                <w:szCs w:val="14"/>
                <w:lang w:eastAsia="sk-SK"/>
              </w:rPr>
            </w:pPr>
            <w:r w:rsidRPr="00A00689">
              <w:rPr>
                <w:rFonts w:ascii="Times New Roman" w:hAnsi="Times New Roman" w:cs="Times New Roman"/>
                <w:color w:val="000000"/>
                <w:sz w:val="14"/>
                <w:szCs w:val="14"/>
                <w:lang w:eastAsia="sk-SK"/>
              </w:rPr>
              <w:t>72 674</w:t>
            </w:r>
          </w:p>
        </w:tc>
        <w:tc>
          <w:tcPr>
            <w:tcW w:w="1749" w:type="dxa"/>
            <w:tcBorders>
              <w:top w:val="nil"/>
              <w:left w:val="nil"/>
              <w:bottom w:val="single" w:sz="4" w:space="0" w:color="auto"/>
              <w:right w:val="single" w:sz="4" w:space="0" w:color="auto"/>
            </w:tcBorders>
            <w:noWrap/>
            <w:textDirection w:val="lrTb"/>
            <w:vAlign w:val="bottom"/>
            <w:hideMark/>
          </w:tcPr>
          <w:p w:rsidR="00CB350B" w:rsidRPr="00A00689" w:rsidP="00257E12">
            <w:pPr>
              <w:bidi w:val="0"/>
              <w:jc w:val="right"/>
              <w:rPr>
                <w:rFonts w:ascii="Times New Roman" w:hAnsi="Times New Roman" w:cs="Times New Roman"/>
                <w:color w:val="000000"/>
                <w:sz w:val="14"/>
                <w:szCs w:val="14"/>
                <w:lang w:eastAsia="sk-SK"/>
              </w:rPr>
            </w:pPr>
            <w:r w:rsidRPr="00A00689">
              <w:rPr>
                <w:rFonts w:ascii="Times New Roman" w:hAnsi="Times New Roman" w:cs="Times New Roman"/>
                <w:color w:val="000000"/>
                <w:sz w:val="14"/>
                <w:szCs w:val="14"/>
                <w:lang w:eastAsia="sk-SK"/>
              </w:rPr>
              <w:t>70 874</w:t>
            </w:r>
          </w:p>
        </w:tc>
      </w:tr>
    </w:tbl>
    <w:p w:rsidR="00CB350B" w:rsidP="00CB350B">
      <w:pPr>
        <w:bidi w:val="0"/>
        <w:rPr>
          <w:rFonts w:ascii="Times New Roman" w:hAnsi="Times New Roman" w:cs="Times New Roman"/>
          <w:color w:val="000000"/>
          <w:sz w:val="14"/>
          <w:szCs w:val="14"/>
          <w:lang w:eastAsia="sk-SK"/>
        </w:rPr>
      </w:pPr>
    </w:p>
    <w:p w:rsidR="00CB350B" w:rsidP="00CB350B">
      <w:pPr>
        <w:bidi w:val="0"/>
        <w:ind w:firstLine="708"/>
        <w:jc w:val="both"/>
        <w:rPr>
          <w:rFonts w:ascii="Times New Roman" w:hAnsi="Times New Roman" w:cs="Times New Roman"/>
          <w:color w:val="000000"/>
          <w:lang w:eastAsia="sk-SK"/>
        </w:rPr>
      </w:pPr>
      <w:r w:rsidRPr="00AE033E">
        <w:rPr>
          <w:rFonts w:ascii="Times New Roman" w:hAnsi="Times New Roman" w:cs="Times New Roman"/>
          <w:color w:val="000000"/>
          <w:lang w:eastAsia="sk-SK"/>
        </w:rPr>
        <w:t xml:space="preserve">Na zvýšenie efektívnosti súdov sa pre oblasť súdnictva v kapitole Všeobecná pokladničná správa rozpočtujú i prostriedky na spolufinancovanie Švajčiarskeho finančného mechanizmu a tieto prostriedky sú určené </w:t>
      </w:r>
      <w:r>
        <w:rPr>
          <w:rFonts w:ascii="Times New Roman" w:hAnsi="Times New Roman" w:cs="Times New Roman"/>
          <w:color w:val="000000"/>
          <w:lang w:eastAsia="sk-SK"/>
        </w:rPr>
        <w:t>na prevádzku súdov</w:t>
      </w:r>
      <w:r w:rsidRPr="00AE033E">
        <w:rPr>
          <w:rFonts w:ascii="Times New Roman" w:hAnsi="Times New Roman" w:cs="Times New Roman"/>
          <w:color w:val="000000"/>
          <w:lang w:eastAsia="sk-SK"/>
        </w:rPr>
        <w:t xml:space="preserve"> na nákup výpočtovej techniky, </w:t>
      </w:r>
      <w:r>
        <w:rPr>
          <w:rFonts w:ascii="Times New Roman" w:hAnsi="Times New Roman" w:cs="Times New Roman"/>
          <w:color w:val="000000"/>
          <w:lang w:eastAsia="sk-SK"/>
        </w:rPr>
        <w:t>licencií a softvéru.</w:t>
      </w:r>
    </w:p>
    <w:p w:rsidR="00CB350B" w:rsidP="00CB350B">
      <w:pPr>
        <w:bidi w:val="0"/>
        <w:ind w:firstLine="708"/>
        <w:jc w:val="both"/>
        <w:rPr>
          <w:rFonts w:ascii="Times New Roman" w:hAnsi="Times New Roman" w:cs="Times New Roman"/>
          <w:color w:val="000000"/>
          <w:lang w:eastAsia="sk-SK"/>
        </w:rPr>
      </w:pPr>
    </w:p>
    <w:tbl>
      <w:tblPr>
        <w:tblStyle w:val="TableNormal"/>
        <w:tblW w:w="8939" w:type="dxa"/>
        <w:tblInd w:w="62" w:type="dxa"/>
        <w:tblLayout w:type="fixed"/>
        <w:tblCellMar>
          <w:left w:w="70" w:type="dxa"/>
          <w:right w:w="70" w:type="dxa"/>
        </w:tblCellMar>
        <w:tblLook w:val="04A0"/>
      </w:tblPr>
      <w:tblGrid>
        <w:gridCol w:w="3694"/>
        <w:gridCol w:w="1748"/>
        <w:gridCol w:w="1748"/>
        <w:gridCol w:w="1749"/>
      </w:tblGrid>
      <w:tr>
        <w:tblPrEx>
          <w:tblW w:w="8939" w:type="dxa"/>
          <w:tblInd w:w="62" w:type="dxa"/>
          <w:tblLayout w:type="fixed"/>
          <w:tblCellMar>
            <w:left w:w="70" w:type="dxa"/>
            <w:right w:w="70" w:type="dxa"/>
          </w:tblCellMar>
          <w:tblLook w:val="04A0"/>
        </w:tblPrEx>
        <w:trPr>
          <w:trHeight w:val="210"/>
        </w:trPr>
        <w:tc>
          <w:tcPr>
            <w:tcW w:w="3694"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0130B3" w:rsidP="00257E12">
            <w:pPr>
              <w:bidi w:val="0"/>
              <w:rPr>
                <w:rFonts w:ascii="Times New Roman" w:hAnsi="Times New Roman" w:cs="Times New Roman"/>
                <w:b/>
                <w:bCs/>
                <w:color w:val="000000"/>
                <w:sz w:val="14"/>
                <w:szCs w:val="14"/>
                <w:lang w:eastAsia="sk-SK"/>
              </w:rPr>
            </w:pPr>
            <w:r w:rsidRPr="000130B3">
              <w:rPr>
                <w:rFonts w:ascii="Times New Roman" w:hAnsi="Times New Roman" w:cs="Times New Roman"/>
                <w:b/>
                <w:bCs/>
                <w:color w:val="000000"/>
                <w:sz w:val="14"/>
                <w:szCs w:val="14"/>
                <w:lang w:eastAsia="sk-SK"/>
              </w:rPr>
              <w:t>v</w:t>
            </w:r>
            <w:r>
              <w:rPr>
                <w:rFonts w:ascii="Times New Roman" w:hAnsi="Times New Roman" w:cs="Times New Roman"/>
                <w:b/>
                <w:bCs/>
                <w:color w:val="000000"/>
                <w:sz w:val="14"/>
                <w:szCs w:val="14"/>
                <w:lang w:eastAsia="sk-SK"/>
              </w:rPr>
              <w:t> </w:t>
            </w:r>
            <w:r w:rsidRPr="000130B3">
              <w:rPr>
                <w:rFonts w:ascii="Times New Roman" w:hAnsi="Times New Roman" w:cs="Times New Roman"/>
                <w:b/>
                <w:bCs/>
                <w:color w:val="000000"/>
                <w:sz w:val="14"/>
                <w:szCs w:val="14"/>
                <w:lang w:eastAsia="sk-SK"/>
              </w:rPr>
              <w:t>eurách</w:t>
            </w:r>
          </w:p>
        </w:tc>
        <w:tc>
          <w:tcPr>
            <w:tcW w:w="1748" w:type="dxa"/>
            <w:tcBorders>
              <w:top w:val="single" w:sz="4" w:space="0" w:color="auto"/>
              <w:left w:val="nil"/>
              <w:bottom w:val="single" w:sz="4" w:space="0" w:color="auto"/>
              <w:right w:val="single" w:sz="4" w:space="0" w:color="auto"/>
            </w:tcBorders>
            <w:noWrap/>
            <w:textDirection w:val="lrTb"/>
            <w:vAlign w:val="bottom"/>
            <w:hideMark/>
          </w:tcPr>
          <w:p w:rsidR="00CB350B" w:rsidRPr="000130B3" w:rsidP="00257E12">
            <w:pPr>
              <w:bidi w:val="0"/>
              <w:jc w:val="center"/>
              <w:rPr>
                <w:rFonts w:ascii="Times New Roman" w:hAnsi="Times New Roman" w:cs="Times New Roman"/>
                <w:b/>
                <w:bCs/>
                <w:color w:val="000000"/>
                <w:sz w:val="14"/>
                <w:szCs w:val="14"/>
                <w:lang w:eastAsia="sk-SK"/>
              </w:rPr>
            </w:pPr>
            <w:r w:rsidRPr="000130B3">
              <w:rPr>
                <w:rFonts w:ascii="Times New Roman" w:hAnsi="Times New Roman" w:cs="Times New Roman"/>
                <w:b/>
                <w:bCs/>
                <w:color w:val="000000"/>
                <w:sz w:val="14"/>
                <w:szCs w:val="14"/>
                <w:lang w:eastAsia="sk-SK"/>
              </w:rPr>
              <w:t>2012</w:t>
            </w:r>
          </w:p>
        </w:tc>
        <w:tc>
          <w:tcPr>
            <w:tcW w:w="1748" w:type="dxa"/>
            <w:tcBorders>
              <w:top w:val="single" w:sz="4" w:space="0" w:color="auto"/>
              <w:left w:val="nil"/>
              <w:bottom w:val="single" w:sz="4" w:space="0" w:color="auto"/>
              <w:right w:val="single" w:sz="4" w:space="0" w:color="auto"/>
            </w:tcBorders>
            <w:noWrap/>
            <w:textDirection w:val="lrTb"/>
            <w:vAlign w:val="bottom"/>
            <w:hideMark/>
          </w:tcPr>
          <w:p w:rsidR="00CB350B" w:rsidRPr="000130B3" w:rsidP="00257E12">
            <w:pPr>
              <w:bidi w:val="0"/>
              <w:jc w:val="center"/>
              <w:rPr>
                <w:rFonts w:ascii="Times New Roman" w:hAnsi="Times New Roman" w:cs="Times New Roman"/>
                <w:b/>
                <w:bCs/>
                <w:color w:val="000000"/>
                <w:sz w:val="14"/>
                <w:szCs w:val="14"/>
                <w:lang w:eastAsia="sk-SK"/>
              </w:rPr>
            </w:pPr>
            <w:r w:rsidRPr="000130B3">
              <w:rPr>
                <w:rFonts w:ascii="Times New Roman" w:hAnsi="Times New Roman" w:cs="Times New Roman"/>
                <w:b/>
                <w:bCs/>
                <w:color w:val="000000"/>
                <w:sz w:val="14"/>
                <w:szCs w:val="14"/>
                <w:lang w:eastAsia="sk-SK"/>
              </w:rPr>
              <w:t>2013</w:t>
            </w:r>
          </w:p>
        </w:tc>
        <w:tc>
          <w:tcPr>
            <w:tcW w:w="1749" w:type="dxa"/>
            <w:tcBorders>
              <w:top w:val="single" w:sz="4" w:space="0" w:color="auto"/>
              <w:left w:val="nil"/>
              <w:bottom w:val="single" w:sz="4" w:space="0" w:color="auto"/>
              <w:right w:val="single" w:sz="4" w:space="0" w:color="auto"/>
            </w:tcBorders>
            <w:noWrap/>
            <w:textDirection w:val="lrTb"/>
            <w:vAlign w:val="bottom"/>
            <w:hideMark/>
          </w:tcPr>
          <w:p w:rsidR="00CB350B" w:rsidRPr="000130B3" w:rsidP="00257E12">
            <w:pPr>
              <w:bidi w:val="0"/>
              <w:jc w:val="center"/>
              <w:rPr>
                <w:rFonts w:ascii="Times New Roman" w:hAnsi="Times New Roman" w:cs="Times New Roman"/>
                <w:b/>
                <w:bCs/>
                <w:color w:val="000000"/>
                <w:sz w:val="14"/>
                <w:szCs w:val="14"/>
                <w:lang w:eastAsia="sk-SK"/>
              </w:rPr>
            </w:pPr>
            <w:r w:rsidRPr="000130B3">
              <w:rPr>
                <w:rFonts w:ascii="Times New Roman" w:hAnsi="Times New Roman" w:cs="Times New Roman"/>
                <w:b/>
                <w:bCs/>
                <w:color w:val="000000"/>
                <w:sz w:val="14"/>
                <w:szCs w:val="14"/>
                <w:lang w:eastAsia="sk-SK"/>
              </w:rPr>
              <w:t>2014</w:t>
            </w:r>
          </w:p>
        </w:tc>
      </w:tr>
      <w:tr>
        <w:tblPrEx>
          <w:tblW w:w="8939" w:type="dxa"/>
          <w:tblInd w:w="62" w:type="dxa"/>
          <w:tblLayout w:type="fixed"/>
          <w:tblCellMar>
            <w:left w:w="70" w:type="dxa"/>
            <w:right w:w="70" w:type="dxa"/>
          </w:tblCellMar>
          <w:tblLook w:val="04A0"/>
        </w:tblPrEx>
        <w:trPr>
          <w:trHeight w:val="210"/>
        </w:trPr>
        <w:tc>
          <w:tcPr>
            <w:tcW w:w="3694"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0130B3" w:rsidP="00257E12">
            <w:pPr>
              <w:bidi w:val="0"/>
              <w:rPr>
                <w:rFonts w:ascii="Times New Roman" w:hAnsi="Times New Roman" w:cs="Times New Roman"/>
                <w:b/>
                <w:bCs/>
                <w:color w:val="000000"/>
                <w:sz w:val="14"/>
                <w:szCs w:val="14"/>
                <w:lang w:eastAsia="sk-SK"/>
              </w:rPr>
            </w:pPr>
            <w:r w:rsidRPr="000130B3">
              <w:rPr>
                <w:rFonts w:ascii="Times New Roman" w:hAnsi="Times New Roman" w:cs="Times New Roman"/>
                <w:b/>
                <w:bCs/>
                <w:color w:val="000000"/>
                <w:sz w:val="14"/>
                <w:szCs w:val="14"/>
                <w:lang w:eastAsia="sk-SK"/>
              </w:rPr>
              <w:t xml:space="preserve">Spolufinancovanie </w:t>
            </w:r>
            <w:r w:rsidRPr="00A00689">
              <w:rPr>
                <w:rFonts w:ascii="Times New Roman" w:hAnsi="Times New Roman" w:cs="Times New Roman"/>
                <w:b/>
                <w:bCs/>
                <w:color w:val="000000"/>
                <w:sz w:val="14"/>
                <w:szCs w:val="14"/>
                <w:lang w:eastAsia="sk-SK"/>
              </w:rPr>
              <w:t>Švajčiarsk</w:t>
            </w:r>
            <w:r>
              <w:rPr>
                <w:rFonts w:ascii="Times New Roman" w:hAnsi="Times New Roman" w:cs="Times New Roman"/>
                <w:b/>
                <w:bCs/>
                <w:color w:val="000000"/>
                <w:sz w:val="14"/>
                <w:szCs w:val="14"/>
                <w:lang w:eastAsia="sk-SK"/>
              </w:rPr>
              <w:t>eho</w:t>
            </w:r>
            <w:r w:rsidRPr="00A00689">
              <w:rPr>
                <w:rFonts w:ascii="Times New Roman" w:hAnsi="Times New Roman" w:cs="Times New Roman"/>
                <w:b/>
                <w:bCs/>
                <w:color w:val="000000"/>
                <w:sz w:val="14"/>
                <w:szCs w:val="14"/>
                <w:lang w:eastAsia="sk-SK"/>
              </w:rPr>
              <w:t xml:space="preserve"> finančn</w:t>
            </w:r>
            <w:r>
              <w:rPr>
                <w:rFonts w:ascii="Times New Roman" w:hAnsi="Times New Roman" w:cs="Times New Roman"/>
                <w:b/>
                <w:bCs/>
                <w:color w:val="000000"/>
                <w:sz w:val="14"/>
                <w:szCs w:val="14"/>
                <w:lang w:eastAsia="sk-SK"/>
              </w:rPr>
              <w:t>ého</w:t>
            </w:r>
            <w:r w:rsidRPr="00A00689">
              <w:rPr>
                <w:rFonts w:ascii="Times New Roman" w:hAnsi="Times New Roman" w:cs="Times New Roman"/>
                <w:b/>
                <w:bCs/>
                <w:color w:val="000000"/>
                <w:sz w:val="14"/>
                <w:szCs w:val="14"/>
                <w:lang w:eastAsia="sk-SK"/>
              </w:rPr>
              <w:t xml:space="preserve"> </w:t>
            </w:r>
            <w:r>
              <w:rPr>
                <w:rFonts w:ascii="Times New Roman" w:hAnsi="Times New Roman" w:cs="Times New Roman"/>
                <w:b/>
                <w:bCs/>
                <w:color w:val="000000"/>
                <w:sz w:val="14"/>
                <w:szCs w:val="14"/>
                <w:lang w:eastAsia="sk-SK"/>
              </w:rPr>
              <w:t>mechanizmu</w:t>
            </w:r>
          </w:p>
        </w:tc>
        <w:tc>
          <w:tcPr>
            <w:tcW w:w="1748" w:type="dxa"/>
            <w:tcBorders>
              <w:top w:val="single" w:sz="4" w:space="0" w:color="auto"/>
              <w:left w:val="nil"/>
              <w:bottom w:val="single" w:sz="4" w:space="0" w:color="auto"/>
              <w:right w:val="single" w:sz="4" w:space="0" w:color="auto"/>
            </w:tcBorders>
            <w:textDirection w:val="lrTb"/>
            <w:vAlign w:val="bottom"/>
            <w:hideMark/>
          </w:tcPr>
          <w:p w:rsidR="00CB350B" w:rsidRPr="000130B3" w:rsidP="00257E12">
            <w:pPr>
              <w:bidi w:val="0"/>
              <w:jc w:val="right"/>
              <w:rPr>
                <w:rFonts w:ascii="Times New Roman" w:hAnsi="Times New Roman" w:cs="Times New Roman"/>
                <w:b/>
                <w:bCs/>
                <w:color w:val="000000"/>
                <w:sz w:val="14"/>
                <w:szCs w:val="14"/>
                <w:lang w:eastAsia="sk-SK"/>
              </w:rPr>
            </w:pPr>
            <w:r w:rsidRPr="000130B3">
              <w:rPr>
                <w:rFonts w:ascii="Times New Roman" w:hAnsi="Times New Roman" w:cs="Times New Roman"/>
                <w:b/>
                <w:bCs/>
                <w:color w:val="000000"/>
                <w:sz w:val="14"/>
                <w:szCs w:val="14"/>
                <w:lang w:eastAsia="sk-SK"/>
              </w:rPr>
              <w:t>90 660</w:t>
            </w:r>
          </w:p>
        </w:tc>
        <w:tc>
          <w:tcPr>
            <w:tcW w:w="1748" w:type="dxa"/>
            <w:tcBorders>
              <w:top w:val="single" w:sz="4" w:space="0" w:color="auto"/>
              <w:left w:val="nil"/>
              <w:bottom w:val="single" w:sz="4" w:space="0" w:color="auto"/>
              <w:right w:val="single" w:sz="4" w:space="0" w:color="auto"/>
            </w:tcBorders>
            <w:textDirection w:val="lrTb"/>
            <w:vAlign w:val="bottom"/>
            <w:hideMark/>
          </w:tcPr>
          <w:p w:rsidR="00CB350B" w:rsidRPr="000130B3" w:rsidP="00257E12">
            <w:pPr>
              <w:bidi w:val="0"/>
              <w:jc w:val="right"/>
              <w:rPr>
                <w:rFonts w:ascii="Times New Roman" w:hAnsi="Times New Roman" w:cs="Times New Roman"/>
                <w:b/>
                <w:bCs/>
                <w:color w:val="000000"/>
                <w:sz w:val="14"/>
                <w:szCs w:val="14"/>
                <w:lang w:eastAsia="sk-SK"/>
              </w:rPr>
            </w:pPr>
            <w:r w:rsidRPr="000130B3">
              <w:rPr>
                <w:rFonts w:ascii="Times New Roman" w:hAnsi="Times New Roman" w:cs="Times New Roman"/>
                <w:b/>
                <w:bCs/>
                <w:color w:val="000000"/>
                <w:sz w:val="14"/>
                <w:szCs w:val="14"/>
                <w:lang w:eastAsia="sk-SK"/>
              </w:rPr>
              <w:t>96 068</w:t>
            </w:r>
          </w:p>
        </w:tc>
        <w:tc>
          <w:tcPr>
            <w:tcW w:w="1749" w:type="dxa"/>
            <w:tcBorders>
              <w:top w:val="single" w:sz="4" w:space="0" w:color="auto"/>
              <w:left w:val="nil"/>
              <w:bottom w:val="single" w:sz="4" w:space="0" w:color="auto"/>
              <w:right w:val="single" w:sz="4" w:space="0" w:color="auto"/>
            </w:tcBorders>
            <w:textDirection w:val="lrTb"/>
            <w:vAlign w:val="bottom"/>
            <w:hideMark/>
          </w:tcPr>
          <w:p w:rsidR="00CB350B" w:rsidRPr="000130B3" w:rsidP="00257E12">
            <w:pPr>
              <w:bidi w:val="0"/>
              <w:jc w:val="right"/>
              <w:rPr>
                <w:rFonts w:ascii="Times New Roman" w:hAnsi="Times New Roman" w:cs="Times New Roman"/>
                <w:b/>
                <w:bCs/>
                <w:color w:val="000000"/>
                <w:sz w:val="14"/>
                <w:szCs w:val="14"/>
                <w:lang w:eastAsia="sk-SK"/>
              </w:rPr>
            </w:pPr>
            <w:r w:rsidRPr="000130B3">
              <w:rPr>
                <w:rFonts w:ascii="Times New Roman" w:hAnsi="Times New Roman" w:cs="Times New Roman"/>
                <w:b/>
                <w:bCs/>
                <w:color w:val="000000"/>
                <w:sz w:val="14"/>
                <w:szCs w:val="14"/>
                <w:lang w:eastAsia="sk-SK"/>
              </w:rPr>
              <w:t>93 687</w:t>
            </w:r>
          </w:p>
        </w:tc>
      </w:tr>
      <w:tr>
        <w:tblPrEx>
          <w:tblW w:w="8939" w:type="dxa"/>
          <w:tblInd w:w="62" w:type="dxa"/>
          <w:tblLayout w:type="fixed"/>
          <w:tblCellMar>
            <w:left w:w="70" w:type="dxa"/>
            <w:right w:w="70" w:type="dxa"/>
          </w:tblCellMar>
          <w:tblLook w:val="04A0"/>
        </w:tblPrEx>
        <w:trPr>
          <w:trHeight w:val="210"/>
        </w:trPr>
        <w:tc>
          <w:tcPr>
            <w:tcW w:w="3694" w:type="dxa"/>
            <w:tcBorders>
              <w:top w:val="nil"/>
              <w:left w:val="single" w:sz="4" w:space="0" w:color="auto"/>
              <w:bottom w:val="single" w:sz="4" w:space="0" w:color="auto"/>
              <w:right w:val="single" w:sz="4" w:space="0" w:color="auto"/>
            </w:tcBorders>
            <w:noWrap/>
            <w:textDirection w:val="lrTb"/>
            <w:vAlign w:val="bottom"/>
            <w:hideMark/>
          </w:tcPr>
          <w:p w:rsidR="00CB350B" w:rsidRPr="000130B3" w:rsidP="00257E12">
            <w:pPr>
              <w:bidi w:val="0"/>
              <w:rPr>
                <w:rFonts w:ascii="Times New Roman" w:hAnsi="Times New Roman" w:cs="Times New Roman"/>
                <w:color w:val="000000"/>
                <w:sz w:val="14"/>
                <w:szCs w:val="14"/>
                <w:lang w:eastAsia="sk-SK"/>
              </w:rPr>
            </w:pPr>
            <w:r w:rsidRPr="000130B3">
              <w:rPr>
                <w:rFonts w:ascii="Times New Roman" w:hAnsi="Times New Roman" w:cs="Times New Roman"/>
                <w:color w:val="000000"/>
                <w:sz w:val="14"/>
                <w:szCs w:val="14"/>
                <w:lang w:eastAsia="sk-SK"/>
              </w:rPr>
              <w:t>630 - tovary a</w:t>
            </w:r>
            <w:r>
              <w:rPr>
                <w:rFonts w:ascii="Times New Roman" w:hAnsi="Times New Roman" w:cs="Times New Roman"/>
                <w:color w:val="000000"/>
                <w:sz w:val="14"/>
                <w:szCs w:val="14"/>
                <w:lang w:eastAsia="sk-SK"/>
              </w:rPr>
              <w:t> </w:t>
            </w:r>
            <w:r w:rsidRPr="000130B3">
              <w:rPr>
                <w:rFonts w:ascii="Times New Roman" w:hAnsi="Times New Roman" w:cs="Times New Roman"/>
                <w:color w:val="000000"/>
                <w:sz w:val="14"/>
                <w:szCs w:val="14"/>
                <w:lang w:eastAsia="sk-SK"/>
              </w:rPr>
              <w:t>služby</w:t>
            </w:r>
          </w:p>
        </w:tc>
        <w:tc>
          <w:tcPr>
            <w:tcW w:w="1748" w:type="dxa"/>
            <w:tcBorders>
              <w:top w:val="nil"/>
              <w:left w:val="nil"/>
              <w:bottom w:val="single" w:sz="4" w:space="0" w:color="auto"/>
              <w:right w:val="single" w:sz="4" w:space="0" w:color="auto"/>
            </w:tcBorders>
            <w:textDirection w:val="lrTb"/>
            <w:vAlign w:val="bottom"/>
            <w:hideMark/>
          </w:tcPr>
          <w:p w:rsidR="00CB350B" w:rsidRPr="000130B3" w:rsidP="00257E12">
            <w:pPr>
              <w:bidi w:val="0"/>
              <w:jc w:val="right"/>
              <w:rPr>
                <w:rFonts w:ascii="Times New Roman" w:hAnsi="Times New Roman" w:cs="Times New Roman"/>
                <w:color w:val="000000"/>
                <w:sz w:val="14"/>
                <w:szCs w:val="14"/>
                <w:lang w:eastAsia="sk-SK"/>
              </w:rPr>
            </w:pPr>
            <w:r w:rsidRPr="000130B3">
              <w:rPr>
                <w:rFonts w:ascii="Times New Roman" w:hAnsi="Times New Roman" w:cs="Times New Roman"/>
                <w:color w:val="000000"/>
                <w:sz w:val="14"/>
                <w:szCs w:val="14"/>
                <w:lang w:eastAsia="sk-SK"/>
              </w:rPr>
              <w:t>78 558</w:t>
            </w:r>
          </w:p>
        </w:tc>
        <w:tc>
          <w:tcPr>
            <w:tcW w:w="1748" w:type="dxa"/>
            <w:tcBorders>
              <w:top w:val="nil"/>
              <w:left w:val="nil"/>
              <w:bottom w:val="single" w:sz="4" w:space="0" w:color="auto"/>
              <w:right w:val="single" w:sz="4" w:space="0" w:color="auto"/>
            </w:tcBorders>
            <w:textDirection w:val="lrTb"/>
            <w:vAlign w:val="bottom"/>
            <w:hideMark/>
          </w:tcPr>
          <w:p w:rsidR="00CB350B" w:rsidRPr="000130B3" w:rsidP="00257E12">
            <w:pPr>
              <w:bidi w:val="0"/>
              <w:jc w:val="right"/>
              <w:rPr>
                <w:rFonts w:ascii="Times New Roman" w:hAnsi="Times New Roman" w:cs="Times New Roman"/>
                <w:color w:val="000000"/>
                <w:sz w:val="14"/>
                <w:szCs w:val="14"/>
                <w:lang w:eastAsia="sk-SK"/>
              </w:rPr>
            </w:pPr>
            <w:r w:rsidRPr="000130B3">
              <w:rPr>
                <w:rFonts w:ascii="Times New Roman" w:hAnsi="Times New Roman" w:cs="Times New Roman"/>
                <w:color w:val="000000"/>
                <w:sz w:val="14"/>
                <w:szCs w:val="14"/>
                <w:lang w:eastAsia="sk-SK"/>
              </w:rPr>
              <w:t>83 243</w:t>
            </w:r>
          </w:p>
        </w:tc>
        <w:tc>
          <w:tcPr>
            <w:tcW w:w="1749" w:type="dxa"/>
            <w:tcBorders>
              <w:top w:val="nil"/>
              <w:left w:val="nil"/>
              <w:bottom w:val="single" w:sz="4" w:space="0" w:color="auto"/>
              <w:right w:val="single" w:sz="4" w:space="0" w:color="auto"/>
            </w:tcBorders>
            <w:textDirection w:val="lrTb"/>
            <w:vAlign w:val="bottom"/>
            <w:hideMark/>
          </w:tcPr>
          <w:p w:rsidR="00CB350B" w:rsidRPr="000130B3" w:rsidP="00257E12">
            <w:pPr>
              <w:bidi w:val="0"/>
              <w:jc w:val="right"/>
              <w:rPr>
                <w:rFonts w:ascii="Times New Roman" w:hAnsi="Times New Roman" w:cs="Times New Roman"/>
                <w:color w:val="000000"/>
                <w:sz w:val="14"/>
                <w:szCs w:val="14"/>
                <w:lang w:eastAsia="sk-SK"/>
              </w:rPr>
            </w:pPr>
            <w:r w:rsidRPr="000130B3">
              <w:rPr>
                <w:rFonts w:ascii="Times New Roman" w:hAnsi="Times New Roman" w:cs="Times New Roman"/>
                <w:color w:val="000000"/>
                <w:sz w:val="14"/>
                <w:szCs w:val="14"/>
                <w:lang w:eastAsia="sk-SK"/>
              </w:rPr>
              <w:t>81 180</w:t>
            </w:r>
          </w:p>
        </w:tc>
      </w:tr>
      <w:tr>
        <w:tblPrEx>
          <w:tblW w:w="8939" w:type="dxa"/>
          <w:tblInd w:w="62" w:type="dxa"/>
          <w:tblLayout w:type="fixed"/>
          <w:tblCellMar>
            <w:left w:w="70" w:type="dxa"/>
            <w:right w:w="70" w:type="dxa"/>
          </w:tblCellMar>
          <w:tblLook w:val="04A0"/>
        </w:tblPrEx>
        <w:trPr>
          <w:trHeight w:val="210"/>
        </w:trPr>
        <w:tc>
          <w:tcPr>
            <w:tcW w:w="3694" w:type="dxa"/>
            <w:tcBorders>
              <w:top w:val="nil"/>
              <w:left w:val="single" w:sz="4" w:space="0" w:color="auto"/>
              <w:bottom w:val="single" w:sz="4" w:space="0" w:color="auto"/>
              <w:right w:val="single" w:sz="4" w:space="0" w:color="auto"/>
            </w:tcBorders>
            <w:noWrap/>
            <w:textDirection w:val="lrTb"/>
            <w:vAlign w:val="bottom"/>
            <w:hideMark/>
          </w:tcPr>
          <w:p w:rsidR="00CB350B" w:rsidRPr="000130B3" w:rsidP="00257E12">
            <w:pPr>
              <w:bidi w:val="0"/>
              <w:rPr>
                <w:rFonts w:ascii="Times New Roman" w:hAnsi="Times New Roman" w:cs="Times New Roman"/>
                <w:color w:val="000000"/>
                <w:sz w:val="14"/>
                <w:szCs w:val="14"/>
                <w:lang w:eastAsia="sk-SK"/>
              </w:rPr>
            </w:pPr>
            <w:r w:rsidRPr="000130B3">
              <w:rPr>
                <w:rFonts w:ascii="Times New Roman" w:hAnsi="Times New Roman" w:cs="Times New Roman"/>
                <w:color w:val="000000"/>
                <w:sz w:val="14"/>
                <w:szCs w:val="14"/>
                <w:lang w:eastAsia="sk-SK"/>
              </w:rPr>
              <w:t>710 - kapitálové výdavky</w:t>
            </w:r>
          </w:p>
        </w:tc>
        <w:tc>
          <w:tcPr>
            <w:tcW w:w="1748" w:type="dxa"/>
            <w:tcBorders>
              <w:top w:val="nil"/>
              <w:left w:val="nil"/>
              <w:bottom w:val="single" w:sz="4" w:space="0" w:color="auto"/>
              <w:right w:val="single" w:sz="4" w:space="0" w:color="auto"/>
            </w:tcBorders>
            <w:noWrap/>
            <w:textDirection w:val="lrTb"/>
            <w:vAlign w:val="bottom"/>
            <w:hideMark/>
          </w:tcPr>
          <w:p w:rsidR="00CB350B" w:rsidRPr="000130B3" w:rsidP="00257E12">
            <w:pPr>
              <w:bidi w:val="0"/>
              <w:jc w:val="right"/>
              <w:rPr>
                <w:rFonts w:ascii="Times New Roman" w:hAnsi="Times New Roman" w:cs="Times New Roman"/>
                <w:color w:val="000000"/>
                <w:sz w:val="14"/>
                <w:szCs w:val="14"/>
                <w:lang w:eastAsia="sk-SK"/>
              </w:rPr>
            </w:pPr>
            <w:r w:rsidRPr="000130B3">
              <w:rPr>
                <w:rFonts w:ascii="Times New Roman" w:hAnsi="Times New Roman" w:cs="Times New Roman"/>
                <w:color w:val="000000"/>
                <w:sz w:val="14"/>
                <w:szCs w:val="14"/>
                <w:lang w:eastAsia="sk-SK"/>
              </w:rPr>
              <w:t>12 102</w:t>
            </w:r>
          </w:p>
        </w:tc>
        <w:tc>
          <w:tcPr>
            <w:tcW w:w="1748" w:type="dxa"/>
            <w:tcBorders>
              <w:top w:val="nil"/>
              <w:left w:val="nil"/>
              <w:bottom w:val="single" w:sz="4" w:space="0" w:color="auto"/>
              <w:right w:val="single" w:sz="4" w:space="0" w:color="auto"/>
            </w:tcBorders>
            <w:noWrap/>
            <w:textDirection w:val="lrTb"/>
            <w:vAlign w:val="bottom"/>
            <w:hideMark/>
          </w:tcPr>
          <w:p w:rsidR="00CB350B" w:rsidRPr="000130B3" w:rsidP="00257E12">
            <w:pPr>
              <w:bidi w:val="0"/>
              <w:jc w:val="right"/>
              <w:rPr>
                <w:rFonts w:ascii="Times New Roman" w:hAnsi="Times New Roman" w:cs="Times New Roman"/>
                <w:color w:val="000000"/>
                <w:sz w:val="14"/>
                <w:szCs w:val="14"/>
                <w:lang w:eastAsia="sk-SK"/>
              </w:rPr>
            </w:pPr>
            <w:r w:rsidRPr="000130B3">
              <w:rPr>
                <w:rFonts w:ascii="Times New Roman" w:hAnsi="Times New Roman" w:cs="Times New Roman"/>
                <w:color w:val="000000"/>
                <w:sz w:val="14"/>
                <w:szCs w:val="14"/>
                <w:lang w:eastAsia="sk-SK"/>
              </w:rPr>
              <w:t>12 825</w:t>
            </w:r>
          </w:p>
        </w:tc>
        <w:tc>
          <w:tcPr>
            <w:tcW w:w="1749" w:type="dxa"/>
            <w:tcBorders>
              <w:top w:val="nil"/>
              <w:left w:val="nil"/>
              <w:bottom w:val="single" w:sz="4" w:space="0" w:color="auto"/>
              <w:right w:val="single" w:sz="4" w:space="0" w:color="auto"/>
            </w:tcBorders>
            <w:noWrap/>
            <w:textDirection w:val="lrTb"/>
            <w:vAlign w:val="bottom"/>
            <w:hideMark/>
          </w:tcPr>
          <w:p w:rsidR="00CB350B" w:rsidRPr="000130B3" w:rsidP="00257E12">
            <w:pPr>
              <w:bidi w:val="0"/>
              <w:jc w:val="right"/>
              <w:rPr>
                <w:rFonts w:ascii="Times New Roman" w:hAnsi="Times New Roman" w:cs="Times New Roman"/>
                <w:color w:val="000000"/>
                <w:sz w:val="14"/>
                <w:szCs w:val="14"/>
                <w:lang w:eastAsia="sk-SK"/>
              </w:rPr>
            </w:pPr>
            <w:r w:rsidRPr="000130B3">
              <w:rPr>
                <w:rFonts w:ascii="Times New Roman" w:hAnsi="Times New Roman" w:cs="Times New Roman"/>
                <w:color w:val="000000"/>
                <w:sz w:val="14"/>
                <w:szCs w:val="14"/>
                <w:lang w:eastAsia="sk-SK"/>
              </w:rPr>
              <w:t>12 507</w:t>
            </w:r>
          </w:p>
        </w:tc>
      </w:tr>
    </w:tbl>
    <w:p w:rsidR="00CB350B" w:rsidP="00CB350B">
      <w:pPr>
        <w:bidi w:val="0"/>
      </w:pPr>
    </w:p>
    <w:p w:rsidR="00CB350B" w:rsidRPr="0004638E" w:rsidP="00CB350B">
      <w:pPr>
        <w:pBdr>
          <w:bottom w:val="single" w:sz="4" w:space="1" w:color="auto"/>
        </w:pBdr>
        <w:bidi w:val="0"/>
        <w:jc w:val="both"/>
        <w:rPr>
          <w:rFonts w:ascii="Times New Roman" w:hAnsi="Times New Roman" w:cs="Times New Roman"/>
          <w:b/>
          <w:bCs/>
        </w:rPr>
      </w:pPr>
      <w:r w:rsidRPr="0004638E">
        <w:rPr>
          <w:rFonts w:ascii="Times New Roman" w:hAnsi="Times New Roman" w:cs="Times New Roman"/>
          <w:b/>
          <w:bCs/>
        </w:rPr>
        <w:t xml:space="preserve">Ministerstvo hospodárstva SR </w:t>
      </w:r>
    </w:p>
    <w:p w:rsidR="00CB350B" w:rsidRPr="0004638E" w:rsidP="00CB350B">
      <w:pPr>
        <w:bidi w:val="0"/>
        <w:jc w:val="both"/>
        <w:rPr>
          <w:rFonts w:ascii="Times New Roman" w:hAnsi="Times New Roman" w:cs="Times New Roman"/>
        </w:rPr>
      </w:pPr>
    </w:p>
    <w:tbl>
      <w:tblPr>
        <w:tblStyle w:val="TableNormal"/>
        <w:tblW w:w="9072" w:type="dxa"/>
        <w:tblInd w:w="59" w:type="dxa"/>
        <w:tblCellMar>
          <w:left w:w="70" w:type="dxa"/>
          <w:right w:w="70" w:type="dxa"/>
        </w:tblCellMar>
        <w:tblLook w:val="04A0"/>
      </w:tblPr>
      <w:tblGrid>
        <w:gridCol w:w="2098"/>
        <w:gridCol w:w="987"/>
        <w:gridCol w:w="987"/>
        <w:gridCol w:w="987"/>
        <w:gridCol w:w="930"/>
        <w:gridCol w:w="987"/>
        <w:gridCol w:w="987"/>
        <w:gridCol w:w="1109"/>
      </w:tblGrid>
      <w:tr>
        <w:tblPrEx>
          <w:tblW w:w="9072" w:type="dxa"/>
          <w:tblInd w:w="59" w:type="dxa"/>
          <w:tblCellMar>
            <w:left w:w="70" w:type="dxa"/>
            <w:right w:w="70" w:type="dxa"/>
          </w:tblCellMar>
          <w:tblLook w:val="04A0"/>
        </w:tblPrEx>
        <w:trPr>
          <w:trHeight w:val="259"/>
        </w:trPr>
        <w:tc>
          <w:tcPr>
            <w:tcW w:w="2098"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b/>
                <w:bCs/>
                <w:color w:val="000000"/>
                <w:sz w:val="14"/>
                <w:szCs w:val="14"/>
              </w:rPr>
            </w:pPr>
            <w:r w:rsidRPr="009E58F9">
              <w:rPr>
                <w:rFonts w:ascii="Times New Roman" w:hAnsi="Times New Roman" w:cs="Times New Roman"/>
                <w:color w:val="000000"/>
                <w:sz w:val="14"/>
                <w:szCs w:val="14"/>
                <w:lang w:eastAsia="sk-SK"/>
              </w:rPr>
              <w:t> </w:t>
            </w:r>
            <w:r w:rsidRPr="009E58F9">
              <w:rPr>
                <w:rFonts w:ascii="Times New Roman" w:hAnsi="Times New Roman" w:cs="Times New Roman"/>
                <w:b/>
                <w:bCs/>
                <w:color w:val="000000"/>
                <w:sz w:val="14"/>
                <w:szCs w:val="14"/>
                <w:lang w:eastAsia="sk-SK"/>
              </w:rPr>
              <w:t>v eurách</w:t>
            </w:r>
          </w:p>
        </w:tc>
        <w:tc>
          <w:tcPr>
            <w:tcW w:w="987"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2009 S</w:t>
            </w:r>
          </w:p>
        </w:tc>
        <w:tc>
          <w:tcPr>
            <w:tcW w:w="987"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2010S</w:t>
            </w:r>
          </w:p>
        </w:tc>
        <w:tc>
          <w:tcPr>
            <w:tcW w:w="987"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2011 R</w:t>
            </w:r>
          </w:p>
        </w:tc>
        <w:tc>
          <w:tcPr>
            <w:tcW w:w="930" w:type="dxa"/>
            <w:tcBorders>
              <w:top w:val="single" w:sz="4" w:space="0" w:color="auto"/>
              <w:left w:val="nil"/>
              <w:bottom w:val="single" w:sz="4" w:space="0" w:color="auto"/>
              <w:right w:val="single" w:sz="4" w:space="0" w:color="auto"/>
            </w:tcBorders>
            <w:textDirection w:val="lrTb"/>
            <w:vAlign w:val="center"/>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2011 OS</w:t>
            </w:r>
          </w:p>
        </w:tc>
        <w:tc>
          <w:tcPr>
            <w:tcW w:w="987" w:type="dxa"/>
            <w:tcBorders>
              <w:top w:val="single" w:sz="4" w:space="0" w:color="auto"/>
              <w:left w:val="single" w:sz="4" w:space="0" w:color="auto"/>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2012 N</w:t>
            </w:r>
          </w:p>
        </w:tc>
        <w:tc>
          <w:tcPr>
            <w:tcW w:w="987"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2013 N</w:t>
            </w:r>
          </w:p>
        </w:tc>
        <w:tc>
          <w:tcPr>
            <w:tcW w:w="1109"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2014 N</w:t>
            </w:r>
          </w:p>
        </w:tc>
      </w:tr>
      <w:tr>
        <w:tblPrEx>
          <w:tblW w:w="9072" w:type="dxa"/>
          <w:tblInd w:w="59" w:type="dxa"/>
          <w:tblCellMar>
            <w:left w:w="70" w:type="dxa"/>
            <w:right w:w="70" w:type="dxa"/>
          </w:tblCellMar>
          <w:tblLook w:val="04A0"/>
        </w:tblPrEx>
        <w:trPr>
          <w:trHeight w:val="259"/>
        </w:trPr>
        <w:tc>
          <w:tcPr>
            <w:tcW w:w="2098"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Zdroje príslušnej kapitoly</w:t>
            </w:r>
          </w:p>
        </w:tc>
        <w:tc>
          <w:tcPr>
            <w:tcW w:w="987"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272 330 760</w:t>
            </w:r>
          </w:p>
        </w:tc>
        <w:tc>
          <w:tcPr>
            <w:tcW w:w="987"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286 731 999</w:t>
            </w:r>
          </w:p>
        </w:tc>
        <w:tc>
          <w:tcPr>
            <w:tcW w:w="987"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333 807 444</w:t>
            </w:r>
          </w:p>
        </w:tc>
        <w:tc>
          <w:tcPr>
            <w:tcW w:w="930" w:type="dxa"/>
            <w:tcBorders>
              <w:top w:val="single" w:sz="4" w:space="0" w:color="auto"/>
              <w:left w:val="nil"/>
              <w:bottom w:val="single" w:sz="4" w:space="0" w:color="auto"/>
              <w:right w:val="single" w:sz="4" w:space="0" w:color="auto"/>
            </w:tcBorders>
            <w:textDirection w:val="lrTb"/>
            <w:vAlign w:val="bottom"/>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334 844 394</w:t>
            </w:r>
          </w:p>
        </w:tc>
        <w:tc>
          <w:tcPr>
            <w:tcW w:w="987"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214 503 979</w:t>
            </w:r>
          </w:p>
        </w:tc>
        <w:tc>
          <w:tcPr>
            <w:tcW w:w="987"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140 422 425</w:t>
            </w:r>
          </w:p>
        </w:tc>
        <w:tc>
          <w:tcPr>
            <w:tcW w:w="1109"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123 960 061</w:t>
            </w:r>
          </w:p>
        </w:tc>
      </w:tr>
      <w:tr>
        <w:tblPrEx>
          <w:tblW w:w="9072" w:type="dxa"/>
          <w:tblInd w:w="59" w:type="dxa"/>
          <w:tblCellMar>
            <w:left w:w="70" w:type="dxa"/>
            <w:right w:w="70" w:type="dxa"/>
          </w:tblCellMar>
          <w:tblLook w:val="04A0"/>
        </w:tblPrEx>
        <w:trPr>
          <w:trHeight w:val="259"/>
        </w:trPr>
        <w:tc>
          <w:tcPr>
            <w:tcW w:w="2098"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Reštrukt. priem. odvetví</w:t>
            </w:r>
          </w:p>
        </w:tc>
        <w:tc>
          <w:tcPr>
            <w:tcW w:w="987"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77 367 911</w:t>
            </w:r>
          </w:p>
        </w:tc>
        <w:tc>
          <w:tcPr>
            <w:tcW w:w="987"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10 813 292</w:t>
            </w:r>
          </w:p>
        </w:tc>
        <w:tc>
          <w:tcPr>
            <w:tcW w:w="987"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2 974 696</w:t>
            </w:r>
          </w:p>
        </w:tc>
        <w:tc>
          <w:tcPr>
            <w:tcW w:w="930" w:type="dxa"/>
            <w:tcBorders>
              <w:top w:val="single" w:sz="4" w:space="0" w:color="auto"/>
              <w:left w:val="nil"/>
              <w:bottom w:val="single" w:sz="4" w:space="0" w:color="auto"/>
              <w:right w:val="single" w:sz="4" w:space="0" w:color="auto"/>
            </w:tcBorders>
            <w:textDirection w:val="lrTb"/>
            <w:vAlign w:val="bottom"/>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7 286 626</w:t>
            </w:r>
          </w:p>
        </w:tc>
        <w:tc>
          <w:tcPr>
            <w:tcW w:w="987"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2 915 039</w:t>
            </w:r>
          </w:p>
        </w:tc>
        <w:tc>
          <w:tcPr>
            <w:tcW w:w="987"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2 913 100</w:t>
            </w:r>
          </w:p>
        </w:tc>
        <w:tc>
          <w:tcPr>
            <w:tcW w:w="1109"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3 083 100</w:t>
            </w:r>
          </w:p>
        </w:tc>
      </w:tr>
      <w:tr>
        <w:tblPrEx>
          <w:tblW w:w="9072" w:type="dxa"/>
          <w:tblInd w:w="59" w:type="dxa"/>
          <w:tblCellMar>
            <w:left w:w="70" w:type="dxa"/>
            <w:right w:w="70" w:type="dxa"/>
          </w:tblCellMar>
          <w:tblLook w:val="04A0"/>
        </w:tblPrEx>
        <w:trPr>
          <w:trHeight w:val="259"/>
        </w:trPr>
        <w:tc>
          <w:tcPr>
            <w:tcW w:w="2098"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Podpora podnikania</w:t>
            </w:r>
          </w:p>
        </w:tc>
        <w:tc>
          <w:tcPr>
            <w:tcW w:w="987"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16 083 659</w:t>
            </w:r>
          </w:p>
        </w:tc>
        <w:tc>
          <w:tcPr>
            <w:tcW w:w="987"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15 000 553</w:t>
            </w:r>
          </w:p>
        </w:tc>
        <w:tc>
          <w:tcPr>
            <w:tcW w:w="987"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39 333 620</w:t>
            </w:r>
          </w:p>
        </w:tc>
        <w:tc>
          <w:tcPr>
            <w:tcW w:w="930" w:type="dxa"/>
            <w:tcBorders>
              <w:top w:val="single" w:sz="4" w:space="0" w:color="auto"/>
              <w:left w:val="nil"/>
              <w:bottom w:val="single" w:sz="4" w:space="0" w:color="auto"/>
              <w:right w:val="single" w:sz="4" w:space="0" w:color="auto"/>
            </w:tcBorders>
            <w:textDirection w:val="lrTb"/>
            <w:vAlign w:val="bottom"/>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27 825 141</w:t>
            </w:r>
          </w:p>
        </w:tc>
        <w:tc>
          <w:tcPr>
            <w:tcW w:w="987"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20 252 446</w:t>
            </w:r>
          </w:p>
        </w:tc>
        <w:tc>
          <w:tcPr>
            <w:tcW w:w="987"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16 430 501</w:t>
            </w:r>
          </w:p>
        </w:tc>
        <w:tc>
          <w:tcPr>
            <w:tcW w:w="1109"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15 576 708</w:t>
            </w:r>
          </w:p>
        </w:tc>
      </w:tr>
      <w:tr>
        <w:tblPrEx>
          <w:tblW w:w="9072" w:type="dxa"/>
          <w:tblInd w:w="59" w:type="dxa"/>
          <w:tblCellMar>
            <w:left w:w="70" w:type="dxa"/>
            <w:right w:w="70" w:type="dxa"/>
          </w:tblCellMar>
          <w:tblLook w:val="04A0"/>
        </w:tblPrEx>
        <w:trPr>
          <w:trHeight w:val="259"/>
        </w:trPr>
        <w:tc>
          <w:tcPr>
            <w:tcW w:w="2098"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Invest. stimuly, reg. rozvoj</w:t>
            </w:r>
          </w:p>
        </w:tc>
        <w:tc>
          <w:tcPr>
            <w:tcW w:w="987"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63 779 728</w:t>
            </w:r>
          </w:p>
        </w:tc>
        <w:tc>
          <w:tcPr>
            <w:tcW w:w="987"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94 715 818</w:t>
            </w:r>
          </w:p>
        </w:tc>
        <w:tc>
          <w:tcPr>
            <w:tcW w:w="987"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63 456 030</w:t>
            </w:r>
          </w:p>
        </w:tc>
        <w:tc>
          <w:tcPr>
            <w:tcW w:w="930" w:type="dxa"/>
            <w:tcBorders>
              <w:top w:val="single" w:sz="4" w:space="0" w:color="auto"/>
              <w:left w:val="nil"/>
              <w:bottom w:val="single" w:sz="4" w:space="0" w:color="auto"/>
              <w:right w:val="single" w:sz="4" w:space="0" w:color="auto"/>
            </w:tcBorders>
            <w:textDirection w:val="lrTb"/>
            <w:vAlign w:val="bottom"/>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104 568 293</w:t>
            </w:r>
          </w:p>
        </w:tc>
        <w:tc>
          <w:tcPr>
            <w:tcW w:w="987"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34 281 205</w:t>
            </w:r>
          </w:p>
        </w:tc>
        <w:tc>
          <w:tcPr>
            <w:tcW w:w="987"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11 231 553</w:t>
            </w:r>
          </w:p>
        </w:tc>
        <w:tc>
          <w:tcPr>
            <w:tcW w:w="1109"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9 781 410</w:t>
            </w:r>
          </w:p>
        </w:tc>
      </w:tr>
      <w:tr>
        <w:tblPrEx>
          <w:tblW w:w="9072" w:type="dxa"/>
          <w:tblInd w:w="59" w:type="dxa"/>
          <w:tblCellMar>
            <w:left w:w="70" w:type="dxa"/>
            <w:right w:w="70" w:type="dxa"/>
          </w:tblCellMar>
          <w:tblLook w:val="04A0"/>
        </w:tblPrEx>
        <w:trPr>
          <w:trHeight w:val="259"/>
        </w:trPr>
        <w:tc>
          <w:tcPr>
            <w:tcW w:w="2098"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Inovácie</w:t>
            </w:r>
          </w:p>
        </w:tc>
        <w:tc>
          <w:tcPr>
            <w:tcW w:w="987"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42 402 233</w:t>
            </w:r>
          </w:p>
        </w:tc>
        <w:tc>
          <w:tcPr>
            <w:tcW w:w="987"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31 822 235</w:t>
            </w:r>
          </w:p>
        </w:tc>
        <w:tc>
          <w:tcPr>
            <w:tcW w:w="987"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120 378 098</w:t>
            </w:r>
          </w:p>
        </w:tc>
        <w:tc>
          <w:tcPr>
            <w:tcW w:w="930" w:type="dxa"/>
            <w:tcBorders>
              <w:top w:val="single" w:sz="4" w:space="0" w:color="auto"/>
              <w:left w:val="nil"/>
              <w:bottom w:val="single" w:sz="4" w:space="0" w:color="auto"/>
              <w:right w:val="single" w:sz="4" w:space="0" w:color="auto"/>
            </w:tcBorders>
            <w:textDirection w:val="lrTb"/>
            <w:vAlign w:val="bottom"/>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79 121 142</w:t>
            </w:r>
          </w:p>
        </w:tc>
        <w:tc>
          <w:tcPr>
            <w:tcW w:w="987"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70 771 242</w:t>
            </w:r>
          </w:p>
        </w:tc>
        <w:tc>
          <w:tcPr>
            <w:tcW w:w="987"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38 374 221</w:t>
            </w:r>
          </w:p>
        </w:tc>
        <w:tc>
          <w:tcPr>
            <w:tcW w:w="1109"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27 217 299</w:t>
            </w:r>
          </w:p>
        </w:tc>
      </w:tr>
      <w:tr>
        <w:tblPrEx>
          <w:tblW w:w="9072" w:type="dxa"/>
          <w:tblInd w:w="59" w:type="dxa"/>
          <w:tblCellMar>
            <w:left w:w="70" w:type="dxa"/>
            <w:right w:w="70" w:type="dxa"/>
          </w:tblCellMar>
          <w:tblLook w:val="04A0"/>
        </w:tblPrEx>
        <w:trPr>
          <w:trHeight w:val="259"/>
        </w:trPr>
        <w:tc>
          <w:tcPr>
            <w:tcW w:w="2098"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Energetika</w:t>
            </w:r>
          </w:p>
        </w:tc>
        <w:tc>
          <w:tcPr>
            <w:tcW w:w="987"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987"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23 814 949</w:t>
            </w:r>
          </w:p>
        </w:tc>
        <w:tc>
          <w:tcPr>
            <w:tcW w:w="987"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60 887 219</w:t>
            </w:r>
          </w:p>
        </w:tc>
        <w:tc>
          <w:tcPr>
            <w:tcW w:w="930" w:type="dxa"/>
            <w:tcBorders>
              <w:top w:val="single" w:sz="4" w:space="0" w:color="auto"/>
              <w:left w:val="nil"/>
              <w:bottom w:val="single" w:sz="4" w:space="0" w:color="auto"/>
              <w:right w:val="single" w:sz="4" w:space="0" w:color="auto"/>
            </w:tcBorders>
            <w:textDirection w:val="lrTb"/>
            <w:vAlign w:val="bottom"/>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40 685 999</w:t>
            </w:r>
          </w:p>
        </w:tc>
        <w:tc>
          <w:tcPr>
            <w:tcW w:w="987"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32 037 318</w:t>
            </w:r>
          </w:p>
        </w:tc>
        <w:tc>
          <w:tcPr>
            <w:tcW w:w="987"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24 234 767</w:t>
            </w:r>
          </w:p>
        </w:tc>
        <w:tc>
          <w:tcPr>
            <w:tcW w:w="1109"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22 902 235</w:t>
            </w:r>
          </w:p>
        </w:tc>
      </w:tr>
      <w:tr>
        <w:tblPrEx>
          <w:tblW w:w="9072" w:type="dxa"/>
          <w:tblInd w:w="59" w:type="dxa"/>
          <w:tblCellMar>
            <w:left w:w="70" w:type="dxa"/>
            <w:right w:w="70" w:type="dxa"/>
          </w:tblCellMar>
          <w:tblLook w:val="04A0"/>
        </w:tblPrEx>
        <w:trPr>
          <w:trHeight w:val="259"/>
        </w:trPr>
        <w:tc>
          <w:tcPr>
            <w:tcW w:w="2098"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Cestovný ruch</w:t>
            </w:r>
          </w:p>
        </w:tc>
        <w:tc>
          <w:tcPr>
            <w:tcW w:w="987"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22 766 451</w:t>
            </w:r>
          </w:p>
        </w:tc>
        <w:tc>
          <w:tcPr>
            <w:tcW w:w="987"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37 148 920</w:t>
            </w:r>
          </w:p>
        </w:tc>
        <w:tc>
          <w:tcPr>
            <w:tcW w:w="987"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930" w:type="dxa"/>
            <w:tcBorders>
              <w:top w:val="single" w:sz="4" w:space="0" w:color="auto"/>
              <w:left w:val="nil"/>
              <w:bottom w:val="single" w:sz="4" w:space="0" w:color="auto"/>
              <w:right w:val="single" w:sz="4" w:space="0" w:color="auto"/>
            </w:tcBorders>
            <w:textDirection w:val="lrTb"/>
            <w:vAlign w:val="bottom"/>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35 192 711</w:t>
            </w:r>
          </w:p>
        </w:tc>
        <w:tc>
          <w:tcPr>
            <w:tcW w:w="987"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19 528 012</w:t>
            </w:r>
          </w:p>
        </w:tc>
        <w:tc>
          <w:tcPr>
            <w:tcW w:w="987"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12 244 889</w:t>
            </w:r>
          </w:p>
        </w:tc>
        <w:tc>
          <w:tcPr>
            <w:tcW w:w="1109"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12 109 793</w:t>
            </w:r>
          </w:p>
        </w:tc>
      </w:tr>
      <w:tr>
        <w:tblPrEx>
          <w:tblW w:w="9072" w:type="dxa"/>
          <w:tblInd w:w="59" w:type="dxa"/>
          <w:tblCellMar>
            <w:left w:w="70" w:type="dxa"/>
            <w:right w:w="70" w:type="dxa"/>
          </w:tblCellMar>
          <w:tblLook w:val="04A0"/>
        </w:tblPrEx>
        <w:trPr>
          <w:trHeight w:val="259"/>
        </w:trPr>
        <w:tc>
          <w:tcPr>
            <w:tcW w:w="2098"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Administratíva</w:t>
            </w:r>
          </w:p>
        </w:tc>
        <w:tc>
          <w:tcPr>
            <w:tcW w:w="987"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49 930 778</w:t>
            </w:r>
          </w:p>
        </w:tc>
        <w:tc>
          <w:tcPr>
            <w:tcW w:w="987"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47 139 727</w:t>
            </w:r>
          </w:p>
        </w:tc>
        <w:tc>
          <w:tcPr>
            <w:tcW w:w="987"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46 777 781</w:t>
            </w:r>
          </w:p>
        </w:tc>
        <w:tc>
          <w:tcPr>
            <w:tcW w:w="930" w:type="dxa"/>
            <w:tcBorders>
              <w:top w:val="single" w:sz="4" w:space="0" w:color="auto"/>
              <w:left w:val="nil"/>
              <w:bottom w:val="single" w:sz="4" w:space="0" w:color="auto"/>
              <w:right w:val="single" w:sz="4" w:space="0" w:color="auto"/>
            </w:tcBorders>
            <w:textDirection w:val="lrTb"/>
            <w:vAlign w:val="bottom"/>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40 164 482</w:t>
            </w:r>
          </w:p>
        </w:tc>
        <w:tc>
          <w:tcPr>
            <w:tcW w:w="987"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34 718 717</w:t>
            </w:r>
          </w:p>
        </w:tc>
        <w:tc>
          <w:tcPr>
            <w:tcW w:w="987"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34 993 394</w:t>
            </w:r>
          </w:p>
        </w:tc>
        <w:tc>
          <w:tcPr>
            <w:tcW w:w="1109"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33 289 516</w:t>
            </w:r>
          </w:p>
        </w:tc>
      </w:tr>
    </w:tbl>
    <w:p w:rsidR="00CB350B" w:rsidRPr="0004638E" w:rsidP="00CB350B">
      <w:pPr>
        <w:bidi w:val="0"/>
        <w:ind w:firstLine="708"/>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 xml:space="preserve">Rezort  hospodárstva má v návrhu rozpočtu na rok  2012 navrhované výdavky vo výške </w:t>
      </w:r>
      <w:r w:rsidRPr="00F2508D">
        <w:rPr>
          <w:rFonts w:ascii="Times New Roman" w:hAnsi="Times New Roman" w:cs="Times New Roman"/>
        </w:rPr>
        <w:t>215 mil. eur,</w:t>
      </w:r>
      <w:r w:rsidRPr="0004638E">
        <w:rPr>
          <w:rFonts w:ascii="Times New Roman" w:hAnsi="Times New Roman" w:cs="Times New Roman"/>
        </w:rPr>
        <w:t xml:space="preserve"> ktorých použitie je špecifikované v jednotlivých oblastiach.</w:t>
      </w:r>
    </w:p>
    <w:p w:rsidR="00CB350B" w:rsidRPr="0004638E" w:rsidP="00CB350B">
      <w:pPr>
        <w:bidi w:val="0"/>
        <w:rPr>
          <w:rFonts w:ascii="Times New Roman" w:hAnsi="Times New Roman" w:cs="Times New Roman"/>
        </w:rPr>
      </w:pPr>
    </w:p>
    <w:p w:rsidR="00CB350B" w:rsidP="00CB350B">
      <w:pPr>
        <w:bidi w:val="0"/>
        <w:jc w:val="both"/>
        <w:rPr>
          <w:rFonts w:ascii="Times New Roman" w:hAnsi="Times New Roman" w:cs="Times New Roman"/>
          <w:b/>
        </w:rPr>
      </w:pPr>
      <w:r w:rsidRPr="0004638E">
        <w:rPr>
          <w:rFonts w:ascii="Times New Roman" w:hAnsi="Times New Roman" w:cs="Times New Roman"/>
          <w:b/>
        </w:rPr>
        <w:t>Reštrukturalizácia priemyselných odvetví</w:t>
      </w:r>
    </w:p>
    <w:p w:rsidR="00CB350B" w:rsidRPr="0004638E" w:rsidP="00CB350B">
      <w:pPr>
        <w:bidi w:val="0"/>
        <w:jc w:val="both"/>
        <w:rPr>
          <w:rFonts w:ascii="Times New Roman" w:hAnsi="Times New Roman" w:cs="Times New Roman"/>
          <w:b/>
        </w:rPr>
      </w:pPr>
    </w:p>
    <w:tbl>
      <w:tblPr>
        <w:tblStyle w:val="TableNormal"/>
        <w:tblW w:w="9152" w:type="dxa"/>
        <w:tblInd w:w="60" w:type="dxa"/>
        <w:tblCellMar>
          <w:left w:w="70" w:type="dxa"/>
          <w:right w:w="70" w:type="dxa"/>
        </w:tblCellMar>
        <w:tblLook w:val="04A0"/>
      </w:tblPr>
      <w:tblGrid>
        <w:gridCol w:w="2301"/>
        <w:gridCol w:w="978"/>
        <w:gridCol w:w="978"/>
        <w:gridCol w:w="979"/>
        <w:gridCol w:w="979"/>
        <w:gridCol w:w="979"/>
        <w:gridCol w:w="979"/>
        <w:gridCol w:w="979"/>
      </w:tblGrid>
      <w:tr>
        <w:tblPrEx>
          <w:tblW w:w="9152" w:type="dxa"/>
          <w:tblInd w:w="60" w:type="dxa"/>
          <w:tblCellMar>
            <w:left w:w="70" w:type="dxa"/>
            <w:right w:w="70" w:type="dxa"/>
          </w:tblCellMar>
          <w:tblLook w:val="04A0"/>
        </w:tblPrEx>
        <w:trPr>
          <w:trHeight w:val="255"/>
        </w:trPr>
        <w:tc>
          <w:tcPr>
            <w:tcW w:w="2301"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lang w:eastAsia="sk-SK"/>
              </w:rPr>
              <w:t>v eurách</w:t>
            </w:r>
          </w:p>
        </w:tc>
        <w:tc>
          <w:tcPr>
            <w:tcW w:w="978"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2009 S</w:t>
            </w:r>
          </w:p>
        </w:tc>
        <w:tc>
          <w:tcPr>
            <w:tcW w:w="978"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2010S</w:t>
            </w:r>
          </w:p>
        </w:tc>
        <w:tc>
          <w:tcPr>
            <w:tcW w:w="979"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2011 R</w:t>
            </w:r>
          </w:p>
        </w:tc>
        <w:tc>
          <w:tcPr>
            <w:tcW w:w="979"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2011 OS</w:t>
            </w:r>
          </w:p>
        </w:tc>
        <w:tc>
          <w:tcPr>
            <w:tcW w:w="979"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2012 N</w:t>
            </w:r>
          </w:p>
        </w:tc>
        <w:tc>
          <w:tcPr>
            <w:tcW w:w="979"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2013 N</w:t>
            </w:r>
          </w:p>
        </w:tc>
        <w:tc>
          <w:tcPr>
            <w:tcW w:w="979"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2014 N</w:t>
            </w:r>
          </w:p>
        </w:tc>
      </w:tr>
      <w:tr>
        <w:tblPrEx>
          <w:tblW w:w="9152" w:type="dxa"/>
          <w:tblInd w:w="60" w:type="dxa"/>
          <w:tblCellMar>
            <w:left w:w="70" w:type="dxa"/>
            <w:right w:w="70" w:type="dxa"/>
          </w:tblCellMar>
          <w:tblLook w:val="04A0"/>
        </w:tblPrEx>
        <w:trPr>
          <w:trHeight w:val="250"/>
        </w:trPr>
        <w:tc>
          <w:tcPr>
            <w:tcW w:w="2301"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b/>
                <w:bCs/>
                <w:sz w:val="14"/>
                <w:szCs w:val="14"/>
                <w:lang w:eastAsia="sk-SK"/>
              </w:rPr>
            </w:pPr>
            <w:r w:rsidRPr="009E58F9">
              <w:rPr>
                <w:rFonts w:ascii="Times New Roman" w:hAnsi="Times New Roman" w:cs="Times New Roman"/>
                <w:b/>
                <w:bCs/>
                <w:sz w:val="14"/>
                <w:szCs w:val="14"/>
                <w:lang w:eastAsia="sk-SK"/>
              </w:rPr>
              <w:t>Reštrukt</w:t>
            </w:r>
            <w:r>
              <w:rPr>
                <w:rFonts w:ascii="Times New Roman" w:hAnsi="Times New Roman" w:cs="Times New Roman"/>
                <w:b/>
                <w:bCs/>
                <w:sz w:val="14"/>
                <w:szCs w:val="14"/>
                <w:lang w:eastAsia="sk-SK"/>
              </w:rPr>
              <w:t>ur.</w:t>
            </w:r>
            <w:r w:rsidRPr="009E58F9">
              <w:rPr>
                <w:rFonts w:ascii="Times New Roman" w:hAnsi="Times New Roman" w:cs="Times New Roman"/>
                <w:b/>
                <w:bCs/>
                <w:sz w:val="14"/>
                <w:szCs w:val="14"/>
                <w:lang w:eastAsia="sk-SK"/>
              </w:rPr>
              <w:t xml:space="preserve"> priem</w:t>
            </w:r>
            <w:r>
              <w:rPr>
                <w:rFonts w:ascii="Times New Roman" w:hAnsi="Times New Roman" w:cs="Times New Roman"/>
                <w:b/>
                <w:bCs/>
                <w:sz w:val="14"/>
                <w:szCs w:val="14"/>
                <w:lang w:eastAsia="sk-SK"/>
              </w:rPr>
              <w:t>yselných</w:t>
            </w:r>
            <w:r w:rsidRPr="009E58F9">
              <w:rPr>
                <w:rFonts w:ascii="Times New Roman" w:hAnsi="Times New Roman" w:cs="Times New Roman"/>
                <w:b/>
                <w:bCs/>
                <w:sz w:val="14"/>
                <w:szCs w:val="14"/>
                <w:lang w:eastAsia="sk-SK"/>
              </w:rPr>
              <w:t xml:space="preserve"> odvetví</w:t>
            </w:r>
          </w:p>
        </w:tc>
        <w:tc>
          <w:tcPr>
            <w:tcW w:w="978"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lang w:eastAsia="sk-SK"/>
              </w:rPr>
            </w:pPr>
            <w:r w:rsidRPr="009E58F9">
              <w:rPr>
                <w:rFonts w:ascii="Times New Roman" w:hAnsi="Times New Roman" w:cs="Times New Roman"/>
                <w:b/>
                <w:bCs/>
                <w:sz w:val="14"/>
                <w:szCs w:val="14"/>
                <w:lang w:eastAsia="sk-SK"/>
              </w:rPr>
              <w:t>77 367 911</w:t>
            </w:r>
          </w:p>
        </w:tc>
        <w:tc>
          <w:tcPr>
            <w:tcW w:w="978"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lang w:eastAsia="sk-SK"/>
              </w:rPr>
            </w:pPr>
            <w:r w:rsidRPr="009E58F9">
              <w:rPr>
                <w:rFonts w:ascii="Times New Roman" w:hAnsi="Times New Roman" w:cs="Times New Roman"/>
                <w:b/>
                <w:bCs/>
                <w:sz w:val="14"/>
                <w:szCs w:val="14"/>
                <w:lang w:eastAsia="sk-SK"/>
              </w:rPr>
              <w:t>10 813 292</w:t>
            </w:r>
          </w:p>
        </w:tc>
        <w:tc>
          <w:tcPr>
            <w:tcW w:w="979"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lang w:eastAsia="sk-SK"/>
              </w:rPr>
            </w:pPr>
            <w:r w:rsidRPr="009E58F9">
              <w:rPr>
                <w:rFonts w:ascii="Times New Roman" w:hAnsi="Times New Roman" w:cs="Times New Roman"/>
                <w:b/>
                <w:bCs/>
                <w:sz w:val="14"/>
                <w:szCs w:val="14"/>
                <w:lang w:eastAsia="sk-SK"/>
              </w:rPr>
              <w:t>2 974 696</w:t>
            </w:r>
          </w:p>
        </w:tc>
        <w:tc>
          <w:tcPr>
            <w:tcW w:w="979"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lang w:eastAsia="sk-SK"/>
              </w:rPr>
            </w:pPr>
            <w:r w:rsidRPr="009E58F9">
              <w:rPr>
                <w:rFonts w:ascii="Times New Roman" w:hAnsi="Times New Roman" w:cs="Times New Roman"/>
                <w:b/>
                <w:bCs/>
                <w:sz w:val="14"/>
                <w:szCs w:val="14"/>
                <w:lang w:eastAsia="sk-SK"/>
              </w:rPr>
              <w:t>7 286 626</w:t>
            </w:r>
          </w:p>
        </w:tc>
        <w:tc>
          <w:tcPr>
            <w:tcW w:w="979"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lang w:eastAsia="sk-SK"/>
              </w:rPr>
            </w:pPr>
            <w:r w:rsidRPr="009E58F9">
              <w:rPr>
                <w:rFonts w:ascii="Times New Roman" w:hAnsi="Times New Roman" w:cs="Times New Roman"/>
                <w:b/>
                <w:bCs/>
                <w:sz w:val="14"/>
                <w:szCs w:val="14"/>
                <w:lang w:eastAsia="sk-SK"/>
              </w:rPr>
              <w:t>2 915 039</w:t>
            </w:r>
          </w:p>
        </w:tc>
        <w:tc>
          <w:tcPr>
            <w:tcW w:w="979"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lang w:eastAsia="sk-SK"/>
              </w:rPr>
            </w:pPr>
            <w:r w:rsidRPr="009E58F9">
              <w:rPr>
                <w:rFonts w:ascii="Times New Roman" w:hAnsi="Times New Roman" w:cs="Times New Roman"/>
                <w:b/>
                <w:bCs/>
                <w:sz w:val="14"/>
                <w:szCs w:val="14"/>
                <w:lang w:eastAsia="sk-SK"/>
              </w:rPr>
              <w:t>2 913 100</w:t>
            </w:r>
          </w:p>
        </w:tc>
        <w:tc>
          <w:tcPr>
            <w:tcW w:w="979"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lang w:eastAsia="sk-SK"/>
              </w:rPr>
            </w:pPr>
            <w:r w:rsidRPr="009E58F9">
              <w:rPr>
                <w:rFonts w:ascii="Times New Roman" w:hAnsi="Times New Roman" w:cs="Times New Roman"/>
                <w:b/>
                <w:bCs/>
                <w:sz w:val="14"/>
                <w:szCs w:val="14"/>
                <w:lang w:eastAsia="sk-SK"/>
              </w:rPr>
              <w:t>3 083 100</w:t>
            </w:r>
          </w:p>
        </w:tc>
      </w:tr>
      <w:tr>
        <w:tblPrEx>
          <w:tblW w:w="9152" w:type="dxa"/>
          <w:tblInd w:w="60" w:type="dxa"/>
          <w:tblCellMar>
            <w:left w:w="70" w:type="dxa"/>
            <w:right w:w="70" w:type="dxa"/>
          </w:tblCellMar>
          <w:tblLook w:val="04A0"/>
        </w:tblPrEx>
        <w:trPr>
          <w:trHeight w:val="255"/>
        </w:trPr>
        <w:tc>
          <w:tcPr>
            <w:tcW w:w="2301"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sz w:val="14"/>
                <w:szCs w:val="14"/>
                <w:lang w:eastAsia="sk-SK"/>
              </w:rPr>
            </w:pPr>
            <w:r w:rsidRPr="009E58F9">
              <w:rPr>
                <w:rFonts w:ascii="Times New Roman" w:hAnsi="Times New Roman" w:cs="Times New Roman"/>
                <w:sz w:val="14"/>
                <w:szCs w:val="14"/>
                <w:lang w:eastAsia="sk-SK"/>
              </w:rPr>
              <w:t>Uhoľné baníctvo ŠR</w:t>
            </w:r>
          </w:p>
        </w:tc>
        <w:tc>
          <w:tcPr>
            <w:tcW w:w="97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7 107 208</w:t>
            </w:r>
          </w:p>
        </w:tc>
        <w:tc>
          <w:tcPr>
            <w:tcW w:w="978" w:type="dxa"/>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5 340 868</w:t>
            </w:r>
          </w:p>
        </w:tc>
        <w:tc>
          <w:tcPr>
            <w:tcW w:w="979" w:type="dxa"/>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465 000</w:t>
            </w:r>
          </w:p>
        </w:tc>
        <w:tc>
          <w:tcPr>
            <w:tcW w:w="979" w:type="dxa"/>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465 000</w:t>
            </w:r>
          </w:p>
        </w:tc>
        <w:tc>
          <w:tcPr>
            <w:tcW w:w="979" w:type="dxa"/>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472 100</w:t>
            </w:r>
          </w:p>
        </w:tc>
        <w:tc>
          <w:tcPr>
            <w:tcW w:w="979" w:type="dxa"/>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457 100</w:t>
            </w:r>
          </w:p>
        </w:tc>
        <w:tc>
          <w:tcPr>
            <w:tcW w:w="979" w:type="dxa"/>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620 100</w:t>
            </w:r>
          </w:p>
        </w:tc>
      </w:tr>
      <w:tr>
        <w:tblPrEx>
          <w:tblW w:w="9152" w:type="dxa"/>
          <w:tblInd w:w="60" w:type="dxa"/>
          <w:tblCellMar>
            <w:left w:w="70" w:type="dxa"/>
            <w:right w:w="70" w:type="dxa"/>
          </w:tblCellMar>
          <w:tblLook w:val="04A0"/>
        </w:tblPrEx>
        <w:trPr>
          <w:trHeight w:val="255"/>
        </w:trPr>
        <w:tc>
          <w:tcPr>
            <w:tcW w:w="2301"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sz w:val="14"/>
                <w:szCs w:val="14"/>
                <w:lang w:eastAsia="sk-SK"/>
              </w:rPr>
            </w:pPr>
            <w:r w:rsidRPr="009E58F9">
              <w:rPr>
                <w:rFonts w:ascii="Times New Roman" w:hAnsi="Times New Roman" w:cs="Times New Roman"/>
                <w:sz w:val="14"/>
                <w:szCs w:val="14"/>
                <w:lang w:eastAsia="sk-SK"/>
              </w:rPr>
              <w:t xml:space="preserve">Rudné baníctvo ŠR </w:t>
            </w:r>
          </w:p>
        </w:tc>
        <w:tc>
          <w:tcPr>
            <w:tcW w:w="97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3 603 262</w:t>
            </w:r>
          </w:p>
        </w:tc>
        <w:tc>
          <w:tcPr>
            <w:tcW w:w="97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1 927 757</w:t>
            </w:r>
          </w:p>
        </w:tc>
        <w:tc>
          <w:tcPr>
            <w:tcW w:w="979" w:type="dxa"/>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2 177 757</w:t>
            </w:r>
          </w:p>
        </w:tc>
        <w:tc>
          <w:tcPr>
            <w:tcW w:w="979" w:type="dxa"/>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2 177 757</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2 011 000</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2 011 000</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2 011 000</w:t>
            </w:r>
          </w:p>
        </w:tc>
      </w:tr>
      <w:tr>
        <w:tblPrEx>
          <w:tblW w:w="9152" w:type="dxa"/>
          <w:tblInd w:w="60" w:type="dxa"/>
          <w:tblCellMar>
            <w:left w:w="70" w:type="dxa"/>
            <w:right w:w="70" w:type="dxa"/>
          </w:tblCellMar>
          <w:tblLook w:val="04A0"/>
        </w:tblPrEx>
        <w:trPr>
          <w:trHeight w:val="255"/>
        </w:trPr>
        <w:tc>
          <w:tcPr>
            <w:tcW w:w="2301"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sz w:val="14"/>
                <w:szCs w:val="14"/>
                <w:lang w:eastAsia="sk-SK"/>
              </w:rPr>
            </w:pPr>
            <w:r w:rsidRPr="009E58F9">
              <w:rPr>
                <w:rFonts w:ascii="Times New Roman" w:hAnsi="Times New Roman" w:cs="Times New Roman"/>
                <w:sz w:val="14"/>
                <w:szCs w:val="14"/>
                <w:lang w:eastAsia="sk-SK"/>
              </w:rPr>
              <w:t>Podpora predaja motor. vozid.</w:t>
            </w:r>
          </w:p>
        </w:tc>
        <w:tc>
          <w:tcPr>
            <w:tcW w:w="97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48 729 000</w:t>
            </w:r>
          </w:p>
        </w:tc>
        <w:tc>
          <w:tcPr>
            <w:tcW w:w="978"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1 512 000</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0</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0</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0</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0</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0</w:t>
            </w:r>
          </w:p>
        </w:tc>
      </w:tr>
      <w:tr>
        <w:tblPrEx>
          <w:tblW w:w="9152" w:type="dxa"/>
          <w:tblInd w:w="60" w:type="dxa"/>
          <w:tblCellMar>
            <w:left w:w="70" w:type="dxa"/>
            <w:right w:w="70" w:type="dxa"/>
          </w:tblCellMar>
          <w:tblLook w:val="04A0"/>
        </w:tblPrEx>
        <w:trPr>
          <w:trHeight w:val="255"/>
        </w:trPr>
        <w:tc>
          <w:tcPr>
            <w:tcW w:w="2301"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sz w:val="14"/>
                <w:szCs w:val="14"/>
                <w:lang w:eastAsia="sk-SK"/>
              </w:rPr>
            </w:pPr>
            <w:r w:rsidRPr="009E58F9">
              <w:rPr>
                <w:rFonts w:ascii="Times New Roman" w:hAnsi="Times New Roman" w:cs="Times New Roman"/>
                <w:sz w:val="14"/>
                <w:szCs w:val="14"/>
                <w:lang w:eastAsia="sk-SK"/>
              </w:rPr>
              <w:t xml:space="preserve">Program využitia biomasy </w:t>
            </w:r>
          </w:p>
        </w:tc>
        <w:tc>
          <w:tcPr>
            <w:tcW w:w="97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499 541</w:t>
            </w:r>
          </w:p>
        </w:tc>
        <w:tc>
          <w:tcPr>
            <w:tcW w:w="978"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1 858 070</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0</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4 311 930</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0</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0</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0</w:t>
            </w:r>
          </w:p>
        </w:tc>
      </w:tr>
      <w:tr>
        <w:tblPrEx>
          <w:tblW w:w="9152" w:type="dxa"/>
          <w:tblInd w:w="60" w:type="dxa"/>
          <w:tblCellMar>
            <w:left w:w="70" w:type="dxa"/>
            <w:right w:w="70" w:type="dxa"/>
          </w:tblCellMar>
          <w:tblLook w:val="04A0"/>
        </w:tblPrEx>
        <w:trPr>
          <w:trHeight w:val="255"/>
        </w:trPr>
        <w:tc>
          <w:tcPr>
            <w:tcW w:w="2301"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sz w:val="14"/>
                <w:szCs w:val="14"/>
                <w:lang w:eastAsia="sk-SK"/>
              </w:rPr>
            </w:pPr>
            <w:r w:rsidRPr="009E58F9">
              <w:rPr>
                <w:rFonts w:ascii="Times New Roman" w:hAnsi="Times New Roman" w:cs="Times New Roman"/>
                <w:sz w:val="14"/>
                <w:szCs w:val="14"/>
                <w:lang w:eastAsia="sk-SK"/>
              </w:rPr>
              <w:t>Transfer do NF</w:t>
            </w:r>
          </w:p>
        </w:tc>
        <w:tc>
          <w:tcPr>
            <w:tcW w:w="97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219 111</w:t>
            </w:r>
          </w:p>
        </w:tc>
        <w:tc>
          <w:tcPr>
            <w:tcW w:w="978"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98 711</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331 939</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331 939</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331 939</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345 000</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352 000</w:t>
            </w:r>
          </w:p>
        </w:tc>
      </w:tr>
      <w:tr>
        <w:tblPrEx>
          <w:tblW w:w="9152" w:type="dxa"/>
          <w:tblInd w:w="60" w:type="dxa"/>
          <w:tblCellMar>
            <w:left w:w="70" w:type="dxa"/>
            <w:right w:w="70" w:type="dxa"/>
          </w:tblCellMar>
          <w:tblLook w:val="04A0"/>
        </w:tblPrEx>
        <w:trPr>
          <w:trHeight w:val="255"/>
        </w:trPr>
        <w:tc>
          <w:tcPr>
            <w:tcW w:w="2301"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sz w:val="14"/>
                <w:szCs w:val="14"/>
                <w:lang w:eastAsia="sk-SK"/>
              </w:rPr>
            </w:pPr>
            <w:r w:rsidRPr="009E58F9">
              <w:rPr>
                <w:rFonts w:ascii="Times New Roman" w:hAnsi="Times New Roman" w:cs="Times New Roman"/>
                <w:sz w:val="14"/>
                <w:szCs w:val="14"/>
                <w:lang w:eastAsia="sk-SK"/>
              </w:rPr>
              <w:t>Staré banské diela</w:t>
            </w:r>
          </w:p>
        </w:tc>
        <w:tc>
          <w:tcPr>
            <w:tcW w:w="97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0</w:t>
            </w:r>
          </w:p>
        </w:tc>
        <w:tc>
          <w:tcPr>
            <w:tcW w:w="978"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0</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0</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0</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100 000</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100 000</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100 000</w:t>
            </w:r>
          </w:p>
        </w:tc>
      </w:tr>
      <w:tr>
        <w:tblPrEx>
          <w:tblW w:w="9152" w:type="dxa"/>
          <w:tblInd w:w="60" w:type="dxa"/>
          <w:tblCellMar>
            <w:left w:w="70" w:type="dxa"/>
            <w:right w:w="70" w:type="dxa"/>
          </w:tblCellMar>
          <w:tblLook w:val="04A0"/>
        </w:tblPrEx>
        <w:trPr>
          <w:trHeight w:val="255"/>
        </w:trPr>
        <w:tc>
          <w:tcPr>
            <w:tcW w:w="2301"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sz w:val="14"/>
                <w:szCs w:val="14"/>
                <w:lang w:eastAsia="sk-SK"/>
              </w:rPr>
            </w:pPr>
            <w:r w:rsidRPr="009E58F9">
              <w:rPr>
                <w:rFonts w:ascii="Times New Roman" w:hAnsi="Times New Roman" w:cs="Times New Roman"/>
                <w:sz w:val="14"/>
                <w:szCs w:val="14"/>
                <w:lang w:eastAsia="sk-SK"/>
              </w:rPr>
              <w:t>Výdavky EÚ a spolufin.</w:t>
            </w:r>
          </w:p>
        </w:tc>
        <w:tc>
          <w:tcPr>
            <w:tcW w:w="97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17 209 789</w:t>
            </w:r>
          </w:p>
        </w:tc>
        <w:tc>
          <w:tcPr>
            <w:tcW w:w="97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75 886</w:t>
            </w:r>
          </w:p>
        </w:tc>
        <w:tc>
          <w:tcPr>
            <w:tcW w:w="979"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0</w:t>
            </w:r>
          </w:p>
        </w:tc>
        <w:tc>
          <w:tcPr>
            <w:tcW w:w="979"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0</w:t>
            </w:r>
          </w:p>
        </w:tc>
        <w:tc>
          <w:tcPr>
            <w:tcW w:w="979"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0</w:t>
            </w:r>
          </w:p>
        </w:tc>
        <w:tc>
          <w:tcPr>
            <w:tcW w:w="979"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0</w:t>
            </w:r>
          </w:p>
        </w:tc>
        <w:tc>
          <w:tcPr>
            <w:tcW w:w="979"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lang w:eastAsia="sk-SK"/>
              </w:rPr>
            </w:pPr>
            <w:r w:rsidRPr="009E58F9">
              <w:rPr>
                <w:rFonts w:ascii="Times New Roman" w:hAnsi="Times New Roman" w:cs="Times New Roman"/>
                <w:sz w:val="14"/>
                <w:szCs w:val="14"/>
                <w:lang w:eastAsia="sk-SK"/>
              </w:rPr>
              <w:t>0</w:t>
            </w:r>
          </w:p>
        </w:tc>
      </w:tr>
    </w:tbl>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 xml:space="preserve">Celkové výdavky v tejto oblasti predstavujú na rok 2012 sumu 2,92 mil. eur, v porovnaní so schváleným rozpočtom na rok 2011 klesajú o 2,01 %.Výdavky sú smerované do oblasti uhoľného baníctva na deputátne uhlie pre dôchodcov a vdovy po baníkoch (na rok 2012 v sume 392 tis. eur) a na útlm v bani Dolina a.s. Veľký Krtíš (na rok 2012 v sume 80 tis. eur). </w:t>
      </w:r>
    </w:p>
    <w:p w:rsidR="00CB350B" w:rsidRPr="0004638E" w:rsidP="00CB350B">
      <w:pPr>
        <w:bidi w:val="0"/>
        <w:ind w:firstLine="708"/>
        <w:jc w:val="both"/>
        <w:rPr>
          <w:rFonts w:ascii="Times New Roman" w:hAnsi="Times New Roman" w:cs="Times New Roman"/>
        </w:rPr>
      </w:pPr>
    </w:p>
    <w:p w:rsidR="00CB350B" w:rsidRPr="0004638E" w:rsidP="00CB350B">
      <w:pPr>
        <w:bidi w:val="0"/>
        <w:ind w:firstLine="708"/>
        <w:jc w:val="both"/>
        <w:rPr>
          <w:rFonts w:ascii="Times New Roman" w:hAnsi="Times New Roman" w:cs="Times New Roman"/>
          <w:color w:val="000000"/>
        </w:rPr>
      </w:pPr>
      <w:r w:rsidRPr="0004638E">
        <w:rPr>
          <w:rFonts w:ascii="Times New Roman" w:hAnsi="Times New Roman" w:cs="Times New Roman"/>
        </w:rPr>
        <w:t xml:space="preserve">V oblasti rudného baníctva sú výdavky určené na technické práce na útlm </w:t>
        <w:br/>
        <w:t>(na rok 2012 v sume 1,16 mil. eur) a na zákonné sociálne náklady (na rok 2012 v sume 850 tis. eur).</w:t>
      </w:r>
      <w:r>
        <w:rPr>
          <w:rFonts w:ascii="Times New Roman" w:hAnsi="Times New Roman" w:cs="Times New Roman"/>
          <w:color w:val="000000"/>
        </w:rPr>
        <w:t xml:space="preserve"> </w:t>
      </w:r>
      <w:r w:rsidRPr="0004638E">
        <w:rPr>
          <w:rFonts w:ascii="Times New Roman" w:hAnsi="Times New Roman" w:cs="Times New Roman"/>
          <w:color w:val="000000"/>
        </w:rPr>
        <w:t xml:space="preserve">Na zabezpečovanie alebo likvidáciu starých banských diel a ich následkov, ktoré ohrozujú verejný záujem je určená suma 100 tis. eur. </w:t>
      </w:r>
    </w:p>
    <w:p w:rsidR="00CB350B" w:rsidRPr="0004638E" w:rsidP="00CB350B">
      <w:pPr>
        <w:bidi w:val="0"/>
        <w:ind w:firstLine="708"/>
        <w:jc w:val="both"/>
        <w:rPr>
          <w:rFonts w:ascii="Times New Roman" w:hAnsi="Times New Roman" w:cs="Times New Roman"/>
          <w:color w:val="000000"/>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color w:val="000000"/>
        </w:rPr>
        <w:t xml:space="preserve">Dotácia pre Národný jadrový fond na vyraďovanie jadrových zariadení a na nakladanie s vyhoretým jadrovým palivom a rádioaktívnymi odpadmi  (ďalej len „NJF“), určená  v zmysle zákona NR </w:t>
      </w:r>
      <w:r>
        <w:rPr>
          <w:rFonts w:ascii="Times New Roman" w:hAnsi="Times New Roman" w:cs="Times New Roman"/>
          <w:color w:val="000000"/>
        </w:rPr>
        <w:t xml:space="preserve">SR </w:t>
      </w:r>
      <w:r w:rsidRPr="0004638E">
        <w:rPr>
          <w:rFonts w:ascii="Times New Roman" w:hAnsi="Times New Roman" w:cs="Times New Roman"/>
          <w:color w:val="000000"/>
        </w:rPr>
        <w:t xml:space="preserve">č. 238/2006 Z. z. o NJF na úhradu nákladov vynaložených na nakladanie s jadrovým materiálom alebo rádioaktívnymi odpadmi, ktorých pôvodca nie je známy, je na rok 2012 rozpočtovaná v sume 332 tis. </w:t>
      </w:r>
      <w:r>
        <w:rPr>
          <w:rFonts w:ascii="Times New Roman" w:hAnsi="Times New Roman" w:cs="Times New Roman"/>
          <w:color w:val="000000"/>
        </w:rPr>
        <w:t>eur</w:t>
      </w:r>
      <w:r w:rsidRPr="0004638E">
        <w:rPr>
          <w:rFonts w:ascii="Times New Roman" w:hAnsi="Times New Roman" w:cs="Times New Roman"/>
          <w:color w:val="000000"/>
        </w:rPr>
        <w:t>.</w:t>
      </w:r>
    </w:p>
    <w:p w:rsidR="00CB350B" w:rsidP="00CB350B">
      <w:pPr>
        <w:bidi w:val="0"/>
        <w:jc w:val="both"/>
        <w:rPr>
          <w:rFonts w:ascii="Times New Roman" w:hAnsi="Times New Roman" w:cs="Times New Roman"/>
          <w:b/>
        </w:rPr>
      </w:pPr>
    </w:p>
    <w:p w:rsidR="00CB350B" w:rsidRPr="0004638E" w:rsidP="00CB350B">
      <w:pPr>
        <w:bidi w:val="0"/>
        <w:jc w:val="both"/>
        <w:rPr>
          <w:rFonts w:ascii="Times New Roman" w:hAnsi="Times New Roman" w:cs="Times New Roman"/>
          <w:b/>
        </w:rPr>
      </w:pPr>
      <w:r w:rsidRPr="0004638E">
        <w:rPr>
          <w:rFonts w:ascii="Times New Roman" w:hAnsi="Times New Roman" w:cs="Times New Roman"/>
          <w:b/>
        </w:rPr>
        <w:t>Podpora podnikania</w:t>
      </w:r>
    </w:p>
    <w:p w:rsidR="00CB350B" w:rsidRPr="0004638E" w:rsidP="00CB350B">
      <w:pPr>
        <w:bidi w:val="0"/>
        <w:jc w:val="both"/>
        <w:rPr>
          <w:rFonts w:ascii="Times New Roman" w:hAnsi="Times New Roman" w:cs="Times New Roman"/>
          <w:b/>
        </w:rPr>
      </w:pPr>
    </w:p>
    <w:tbl>
      <w:tblPr>
        <w:tblStyle w:val="TableNormal"/>
        <w:tblW w:w="9152" w:type="dxa"/>
        <w:tblInd w:w="60" w:type="dxa"/>
        <w:tblCellMar>
          <w:left w:w="70" w:type="dxa"/>
          <w:right w:w="70" w:type="dxa"/>
        </w:tblCellMar>
        <w:tblLook w:val="04A0"/>
      </w:tblPr>
      <w:tblGrid>
        <w:gridCol w:w="2301"/>
        <w:gridCol w:w="978"/>
        <w:gridCol w:w="978"/>
        <w:gridCol w:w="979"/>
        <w:gridCol w:w="979"/>
        <w:gridCol w:w="979"/>
        <w:gridCol w:w="979"/>
        <w:gridCol w:w="979"/>
      </w:tblGrid>
      <w:tr>
        <w:tblPrEx>
          <w:tblW w:w="9152" w:type="dxa"/>
          <w:tblInd w:w="60" w:type="dxa"/>
          <w:tblCellMar>
            <w:left w:w="70" w:type="dxa"/>
            <w:right w:w="70" w:type="dxa"/>
          </w:tblCellMar>
          <w:tblLook w:val="04A0"/>
        </w:tblPrEx>
        <w:trPr>
          <w:trHeight w:val="255"/>
        </w:trPr>
        <w:tc>
          <w:tcPr>
            <w:tcW w:w="2301"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 </w:t>
            </w:r>
            <w:r w:rsidRPr="009E58F9">
              <w:rPr>
                <w:rFonts w:ascii="Times New Roman" w:hAnsi="Times New Roman" w:cs="Times New Roman"/>
                <w:color w:val="000000"/>
                <w:sz w:val="14"/>
                <w:szCs w:val="14"/>
                <w:lang w:eastAsia="sk-SK"/>
              </w:rPr>
              <w:t> </w:t>
            </w:r>
            <w:r w:rsidRPr="009E58F9">
              <w:rPr>
                <w:rFonts w:ascii="Times New Roman" w:hAnsi="Times New Roman" w:cs="Times New Roman"/>
                <w:b/>
                <w:bCs/>
                <w:color w:val="000000"/>
                <w:sz w:val="14"/>
                <w:szCs w:val="14"/>
                <w:lang w:eastAsia="sk-SK"/>
              </w:rPr>
              <w:t>v eurách</w:t>
            </w:r>
          </w:p>
        </w:tc>
        <w:tc>
          <w:tcPr>
            <w:tcW w:w="978"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2009 S</w:t>
            </w:r>
          </w:p>
        </w:tc>
        <w:tc>
          <w:tcPr>
            <w:tcW w:w="978"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2010S</w:t>
            </w:r>
          </w:p>
        </w:tc>
        <w:tc>
          <w:tcPr>
            <w:tcW w:w="979"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2011 R</w:t>
            </w:r>
          </w:p>
        </w:tc>
        <w:tc>
          <w:tcPr>
            <w:tcW w:w="979"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2011 OS</w:t>
            </w:r>
          </w:p>
        </w:tc>
        <w:tc>
          <w:tcPr>
            <w:tcW w:w="979"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2012 N</w:t>
            </w:r>
          </w:p>
        </w:tc>
        <w:tc>
          <w:tcPr>
            <w:tcW w:w="979"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2013 N</w:t>
            </w:r>
          </w:p>
        </w:tc>
        <w:tc>
          <w:tcPr>
            <w:tcW w:w="979"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2014 N</w:t>
            </w:r>
          </w:p>
        </w:tc>
      </w:tr>
      <w:tr>
        <w:tblPrEx>
          <w:tblW w:w="9152" w:type="dxa"/>
          <w:tblInd w:w="60" w:type="dxa"/>
          <w:tblCellMar>
            <w:left w:w="70" w:type="dxa"/>
            <w:right w:w="70" w:type="dxa"/>
          </w:tblCellMar>
          <w:tblLook w:val="04A0"/>
        </w:tblPrEx>
        <w:trPr>
          <w:trHeight w:val="255"/>
        </w:trPr>
        <w:tc>
          <w:tcPr>
            <w:tcW w:w="2301"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b/>
                <w:bCs/>
                <w:sz w:val="14"/>
                <w:szCs w:val="14"/>
              </w:rPr>
            </w:pPr>
            <w:r w:rsidRPr="009E58F9">
              <w:rPr>
                <w:rFonts w:ascii="Times New Roman" w:hAnsi="Times New Roman" w:cs="Times New Roman"/>
                <w:b/>
                <w:bCs/>
                <w:sz w:val="14"/>
                <w:szCs w:val="14"/>
              </w:rPr>
              <w:t>Podpora podnikania</w:t>
            </w:r>
          </w:p>
        </w:tc>
        <w:tc>
          <w:tcPr>
            <w:tcW w:w="978"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16 083 659</w:t>
            </w:r>
          </w:p>
        </w:tc>
        <w:tc>
          <w:tcPr>
            <w:tcW w:w="978"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15 000 553</w:t>
            </w:r>
          </w:p>
        </w:tc>
        <w:tc>
          <w:tcPr>
            <w:tcW w:w="979"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39 333 620</w:t>
            </w:r>
          </w:p>
        </w:tc>
        <w:tc>
          <w:tcPr>
            <w:tcW w:w="979"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27 825 141</w:t>
            </w:r>
          </w:p>
        </w:tc>
        <w:tc>
          <w:tcPr>
            <w:tcW w:w="979"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Pr>
                <w:rFonts w:ascii="Times New Roman" w:hAnsi="Times New Roman" w:cs="Times New Roman"/>
                <w:b/>
                <w:bCs/>
                <w:sz w:val="14"/>
                <w:szCs w:val="14"/>
              </w:rPr>
              <w:t>20 252 446</w:t>
            </w:r>
          </w:p>
        </w:tc>
        <w:tc>
          <w:tcPr>
            <w:tcW w:w="979"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16 430 501</w:t>
            </w:r>
          </w:p>
        </w:tc>
        <w:tc>
          <w:tcPr>
            <w:tcW w:w="979"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15 576 708</w:t>
            </w:r>
          </w:p>
        </w:tc>
      </w:tr>
      <w:tr>
        <w:tblPrEx>
          <w:tblW w:w="9152" w:type="dxa"/>
          <w:tblInd w:w="60" w:type="dxa"/>
          <w:tblCellMar>
            <w:left w:w="70" w:type="dxa"/>
            <w:right w:w="70" w:type="dxa"/>
          </w:tblCellMar>
          <w:tblLook w:val="04A0"/>
        </w:tblPrEx>
        <w:trPr>
          <w:trHeight w:val="255"/>
        </w:trPr>
        <w:tc>
          <w:tcPr>
            <w:tcW w:w="2301"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Administrácia NARMSP</w:t>
            </w:r>
          </w:p>
        </w:tc>
        <w:tc>
          <w:tcPr>
            <w:tcW w:w="97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1 327 756</w:t>
            </w:r>
          </w:p>
        </w:tc>
        <w:tc>
          <w:tcPr>
            <w:tcW w:w="978"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882 764</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869 764</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869 764</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725 619</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861 764</w:t>
            </w:r>
          </w:p>
        </w:tc>
        <w:tc>
          <w:tcPr>
            <w:tcW w:w="979" w:type="dxa"/>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861 764</w:t>
            </w:r>
          </w:p>
        </w:tc>
      </w:tr>
      <w:tr>
        <w:tblPrEx>
          <w:tblW w:w="9152" w:type="dxa"/>
          <w:tblInd w:w="60" w:type="dxa"/>
          <w:tblCellMar>
            <w:left w:w="70" w:type="dxa"/>
            <w:right w:w="70" w:type="dxa"/>
          </w:tblCellMar>
          <w:tblLook w:val="04A0"/>
        </w:tblPrEx>
        <w:trPr>
          <w:trHeight w:val="255"/>
        </w:trPr>
        <w:tc>
          <w:tcPr>
            <w:tcW w:w="2301"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Podporné programy MSP</w:t>
            </w:r>
          </w:p>
        </w:tc>
        <w:tc>
          <w:tcPr>
            <w:tcW w:w="97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1 585 818</w:t>
            </w:r>
          </w:p>
        </w:tc>
        <w:tc>
          <w:tcPr>
            <w:tcW w:w="97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1 322 466</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682 466</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682 466</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300 000</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r>
      <w:tr>
        <w:tblPrEx>
          <w:tblW w:w="9152" w:type="dxa"/>
          <w:tblInd w:w="60" w:type="dxa"/>
          <w:tblCellMar>
            <w:left w:w="70" w:type="dxa"/>
            <w:right w:w="70" w:type="dxa"/>
          </w:tblCellMar>
          <w:tblLook w:val="04A0"/>
        </w:tblPrEx>
        <w:trPr>
          <w:trHeight w:val="255"/>
        </w:trPr>
        <w:tc>
          <w:tcPr>
            <w:tcW w:w="2301"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 xml:space="preserve">Program zvyš. produktivity </w:t>
            </w:r>
          </w:p>
        </w:tc>
        <w:tc>
          <w:tcPr>
            <w:tcW w:w="97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106 950</w:t>
            </w:r>
          </w:p>
        </w:tc>
        <w:tc>
          <w:tcPr>
            <w:tcW w:w="978"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198 593</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100 000</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55 000</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r>
      <w:tr>
        <w:tblPrEx>
          <w:tblW w:w="9152" w:type="dxa"/>
          <w:tblInd w:w="60" w:type="dxa"/>
          <w:tblCellMar>
            <w:left w:w="70" w:type="dxa"/>
            <w:right w:w="70" w:type="dxa"/>
          </w:tblCellMar>
          <w:tblLook w:val="04A0"/>
        </w:tblPrEx>
        <w:trPr>
          <w:trHeight w:val="255"/>
        </w:trPr>
        <w:tc>
          <w:tcPr>
            <w:tcW w:w="2301"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 xml:space="preserve">Znižovanie admin. bremena </w:t>
            </w:r>
          </w:p>
        </w:tc>
        <w:tc>
          <w:tcPr>
            <w:tcW w:w="97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2 662 402</w:t>
            </w:r>
          </w:p>
        </w:tc>
        <w:tc>
          <w:tcPr>
            <w:tcW w:w="978"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501 262</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132 776</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1 332 776</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Pr>
                <w:rFonts w:ascii="Times New Roman" w:hAnsi="Times New Roman" w:cs="Times New Roman"/>
                <w:sz w:val="14"/>
                <w:szCs w:val="14"/>
              </w:rPr>
              <w:t>1 832 776</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132 776</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132 776</w:t>
            </w:r>
          </w:p>
        </w:tc>
      </w:tr>
      <w:tr>
        <w:tblPrEx>
          <w:tblW w:w="9152" w:type="dxa"/>
          <w:tblInd w:w="60" w:type="dxa"/>
          <w:tblCellMar>
            <w:left w:w="70" w:type="dxa"/>
            <w:right w:w="70" w:type="dxa"/>
          </w:tblCellMar>
          <w:tblLook w:val="04A0"/>
        </w:tblPrEx>
        <w:trPr>
          <w:trHeight w:val="255"/>
        </w:trPr>
        <w:tc>
          <w:tcPr>
            <w:tcW w:w="2301"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Výdavky EÚ a spolufin.</w:t>
            </w:r>
          </w:p>
        </w:tc>
        <w:tc>
          <w:tcPr>
            <w:tcW w:w="97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10 400 733</w:t>
            </w:r>
          </w:p>
        </w:tc>
        <w:tc>
          <w:tcPr>
            <w:tcW w:w="978"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12 095 468</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37 548 614</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24 885 135</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17 394 051</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15 435 961</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14 582 168</w:t>
            </w:r>
          </w:p>
        </w:tc>
      </w:tr>
    </w:tbl>
    <w:p w:rsidR="00CB350B" w:rsidRPr="0004638E" w:rsidP="00CB350B">
      <w:pPr>
        <w:bidi w:val="0"/>
        <w:jc w:val="both"/>
        <w:rPr>
          <w:rFonts w:ascii="Times New Roman" w:hAnsi="Times New Roman" w:cs="Times New Roman"/>
          <w:color w:val="000000"/>
        </w:rPr>
      </w:pPr>
    </w:p>
    <w:p w:rsidR="00CB350B" w:rsidRPr="0004638E" w:rsidP="00CB350B">
      <w:pPr>
        <w:bidi w:val="0"/>
        <w:ind w:firstLine="708"/>
        <w:jc w:val="both"/>
        <w:rPr>
          <w:rFonts w:ascii="Times New Roman" w:hAnsi="Times New Roman" w:cs="Times New Roman"/>
          <w:color w:val="000000"/>
        </w:rPr>
      </w:pPr>
      <w:r w:rsidRPr="0004638E">
        <w:rPr>
          <w:rFonts w:ascii="Times New Roman" w:hAnsi="Times New Roman" w:cs="Times New Roman"/>
          <w:color w:val="000000"/>
        </w:rPr>
        <w:t xml:space="preserve">V oblasti podpory podnikania sú na rok 2012 rozpočtované výdavky v sume </w:t>
        <w:br/>
      </w:r>
      <w:r w:rsidRPr="00EB00A6">
        <w:rPr>
          <w:rFonts w:ascii="Times New Roman" w:hAnsi="Times New Roman" w:cs="Times New Roman"/>
          <w:color w:val="000000"/>
        </w:rPr>
        <w:t>20,3 mil. eur, v porovnaní so schváleným rozpočtom na rok 2011 klesajú o 48,5 %, a to</w:t>
      </w:r>
      <w:r w:rsidRPr="0004638E">
        <w:rPr>
          <w:rFonts w:ascii="Times New Roman" w:hAnsi="Times New Roman" w:cs="Times New Roman"/>
          <w:color w:val="000000"/>
        </w:rPr>
        <w:t xml:space="preserve"> z dôvodu poklesu výdavkov EÚ a</w:t>
      </w:r>
      <w:r>
        <w:rPr>
          <w:rFonts w:ascii="Times New Roman" w:hAnsi="Times New Roman" w:cs="Times New Roman"/>
          <w:color w:val="000000"/>
        </w:rPr>
        <w:t> </w:t>
      </w:r>
      <w:r w:rsidRPr="0004638E">
        <w:rPr>
          <w:rFonts w:ascii="Times New Roman" w:hAnsi="Times New Roman" w:cs="Times New Roman"/>
          <w:color w:val="000000"/>
        </w:rPr>
        <w:t>spolufinancovania</w:t>
      </w:r>
      <w:r>
        <w:rPr>
          <w:rFonts w:ascii="Times New Roman" w:hAnsi="Times New Roman" w:cs="Times New Roman"/>
          <w:color w:val="000000"/>
        </w:rPr>
        <w:t>.</w:t>
      </w:r>
    </w:p>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color w:val="000000"/>
        </w:rPr>
      </w:pPr>
      <w:r w:rsidRPr="0004638E">
        <w:rPr>
          <w:rFonts w:ascii="Times New Roman" w:hAnsi="Times New Roman" w:cs="Times New Roman"/>
          <w:color w:val="000000"/>
        </w:rPr>
        <w:t xml:space="preserve">V oblasti podpory podnikania sú výdavky smerované na zabezpečenie administrácie Národnej agentúry pre rozvoj malého a stredného podnikania (na rok 2012 v sume  726 tis. eur), aj na podporné programy v oblasti malého a stredného podnikania (na rok 2012 v sume 300 tis. eur). Na akčný plán znižovania administratívneho bremena je na rok 2012 rozpočtovaná </w:t>
      </w:r>
      <w:r w:rsidRPr="00EB00A6">
        <w:rPr>
          <w:rFonts w:ascii="Times New Roman" w:hAnsi="Times New Roman" w:cs="Times New Roman"/>
          <w:color w:val="000000"/>
        </w:rPr>
        <w:t>suma 1,83 mil. eur.</w:t>
      </w:r>
      <w:r w:rsidRPr="0004638E">
        <w:rPr>
          <w:rFonts w:ascii="Times New Roman" w:hAnsi="Times New Roman" w:cs="Times New Roman"/>
          <w:color w:val="000000"/>
        </w:rPr>
        <w:t xml:space="preserve"> </w:t>
      </w:r>
    </w:p>
    <w:p w:rsidR="00CB350B" w:rsidRPr="0004638E" w:rsidP="00CB350B">
      <w:pPr>
        <w:bidi w:val="0"/>
        <w:jc w:val="both"/>
        <w:rPr>
          <w:rFonts w:ascii="Times New Roman" w:hAnsi="Times New Roman" w:cs="Times New Roman"/>
          <w:color w:val="000000"/>
        </w:rPr>
      </w:pPr>
    </w:p>
    <w:p w:rsidR="00CB350B" w:rsidRPr="0004638E" w:rsidP="00CB350B">
      <w:pPr>
        <w:bidi w:val="0"/>
        <w:ind w:firstLine="708"/>
        <w:jc w:val="both"/>
        <w:rPr>
          <w:rFonts w:ascii="Times New Roman" w:hAnsi="Times New Roman" w:cs="Times New Roman"/>
          <w:color w:val="000000"/>
        </w:rPr>
      </w:pPr>
      <w:r w:rsidRPr="0004638E">
        <w:rPr>
          <w:rFonts w:ascii="Times New Roman" w:hAnsi="Times New Roman" w:cs="Times New Roman"/>
          <w:color w:val="000000"/>
        </w:rPr>
        <w:t xml:space="preserve">Výdavky EÚ a spolufinancovania v rámci Podpory spoločných služieb pre podnikateľov – opatrenie 1.2. </w:t>
      </w:r>
      <w:r w:rsidRPr="0004638E">
        <w:rPr>
          <w:rFonts w:ascii="Times New Roman" w:hAnsi="Times New Roman" w:cs="Times New Roman"/>
        </w:rPr>
        <w:t>Operačného programu Konkurencieschopnosť a hospodársky rast</w:t>
      </w:r>
      <w:r w:rsidRPr="0004638E">
        <w:rPr>
          <w:rFonts w:ascii="Times New Roman" w:hAnsi="Times New Roman" w:cs="Times New Roman"/>
          <w:color w:val="000000"/>
        </w:rPr>
        <w:t xml:space="preserve"> (ďalej len „OP KaHR“) na rok 2012 v sume 17,4 mil. eur sú určené najmä na výstavbu a revitalizáciu infraštruktúry hnedých parkov, na budovanie infraštruktúry zelených parkov s veľkým socio-ekonomickým dopadom pre región, rekonštrukciu, výstavbu budov a technologických priestorov vrátane sietí, realizáciu projektu pre ochranu spotrebiteľa ďalšie oprávnené aktivity podporujúce ciele opatrenia.</w:t>
      </w:r>
    </w:p>
    <w:p w:rsidR="00CB350B" w:rsidP="00CB350B">
      <w:pPr>
        <w:bidi w:val="0"/>
        <w:jc w:val="both"/>
        <w:rPr>
          <w:rFonts w:ascii="Times New Roman" w:hAnsi="Times New Roman" w:cs="Times New Roman"/>
          <w:color w:val="000000"/>
        </w:rPr>
      </w:pPr>
    </w:p>
    <w:p w:rsidR="00CB350B" w:rsidP="00CB350B">
      <w:pPr>
        <w:bidi w:val="0"/>
        <w:jc w:val="both"/>
        <w:rPr>
          <w:rFonts w:ascii="Times New Roman" w:hAnsi="Times New Roman" w:cs="Times New Roman"/>
          <w:color w:val="000000"/>
        </w:rPr>
      </w:pPr>
    </w:p>
    <w:p w:rsidR="00CB350B" w:rsidP="00CB350B">
      <w:pPr>
        <w:bidi w:val="0"/>
        <w:jc w:val="both"/>
        <w:rPr>
          <w:rFonts w:ascii="Times New Roman" w:hAnsi="Times New Roman" w:cs="Times New Roman"/>
          <w:color w:val="000000"/>
        </w:rPr>
      </w:pPr>
    </w:p>
    <w:p w:rsidR="0043666E" w:rsidP="00CB350B">
      <w:pPr>
        <w:bidi w:val="0"/>
        <w:jc w:val="both"/>
        <w:rPr>
          <w:rFonts w:ascii="Times New Roman" w:hAnsi="Times New Roman" w:cs="Times New Roman"/>
          <w:color w:val="000000"/>
        </w:rPr>
      </w:pPr>
    </w:p>
    <w:p w:rsidR="00CB350B" w:rsidP="00CB350B">
      <w:pPr>
        <w:bidi w:val="0"/>
        <w:jc w:val="both"/>
        <w:rPr>
          <w:rFonts w:ascii="Times New Roman" w:hAnsi="Times New Roman" w:cs="Times New Roman"/>
          <w:color w:val="000000"/>
        </w:rPr>
      </w:pPr>
    </w:p>
    <w:p w:rsidR="00CB350B" w:rsidP="00CB350B">
      <w:pPr>
        <w:bidi w:val="0"/>
        <w:jc w:val="both"/>
        <w:rPr>
          <w:rFonts w:ascii="Times New Roman" w:hAnsi="Times New Roman" w:cs="Times New Roman"/>
          <w:color w:val="000000"/>
        </w:rPr>
      </w:pPr>
    </w:p>
    <w:p w:rsidR="00CB350B" w:rsidRPr="0004638E" w:rsidP="00CB350B">
      <w:pPr>
        <w:bidi w:val="0"/>
        <w:jc w:val="both"/>
        <w:rPr>
          <w:rFonts w:ascii="Times New Roman" w:hAnsi="Times New Roman" w:cs="Times New Roman"/>
          <w:b/>
        </w:rPr>
      </w:pPr>
      <w:r w:rsidRPr="0004638E">
        <w:rPr>
          <w:rFonts w:ascii="Times New Roman" w:hAnsi="Times New Roman" w:cs="Times New Roman"/>
          <w:b/>
        </w:rPr>
        <w:t xml:space="preserve">Investičné stimuly </w:t>
      </w:r>
    </w:p>
    <w:p w:rsidR="00CB350B" w:rsidRPr="0004638E" w:rsidP="00CB350B">
      <w:pPr>
        <w:bidi w:val="0"/>
        <w:jc w:val="both"/>
        <w:rPr>
          <w:rFonts w:ascii="Times New Roman" w:hAnsi="Times New Roman" w:cs="Times New Roman"/>
          <w:b/>
        </w:rPr>
      </w:pPr>
    </w:p>
    <w:tbl>
      <w:tblPr>
        <w:tblStyle w:val="TableNormal"/>
        <w:tblW w:w="9152" w:type="dxa"/>
        <w:tblInd w:w="60" w:type="dxa"/>
        <w:tblCellMar>
          <w:left w:w="70" w:type="dxa"/>
          <w:right w:w="70" w:type="dxa"/>
        </w:tblCellMar>
        <w:tblLook w:val="04A0"/>
      </w:tblPr>
      <w:tblGrid>
        <w:gridCol w:w="436"/>
        <w:gridCol w:w="2036"/>
        <w:gridCol w:w="956"/>
        <w:gridCol w:w="956"/>
        <w:gridCol w:w="956"/>
        <w:gridCol w:w="1034"/>
        <w:gridCol w:w="956"/>
        <w:gridCol w:w="956"/>
        <w:gridCol w:w="866"/>
      </w:tblGrid>
      <w:tr>
        <w:tblPrEx>
          <w:tblW w:w="9152" w:type="dxa"/>
          <w:tblInd w:w="60" w:type="dxa"/>
          <w:tblCellMar>
            <w:left w:w="70" w:type="dxa"/>
            <w:right w:w="70" w:type="dxa"/>
          </w:tblCellMar>
          <w:tblLook w:val="04A0"/>
        </w:tblPrEx>
        <w:trPr>
          <w:trHeight w:val="255"/>
        </w:trPr>
        <w:tc>
          <w:tcPr>
            <w:tcW w:w="436" w:type="dxa"/>
            <w:tcBorders>
              <w:top w:val="single" w:sz="4" w:space="0" w:color="auto"/>
              <w:left w:val="single" w:sz="4" w:space="0" w:color="auto"/>
              <w:bottom w:val="single" w:sz="4" w:space="0" w:color="auto"/>
              <w:right w:val="single" w:sz="4" w:space="0" w:color="auto"/>
            </w:tcBorders>
            <w:textDirection w:val="lrTb"/>
            <w:vAlign w:val="top"/>
          </w:tcPr>
          <w:p w:rsidR="00CB350B" w:rsidRPr="004A6521" w:rsidP="00257E12">
            <w:pPr>
              <w:bidi w:val="0"/>
              <w:rPr>
                <w:rFonts w:ascii="Times New Roman" w:hAnsi="Times New Roman" w:cs="Times New Roman"/>
                <w:b/>
                <w:bCs/>
                <w:color w:val="000000"/>
                <w:sz w:val="14"/>
                <w:szCs w:val="14"/>
              </w:rPr>
            </w:pPr>
          </w:p>
        </w:tc>
        <w:tc>
          <w:tcPr>
            <w:tcW w:w="2036"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4A6521" w:rsidP="00257E12">
            <w:pPr>
              <w:bidi w:val="0"/>
              <w:rPr>
                <w:rFonts w:ascii="Times New Roman" w:hAnsi="Times New Roman" w:cs="Times New Roman"/>
                <w:b/>
                <w:bCs/>
                <w:color w:val="000000"/>
                <w:sz w:val="14"/>
                <w:szCs w:val="14"/>
              </w:rPr>
            </w:pPr>
            <w:r w:rsidRPr="004A6521">
              <w:rPr>
                <w:rFonts w:ascii="Times New Roman" w:hAnsi="Times New Roman" w:cs="Times New Roman"/>
                <w:b/>
                <w:bCs/>
                <w:color w:val="000000"/>
                <w:sz w:val="14"/>
                <w:szCs w:val="14"/>
              </w:rPr>
              <w:t> </w:t>
            </w:r>
            <w:r w:rsidRPr="004A6521">
              <w:rPr>
                <w:rFonts w:ascii="Times New Roman" w:hAnsi="Times New Roman" w:cs="Times New Roman"/>
                <w:b/>
                <w:color w:val="000000"/>
                <w:sz w:val="14"/>
                <w:szCs w:val="14"/>
                <w:lang w:eastAsia="sk-SK"/>
              </w:rPr>
              <w:t> </w:t>
            </w:r>
            <w:r w:rsidRPr="004A6521">
              <w:rPr>
                <w:rFonts w:ascii="Times New Roman" w:hAnsi="Times New Roman" w:cs="Times New Roman"/>
                <w:b/>
                <w:bCs/>
                <w:color w:val="000000"/>
                <w:sz w:val="14"/>
                <w:szCs w:val="14"/>
                <w:lang w:eastAsia="sk-SK"/>
              </w:rPr>
              <w:t>v eurách</w:t>
            </w:r>
          </w:p>
        </w:tc>
        <w:tc>
          <w:tcPr>
            <w:tcW w:w="956" w:type="dxa"/>
            <w:tcBorders>
              <w:top w:val="single" w:sz="4" w:space="0" w:color="auto"/>
              <w:left w:val="nil"/>
              <w:bottom w:val="single" w:sz="4" w:space="0" w:color="auto"/>
              <w:right w:val="single" w:sz="4" w:space="0" w:color="auto"/>
            </w:tcBorders>
            <w:noWrap/>
            <w:textDirection w:val="lrTb"/>
            <w:vAlign w:val="bottom"/>
            <w:hideMark/>
          </w:tcPr>
          <w:p w:rsidR="00CB350B" w:rsidRPr="004A6521" w:rsidP="00257E12">
            <w:pPr>
              <w:bidi w:val="0"/>
              <w:jc w:val="center"/>
              <w:rPr>
                <w:rFonts w:ascii="Times New Roman" w:hAnsi="Times New Roman" w:cs="Times New Roman"/>
                <w:b/>
                <w:bCs/>
                <w:color w:val="000000"/>
                <w:sz w:val="14"/>
                <w:szCs w:val="14"/>
              </w:rPr>
            </w:pPr>
            <w:r w:rsidRPr="004A6521">
              <w:rPr>
                <w:rFonts w:ascii="Times New Roman" w:hAnsi="Times New Roman" w:cs="Times New Roman"/>
                <w:b/>
                <w:bCs/>
                <w:color w:val="000000"/>
                <w:sz w:val="14"/>
                <w:szCs w:val="14"/>
              </w:rPr>
              <w:t>2009 S</w:t>
            </w:r>
          </w:p>
        </w:tc>
        <w:tc>
          <w:tcPr>
            <w:tcW w:w="956" w:type="dxa"/>
            <w:tcBorders>
              <w:top w:val="single" w:sz="4" w:space="0" w:color="auto"/>
              <w:left w:val="nil"/>
              <w:bottom w:val="single" w:sz="4" w:space="0" w:color="auto"/>
              <w:right w:val="single" w:sz="4" w:space="0" w:color="auto"/>
            </w:tcBorders>
            <w:noWrap/>
            <w:textDirection w:val="lrTb"/>
            <w:vAlign w:val="bottom"/>
            <w:hideMark/>
          </w:tcPr>
          <w:p w:rsidR="00CB350B" w:rsidRPr="004A6521" w:rsidP="00257E12">
            <w:pPr>
              <w:bidi w:val="0"/>
              <w:jc w:val="center"/>
              <w:rPr>
                <w:rFonts w:ascii="Times New Roman" w:hAnsi="Times New Roman" w:cs="Times New Roman"/>
                <w:b/>
                <w:bCs/>
                <w:color w:val="000000"/>
                <w:sz w:val="14"/>
                <w:szCs w:val="14"/>
              </w:rPr>
            </w:pPr>
            <w:r w:rsidRPr="004A6521">
              <w:rPr>
                <w:rFonts w:ascii="Times New Roman" w:hAnsi="Times New Roman" w:cs="Times New Roman"/>
                <w:b/>
                <w:bCs/>
                <w:color w:val="000000"/>
                <w:sz w:val="14"/>
                <w:szCs w:val="14"/>
              </w:rPr>
              <w:t>2010S</w:t>
            </w:r>
          </w:p>
        </w:tc>
        <w:tc>
          <w:tcPr>
            <w:tcW w:w="956" w:type="dxa"/>
            <w:tcBorders>
              <w:top w:val="single" w:sz="4" w:space="0" w:color="auto"/>
              <w:left w:val="nil"/>
              <w:bottom w:val="single" w:sz="4" w:space="0" w:color="auto"/>
              <w:right w:val="single" w:sz="4" w:space="0" w:color="auto"/>
            </w:tcBorders>
            <w:noWrap/>
            <w:textDirection w:val="lrTb"/>
            <w:vAlign w:val="bottom"/>
            <w:hideMark/>
          </w:tcPr>
          <w:p w:rsidR="00CB350B" w:rsidRPr="004A6521" w:rsidP="00257E12">
            <w:pPr>
              <w:bidi w:val="0"/>
              <w:jc w:val="center"/>
              <w:rPr>
                <w:rFonts w:ascii="Times New Roman" w:hAnsi="Times New Roman" w:cs="Times New Roman"/>
                <w:b/>
                <w:bCs/>
                <w:color w:val="000000"/>
                <w:sz w:val="14"/>
                <w:szCs w:val="14"/>
              </w:rPr>
            </w:pPr>
            <w:r w:rsidRPr="004A6521">
              <w:rPr>
                <w:rFonts w:ascii="Times New Roman" w:hAnsi="Times New Roman" w:cs="Times New Roman"/>
                <w:b/>
                <w:bCs/>
                <w:color w:val="000000"/>
                <w:sz w:val="14"/>
                <w:szCs w:val="14"/>
              </w:rPr>
              <w:t>2011 R</w:t>
            </w:r>
          </w:p>
        </w:tc>
        <w:tc>
          <w:tcPr>
            <w:tcW w:w="1034" w:type="dxa"/>
            <w:tcBorders>
              <w:top w:val="single" w:sz="4" w:space="0" w:color="auto"/>
              <w:left w:val="nil"/>
              <w:bottom w:val="single" w:sz="4" w:space="0" w:color="auto"/>
              <w:right w:val="single" w:sz="4" w:space="0" w:color="auto"/>
            </w:tcBorders>
            <w:noWrap/>
            <w:textDirection w:val="lrTb"/>
            <w:vAlign w:val="bottom"/>
            <w:hideMark/>
          </w:tcPr>
          <w:p w:rsidR="00CB350B" w:rsidRPr="004A6521" w:rsidP="00257E12">
            <w:pPr>
              <w:bidi w:val="0"/>
              <w:jc w:val="center"/>
              <w:rPr>
                <w:rFonts w:ascii="Times New Roman" w:hAnsi="Times New Roman" w:cs="Times New Roman"/>
                <w:b/>
                <w:bCs/>
                <w:color w:val="000000"/>
                <w:sz w:val="14"/>
                <w:szCs w:val="14"/>
              </w:rPr>
            </w:pPr>
            <w:r w:rsidRPr="004A6521">
              <w:rPr>
                <w:rFonts w:ascii="Times New Roman" w:hAnsi="Times New Roman" w:cs="Times New Roman"/>
                <w:b/>
                <w:bCs/>
                <w:color w:val="000000"/>
                <w:sz w:val="14"/>
                <w:szCs w:val="14"/>
              </w:rPr>
              <w:t>2011 OS</w:t>
            </w:r>
          </w:p>
        </w:tc>
        <w:tc>
          <w:tcPr>
            <w:tcW w:w="956" w:type="dxa"/>
            <w:tcBorders>
              <w:top w:val="single" w:sz="4" w:space="0" w:color="auto"/>
              <w:left w:val="nil"/>
              <w:bottom w:val="single" w:sz="4" w:space="0" w:color="auto"/>
              <w:right w:val="single" w:sz="4" w:space="0" w:color="auto"/>
            </w:tcBorders>
            <w:noWrap/>
            <w:textDirection w:val="lrTb"/>
            <w:vAlign w:val="bottom"/>
            <w:hideMark/>
          </w:tcPr>
          <w:p w:rsidR="00CB350B" w:rsidRPr="004A6521" w:rsidP="00257E12">
            <w:pPr>
              <w:bidi w:val="0"/>
              <w:jc w:val="center"/>
              <w:rPr>
                <w:rFonts w:ascii="Times New Roman" w:hAnsi="Times New Roman" w:cs="Times New Roman"/>
                <w:b/>
                <w:bCs/>
                <w:color w:val="000000"/>
                <w:sz w:val="14"/>
                <w:szCs w:val="14"/>
              </w:rPr>
            </w:pPr>
            <w:r w:rsidRPr="004A6521">
              <w:rPr>
                <w:rFonts w:ascii="Times New Roman" w:hAnsi="Times New Roman" w:cs="Times New Roman"/>
                <w:b/>
                <w:bCs/>
                <w:color w:val="000000"/>
                <w:sz w:val="14"/>
                <w:szCs w:val="14"/>
              </w:rPr>
              <w:t>2012 N</w:t>
            </w:r>
          </w:p>
        </w:tc>
        <w:tc>
          <w:tcPr>
            <w:tcW w:w="956" w:type="dxa"/>
            <w:tcBorders>
              <w:top w:val="single" w:sz="4" w:space="0" w:color="auto"/>
              <w:left w:val="nil"/>
              <w:bottom w:val="single" w:sz="4" w:space="0" w:color="auto"/>
              <w:right w:val="single" w:sz="4" w:space="0" w:color="auto"/>
            </w:tcBorders>
            <w:noWrap/>
            <w:textDirection w:val="lrTb"/>
            <w:vAlign w:val="bottom"/>
            <w:hideMark/>
          </w:tcPr>
          <w:p w:rsidR="00CB350B" w:rsidRPr="004A6521" w:rsidP="00257E12">
            <w:pPr>
              <w:bidi w:val="0"/>
              <w:jc w:val="center"/>
              <w:rPr>
                <w:rFonts w:ascii="Times New Roman" w:hAnsi="Times New Roman" w:cs="Times New Roman"/>
                <w:b/>
                <w:bCs/>
                <w:color w:val="000000"/>
                <w:sz w:val="14"/>
                <w:szCs w:val="14"/>
              </w:rPr>
            </w:pPr>
            <w:r w:rsidRPr="004A6521">
              <w:rPr>
                <w:rFonts w:ascii="Times New Roman" w:hAnsi="Times New Roman" w:cs="Times New Roman"/>
                <w:b/>
                <w:bCs/>
                <w:color w:val="000000"/>
                <w:sz w:val="14"/>
                <w:szCs w:val="14"/>
              </w:rPr>
              <w:t>2013 N</w:t>
            </w:r>
          </w:p>
        </w:tc>
        <w:tc>
          <w:tcPr>
            <w:tcW w:w="866" w:type="dxa"/>
            <w:tcBorders>
              <w:top w:val="single" w:sz="4" w:space="0" w:color="auto"/>
              <w:left w:val="nil"/>
              <w:bottom w:val="single" w:sz="4" w:space="0" w:color="auto"/>
              <w:right w:val="single" w:sz="4" w:space="0" w:color="auto"/>
            </w:tcBorders>
            <w:noWrap/>
            <w:textDirection w:val="lrTb"/>
            <w:vAlign w:val="bottom"/>
            <w:hideMark/>
          </w:tcPr>
          <w:p w:rsidR="00CB350B" w:rsidRPr="004A6521" w:rsidP="00257E12">
            <w:pPr>
              <w:bidi w:val="0"/>
              <w:jc w:val="center"/>
              <w:rPr>
                <w:rFonts w:ascii="Times New Roman" w:hAnsi="Times New Roman" w:cs="Times New Roman"/>
                <w:b/>
                <w:bCs/>
                <w:color w:val="000000"/>
                <w:sz w:val="14"/>
                <w:szCs w:val="14"/>
              </w:rPr>
            </w:pPr>
            <w:r w:rsidRPr="004A6521">
              <w:rPr>
                <w:rFonts w:ascii="Times New Roman" w:hAnsi="Times New Roman" w:cs="Times New Roman"/>
                <w:b/>
                <w:bCs/>
                <w:color w:val="000000"/>
                <w:sz w:val="14"/>
                <w:szCs w:val="14"/>
              </w:rPr>
              <w:t>2014 N</w:t>
            </w:r>
          </w:p>
        </w:tc>
      </w:tr>
      <w:tr>
        <w:tblPrEx>
          <w:tblW w:w="9152" w:type="dxa"/>
          <w:tblInd w:w="60" w:type="dxa"/>
          <w:tblCellMar>
            <w:left w:w="70" w:type="dxa"/>
            <w:right w:w="70" w:type="dxa"/>
          </w:tblCellMar>
          <w:tblLook w:val="04A0"/>
        </w:tblPrEx>
        <w:trPr>
          <w:trHeight w:val="255"/>
        </w:trPr>
        <w:tc>
          <w:tcPr>
            <w:tcW w:w="436" w:type="dxa"/>
            <w:tcBorders>
              <w:top w:val="single" w:sz="4" w:space="0" w:color="auto"/>
              <w:left w:val="single" w:sz="4" w:space="0" w:color="auto"/>
              <w:bottom w:val="single" w:sz="4" w:space="0" w:color="auto"/>
              <w:right w:val="single" w:sz="4" w:space="0" w:color="auto"/>
            </w:tcBorders>
            <w:textDirection w:val="lrTb"/>
            <w:vAlign w:val="top"/>
          </w:tcPr>
          <w:p w:rsidR="00CB350B" w:rsidRPr="009E58F9" w:rsidP="00257E12">
            <w:pPr>
              <w:bidi w:val="0"/>
              <w:rPr>
                <w:rFonts w:ascii="Times New Roman" w:hAnsi="Times New Roman" w:cs="Times New Roman"/>
                <w:b/>
                <w:bCs/>
                <w:color w:val="000000"/>
                <w:sz w:val="14"/>
                <w:szCs w:val="14"/>
              </w:rPr>
            </w:pPr>
          </w:p>
        </w:tc>
        <w:tc>
          <w:tcPr>
            <w:tcW w:w="2036"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Invest. stim., reg. rozvoj</w:t>
            </w:r>
          </w:p>
        </w:tc>
        <w:tc>
          <w:tcPr>
            <w:tcW w:w="956"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63 779 728</w:t>
            </w:r>
          </w:p>
        </w:tc>
        <w:tc>
          <w:tcPr>
            <w:tcW w:w="956"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94 715 818</w:t>
            </w:r>
          </w:p>
        </w:tc>
        <w:tc>
          <w:tcPr>
            <w:tcW w:w="956"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63 456 030</w:t>
            </w:r>
          </w:p>
        </w:tc>
        <w:tc>
          <w:tcPr>
            <w:tcW w:w="1034"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104 568 293</w:t>
            </w:r>
          </w:p>
        </w:tc>
        <w:tc>
          <w:tcPr>
            <w:tcW w:w="956"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Pr>
                <w:rFonts w:ascii="Times New Roman" w:hAnsi="Times New Roman" w:cs="Times New Roman"/>
                <w:b/>
                <w:bCs/>
                <w:sz w:val="14"/>
                <w:szCs w:val="14"/>
              </w:rPr>
              <w:t>34 281 205</w:t>
            </w:r>
          </w:p>
        </w:tc>
        <w:tc>
          <w:tcPr>
            <w:tcW w:w="956"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11 231 553</w:t>
            </w:r>
          </w:p>
        </w:tc>
        <w:tc>
          <w:tcPr>
            <w:tcW w:w="866"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9 781 410</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single" w:sz="4" w:space="0" w:color="auto"/>
              <w:right w:val="single" w:sz="4" w:space="0" w:color="auto"/>
            </w:tcBorders>
            <w:textDirection w:val="lrTb"/>
            <w:vAlign w:val="bottom"/>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A.</w:t>
            </w: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 xml:space="preserve">SARIO </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3 458 217</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2 441 138</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1 938 524</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sz w:val="14"/>
                <w:szCs w:val="14"/>
              </w:rPr>
            </w:pPr>
            <w:r w:rsidRPr="009E58F9">
              <w:rPr>
                <w:rFonts w:ascii="Times New Roman" w:hAnsi="Times New Roman" w:cs="Times New Roman"/>
                <w:b/>
                <w:sz w:val="14"/>
                <w:szCs w:val="14"/>
              </w:rPr>
              <w:t>2 713 524</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sz w:val="14"/>
                <w:szCs w:val="14"/>
              </w:rPr>
            </w:pPr>
            <w:r>
              <w:rPr>
                <w:rFonts w:ascii="Times New Roman" w:hAnsi="Times New Roman" w:cs="Times New Roman"/>
                <w:b/>
                <w:sz w:val="14"/>
                <w:szCs w:val="14"/>
              </w:rPr>
              <w:t>5 268 524</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sz w:val="14"/>
                <w:szCs w:val="14"/>
              </w:rPr>
            </w:pPr>
            <w:r w:rsidRPr="009E58F9">
              <w:rPr>
                <w:rFonts w:ascii="Times New Roman" w:hAnsi="Times New Roman" w:cs="Times New Roman"/>
                <w:b/>
                <w:sz w:val="14"/>
                <w:szCs w:val="14"/>
              </w:rPr>
              <w:t>1 968 524</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sz w:val="14"/>
                <w:szCs w:val="14"/>
              </w:rPr>
            </w:pPr>
            <w:r w:rsidRPr="009E58F9">
              <w:rPr>
                <w:rFonts w:ascii="Times New Roman" w:hAnsi="Times New Roman" w:cs="Times New Roman"/>
                <w:b/>
                <w:sz w:val="14"/>
                <w:szCs w:val="14"/>
              </w:rPr>
              <w:t>1 968 524</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single" w:sz="4" w:space="0" w:color="auto"/>
              <w:right w:val="single" w:sz="4" w:space="0" w:color="auto"/>
            </w:tcBorders>
            <w:textDirection w:val="lrTb"/>
            <w:vAlign w:val="bottom"/>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B.</w:t>
            </w: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Podpora reg. rozvoja</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color w:val="000000"/>
                <w:sz w:val="14"/>
                <w:szCs w:val="14"/>
              </w:rPr>
            </w:pPr>
            <w:r w:rsidRPr="009E58F9">
              <w:rPr>
                <w:rFonts w:ascii="Times New Roman" w:hAnsi="Times New Roman" w:cs="Times New Roman"/>
                <w:b/>
                <w:color w:val="000000"/>
                <w:sz w:val="14"/>
                <w:szCs w:val="14"/>
              </w:rPr>
              <w:t>21 186 964</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color w:val="000000"/>
                <w:sz w:val="14"/>
                <w:szCs w:val="14"/>
              </w:rPr>
            </w:pPr>
            <w:r w:rsidRPr="009E58F9">
              <w:rPr>
                <w:rFonts w:ascii="Times New Roman" w:hAnsi="Times New Roman" w:cs="Times New Roman"/>
                <w:b/>
                <w:color w:val="000000"/>
                <w:sz w:val="14"/>
                <w:szCs w:val="14"/>
              </w:rPr>
              <w:t>11 290 546</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color w:val="000000"/>
                <w:sz w:val="14"/>
                <w:szCs w:val="14"/>
              </w:rPr>
            </w:pPr>
            <w:r w:rsidRPr="009E58F9">
              <w:rPr>
                <w:rFonts w:ascii="Times New Roman" w:hAnsi="Times New Roman" w:cs="Times New Roman"/>
                <w:b/>
                <w:color w:val="000000"/>
                <w:sz w:val="14"/>
                <w:szCs w:val="14"/>
              </w:rPr>
              <w:t>0</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sz w:val="14"/>
                <w:szCs w:val="14"/>
              </w:rPr>
            </w:pPr>
            <w:r w:rsidRPr="009E58F9">
              <w:rPr>
                <w:rFonts w:ascii="Times New Roman" w:hAnsi="Times New Roman" w:cs="Times New Roman"/>
                <w:b/>
                <w:sz w:val="14"/>
                <w:szCs w:val="14"/>
              </w:rPr>
              <w:t>6 899 644</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color w:val="000000"/>
                <w:sz w:val="14"/>
                <w:szCs w:val="14"/>
              </w:rPr>
            </w:pPr>
            <w:r w:rsidRPr="00A2048D">
              <w:rPr>
                <w:rFonts w:ascii="Times New Roman" w:hAnsi="Times New Roman" w:cs="Times New Roman"/>
                <w:b/>
                <w:color w:val="000000"/>
                <w:sz w:val="14"/>
                <w:szCs w:val="14"/>
              </w:rPr>
              <w:t>3 600 000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color w:val="000000"/>
                <w:sz w:val="14"/>
                <w:szCs w:val="14"/>
              </w:rPr>
            </w:pPr>
            <w:r w:rsidRPr="009E58F9">
              <w:rPr>
                <w:rFonts w:ascii="Times New Roman" w:hAnsi="Times New Roman" w:cs="Times New Roman"/>
                <w:b/>
                <w:color w:val="000000"/>
                <w:sz w:val="14"/>
                <w:szCs w:val="14"/>
              </w:rPr>
              <w:t>0</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color w:val="000000"/>
                <w:sz w:val="14"/>
                <w:szCs w:val="14"/>
              </w:rPr>
            </w:pPr>
            <w:r w:rsidRPr="009E58F9">
              <w:rPr>
                <w:rFonts w:ascii="Times New Roman" w:hAnsi="Times New Roman" w:cs="Times New Roman"/>
                <w:b/>
                <w:color w:val="000000"/>
                <w:sz w:val="14"/>
                <w:szCs w:val="14"/>
              </w:rPr>
              <w:t>0</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single" w:sz="4" w:space="0" w:color="auto"/>
              <w:right w:val="single" w:sz="4" w:space="0" w:color="auto"/>
            </w:tcBorders>
            <w:textDirection w:val="lrTb"/>
            <w:vAlign w:val="bottom"/>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C.</w:t>
            </w: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Výdavky EÚ a spolufin.</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color w:val="000000"/>
                <w:sz w:val="14"/>
                <w:szCs w:val="14"/>
              </w:rPr>
            </w:pPr>
            <w:r w:rsidRPr="009E58F9">
              <w:rPr>
                <w:rFonts w:ascii="Times New Roman" w:hAnsi="Times New Roman" w:cs="Times New Roman"/>
                <w:b/>
                <w:color w:val="000000"/>
                <w:sz w:val="14"/>
                <w:szCs w:val="14"/>
              </w:rPr>
              <w:t>842 982</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color w:val="000000"/>
                <w:sz w:val="14"/>
                <w:szCs w:val="14"/>
              </w:rPr>
            </w:pPr>
            <w:r w:rsidRPr="009E58F9">
              <w:rPr>
                <w:rFonts w:ascii="Times New Roman" w:hAnsi="Times New Roman" w:cs="Times New Roman"/>
                <w:b/>
                <w:color w:val="000000"/>
                <w:sz w:val="14"/>
                <w:szCs w:val="14"/>
              </w:rPr>
              <w:t>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color w:val="000000"/>
                <w:sz w:val="14"/>
                <w:szCs w:val="14"/>
              </w:rPr>
            </w:pPr>
            <w:r w:rsidRPr="009E58F9">
              <w:rPr>
                <w:rFonts w:ascii="Times New Roman" w:hAnsi="Times New Roman" w:cs="Times New Roman"/>
                <w:b/>
                <w:color w:val="000000"/>
                <w:sz w:val="14"/>
                <w:szCs w:val="14"/>
              </w:rPr>
              <w:t>0</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sz w:val="14"/>
                <w:szCs w:val="14"/>
              </w:rPr>
            </w:pPr>
            <w:r w:rsidRPr="009E58F9">
              <w:rPr>
                <w:rFonts w:ascii="Times New Roman" w:hAnsi="Times New Roman" w:cs="Times New Roman"/>
                <w:b/>
                <w:sz w:val="14"/>
                <w:szCs w:val="14"/>
              </w:rPr>
              <w:t>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color w:val="000000"/>
                <w:sz w:val="14"/>
                <w:szCs w:val="14"/>
              </w:rPr>
            </w:pPr>
            <w:r w:rsidRPr="009E58F9">
              <w:rPr>
                <w:rFonts w:ascii="Times New Roman" w:hAnsi="Times New Roman" w:cs="Times New Roman"/>
                <w:b/>
                <w:color w:val="000000"/>
                <w:sz w:val="14"/>
                <w:szCs w:val="14"/>
              </w:rPr>
              <w:t>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color w:val="000000"/>
                <w:sz w:val="14"/>
                <w:szCs w:val="14"/>
              </w:rPr>
            </w:pPr>
            <w:r w:rsidRPr="009E58F9">
              <w:rPr>
                <w:rFonts w:ascii="Times New Roman" w:hAnsi="Times New Roman" w:cs="Times New Roman"/>
                <w:b/>
                <w:color w:val="000000"/>
                <w:sz w:val="14"/>
                <w:szCs w:val="14"/>
              </w:rPr>
              <w:t>0</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color w:val="000000"/>
                <w:sz w:val="14"/>
                <w:szCs w:val="14"/>
              </w:rPr>
            </w:pPr>
            <w:r w:rsidRPr="009E58F9">
              <w:rPr>
                <w:rFonts w:ascii="Times New Roman" w:hAnsi="Times New Roman" w:cs="Times New Roman"/>
                <w:b/>
                <w:color w:val="000000"/>
                <w:sz w:val="14"/>
                <w:szCs w:val="14"/>
              </w:rPr>
              <w:t>0</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single" w:sz="4" w:space="0" w:color="auto"/>
              <w:right w:val="single" w:sz="4" w:space="0" w:color="auto"/>
            </w:tcBorders>
            <w:textDirection w:val="lrTb"/>
            <w:vAlign w:val="bottom"/>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D.</w:t>
            </w: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KIA + Hyundai</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709 266</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6 991 971</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 0</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25 130 000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0</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0</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single" w:sz="4" w:space="0" w:color="auto"/>
              <w:right w:val="single" w:sz="4" w:space="0" w:color="auto"/>
            </w:tcBorders>
            <w:textDirection w:val="lrTb"/>
            <w:vAlign w:val="bottom"/>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E.</w:t>
            </w: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 xml:space="preserve">Getrag Ford  </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17 098 375</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0</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0</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0</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single" w:sz="4" w:space="0" w:color="auto"/>
              <w:right w:val="single" w:sz="4" w:space="0" w:color="auto"/>
            </w:tcBorders>
            <w:textDirection w:val="lrTb"/>
            <w:vAlign w:val="bottom"/>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F.</w:t>
            </w: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 xml:space="preserve">Samsung </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746 863</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33 353 736</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10 439 322</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17 821 264</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0</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0</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single" w:sz="4" w:space="0" w:color="auto"/>
              <w:right w:val="single" w:sz="4" w:space="0" w:color="auto"/>
            </w:tcBorders>
            <w:textDirection w:val="lrTb"/>
            <w:vAlign w:val="bottom"/>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G.</w:t>
            </w: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 xml:space="preserve">KIA Motors – rozš. výr. </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7 747 609</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4 634 614</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 </w:t>
            </w:r>
            <w:r w:rsidRPr="009E58F9">
              <w:rPr>
                <w:rFonts w:ascii="Times New Roman" w:hAnsi="Times New Roman" w:cs="Times New Roman"/>
                <w:b/>
                <w:color w:val="000000"/>
                <w:sz w:val="14"/>
                <w:szCs w:val="14"/>
              </w:rPr>
              <w:t>0</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10 481 826</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0</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0</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single" w:sz="4" w:space="0" w:color="auto"/>
              <w:right w:val="single" w:sz="4" w:space="0" w:color="auto"/>
            </w:tcBorders>
            <w:textDirection w:val="lrTb"/>
            <w:vAlign w:val="bottom"/>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H.</w:t>
            </w: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AU Optronics</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 </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24 465 140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28 534 500</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28 534 500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8 551 000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0</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0</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single" w:sz="4" w:space="0" w:color="auto"/>
              <w:right w:val="single" w:sz="4" w:space="0" w:color="auto"/>
            </w:tcBorders>
            <w:textDirection w:val="lrTb"/>
            <w:vAlign w:val="bottom"/>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I.</w:t>
            </w: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Iné Inv. stimuly</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11 989 452</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11 536 673</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22 543 684</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sz w:val="14"/>
                <w:szCs w:val="14"/>
              </w:rPr>
            </w:pPr>
            <w:r w:rsidRPr="009E58F9">
              <w:rPr>
                <w:rFonts w:ascii="Times New Roman" w:hAnsi="Times New Roman" w:cs="Times New Roman"/>
                <w:b/>
                <w:sz w:val="14"/>
                <w:szCs w:val="14"/>
              </w:rPr>
              <w:t>12 987 535</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sz w:val="14"/>
                <w:szCs w:val="14"/>
              </w:rPr>
            </w:pPr>
            <w:r w:rsidRPr="009E58F9">
              <w:rPr>
                <w:rFonts w:ascii="Times New Roman" w:hAnsi="Times New Roman" w:cs="Times New Roman"/>
                <w:b/>
                <w:sz w:val="14"/>
                <w:szCs w:val="14"/>
              </w:rPr>
              <w:t>16 861 681</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sz w:val="14"/>
                <w:szCs w:val="14"/>
              </w:rPr>
            </w:pPr>
            <w:r w:rsidRPr="009E58F9">
              <w:rPr>
                <w:rFonts w:ascii="Times New Roman" w:hAnsi="Times New Roman" w:cs="Times New Roman"/>
                <w:b/>
                <w:sz w:val="14"/>
                <w:szCs w:val="14"/>
              </w:rPr>
              <w:t>9 263 029</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sz w:val="14"/>
                <w:szCs w:val="14"/>
              </w:rPr>
            </w:pPr>
            <w:r w:rsidRPr="009E58F9">
              <w:rPr>
                <w:rFonts w:ascii="Times New Roman" w:hAnsi="Times New Roman" w:cs="Times New Roman"/>
                <w:b/>
                <w:sz w:val="14"/>
                <w:szCs w:val="14"/>
              </w:rPr>
              <w:t>7 812 886</w:t>
            </w:r>
          </w:p>
        </w:tc>
      </w:tr>
      <w:tr>
        <w:tblPrEx>
          <w:tblW w:w="9152" w:type="dxa"/>
          <w:tblInd w:w="60" w:type="dxa"/>
          <w:tblCellMar>
            <w:left w:w="70" w:type="dxa"/>
            <w:right w:w="70" w:type="dxa"/>
          </w:tblCellMar>
          <w:tblLook w:val="04A0"/>
        </w:tblPrEx>
        <w:trPr>
          <w:trHeight w:val="255"/>
        </w:trPr>
        <w:tc>
          <w:tcPr>
            <w:tcW w:w="436" w:type="dxa"/>
            <w:tcBorders>
              <w:top w:val="single" w:sz="4" w:space="0" w:color="auto"/>
              <w:left w:val="single" w:sz="4" w:space="0" w:color="auto"/>
              <w:bottom w:val="none" w:sz="0" w:space="0" w:color="auto"/>
              <w:right w:val="single" w:sz="4" w:space="0" w:color="auto"/>
            </w:tcBorders>
            <w:textDirection w:val="lrTb"/>
            <w:vAlign w:val="top"/>
          </w:tcPr>
          <w:p w:rsidR="00CB350B" w:rsidRPr="009E58F9" w:rsidP="00257E12">
            <w:pPr>
              <w:bidi w:val="0"/>
              <w:rPr>
                <w:rFonts w:ascii="Times New Roman" w:hAnsi="Times New Roman" w:cs="Times New Roman"/>
                <w:color w:val="000000"/>
                <w:sz w:val="14"/>
                <w:szCs w:val="14"/>
              </w:rPr>
            </w:pP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z toho:</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 </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 </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 </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 </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none" w:sz="0" w:space="0" w:color="auto"/>
              <w:right w:val="single" w:sz="4" w:space="0" w:color="auto"/>
            </w:tcBorders>
            <w:textDirection w:val="lrTb"/>
            <w:vAlign w:val="top"/>
          </w:tcPr>
          <w:p w:rsidR="00CB350B" w:rsidRPr="009E58F9" w:rsidP="00257E12">
            <w:pPr>
              <w:bidi w:val="0"/>
              <w:rPr>
                <w:rFonts w:ascii="Times New Roman" w:hAnsi="Times New Roman" w:cs="Times New Roman"/>
                <w:color w:val="000000"/>
                <w:sz w:val="14"/>
                <w:szCs w:val="14"/>
              </w:rPr>
            </w:pP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 xml:space="preserve">   ICU Medical Vráble</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1 394 282</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310 000</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1 395 718</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none" w:sz="0" w:space="0" w:color="auto"/>
              <w:right w:val="single" w:sz="4" w:space="0" w:color="auto"/>
            </w:tcBorders>
            <w:textDirection w:val="lrTb"/>
            <w:vAlign w:val="top"/>
          </w:tcPr>
          <w:p w:rsidR="00CB350B" w:rsidRPr="009E58F9" w:rsidP="00257E12">
            <w:pPr>
              <w:bidi w:val="0"/>
              <w:rPr>
                <w:rFonts w:ascii="Times New Roman" w:hAnsi="Times New Roman" w:cs="Times New Roman"/>
                <w:color w:val="000000"/>
                <w:sz w:val="14"/>
                <w:szCs w:val="14"/>
              </w:rPr>
            </w:pP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 xml:space="preserve">   IEE Sensing Slovakia</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88 999</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411 000</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411 000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none" w:sz="0" w:space="0" w:color="auto"/>
              <w:right w:val="single" w:sz="4" w:space="0" w:color="auto"/>
            </w:tcBorders>
            <w:textDirection w:val="lrTb"/>
            <w:vAlign w:val="top"/>
          </w:tcPr>
          <w:p w:rsidR="00CB350B" w:rsidRPr="009E58F9" w:rsidP="00257E12">
            <w:pPr>
              <w:bidi w:val="0"/>
              <w:rPr>
                <w:rFonts w:ascii="Times New Roman" w:hAnsi="Times New Roman" w:cs="Times New Roman"/>
                <w:color w:val="000000"/>
                <w:sz w:val="14"/>
                <w:szCs w:val="14"/>
              </w:rPr>
            </w:pP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 xml:space="preserve">   Sapa Profily</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956" w:type="dxa"/>
            <w:tcBorders>
              <w:top w:val="nil"/>
              <w:left w:val="nil"/>
              <w:bottom w:val="single" w:sz="4" w:space="0" w:color="auto"/>
              <w:right w:val="single" w:sz="4" w:space="0" w:color="auto"/>
            </w:tcBorders>
            <w:noWrap/>
            <w:textDirection w:val="lrTb"/>
            <w:vAlign w:val="top"/>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244 753</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244 753</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392 434</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80 863</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none" w:sz="0" w:space="0" w:color="auto"/>
              <w:right w:val="single" w:sz="4" w:space="0" w:color="auto"/>
            </w:tcBorders>
            <w:textDirection w:val="lrTb"/>
            <w:vAlign w:val="top"/>
          </w:tcPr>
          <w:p w:rsidR="00CB350B" w:rsidRPr="009E58F9" w:rsidP="00257E12">
            <w:pPr>
              <w:bidi w:val="0"/>
              <w:rPr>
                <w:rFonts w:ascii="Times New Roman" w:hAnsi="Times New Roman" w:cs="Times New Roman"/>
                <w:color w:val="000000"/>
                <w:sz w:val="14"/>
                <w:szCs w:val="14"/>
              </w:rPr>
            </w:pP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 xml:space="preserve">   Stawi</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956" w:type="dxa"/>
            <w:tcBorders>
              <w:top w:val="nil"/>
              <w:left w:val="nil"/>
              <w:bottom w:val="single" w:sz="4" w:space="0" w:color="auto"/>
              <w:right w:val="single" w:sz="4" w:space="0" w:color="auto"/>
            </w:tcBorders>
            <w:noWrap/>
            <w:textDirection w:val="lrTb"/>
            <w:vAlign w:val="top"/>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650 000</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650 000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550 000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none" w:sz="0" w:space="0" w:color="auto"/>
              <w:right w:val="single" w:sz="4" w:space="0" w:color="auto"/>
            </w:tcBorders>
            <w:textDirection w:val="lrTb"/>
            <w:vAlign w:val="top"/>
          </w:tcPr>
          <w:p w:rsidR="00CB350B" w:rsidRPr="009E58F9" w:rsidP="00257E12">
            <w:pPr>
              <w:bidi w:val="0"/>
              <w:rPr>
                <w:rFonts w:ascii="Times New Roman" w:hAnsi="Times New Roman" w:cs="Times New Roman"/>
                <w:color w:val="000000"/>
                <w:sz w:val="14"/>
                <w:szCs w:val="14"/>
              </w:rPr>
            </w:pP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 xml:space="preserve">   Monocrystalex SK</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956" w:type="dxa"/>
            <w:tcBorders>
              <w:top w:val="nil"/>
              <w:left w:val="nil"/>
              <w:bottom w:val="single" w:sz="4" w:space="0" w:color="auto"/>
              <w:right w:val="single" w:sz="4" w:space="0" w:color="auto"/>
            </w:tcBorders>
            <w:noWrap/>
            <w:textDirection w:val="lrTb"/>
            <w:vAlign w:val="top"/>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2 532 994</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2 532 994</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none" w:sz="0" w:space="0" w:color="auto"/>
              <w:right w:val="single" w:sz="4" w:space="0" w:color="auto"/>
            </w:tcBorders>
            <w:textDirection w:val="lrTb"/>
            <w:vAlign w:val="top"/>
          </w:tcPr>
          <w:p w:rsidR="00CB350B" w:rsidRPr="009E58F9" w:rsidP="00257E12">
            <w:pPr>
              <w:bidi w:val="0"/>
              <w:rPr>
                <w:rFonts w:ascii="Times New Roman" w:hAnsi="Times New Roman" w:cs="Times New Roman"/>
                <w:color w:val="000000"/>
                <w:sz w:val="14"/>
                <w:szCs w:val="14"/>
              </w:rPr>
            </w:pP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 xml:space="preserve">   SKH Plastic</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4 119 119</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4 500 000</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380 881</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none" w:sz="0" w:space="0" w:color="auto"/>
              <w:right w:val="single" w:sz="4" w:space="0" w:color="auto"/>
            </w:tcBorders>
            <w:textDirection w:val="lrTb"/>
            <w:vAlign w:val="top"/>
          </w:tcPr>
          <w:p w:rsidR="00CB350B" w:rsidRPr="009E58F9" w:rsidP="00257E12">
            <w:pPr>
              <w:bidi w:val="0"/>
              <w:rPr>
                <w:rFonts w:ascii="Times New Roman" w:hAnsi="Times New Roman" w:cs="Times New Roman"/>
                <w:color w:val="000000"/>
                <w:sz w:val="14"/>
                <w:szCs w:val="14"/>
              </w:rPr>
            </w:pP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 xml:space="preserve">   ZKW</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357 077</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357 077</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257 981</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none" w:sz="0" w:space="0" w:color="auto"/>
              <w:right w:val="single" w:sz="4" w:space="0" w:color="auto"/>
            </w:tcBorders>
            <w:textDirection w:val="lrTb"/>
            <w:vAlign w:val="top"/>
          </w:tcPr>
          <w:p w:rsidR="00CB350B" w:rsidRPr="009E58F9" w:rsidP="00257E12">
            <w:pPr>
              <w:bidi w:val="0"/>
              <w:rPr>
                <w:rFonts w:ascii="Times New Roman" w:hAnsi="Times New Roman" w:cs="Times New Roman"/>
                <w:color w:val="000000"/>
                <w:sz w:val="14"/>
                <w:szCs w:val="14"/>
              </w:rPr>
            </w:pP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 xml:space="preserve">   CEIT</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38 230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2 010 833</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41 411</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1 526 326</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894 033</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none" w:sz="0" w:space="0" w:color="auto"/>
              <w:right w:val="single" w:sz="4" w:space="0" w:color="auto"/>
            </w:tcBorders>
            <w:textDirection w:val="lrTb"/>
            <w:vAlign w:val="top"/>
          </w:tcPr>
          <w:p w:rsidR="00CB350B" w:rsidRPr="009E58F9" w:rsidP="00257E12">
            <w:pPr>
              <w:bidi w:val="0"/>
              <w:rPr>
                <w:rFonts w:ascii="Times New Roman" w:hAnsi="Times New Roman" w:cs="Times New Roman"/>
                <w:color w:val="000000"/>
                <w:sz w:val="14"/>
                <w:szCs w:val="14"/>
              </w:rPr>
            </w:pP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 xml:space="preserve">   Semecs</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829 000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246 000</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425 000</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none" w:sz="0" w:space="0" w:color="auto"/>
              <w:right w:val="single" w:sz="4" w:space="0" w:color="auto"/>
            </w:tcBorders>
            <w:textDirection w:val="lrTb"/>
            <w:vAlign w:val="top"/>
          </w:tcPr>
          <w:p w:rsidR="00CB350B" w:rsidRPr="009E58F9" w:rsidP="00257E12">
            <w:pPr>
              <w:bidi w:val="0"/>
              <w:rPr>
                <w:rFonts w:ascii="Times New Roman" w:hAnsi="Times New Roman" w:cs="Times New Roman"/>
                <w:color w:val="000000"/>
                <w:sz w:val="14"/>
                <w:szCs w:val="14"/>
              </w:rPr>
            </w:pP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 xml:space="preserve">   Bodet &amp; Horst</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2 660 160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1 531 800</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1 531 800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1 316 840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none" w:sz="0" w:space="0" w:color="auto"/>
              <w:right w:val="single" w:sz="4" w:space="0" w:color="auto"/>
            </w:tcBorders>
            <w:textDirection w:val="lrTb"/>
            <w:vAlign w:val="top"/>
          </w:tcPr>
          <w:p w:rsidR="00CB350B" w:rsidRPr="009E58F9" w:rsidP="00257E12">
            <w:pPr>
              <w:bidi w:val="0"/>
              <w:rPr>
                <w:rFonts w:ascii="Times New Roman" w:hAnsi="Times New Roman" w:cs="Times New Roman"/>
                <w:color w:val="000000"/>
                <w:sz w:val="14"/>
                <w:szCs w:val="14"/>
              </w:rPr>
            </w:pP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 xml:space="preserve">   LVD Company</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995 227</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995 227</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342 727</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474 546</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none" w:sz="0" w:space="0" w:color="auto"/>
              <w:right w:val="single" w:sz="4" w:space="0" w:color="auto"/>
            </w:tcBorders>
            <w:textDirection w:val="lrTb"/>
            <w:vAlign w:val="top"/>
          </w:tcPr>
          <w:p w:rsidR="00CB350B" w:rsidRPr="009E58F9" w:rsidP="00257E12">
            <w:pPr>
              <w:bidi w:val="0"/>
              <w:rPr>
                <w:rFonts w:ascii="Times New Roman" w:hAnsi="Times New Roman" w:cs="Times New Roman"/>
                <w:color w:val="000000"/>
                <w:sz w:val="14"/>
                <w:szCs w:val="14"/>
              </w:rPr>
            </w:pP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 xml:space="preserve">   Embraco Slovakia</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1 000 000</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1 000 000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1 700 000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none" w:sz="0" w:space="0" w:color="auto"/>
              <w:right w:val="single" w:sz="4" w:space="0" w:color="auto"/>
            </w:tcBorders>
            <w:textDirection w:val="lrTb"/>
            <w:vAlign w:val="top"/>
          </w:tcPr>
          <w:p w:rsidR="00CB350B" w:rsidRPr="009E58F9" w:rsidP="00257E12">
            <w:pPr>
              <w:bidi w:val="0"/>
              <w:rPr>
                <w:rFonts w:ascii="Times New Roman" w:hAnsi="Times New Roman" w:cs="Times New Roman"/>
                <w:color w:val="000000"/>
                <w:sz w:val="14"/>
                <w:szCs w:val="14"/>
              </w:rPr>
            </w:pP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 xml:space="preserve">   Dell</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color w:val="000000"/>
                <w:sz w:val="14"/>
                <w:szCs w:val="14"/>
              </w:rPr>
              <w:t> 0</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color w:val="000000"/>
                <w:sz w:val="14"/>
                <w:szCs w:val="14"/>
              </w:rPr>
              <w:t> 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color w:val="000000"/>
                <w:sz w:val="14"/>
                <w:szCs w:val="14"/>
              </w:rPr>
              <w:t> 0</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color w:val="000000"/>
                <w:sz w:val="14"/>
                <w:szCs w:val="14"/>
              </w:rPr>
              <w:t>680 491</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color w:val="000000"/>
                <w:sz w:val="14"/>
                <w:szCs w:val="14"/>
              </w:rPr>
              <w:t> 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color w:val="000000"/>
                <w:sz w:val="14"/>
                <w:szCs w:val="14"/>
              </w:rPr>
              <w:t> 0</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color w:val="000000"/>
                <w:sz w:val="14"/>
                <w:szCs w:val="14"/>
              </w:rPr>
              <w:t> 0</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none" w:sz="0" w:space="0" w:color="auto"/>
              <w:right w:val="single" w:sz="4" w:space="0" w:color="auto"/>
            </w:tcBorders>
            <w:textDirection w:val="lrTb"/>
            <w:vAlign w:val="top"/>
          </w:tcPr>
          <w:p w:rsidR="00CB350B" w:rsidRPr="009E58F9" w:rsidP="00257E12">
            <w:pPr>
              <w:bidi w:val="0"/>
              <w:rPr>
                <w:rFonts w:ascii="Times New Roman" w:hAnsi="Times New Roman" w:cs="Times New Roman"/>
                <w:color w:val="000000"/>
                <w:sz w:val="14"/>
                <w:szCs w:val="14"/>
              </w:rPr>
            </w:pP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 xml:space="preserve">   Johnson Controls TN</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1 516 391</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33 474</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1 437 588</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none" w:sz="0" w:space="0" w:color="auto"/>
              <w:right w:val="single" w:sz="4" w:space="0" w:color="auto"/>
            </w:tcBorders>
            <w:textDirection w:val="lrTb"/>
            <w:vAlign w:val="top"/>
          </w:tcPr>
          <w:p w:rsidR="00CB350B" w:rsidRPr="009E58F9" w:rsidP="00257E12">
            <w:pPr>
              <w:bidi w:val="0"/>
              <w:rPr>
                <w:rFonts w:ascii="Times New Roman" w:hAnsi="Times New Roman" w:cs="Times New Roman"/>
                <w:color w:val="000000"/>
                <w:sz w:val="14"/>
                <w:szCs w:val="14"/>
              </w:rPr>
            </w:pP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 xml:space="preserve">   Muelbauer Technolog.</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372 919</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1 340 131</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0 </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none" w:sz="0" w:space="0" w:color="auto"/>
              <w:right w:val="single" w:sz="4" w:space="0" w:color="auto"/>
            </w:tcBorders>
            <w:textDirection w:val="lrTb"/>
            <w:vAlign w:val="top"/>
          </w:tcPr>
          <w:p w:rsidR="00CB350B" w:rsidRPr="009E58F9" w:rsidP="00257E12">
            <w:pPr>
              <w:bidi w:val="0"/>
              <w:rPr>
                <w:rFonts w:ascii="Times New Roman" w:hAnsi="Times New Roman" w:cs="Times New Roman"/>
                <w:color w:val="000000"/>
                <w:sz w:val="14"/>
                <w:szCs w:val="14"/>
              </w:rPr>
            </w:pP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 xml:space="preserve">   Ness Slovakia</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 </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79 574</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32 797</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none" w:sz="0" w:space="0" w:color="auto"/>
              <w:right w:val="single" w:sz="4" w:space="0" w:color="auto"/>
            </w:tcBorders>
            <w:textDirection w:val="lrTb"/>
            <w:vAlign w:val="top"/>
          </w:tcPr>
          <w:p w:rsidR="00CB350B" w:rsidRPr="009E58F9" w:rsidP="00257E12">
            <w:pPr>
              <w:bidi w:val="0"/>
              <w:rPr>
                <w:rFonts w:ascii="Times New Roman" w:hAnsi="Times New Roman" w:cs="Times New Roman"/>
                <w:color w:val="000000"/>
                <w:sz w:val="14"/>
                <w:szCs w:val="14"/>
              </w:rPr>
            </w:pP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 xml:space="preserve">   T-systems Slovakia</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146 290</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none" w:sz="0" w:space="0" w:color="auto"/>
              <w:right w:val="single" w:sz="4" w:space="0" w:color="auto"/>
            </w:tcBorders>
            <w:textDirection w:val="lrTb"/>
            <w:vAlign w:val="top"/>
          </w:tcPr>
          <w:p w:rsidR="00CB350B" w:rsidRPr="009E58F9" w:rsidP="00257E12">
            <w:pPr>
              <w:bidi w:val="0"/>
              <w:rPr>
                <w:rFonts w:ascii="Times New Roman" w:hAnsi="Times New Roman" w:cs="Times New Roman"/>
                <w:color w:val="000000"/>
                <w:sz w:val="14"/>
                <w:szCs w:val="14"/>
              </w:rPr>
            </w:pP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 xml:space="preserve">   SONY Slovakia</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3 054 106</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none" w:sz="0" w:space="0" w:color="auto"/>
              <w:right w:val="single" w:sz="4" w:space="0" w:color="auto"/>
            </w:tcBorders>
            <w:textDirection w:val="lrTb"/>
            <w:vAlign w:val="top"/>
          </w:tcPr>
          <w:p w:rsidR="00CB350B" w:rsidRPr="009E58F9" w:rsidP="00257E12">
            <w:pPr>
              <w:bidi w:val="0"/>
              <w:rPr>
                <w:rFonts w:ascii="Times New Roman" w:hAnsi="Times New Roman" w:cs="Times New Roman"/>
                <w:color w:val="000000"/>
                <w:sz w:val="14"/>
                <w:szCs w:val="14"/>
              </w:rPr>
            </w:pP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 xml:space="preserve">   Visteon Slovakia</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2 272 061</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none" w:sz="0" w:space="0" w:color="auto"/>
              <w:right w:val="single" w:sz="4" w:space="0" w:color="auto"/>
            </w:tcBorders>
            <w:textDirection w:val="lrTb"/>
            <w:vAlign w:val="top"/>
          </w:tcPr>
          <w:p w:rsidR="00CB350B" w:rsidRPr="009E58F9" w:rsidP="00257E12">
            <w:pPr>
              <w:bidi w:val="0"/>
              <w:rPr>
                <w:rFonts w:ascii="Times New Roman" w:hAnsi="Times New Roman" w:cs="Times New Roman"/>
                <w:color w:val="000000"/>
                <w:sz w:val="14"/>
                <w:szCs w:val="14"/>
              </w:rPr>
            </w:pP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 xml:space="preserve">   SCA Hygiene</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1 950 143</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none" w:sz="0" w:space="0" w:color="auto"/>
              <w:right w:val="single" w:sz="4" w:space="0" w:color="auto"/>
            </w:tcBorders>
            <w:textDirection w:val="lrTb"/>
            <w:vAlign w:val="top"/>
          </w:tcPr>
          <w:p w:rsidR="00CB350B" w:rsidRPr="009E58F9" w:rsidP="00257E12">
            <w:pPr>
              <w:bidi w:val="0"/>
              <w:rPr>
                <w:rFonts w:ascii="Times New Roman" w:hAnsi="Times New Roman" w:cs="Times New Roman"/>
                <w:color w:val="000000"/>
                <w:sz w:val="14"/>
                <w:szCs w:val="14"/>
              </w:rPr>
            </w:pP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 xml:space="preserve">   ON Semiconductor BA</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111 724</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27 200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none" w:sz="0" w:space="0" w:color="auto"/>
              <w:right w:val="single" w:sz="4" w:space="0" w:color="auto"/>
            </w:tcBorders>
            <w:textDirection w:val="lrTb"/>
            <w:vAlign w:val="top"/>
          </w:tcPr>
          <w:p w:rsidR="00CB350B" w:rsidRPr="009E58F9" w:rsidP="00257E12">
            <w:pPr>
              <w:bidi w:val="0"/>
              <w:rPr>
                <w:rFonts w:ascii="Times New Roman" w:hAnsi="Times New Roman" w:cs="Times New Roman"/>
                <w:color w:val="000000"/>
                <w:sz w:val="14"/>
                <w:szCs w:val="14"/>
              </w:rPr>
            </w:pP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 xml:space="preserve">   RBD</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766 666</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233 333</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none" w:sz="0" w:space="0" w:color="auto"/>
              <w:right w:val="single" w:sz="4" w:space="0" w:color="auto"/>
            </w:tcBorders>
            <w:textDirection w:val="lrTb"/>
            <w:vAlign w:val="top"/>
          </w:tcPr>
          <w:p w:rsidR="00CB350B" w:rsidRPr="009E58F9" w:rsidP="00257E12">
            <w:pPr>
              <w:bidi w:val="0"/>
              <w:rPr>
                <w:rFonts w:ascii="Times New Roman" w:hAnsi="Times New Roman" w:cs="Times New Roman"/>
                <w:color w:val="000000"/>
                <w:sz w:val="14"/>
                <w:szCs w:val="14"/>
              </w:rPr>
            </w:pP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 xml:space="preserve">   Orava Skipark</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1 799 152</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1 035 265</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485 583</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none" w:sz="0" w:space="0" w:color="auto"/>
              <w:right w:val="single" w:sz="4" w:space="0" w:color="auto"/>
            </w:tcBorders>
            <w:textDirection w:val="lrTb"/>
            <w:vAlign w:val="top"/>
          </w:tcPr>
          <w:p w:rsidR="00CB350B" w:rsidRPr="009E58F9" w:rsidP="00257E12">
            <w:pPr>
              <w:bidi w:val="0"/>
              <w:rPr>
                <w:rFonts w:ascii="Times New Roman" w:hAnsi="Times New Roman" w:cs="Times New Roman"/>
                <w:color w:val="000000"/>
                <w:sz w:val="14"/>
                <w:szCs w:val="14"/>
              </w:rPr>
            </w:pP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 xml:space="preserve">   Crown Bevcan Slovakia</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1 784 704</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0 </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none" w:sz="0" w:space="0" w:color="auto"/>
              <w:right w:val="single" w:sz="4" w:space="0" w:color="auto"/>
            </w:tcBorders>
            <w:textDirection w:val="lrTb"/>
            <w:vAlign w:val="top"/>
          </w:tcPr>
          <w:p w:rsidR="00CB350B" w:rsidRPr="009E58F9" w:rsidP="00257E12">
            <w:pPr>
              <w:bidi w:val="0"/>
              <w:rPr>
                <w:rFonts w:ascii="Times New Roman" w:hAnsi="Times New Roman" w:cs="Times New Roman"/>
                <w:color w:val="000000"/>
                <w:sz w:val="14"/>
                <w:szCs w:val="14"/>
              </w:rPr>
            </w:pPr>
          </w:p>
        </w:tc>
        <w:tc>
          <w:tcPr>
            <w:tcW w:w="2036"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 xml:space="preserve">   Honeywell</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956"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 0</w:t>
            </w:r>
          </w:p>
        </w:tc>
        <w:tc>
          <w:tcPr>
            <w:tcW w:w="1034"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0 </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2 837 978</w:t>
            </w:r>
          </w:p>
        </w:tc>
        <w:tc>
          <w:tcPr>
            <w:tcW w:w="95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2 764 098</w:t>
            </w:r>
          </w:p>
        </w:tc>
        <w:tc>
          <w:tcPr>
            <w:tcW w:w="866"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5 915 378</w:t>
            </w:r>
          </w:p>
        </w:tc>
      </w:tr>
      <w:tr>
        <w:tblPrEx>
          <w:tblW w:w="9152" w:type="dxa"/>
          <w:tblInd w:w="60" w:type="dxa"/>
          <w:tblCellMar>
            <w:left w:w="70" w:type="dxa"/>
            <w:right w:w="70" w:type="dxa"/>
          </w:tblCellMar>
          <w:tblLook w:val="04A0"/>
        </w:tblPrEx>
        <w:trPr>
          <w:trHeight w:val="255"/>
        </w:trPr>
        <w:tc>
          <w:tcPr>
            <w:tcW w:w="436" w:type="dxa"/>
            <w:tcBorders>
              <w:top w:val="nil"/>
              <w:left w:val="single" w:sz="4" w:space="0" w:color="auto"/>
              <w:bottom w:val="single" w:sz="4" w:space="0" w:color="auto"/>
              <w:right w:val="single" w:sz="4" w:space="0" w:color="auto"/>
            </w:tcBorders>
            <w:textDirection w:val="lrTb"/>
            <w:vAlign w:val="top"/>
          </w:tcPr>
          <w:p w:rsidR="00CB350B" w:rsidRPr="009E58F9" w:rsidP="00257E12">
            <w:pPr>
              <w:bidi w:val="0"/>
              <w:rPr>
                <w:rFonts w:ascii="Times New Roman" w:hAnsi="Times New Roman" w:cs="Times New Roman"/>
                <w:bCs/>
                <w:color w:val="000000"/>
                <w:sz w:val="14"/>
                <w:szCs w:val="14"/>
              </w:rPr>
            </w:pPr>
          </w:p>
        </w:tc>
        <w:tc>
          <w:tcPr>
            <w:tcW w:w="2036"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bCs/>
                <w:color w:val="000000"/>
                <w:sz w:val="14"/>
                <w:szCs w:val="14"/>
              </w:rPr>
            </w:pPr>
            <w:r w:rsidRPr="009E58F9">
              <w:rPr>
                <w:rFonts w:ascii="Times New Roman" w:hAnsi="Times New Roman" w:cs="Times New Roman"/>
                <w:bCs/>
                <w:color w:val="000000"/>
                <w:sz w:val="14"/>
                <w:szCs w:val="14"/>
              </w:rPr>
              <w:t xml:space="preserve">   Nové investičné projekty</w:t>
            </w:r>
          </w:p>
        </w:tc>
        <w:tc>
          <w:tcPr>
            <w:tcW w:w="956"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Cs/>
                <w:color w:val="000000"/>
                <w:sz w:val="14"/>
                <w:szCs w:val="14"/>
              </w:rPr>
            </w:pPr>
            <w:r w:rsidRPr="009E58F9">
              <w:rPr>
                <w:rFonts w:ascii="Times New Roman" w:hAnsi="Times New Roman" w:cs="Times New Roman"/>
                <w:bCs/>
                <w:color w:val="000000"/>
                <w:sz w:val="14"/>
                <w:szCs w:val="14"/>
              </w:rPr>
              <w:t>0</w:t>
            </w:r>
          </w:p>
        </w:tc>
        <w:tc>
          <w:tcPr>
            <w:tcW w:w="956"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Cs/>
                <w:color w:val="000000"/>
                <w:sz w:val="14"/>
                <w:szCs w:val="14"/>
              </w:rPr>
            </w:pPr>
            <w:r w:rsidRPr="009E58F9">
              <w:rPr>
                <w:rFonts w:ascii="Times New Roman" w:hAnsi="Times New Roman" w:cs="Times New Roman"/>
                <w:bCs/>
                <w:color w:val="000000"/>
                <w:sz w:val="14"/>
                <w:szCs w:val="14"/>
              </w:rPr>
              <w:t>0</w:t>
            </w:r>
          </w:p>
        </w:tc>
        <w:tc>
          <w:tcPr>
            <w:tcW w:w="956"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Cs/>
                <w:color w:val="000000"/>
                <w:sz w:val="14"/>
                <w:szCs w:val="14"/>
              </w:rPr>
            </w:pPr>
            <w:r w:rsidRPr="009E58F9">
              <w:rPr>
                <w:rFonts w:ascii="Times New Roman" w:hAnsi="Times New Roman" w:cs="Times New Roman"/>
                <w:bCs/>
                <w:color w:val="000000"/>
                <w:sz w:val="14"/>
                <w:szCs w:val="14"/>
              </w:rPr>
              <w:t>8 000 000</w:t>
            </w:r>
          </w:p>
        </w:tc>
        <w:tc>
          <w:tcPr>
            <w:tcW w:w="1034"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Cs/>
                <w:color w:val="000000"/>
                <w:sz w:val="14"/>
                <w:szCs w:val="14"/>
              </w:rPr>
            </w:pPr>
            <w:r w:rsidRPr="009E58F9">
              <w:rPr>
                <w:rFonts w:ascii="Times New Roman" w:hAnsi="Times New Roman" w:cs="Times New Roman"/>
                <w:bCs/>
                <w:color w:val="000000"/>
                <w:sz w:val="14"/>
                <w:szCs w:val="14"/>
              </w:rPr>
              <w:t>0</w:t>
            </w:r>
          </w:p>
        </w:tc>
        <w:tc>
          <w:tcPr>
            <w:tcW w:w="956"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6 622 812</w:t>
            </w:r>
          </w:p>
        </w:tc>
        <w:tc>
          <w:tcPr>
            <w:tcW w:w="956"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4 803 489</w:t>
            </w:r>
          </w:p>
        </w:tc>
        <w:tc>
          <w:tcPr>
            <w:tcW w:w="866" w:type="dxa"/>
            <w:tcBorders>
              <w:top w:val="single" w:sz="4" w:space="0" w:color="auto"/>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1 472 508</w:t>
            </w:r>
          </w:p>
        </w:tc>
      </w:tr>
    </w:tbl>
    <w:p w:rsidR="00CB350B" w:rsidRPr="0004638E" w:rsidP="00CB350B">
      <w:pPr>
        <w:bidi w:val="0"/>
        <w:ind w:firstLine="708"/>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 xml:space="preserve">Výdavky v tejto oblasti sú na rok 2012 rozpočtované v celkovej sume </w:t>
      </w:r>
      <w:r w:rsidRPr="00EB00A6">
        <w:rPr>
          <w:rFonts w:ascii="Times New Roman" w:hAnsi="Times New Roman" w:cs="Times New Roman"/>
        </w:rPr>
        <w:t>34,3 mil. eur, oproti schválenému rozpočtu na rok 2011 klesajú o 46,0 % z dôvodu poklesu</w:t>
      </w:r>
      <w:r w:rsidRPr="0004638E">
        <w:rPr>
          <w:rFonts w:ascii="Times New Roman" w:hAnsi="Times New Roman" w:cs="Times New Roman"/>
        </w:rPr>
        <w:t xml:space="preserve"> výdavkov na schválené a pripravované investičné projekty. </w:t>
      </w:r>
    </w:p>
    <w:p w:rsidR="00CB350B" w:rsidRPr="0004638E" w:rsidP="00CB350B">
      <w:pPr>
        <w:bidi w:val="0"/>
        <w:ind w:firstLine="708"/>
        <w:jc w:val="both"/>
        <w:rPr>
          <w:rFonts w:ascii="Times New Roman" w:hAnsi="Times New Roman" w:cs="Times New Roman"/>
        </w:rPr>
      </w:pPr>
    </w:p>
    <w:p w:rsidR="00CB350B" w:rsidRPr="0004638E" w:rsidP="00CB350B">
      <w:pPr>
        <w:bidi w:val="0"/>
        <w:jc w:val="both"/>
        <w:rPr>
          <w:rFonts w:ascii="Times New Roman" w:hAnsi="Times New Roman" w:cs="Times New Roman"/>
          <w:b/>
        </w:rPr>
      </w:pPr>
      <w:r w:rsidRPr="0004638E">
        <w:rPr>
          <w:rFonts w:ascii="Times New Roman" w:hAnsi="Times New Roman" w:cs="Times New Roman"/>
          <w:b/>
        </w:rPr>
        <w:t>Inovácie</w:t>
      </w:r>
    </w:p>
    <w:p w:rsidR="00CB350B" w:rsidRPr="0004638E" w:rsidP="00CB350B">
      <w:pPr>
        <w:bidi w:val="0"/>
        <w:jc w:val="both"/>
        <w:rPr>
          <w:rFonts w:ascii="Times New Roman" w:hAnsi="Times New Roman" w:cs="Times New Roman"/>
          <w:b/>
        </w:rPr>
      </w:pPr>
    </w:p>
    <w:tbl>
      <w:tblPr>
        <w:tblStyle w:val="TableNormal"/>
        <w:tblW w:w="9125" w:type="dxa"/>
        <w:tblInd w:w="60" w:type="dxa"/>
        <w:tblCellMar>
          <w:left w:w="70" w:type="dxa"/>
          <w:right w:w="70" w:type="dxa"/>
        </w:tblCellMar>
        <w:tblLook w:val="04A0"/>
      </w:tblPr>
      <w:tblGrid>
        <w:gridCol w:w="2155"/>
        <w:gridCol w:w="988"/>
        <w:gridCol w:w="988"/>
        <w:gridCol w:w="1043"/>
        <w:gridCol w:w="987"/>
        <w:gridCol w:w="988"/>
        <w:gridCol w:w="988"/>
        <w:gridCol w:w="988"/>
      </w:tblGrid>
      <w:tr>
        <w:tblPrEx>
          <w:tblW w:w="9125" w:type="dxa"/>
          <w:tblInd w:w="60" w:type="dxa"/>
          <w:tblCellMar>
            <w:left w:w="70" w:type="dxa"/>
            <w:right w:w="70" w:type="dxa"/>
          </w:tblCellMar>
          <w:tblLook w:val="04A0"/>
        </w:tblPrEx>
        <w:trPr>
          <w:trHeight w:val="255"/>
        </w:trPr>
        <w:tc>
          <w:tcPr>
            <w:tcW w:w="2155"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 </w:t>
            </w:r>
            <w:r w:rsidRPr="009E58F9">
              <w:rPr>
                <w:rFonts w:ascii="Times New Roman" w:hAnsi="Times New Roman" w:cs="Times New Roman"/>
                <w:color w:val="000000"/>
                <w:sz w:val="14"/>
                <w:szCs w:val="14"/>
                <w:lang w:eastAsia="sk-SK"/>
              </w:rPr>
              <w:t> </w:t>
            </w:r>
            <w:r w:rsidRPr="009E58F9">
              <w:rPr>
                <w:rFonts w:ascii="Times New Roman" w:hAnsi="Times New Roman" w:cs="Times New Roman"/>
                <w:b/>
                <w:bCs/>
                <w:color w:val="000000"/>
                <w:sz w:val="14"/>
                <w:szCs w:val="14"/>
                <w:lang w:eastAsia="sk-SK"/>
              </w:rPr>
              <w:t>v eurách</w:t>
            </w:r>
          </w:p>
        </w:tc>
        <w:tc>
          <w:tcPr>
            <w:tcW w:w="988"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2009 S</w:t>
            </w:r>
          </w:p>
        </w:tc>
        <w:tc>
          <w:tcPr>
            <w:tcW w:w="988"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2010S</w:t>
            </w:r>
          </w:p>
        </w:tc>
        <w:tc>
          <w:tcPr>
            <w:tcW w:w="1043"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2011 R</w:t>
            </w:r>
          </w:p>
        </w:tc>
        <w:tc>
          <w:tcPr>
            <w:tcW w:w="987"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2011 OS</w:t>
            </w:r>
          </w:p>
        </w:tc>
        <w:tc>
          <w:tcPr>
            <w:tcW w:w="988"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2012 N</w:t>
            </w:r>
          </w:p>
        </w:tc>
        <w:tc>
          <w:tcPr>
            <w:tcW w:w="988"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2013 N</w:t>
            </w:r>
          </w:p>
        </w:tc>
        <w:tc>
          <w:tcPr>
            <w:tcW w:w="988"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2014 N</w:t>
            </w:r>
          </w:p>
        </w:tc>
      </w:tr>
      <w:tr>
        <w:tblPrEx>
          <w:tblW w:w="9125" w:type="dxa"/>
          <w:tblInd w:w="60" w:type="dxa"/>
          <w:tblCellMar>
            <w:left w:w="70" w:type="dxa"/>
            <w:right w:w="70" w:type="dxa"/>
          </w:tblCellMar>
          <w:tblLook w:val="04A0"/>
        </w:tblPrEx>
        <w:trPr>
          <w:trHeight w:val="255"/>
        </w:trPr>
        <w:tc>
          <w:tcPr>
            <w:tcW w:w="2155"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b/>
                <w:bCs/>
                <w:sz w:val="14"/>
                <w:szCs w:val="14"/>
              </w:rPr>
            </w:pPr>
            <w:r w:rsidRPr="009E58F9">
              <w:rPr>
                <w:rFonts w:ascii="Times New Roman" w:hAnsi="Times New Roman" w:cs="Times New Roman"/>
                <w:b/>
                <w:bCs/>
                <w:sz w:val="14"/>
                <w:szCs w:val="14"/>
              </w:rPr>
              <w:t>Inovácie</w:t>
            </w:r>
          </w:p>
        </w:tc>
        <w:tc>
          <w:tcPr>
            <w:tcW w:w="988"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42 402 233</w:t>
            </w:r>
          </w:p>
        </w:tc>
        <w:tc>
          <w:tcPr>
            <w:tcW w:w="988"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31 822 235</w:t>
            </w:r>
          </w:p>
        </w:tc>
        <w:tc>
          <w:tcPr>
            <w:tcW w:w="1043"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120 378 098</w:t>
            </w:r>
          </w:p>
        </w:tc>
        <w:tc>
          <w:tcPr>
            <w:tcW w:w="987"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79 121 142</w:t>
            </w:r>
          </w:p>
        </w:tc>
        <w:tc>
          <w:tcPr>
            <w:tcW w:w="988"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70 771 242</w:t>
            </w:r>
          </w:p>
        </w:tc>
        <w:tc>
          <w:tcPr>
            <w:tcW w:w="988"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38 374 221</w:t>
            </w:r>
          </w:p>
        </w:tc>
        <w:tc>
          <w:tcPr>
            <w:tcW w:w="988"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27 217 299</w:t>
            </w:r>
          </w:p>
        </w:tc>
      </w:tr>
      <w:tr>
        <w:tblPrEx>
          <w:tblW w:w="9125" w:type="dxa"/>
          <w:tblInd w:w="60" w:type="dxa"/>
          <w:tblCellMar>
            <w:left w:w="70" w:type="dxa"/>
            <w:right w:w="70" w:type="dxa"/>
          </w:tblCellMar>
          <w:tblLook w:val="04A0"/>
        </w:tblPrEx>
        <w:trPr>
          <w:trHeight w:val="255"/>
        </w:trPr>
        <w:tc>
          <w:tcPr>
            <w:tcW w:w="2155"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Výdavky EÚ a spolufin</w:t>
            </w:r>
            <w:r>
              <w:rPr>
                <w:rFonts w:ascii="Times New Roman" w:hAnsi="Times New Roman" w:cs="Times New Roman"/>
                <w:sz w:val="14"/>
                <w:szCs w:val="14"/>
              </w:rPr>
              <w:t>ancovania</w:t>
            </w:r>
          </w:p>
        </w:tc>
        <w:tc>
          <w:tcPr>
            <w:tcW w:w="98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 xml:space="preserve">42 402 233 </w:t>
            </w:r>
          </w:p>
        </w:tc>
        <w:tc>
          <w:tcPr>
            <w:tcW w:w="988"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31 822 235</w:t>
            </w:r>
          </w:p>
        </w:tc>
        <w:tc>
          <w:tcPr>
            <w:tcW w:w="1043"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120 378 098</w:t>
            </w:r>
          </w:p>
        </w:tc>
        <w:tc>
          <w:tcPr>
            <w:tcW w:w="987"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79 121 142</w:t>
            </w:r>
          </w:p>
        </w:tc>
        <w:tc>
          <w:tcPr>
            <w:tcW w:w="988"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70 771 242</w:t>
            </w:r>
          </w:p>
        </w:tc>
        <w:tc>
          <w:tcPr>
            <w:tcW w:w="988"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38 374 221</w:t>
            </w:r>
          </w:p>
        </w:tc>
        <w:tc>
          <w:tcPr>
            <w:tcW w:w="988"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27 217 299</w:t>
            </w:r>
          </w:p>
        </w:tc>
      </w:tr>
    </w:tbl>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iCs/>
        </w:rPr>
      </w:pPr>
      <w:r w:rsidRPr="0004638E">
        <w:rPr>
          <w:rFonts w:ascii="Times New Roman" w:hAnsi="Times New Roman" w:cs="Times New Roman"/>
          <w:bCs/>
          <w:iCs/>
        </w:rPr>
        <w:t xml:space="preserve">Na </w:t>
      </w:r>
      <w:r w:rsidRPr="0004638E">
        <w:rPr>
          <w:rFonts w:ascii="Times New Roman" w:hAnsi="Times New Roman" w:cs="Times New Roman"/>
          <w:iCs/>
        </w:rPr>
        <w:t xml:space="preserve">podporu inovácií sa na rok 2012 rozpočtujú finančné prostriedky </w:t>
      </w:r>
      <w:r w:rsidRPr="0004638E">
        <w:rPr>
          <w:rFonts w:ascii="Times New Roman" w:hAnsi="Times New Roman" w:cs="Times New Roman"/>
        </w:rPr>
        <w:t>EÚ a</w:t>
      </w:r>
      <w:r>
        <w:rPr>
          <w:rFonts w:ascii="Times New Roman" w:hAnsi="Times New Roman" w:cs="Times New Roman"/>
        </w:rPr>
        <w:t> </w:t>
      </w:r>
      <w:r w:rsidRPr="0004638E">
        <w:rPr>
          <w:rFonts w:ascii="Times New Roman" w:hAnsi="Times New Roman" w:cs="Times New Roman"/>
        </w:rPr>
        <w:t>spolufinancovania</w:t>
      </w:r>
      <w:r>
        <w:rPr>
          <w:rFonts w:ascii="Times New Roman" w:hAnsi="Times New Roman" w:cs="Times New Roman"/>
        </w:rPr>
        <w:t xml:space="preserve"> </w:t>
      </w:r>
      <w:r w:rsidRPr="0004638E">
        <w:rPr>
          <w:rFonts w:ascii="Times New Roman" w:hAnsi="Times New Roman" w:cs="Times New Roman"/>
        </w:rPr>
        <w:t>v rámci</w:t>
      </w:r>
      <w:r>
        <w:rPr>
          <w:rFonts w:ascii="Times New Roman" w:hAnsi="Times New Roman" w:cs="Times New Roman"/>
        </w:rPr>
        <w:t xml:space="preserve"> </w:t>
      </w:r>
      <w:r w:rsidRPr="0004638E">
        <w:rPr>
          <w:rFonts w:ascii="Times New Roman" w:hAnsi="Times New Roman" w:cs="Times New Roman"/>
        </w:rPr>
        <w:t>OP KaHR</w:t>
      </w:r>
      <w:r w:rsidRPr="0004638E">
        <w:rPr>
          <w:rFonts w:ascii="Times New Roman" w:hAnsi="Times New Roman" w:cs="Times New Roman"/>
          <w:iCs/>
        </w:rPr>
        <w:t xml:space="preserve"> vo výške 70,8 mil. eur.  </w:t>
      </w:r>
      <w:r w:rsidRPr="0004638E">
        <w:rPr>
          <w:rFonts w:ascii="Times New Roman" w:hAnsi="Times New Roman" w:cs="Times New Roman"/>
        </w:rPr>
        <w:t xml:space="preserve">Hlavným účelom podpory podnikania v oblasti inovácií a technologických transferov je zvýšenie konkurencieschopnosti existujúcich podnikov zavedením inovatívnych a vyspelých technológií, strojov, prístrojov a zariadení, zlepšenie využívania domácich a obnoviteľných surovín, ako aj tvorby pracovných miest prostredníctvom rozvoja podnikania. Výdavky v tejto oblasti sú určené aj na účasť slovenských výrobcov na veľtrhoch, výstavách, obchodných </w:t>
      </w:r>
      <w:r w:rsidRPr="0004638E">
        <w:rPr>
          <w:rFonts w:ascii="Times New Roman" w:hAnsi="Times New Roman" w:cs="Times New Roman"/>
          <w:iCs/>
        </w:rPr>
        <w:t xml:space="preserve">misiách a subkontraktačných veľtrhoch. Finančné prostriedky budú poskytované aj na zavádzanie systémov manažérstva kvality, ochranu duševného vlastníctva, priemyselného dizajnu. </w:t>
      </w:r>
    </w:p>
    <w:p w:rsidR="00CB350B" w:rsidRPr="0004638E" w:rsidP="00CB350B">
      <w:pPr>
        <w:bidi w:val="0"/>
        <w:jc w:val="both"/>
        <w:rPr>
          <w:rFonts w:ascii="Times New Roman" w:hAnsi="Times New Roman" w:cs="Times New Roman"/>
          <w:b/>
          <w:bCs/>
        </w:rPr>
      </w:pPr>
    </w:p>
    <w:p w:rsidR="00CB350B" w:rsidRPr="0004638E" w:rsidP="00CB350B">
      <w:pPr>
        <w:bidi w:val="0"/>
        <w:jc w:val="both"/>
        <w:rPr>
          <w:rFonts w:ascii="Times New Roman" w:hAnsi="Times New Roman" w:cs="Times New Roman"/>
          <w:b/>
        </w:rPr>
      </w:pPr>
      <w:r w:rsidRPr="0004638E">
        <w:rPr>
          <w:rFonts w:ascii="Times New Roman" w:hAnsi="Times New Roman" w:cs="Times New Roman"/>
          <w:b/>
        </w:rPr>
        <w:t xml:space="preserve">Energetika </w:t>
      </w:r>
    </w:p>
    <w:p w:rsidR="00CB350B" w:rsidRPr="0004638E" w:rsidP="00CB350B">
      <w:pPr>
        <w:bidi w:val="0"/>
        <w:jc w:val="both"/>
        <w:rPr>
          <w:rFonts w:ascii="Times New Roman" w:hAnsi="Times New Roman" w:cs="Times New Roman"/>
          <w:b/>
        </w:rPr>
      </w:pPr>
    </w:p>
    <w:tbl>
      <w:tblPr>
        <w:tblStyle w:val="TableNormal"/>
        <w:tblW w:w="9152" w:type="dxa"/>
        <w:tblInd w:w="60" w:type="dxa"/>
        <w:tblCellMar>
          <w:left w:w="70" w:type="dxa"/>
          <w:right w:w="70" w:type="dxa"/>
        </w:tblCellMar>
        <w:tblLook w:val="04A0"/>
      </w:tblPr>
      <w:tblGrid>
        <w:gridCol w:w="2301"/>
        <w:gridCol w:w="978"/>
        <w:gridCol w:w="978"/>
        <w:gridCol w:w="979"/>
        <w:gridCol w:w="979"/>
        <w:gridCol w:w="979"/>
        <w:gridCol w:w="979"/>
        <w:gridCol w:w="979"/>
      </w:tblGrid>
      <w:tr>
        <w:tblPrEx>
          <w:tblW w:w="9152" w:type="dxa"/>
          <w:tblInd w:w="60" w:type="dxa"/>
          <w:tblCellMar>
            <w:left w:w="70" w:type="dxa"/>
            <w:right w:w="70" w:type="dxa"/>
          </w:tblCellMar>
          <w:tblLook w:val="04A0"/>
        </w:tblPrEx>
        <w:trPr>
          <w:trHeight w:val="255"/>
        </w:trPr>
        <w:tc>
          <w:tcPr>
            <w:tcW w:w="2301"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FFFFFF"/>
                <w:sz w:val="14"/>
                <w:szCs w:val="14"/>
                <w:lang w:eastAsia="sk-SK"/>
              </w:rPr>
            </w:pPr>
            <w:r w:rsidRPr="009E58F9">
              <w:rPr>
                <w:rFonts w:ascii="Times New Roman" w:hAnsi="Times New Roman" w:cs="Times New Roman"/>
                <w:color w:val="FFFFFF"/>
                <w:sz w:val="14"/>
                <w:szCs w:val="14"/>
                <w:lang w:eastAsia="sk-SK"/>
              </w:rPr>
              <w:t> </w:t>
            </w:r>
            <w:r w:rsidRPr="009E58F9">
              <w:rPr>
                <w:rFonts w:ascii="Times New Roman" w:hAnsi="Times New Roman" w:cs="Times New Roman"/>
                <w:color w:val="000000"/>
                <w:sz w:val="14"/>
                <w:szCs w:val="14"/>
                <w:lang w:eastAsia="sk-SK"/>
              </w:rPr>
              <w:t> </w:t>
            </w:r>
            <w:r w:rsidRPr="009E58F9">
              <w:rPr>
                <w:rFonts w:ascii="Times New Roman" w:hAnsi="Times New Roman" w:cs="Times New Roman"/>
                <w:b/>
                <w:bCs/>
                <w:color w:val="000000"/>
                <w:sz w:val="14"/>
                <w:szCs w:val="14"/>
                <w:lang w:eastAsia="sk-SK"/>
              </w:rPr>
              <w:t>v eurách</w:t>
            </w:r>
          </w:p>
        </w:tc>
        <w:tc>
          <w:tcPr>
            <w:tcW w:w="978"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2009 S</w:t>
            </w:r>
          </w:p>
        </w:tc>
        <w:tc>
          <w:tcPr>
            <w:tcW w:w="978"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2010S</w:t>
            </w:r>
          </w:p>
        </w:tc>
        <w:tc>
          <w:tcPr>
            <w:tcW w:w="979"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2011 R</w:t>
            </w:r>
          </w:p>
        </w:tc>
        <w:tc>
          <w:tcPr>
            <w:tcW w:w="979"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2011 OS</w:t>
            </w:r>
          </w:p>
        </w:tc>
        <w:tc>
          <w:tcPr>
            <w:tcW w:w="979"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2012 N</w:t>
            </w:r>
          </w:p>
        </w:tc>
        <w:tc>
          <w:tcPr>
            <w:tcW w:w="979"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2013 N</w:t>
            </w:r>
          </w:p>
        </w:tc>
        <w:tc>
          <w:tcPr>
            <w:tcW w:w="979"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2014 N</w:t>
            </w:r>
          </w:p>
        </w:tc>
      </w:tr>
      <w:tr>
        <w:tblPrEx>
          <w:tblW w:w="9152" w:type="dxa"/>
          <w:tblInd w:w="60" w:type="dxa"/>
          <w:tblCellMar>
            <w:left w:w="70" w:type="dxa"/>
            <w:right w:w="70" w:type="dxa"/>
          </w:tblCellMar>
          <w:tblLook w:val="04A0"/>
        </w:tblPrEx>
        <w:trPr>
          <w:trHeight w:val="255"/>
        </w:trPr>
        <w:tc>
          <w:tcPr>
            <w:tcW w:w="2301"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b/>
                <w:bCs/>
                <w:sz w:val="14"/>
                <w:szCs w:val="14"/>
              </w:rPr>
            </w:pPr>
            <w:r w:rsidRPr="009E58F9">
              <w:rPr>
                <w:rFonts w:ascii="Times New Roman" w:hAnsi="Times New Roman" w:cs="Times New Roman"/>
                <w:b/>
                <w:bCs/>
                <w:sz w:val="14"/>
                <w:szCs w:val="14"/>
              </w:rPr>
              <w:t>Energetika</w:t>
            </w:r>
          </w:p>
        </w:tc>
        <w:tc>
          <w:tcPr>
            <w:tcW w:w="978"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78"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23 814 949</w:t>
            </w:r>
          </w:p>
        </w:tc>
        <w:tc>
          <w:tcPr>
            <w:tcW w:w="979"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60 887 219</w:t>
            </w:r>
          </w:p>
        </w:tc>
        <w:tc>
          <w:tcPr>
            <w:tcW w:w="979"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40 685 999</w:t>
            </w:r>
          </w:p>
        </w:tc>
        <w:tc>
          <w:tcPr>
            <w:tcW w:w="979"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32 037 318</w:t>
            </w:r>
          </w:p>
        </w:tc>
        <w:tc>
          <w:tcPr>
            <w:tcW w:w="979"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24 234 767</w:t>
            </w:r>
          </w:p>
        </w:tc>
        <w:tc>
          <w:tcPr>
            <w:tcW w:w="979"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22 902 235</w:t>
            </w:r>
          </w:p>
        </w:tc>
      </w:tr>
      <w:tr>
        <w:tblPrEx>
          <w:tblW w:w="9152" w:type="dxa"/>
          <w:tblInd w:w="60" w:type="dxa"/>
          <w:tblCellMar>
            <w:left w:w="70" w:type="dxa"/>
            <w:right w:w="70" w:type="dxa"/>
          </w:tblCellMar>
          <w:tblLook w:val="04A0"/>
        </w:tblPrEx>
        <w:trPr>
          <w:trHeight w:val="255"/>
        </w:trPr>
        <w:tc>
          <w:tcPr>
            <w:tcW w:w="2301"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Program podpory energ. ef</w:t>
            </w:r>
            <w:r>
              <w:rPr>
                <w:rFonts w:ascii="Times New Roman" w:hAnsi="Times New Roman" w:cs="Times New Roman"/>
                <w:sz w:val="14"/>
                <w:szCs w:val="14"/>
              </w:rPr>
              <w:t>ektívnosti</w:t>
            </w:r>
          </w:p>
        </w:tc>
        <w:tc>
          <w:tcPr>
            <w:tcW w:w="97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78"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940 100</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59 900</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r>
      <w:tr>
        <w:tblPrEx>
          <w:tblW w:w="9152" w:type="dxa"/>
          <w:tblInd w:w="60" w:type="dxa"/>
          <w:tblCellMar>
            <w:left w:w="70" w:type="dxa"/>
            <w:right w:w="70" w:type="dxa"/>
          </w:tblCellMar>
          <w:tblLook w:val="04A0"/>
        </w:tblPrEx>
        <w:trPr>
          <w:trHeight w:val="255"/>
        </w:trPr>
        <w:tc>
          <w:tcPr>
            <w:tcW w:w="2301"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Výdavky EÚ a spolufin</w:t>
            </w:r>
            <w:r>
              <w:rPr>
                <w:rFonts w:ascii="Times New Roman" w:hAnsi="Times New Roman" w:cs="Times New Roman"/>
                <w:sz w:val="14"/>
                <w:szCs w:val="14"/>
              </w:rPr>
              <w:t>ancovania</w:t>
            </w:r>
          </w:p>
        </w:tc>
        <w:tc>
          <w:tcPr>
            <w:tcW w:w="97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7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22 874 849</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60 887 219</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40 626 099</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32 037 318</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24 234 767</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22 902 235</w:t>
            </w:r>
          </w:p>
        </w:tc>
      </w:tr>
    </w:tbl>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Na podporu v oblasti energetiky sa na rok 2012 rozpočtujú finančné prostriedky EÚ a spolufinancovania v rámci OP KaHR vo výške 32,0 mil. eur. Tieto prostriedky sú určené na podporu projektov využívajúcich progresívne úsporné technológie na zásobovanie energiou a zariadenia s vyššou účinnosťou využitia energie s minimálnym dopadom na životné prostredie, projekty na znižovanie energetickej náročnosti výrobných procesov, projekty zabezpečujúce zlepšenie tepelno-technických charakteristík budov a vybavenie zariadení meracími a regulačnými systémami, projekty na výrobu elektrickej energie a tepla, využívajúce obnoviteľné zdroje energie, budovanie malých vodných elektrární a energetické využitie komunálneho odpadu, na podporu verejného sektora pri budovaní a modernizácii verejného osvetlenia v mestách a obciach, ako aj informovanie verejnosti o efektívnom využívaní energie a obnoviteľných zdrojov energie.</w:t>
      </w:r>
    </w:p>
    <w:p w:rsidR="00CB350B" w:rsidRPr="0004638E" w:rsidP="00CB350B">
      <w:pPr>
        <w:bidi w:val="0"/>
        <w:jc w:val="both"/>
        <w:rPr>
          <w:rFonts w:ascii="Times New Roman" w:hAnsi="Times New Roman" w:cs="Times New Roman"/>
        </w:rPr>
      </w:pPr>
    </w:p>
    <w:p w:rsidR="00CB350B" w:rsidRPr="0004638E" w:rsidP="00CB350B">
      <w:pPr>
        <w:bidi w:val="0"/>
        <w:jc w:val="both"/>
        <w:rPr>
          <w:rFonts w:ascii="Times New Roman" w:hAnsi="Times New Roman" w:cs="Times New Roman"/>
          <w:b/>
        </w:rPr>
      </w:pPr>
      <w:r w:rsidRPr="0004638E">
        <w:rPr>
          <w:rFonts w:ascii="Times New Roman" w:hAnsi="Times New Roman" w:cs="Times New Roman"/>
          <w:b/>
        </w:rPr>
        <w:t>Cestovný ruch</w:t>
      </w:r>
    </w:p>
    <w:p w:rsidR="00CB350B" w:rsidRPr="0004638E" w:rsidP="00CB350B">
      <w:pPr>
        <w:bidi w:val="0"/>
        <w:jc w:val="both"/>
        <w:rPr>
          <w:rFonts w:ascii="Times New Roman" w:hAnsi="Times New Roman" w:cs="Times New Roman"/>
          <w:b/>
        </w:rPr>
      </w:pPr>
    </w:p>
    <w:tbl>
      <w:tblPr>
        <w:tblStyle w:val="TableNormal"/>
        <w:tblW w:w="9152" w:type="dxa"/>
        <w:tblInd w:w="60" w:type="dxa"/>
        <w:tblCellMar>
          <w:left w:w="70" w:type="dxa"/>
          <w:right w:w="70" w:type="dxa"/>
        </w:tblCellMar>
        <w:tblLook w:val="04A0"/>
      </w:tblPr>
      <w:tblGrid>
        <w:gridCol w:w="2301"/>
        <w:gridCol w:w="978"/>
        <w:gridCol w:w="978"/>
        <w:gridCol w:w="979"/>
        <w:gridCol w:w="979"/>
        <w:gridCol w:w="979"/>
        <w:gridCol w:w="979"/>
        <w:gridCol w:w="979"/>
      </w:tblGrid>
      <w:tr>
        <w:tblPrEx>
          <w:tblW w:w="9152" w:type="dxa"/>
          <w:tblInd w:w="60" w:type="dxa"/>
          <w:tblCellMar>
            <w:left w:w="70" w:type="dxa"/>
            <w:right w:w="70" w:type="dxa"/>
          </w:tblCellMar>
          <w:tblLook w:val="04A0"/>
        </w:tblPrEx>
        <w:trPr>
          <w:trHeight w:val="255"/>
        </w:trPr>
        <w:tc>
          <w:tcPr>
            <w:tcW w:w="2301"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FFFFFF"/>
                <w:sz w:val="14"/>
                <w:szCs w:val="14"/>
                <w:lang w:eastAsia="sk-SK"/>
              </w:rPr>
            </w:pPr>
            <w:r w:rsidRPr="009E58F9">
              <w:rPr>
                <w:rFonts w:ascii="Times New Roman" w:hAnsi="Times New Roman" w:cs="Times New Roman"/>
                <w:color w:val="FFFFFF"/>
                <w:sz w:val="14"/>
                <w:szCs w:val="14"/>
                <w:lang w:eastAsia="sk-SK"/>
              </w:rPr>
              <w:t> </w:t>
            </w:r>
            <w:r w:rsidRPr="009E58F9">
              <w:rPr>
                <w:rFonts w:ascii="Times New Roman" w:hAnsi="Times New Roman" w:cs="Times New Roman"/>
                <w:color w:val="000000"/>
                <w:sz w:val="14"/>
                <w:szCs w:val="14"/>
                <w:lang w:eastAsia="sk-SK"/>
              </w:rPr>
              <w:t> </w:t>
            </w:r>
            <w:r w:rsidRPr="009E58F9">
              <w:rPr>
                <w:rFonts w:ascii="Times New Roman" w:hAnsi="Times New Roman" w:cs="Times New Roman"/>
                <w:b/>
                <w:bCs/>
                <w:color w:val="000000"/>
                <w:sz w:val="14"/>
                <w:szCs w:val="14"/>
                <w:lang w:eastAsia="sk-SK"/>
              </w:rPr>
              <w:t>v eurách</w:t>
            </w:r>
          </w:p>
        </w:tc>
        <w:tc>
          <w:tcPr>
            <w:tcW w:w="978"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2009 S</w:t>
            </w:r>
          </w:p>
        </w:tc>
        <w:tc>
          <w:tcPr>
            <w:tcW w:w="978"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2010S</w:t>
            </w:r>
          </w:p>
        </w:tc>
        <w:tc>
          <w:tcPr>
            <w:tcW w:w="979"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2011 R</w:t>
            </w:r>
          </w:p>
        </w:tc>
        <w:tc>
          <w:tcPr>
            <w:tcW w:w="979"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2011 OS</w:t>
            </w:r>
          </w:p>
        </w:tc>
        <w:tc>
          <w:tcPr>
            <w:tcW w:w="979"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2012 N</w:t>
            </w:r>
          </w:p>
        </w:tc>
        <w:tc>
          <w:tcPr>
            <w:tcW w:w="979"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2013 N</w:t>
            </w:r>
          </w:p>
        </w:tc>
        <w:tc>
          <w:tcPr>
            <w:tcW w:w="979" w:type="dxa"/>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2014 N</w:t>
            </w:r>
          </w:p>
        </w:tc>
      </w:tr>
      <w:tr>
        <w:tblPrEx>
          <w:tblW w:w="9152" w:type="dxa"/>
          <w:tblInd w:w="60" w:type="dxa"/>
          <w:tblCellMar>
            <w:left w:w="70" w:type="dxa"/>
            <w:right w:w="70" w:type="dxa"/>
          </w:tblCellMar>
          <w:tblLook w:val="04A0"/>
        </w:tblPrEx>
        <w:trPr>
          <w:trHeight w:val="255"/>
        </w:trPr>
        <w:tc>
          <w:tcPr>
            <w:tcW w:w="2301"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b/>
                <w:bCs/>
                <w:sz w:val="14"/>
                <w:szCs w:val="14"/>
              </w:rPr>
            </w:pPr>
            <w:r w:rsidRPr="009E58F9">
              <w:rPr>
                <w:rFonts w:ascii="Times New Roman" w:hAnsi="Times New Roman" w:cs="Times New Roman"/>
                <w:b/>
                <w:bCs/>
                <w:sz w:val="14"/>
                <w:szCs w:val="14"/>
              </w:rPr>
              <w:t>Cestovný ruch</w:t>
            </w:r>
          </w:p>
        </w:tc>
        <w:tc>
          <w:tcPr>
            <w:tcW w:w="978"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22 766 451</w:t>
            </w:r>
          </w:p>
        </w:tc>
        <w:tc>
          <w:tcPr>
            <w:tcW w:w="978"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37 148 920</w:t>
            </w:r>
          </w:p>
        </w:tc>
        <w:tc>
          <w:tcPr>
            <w:tcW w:w="979"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0</w:t>
            </w:r>
          </w:p>
        </w:tc>
        <w:tc>
          <w:tcPr>
            <w:tcW w:w="979"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35 192 711</w:t>
            </w:r>
          </w:p>
        </w:tc>
        <w:tc>
          <w:tcPr>
            <w:tcW w:w="979"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19 528 012</w:t>
            </w:r>
          </w:p>
        </w:tc>
        <w:tc>
          <w:tcPr>
            <w:tcW w:w="979"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12 244 889</w:t>
            </w:r>
          </w:p>
        </w:tc>
        <w:tc>
          <w:tcPr>
            <w:tcW w:w="979"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12 109 793</w:t>
            </w:r>
          </w:p>
        </w:tc>
      </w:tr>
      <w:tr>
        <w:tblPrEx>
          <w:tblW w:w="9152" w:type="dxa"/>
          <w:tblInd w:w="60" w:type="dxa"/>
          <w:tblCellMar>
            <w:left w:w="70" w:type="dxa"/>
            <w:right w:w="70" w:type="dxa"/>
          </w:tblCellMar>
          <w:tblLook w:val="04A0"/>
        </w:tblPrEx>
        <w:trPr>
          <w:trHeight w:val="255"/>
        </w:trPr>
        <w:tc>
          <w:tcPr>
            <w:tcW w:w="2301"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 xml:space="preserve">SACR </w:t>
            </w:r>
          </w:p>
        </w:tc>
        <w:tc>
          <w:tcPr>
            <w:tcW w:w="97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1 437 296</w:t>
            </w:r>
          </w:p>
        </w:tc>
        <w:tc>
          <w:tcPr>
            <w:tcW w:w="978"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1 302 835</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sz w:val="14"/>
                <w:szCs w:val="14"/>
              </w:rPr>
              <w:t>0</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0 </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0 </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 0</w:t>
            </w:r>
          </w:p>
        </w:tc>
      </w:tr>
      <w:tr>
        <w:tblPrEx>
          <w:tblW w:w="9152" w:type="dxa"/>
          <w:tblInd w:w="60" w:type="dxa"/>
          <w:tblCellMar>
            <w:left w:w="70" w:type="dxa"/>
            <w:right w:w="70" w:type="dxa"/>
          </w:tblCellMar>
          <w:tblLook w:val="04A0"/>
        </w:tblPrEx>
        <w:trPr>
          <w:trHeight w:val="255"/>
        </w:trPr>
        <w:tc>
          <w:tcPr>
            <w:tcW w:w="2301"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Výdavky EÚ a spolufin.</w:t>
            </w:r>
          </w:p>
        </w:tc>
        <w:tc>
          <w:tcPr>
            <w:tcW w:w="97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21 329 155</w:t>
            </w:r>
          </w:p>
        </w:tc>
        <w:tc>
          <w:tcPr>
            <w:tcW w:w="978"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35 846 085</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bCs/>
                <w:sz w:val="14"/>
                <w:szCs w:val="14"/>
              </w:rPr>
            </w:pPr>
            <w:r w:rsidRPr="009E58F9">
              <w:rPr>
                <w:rFonts w:ascii="Times New Roman" w:hAnsi="Times New Roman" w:cs="Times New Roman"/>
                <w:bCs/>
                <w:sz w:val="14"/>
                <w:szCs w:val="14"/>
              </w:rPr>
              <w:t> 0</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35 192 711</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19 528 012</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12 244 889</w:t>
            </w:r>
          </w:p>
        </w:tc>
        <w:tc>
          <w:tcPr>
            <w:tcW w:w="979"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12 109 793</w:t>
            </w:r>
          </w:p>
        </w:tc>
      </w:tr>
    </w:tbl>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 xml:space="preserve">Kompetencie v oblasti cestovného ruchu boli delimitované z MH SR </w:t>
      </w:r>
      <w:r>
        <w:rPr>
          <w:rFonts w:ascii="Times New Roman" w:hAnsi="Times New Roman" w:cs="Times New Roman"/>
        </w:rPr>
        <w:t>na</w:t>
      </w:r>
      <w:r w:rsidRPr="0004638E">
        <w:rPr>
          <w:rFonts w:ascii="Times New Roman" w:hAnsi="Times New Roman" w:cs="Times New Roman"/>
        </w:rPr>
        <w:t xml:space="preserve"> Ministerstv</w:t>
      </w:r>
      <w:r>
        <w:rPr>
          <w:rFonts w:ascii="Times New Roman" w:hAnsi="Times New Roman" w:cs="Times New Roman"/>
        </w:rPr>
        <w:t>o</w:t>
      </w:r>
      <w:r w:rsidRPr="0004638E">
        <w:rPr>
          <w:rFonts w:ascii="Times New Roman" w:hAnsi="Times New Roman" w:cs="Times New Roman"/>
        </w:rPr>
        <w:t xml:space="preserve"> dopravy, výstavby a regionálneho rozvoja SR (ďalej len „MDVRR SR“). Na základe Dohody o spolupráci v rámci Operačného programu Konkurencieschopnosť a hospodársky rast v programovom období rokov 2007 – 2013, uzatvorenej medzi MDVRR SR a MH SR sú však prostriedky EÚ a spolufinancovania rozpočtované v kapitole MH SR. Ostatné výdavky súvisiace s cestovným ruchom sú rozpočtované v kapitole MDVRR SR. </w:t>
      </w:r>
    </w:p>
    <w:p w:rsidR="00CB350B" w:rsidRPr="0004638E" w:rsidP="00CB350B">
      <w:pPr>
        <w:bidi w:val="0"/>
        <w:jc w:val="both"/>
        <w:rPr>
          <w:rFonts w:ascii="Times New Roman" w:hAnsi="Times New Roman" w:cs="Times New Roman"/>
        </w:rPr>
      </w:pPr>
    </w:p>
    <w:p w:rsidR="00CB350B" w:rsidP="00CB350B">
      <w:pPr>
        <w:bidi w:val="0"/>
        <w:ind w:firstLine="708"/>
        <w:jc w:val="both"/>
        <w:rPr>
          <w:rFonts w:ascii="Times New Roman" w:hAnsi="Times New Roman" w:cs="Times New Roman"/>
        </w:rPr>
      </w:pPr>
      <w:r w:rsidRPr="0004638E">
        <w:rPr>
          <w:rFonts w:ascii="Times New Roman" w:hAnsi="Times New Roman" w:cs="Times New Roman"/>
        </w:rPr>
        <w:t xml:space="preserve">Výdavky sú určené na budovanie komplexných služieb cestovného ruchu s celoročným využitím prostredníctvom nových služieb s vyššou pridanou hodnotou, na podporu propagácie slovenského cestovného ruchu doma i v zahraničí formou tvorby informačných a prezentačných materiálov, účasti  na propagačných a prezentačných aktivitách cestovného ruchu, podporu prezentácie SR v zahraničí ako atraktívnej turistickej destinácie. Predmetom podpory je aj rozvoj informačných služieb cestovného ruchu, zber informácií, vytváranie a činnosť turisticko-informačných kancelárií. </w:t>
      </w:r>
    </w:p>
    <w:p w:rsidR="00CB350B" w:rsidP="00CB350B">
      <w:pPr>
        <w:bidi w:val="0"/>
        <w:jc w:val="both"/>
        <w:rPr>
          <w:rFonts w:ascii="Times New Roman" w:hAnsi="Times New Roman" w:cs="Times New Roman"/>
          <w:b/>
        </w:rPr>
      </w:pPr>
      <w:r w:rsidRPr="0004638E">
        <w:rPr>
          <w:rFonts w:ascii="Times New Roman" w:hAnsi="Times New Roman" w:cs="Times New Roman"/>
          <w:b/>
        </w:rPr>
        <w:t>Administratíva</w:t>
      </w:r>
    </w:p>
    <w:p w:rsidR="00CB350B" w:rsidRPr="0004638E" w:rsidP="00CB350B">
      <w:pPr>
        <w:bidi w:val="0"/>
        <w:jc w:val="both"/>
        <w:rPr>
          <w:rFonts w:ascii="Times New Roman" w:hAnsi="Times New Roman" w:cs="Times New Roman"/>
          <w:b/>
        </w:rPr>
      </w:pPr>
    </w:p>
    <w:tbl>
      <w:tblPr>
        <w:tblStyle w:val="TableNormal"/>
        <w:tblW w:w="9072" w:type="dxa"/>
        <w:tblInd w:w="55" w:type="dxa"/>
        <w:tblCellMar>
          <w:left w:w="70" w:type="dxa"/>
          <w:right w:w="70" w:type="dxa"/>
        </w:tblCellMar>
        <w:tblLook w:val="04A0"/>
      </w:tblPr>
      <w:tblGrid>
        <w:gridCol w:w="2282"/>
        <w:gridCol w:w="970"/>
        <w:gridCol w:w="970"/>
        <w:gridCol w:w="970"/>
        <w:gridCol w:w="970"/>
        <w:gridCol w:w="970"/>
        <w:gridCol w:w="970"/>
        <w:gridCol w:w="970"/>
      </w:tblGrid>
      <w:tr>
        <w:tblPrEx>
          <w:tblW w:w="9072" w:type="dxa"/>
          <w:tblInd w:w="55" w:type="dxa"/>
          <w:tblCellMar>
            <w:left w:w="70" w:type="dxa"/>
            <w:right w:w="70" w:type="dxa"/>
          </w:tblCellMar>
          <w:tblLook w:val="04A0"/>
        </w:tblPrEx>
        <w:trPr>
          <w:trHeight w:val="255"/>
        </w:trPr>
        <w:tc>
          <w:tcPr>
            <w:tcW w:w="228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b/>
                <w:sz w:val="14"/>
                <w:szCs w:val="14"/>
              </w:rPr>
            </w:pPr>
            <w:r w:rsidRPr="009E58F9">
              <w:rPr>
                <w:rFonts w:ascii="Times New Roman" w:hAnsi="Times New Roman" w:cs="Times New Roman"/>
                <w:b/>
                <w:sz w:val="14"/>
                <w:szCs w:val="14"/>
              </w:rPr>
              <w:t> </w:t>
            </w:r>
            <w:r w:rsidRPr="009E58F9">
              <w:rPr>
                <w:rFonts w:ascii="Times New Roman" w:hAnsi="Times New Roman" w:cs="Times New Roman"/>
                <w:color w:val="000000"/>
                <w:sz w:val="14"/>
                <w:szCs w:val="14"/>
                <w:lang w:eastAsia="sk-SK"/>
              </w:rPr>
              <w:t> </w:t>
            </w:r>
            <w:r w:rsidRPr="009E58F9">
              <w:rPr>
                <w:rFonts w:ascii="Times New Roman" w:hAnsi="Times New Roman" w:cs="Times New Roman"/>
                <w:b/>
                <w:bCs/>
                <w:color w:val="000000"/>
                <w:sz w:val="14"/>
                <w:szCs w:val="14"/>
                <w:lang w:eastAsia="sk-SK"/>
              </w:rPr>
              <w:t>v eurách</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sz w:val="14"/>
                <w:szCs w:val="14"/>
              </w:rPr>
            </w:pPr>
            <w:r w:rsidRPr="009E58F9">
              <w:rPr>
                <w:rFonts w:ascii="Times New Roman" w:hAnsi="Times New Roman" w:cs="Times New Roman"/>
                <w:b/>
                <w:sz w:val="14"/>
                <w:szCs w:val="14"/>
              </w:rPr>
              <w:t>2009 S</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sz w:val="14"/>
                <w:szCs w:val="14"/>
              </w:rPr>
            </w:pPr>
            <w:r w:rsidRPr="009E58F9">
              <w:rPr>
                <w:rFonts w:ascii="Times New Roman" w:hAnsi="Times New Roman" w:cs="Times New Roman"/>
                <w:b/>
                <w:sz w:val="14"/>
                <w:szCs w:val="14"/>
              </w:rPr>
              <w:t>2010 S</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sz w:val="14"/>
                <w:szCs w:val="14"/>
              </w:rPr>
            </w:pPr>
            <w:r w:rsidRPr="009E58F9">
              <w:rPr>
                <w:rFonts w:ascii="Times New Roman" w:hAnsi="Times New Roman" w:cs="Times New Roman"/>
                <w:b/>
                <w:sz w:val="14"/>
                <w:szCs w:val="14"/>
              </w:rPr>
              <w:t>2011 R</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sz w:val="14"/>
                <w:szCs w:val="14"/>
              </w:rPr>
            </w:pPr>
            <w:r w:rsidRPr="009E58F9">
              <w:rPr>
                <w:rFonts w:ascii="Times New Roman" w:hAnsi="Times New Roman" w:cs="Times New Roman"/>
                <w:b/>
                <w:sz w:val="14"/>
                <w:szCs w:val="14"/>
              </w:rPr>
              <w:t>2011 OS</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sz w:val="14"/>
                <w:szCs w:val="14"/>
              </w:rPr>
            </w:pPr>
            <w:r w:rsidRPr="009E58F9">
              <w:rPr>
                <w:rFonts w:ascii="Times New Roman" w:hAnsi="Times New Roman" w:cs="Times New Roman"/>
                <w:b/>
                <w:sz w:val="14"/>
                <w:szCs w:val="14"/>
              </w:rPr>
              <w:t>2012 N</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sz w:val="14"/>
                <w:szCs w:val="14"/>
              </w:rPr>
            </w:pPr>
            <w:r w:rsidRPr="009E58F9">
              <w:rPr>
                <w:rFonts w:ascii="Times New Roman" w:hAnsi="Times New Roman" w:cs="Times New Roman"/>
                <w:b/>
                <w:sz w:val="14"/>
                <w:szCs w:val="14"/>
              </w:rPr>
              <w:t>2013 N</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sz w:val="14"/>
                <w:szCs w:val="14"/>
              </w:rPr>
            </w:pPr>
            <w:r w:rsidRPr="009E58F9">
              <w:rPr>
                <w:rFonts w:ascii="Times New Roman" w:hAnsi="Times New Roman" w:cs="Times New Roman"/>
                <w:b/>
                <w:sz w:val="14"/>
                <w:szCs w:val="14"/>
              </w:rPr>
              <w:t>2014 N</w:t>
            </w:r>
          </w:p>
        </w:tc>
      </w:tr>
      <w:tr>
        <w:tblPrEx>
          <w:tblW w:w="9072" w:type="dxa"/>
          <w:tblInd w:w="55" w:type="dxa"/>
          <w:tblCellMar>
            <w:left w:w="70" w:type="dxa"/>
            <w:right w:w="70" w:type="dxa"/>
          </w:tblCellMar>
          <w:tblLook w:val="04A0"/>
        </w:tblPrEx>
        <w:trPr>
          <w:trHeight w:val="255"/>
        </w:trPr>
        <w:tc>
          <w:tcPr>
            <w:tcW w:w="2282"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b/>
                <w:bCs/>
                <w:sz w:val="14"/>
                <w:szCs w:val="14"/>
              </w:rPr>
            </w:pPr>
            <w:r w:rsidRPr="009E58F9">
              <w:rPr>
                <w:rFonts w:ascii="Times New Roman" w:hAnsi="Times New Roman" w:cs="Times New Roman"/>
                <w:b/>
                <w:bCs/>
                <w:sz w:val="14"/>
                <w:szCs w:val="14"/>
              </w:rPr>
              <w:t>Administratíva</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49 930 778</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47 139 727</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46 777 781</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40 164 482</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34 718 717</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34 993 394</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sz w:val="14"/>
                <w:szCs w:val="14"/>
              </w:rPr>
            </w:pPr>
            <w:r w:rsidRPr="009E58F9">
              <w:rPr>
                <w:rFonts w:ascii="Times New Roman" w:hAnsi="Times New Roman" w:cs="Times New Roman"/>
                <w:b/>
                <w:bCs/>
                <w:sz w:val="14"/>
                <w:szCs w:val="14"/>
              </w:rPr>
              <w:t>33 289 516</w:t>
            </w:r>
          </w:p>
        </w:tc>
      </w:tr>
      <w:tr>
        <w:tblPrEx>
          <w:tblW w:w="9072" w:type="dxa"/>
          <w:tblInd w:w="55" w:type="dxa"/>
          <w:tblCellMar>
            <w:left w:w="70" w:type="dxa"/>
            <w:right w:w="70" w:type="dxa"/>
          </w:tblCellMar>
          <w:tblLook w:val="04A0"/>
        </w:tblPrEx>
        <w:trPr>
          <w:trHeight w:val="255"/>
        </w:trPr>
        <w:tc>
          <w:tcPr>
            <w:tcW w:w="2282"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Admin. aparátu a organ.</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40 766 013</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37 290 580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34 107 459</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28 695 874</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27 125 797</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26 748 890</w:t>
            </w:r>
          </w:p>
        </w:tc>
        <w:tc>
          <w:tcPr>
            <w:tcW w:w="970"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27 195 892</w:t>
            </w:r>
          </w:p>
        </w:tc>
      </w:tr>
      <w:tr>
        <w:tblPrEx>
          <w:tblW w:w="9072" w:type="dxa"/>
          <w:tblInd w:w="55" w:type="dxa"/>
          <w:tblCellMar>
            <w:left w:w="70" w:type="dxa"/>
            <w:right w:w="70" w:type="dxa"/>
          </w:tblCellMar>
          <w:tblLook w:val="04A0"/>
        </w:tblPrEx>
        <w:trPr>
          <w:trHeight w:val="255"/>
        </w:trPr>
        <w:tc>
          <w:tcPr>
            <w:tcW w:w="2282"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Hospodárska mobilizácia</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4 568 078</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3 292 804</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2 863 926</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2 863 926</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2 810 911</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2 810 911</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2 810 911</w:t>
            </w:r>
          </w:p>
        </w:tc>
      </w:tr>
      <w:tr>
        <w:tblPrEx>
          <w:tblW w:w="9072" w:type="dxa"/>
          <w:tblInd w:w="55" w:type="dxa"/>
          <w:tblCellMar>
            <w:left w:w="70" w:type="dxa"/>
            <w:right w:w="70" w:type="dxa"/>
          </w:tblCellMar>
          <w:tblLook w:val="04A0"/>
        </w:tblPrEx>
        <w:trPr>
          <w:trHeight w:val="255"/>
        </w:trPr>
        <w:tc>
          <w:tcPr>
            <w:tcW w:w="2282"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Ochr. obyv. pred chem. zbr.</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19 616</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61 565</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40 000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40 000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40 000</w:t>
            </w:r>
          </w:p>
        </w:tc>
      </w:tr>
      <w:tr>
        <w:tblPrEx>
          <w:tblW w:w="9072" w:type="dxa"/>
          <w:tblInd w:w="55" w:type="dxa"/>
          <w:tblCellMar>
            <w:left w:w="70" w:type="dxa"/>
            <w:right w:w="70" w:type="dxa"/>
          </w:tblCellMar>
          <w:tblLook w:val="04A0"/>
        </w:tblPrEx>
        <w:trPr>
          <w:trHeight w:val="269"/>
        </w:trPr>
        <w:tc>
          <w:tcPr>
            <w:tcW w:w="2282"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Príspevky SR do MO</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542 299</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651 886</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700 000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737 427</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850 000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850 000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850 000</w:t>
            </w:r>
          </w:p>
        </w:tc>
      </w:tr>
      <w:tr>
        <w:tblPrEx>
          <w:tblW w:w="9072" w:type="dxa"/>
          <w:tblInd w:w="55" w:type="dxa"/>
          <w:tblCellMar>
            <w:left w:w="70" w:type="dxa"/>
            <w:right w:w="70" w:type="dxa"/>
          </w:tblCellMar>
          <w:tblLook w:val="04A0"/>
        </w:tblPrEx>
        <w:trPr>
          <w:trHeight w:val="273"/>
        </w:trPr>
        <w:tc>
          <w:tcPr>
            <w:tcW w:w="2282"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 xml:space="preserve">Ľudské zdroje </w:t>
            </w:r>
          </w:p>
        </w:tc>
        <w:tc>
          <w:tcPr>
            <w:tcW w:w="970"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1 462</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r>
      <w:tr>
        <w:tblPrEx>
          <w:tblW w:w="9072" w:type="dxa"/>
          <w:tblInd w:w="55" w:type="dxa"/>
          <w:tblCellMar>
            <w:left w:w="70" w:type="dxa"/>
            <w:right w:w="70" w:type="dxa"/>
          </w:tblCellMar>
          <w:tblLook w:val="04A0"/>
        </w:tblPrEx>
        <w:trPr>
          <w:trHeight w:val="255"/>
        </w:trPr>
        <w:tc>
          <w:tcPr>
            <w:tcW w:w="2282"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Cezhraničná spolupráca</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35 537</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35 261</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35 259</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35 261</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35 259</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35 259</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r>
      <w:tr>
        <w:tblPrEx>
          <w:tblW w:w="9072" w:type="dxa"/>
          <w:tblInd w:w="55" w:type="dxa"/>
          <w:tblCellMar>
            <w:left w:w="70" w:type="dxa"/>
            <w:right w:w="70" w:type="dxa"/>
          </w:tblCellMar>
          <w:tblLook w:val="04A0"/>
        </w:tblPrEx>
        <w:trPr>
          <w:trHeight w:val="255"/>
        </w:trPr>
        <w:tc>
          <w:tcPr>
            <w:tcW w:w="2282"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Ochrana kritickej infraštruktr.</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4 300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4 300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4 300</w:t>
            </w:r>
          </w:p>
        </w:tc>
      </w:tr>
      <w:tr>
        <w:tblPrEx>
          <w:tblW w:w="9072" w:type="dxa"/>
          <w:tblInd w:w="55" w:type="dxa"/>
          <w:tblCellMar>
            <w:left w:w="70" w:type="dxa"/>
            <w:right w:w="70" w:type="dxa"/>
          </w:tblCellMar>
          <w:tblLook w:val="04A0"/>
        </w:tblPrEx>
        <w:trPr>
          <w:trHeight w:val="270"/>
        </w:trPr>
        <w:tc>
          <w:tcPr>
            <w:tcW w:w="2282"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 xml:space="preserve">Technická pomoc </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3 800 963</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5 524 199</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8 834 797</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6 295 654</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3 749 978</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4 401 562</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2 285 941</w:t>
            </w:r>
          </w:p>
        </w:tc>
      </w:tr>
      <w:tr>
        <w:tblPrEx>
          <w:tblW w:w="9072" w:type="dxa"/>
          <w:tblInd w:w="55" w:type="dxa"/>
          <w:tblCellMar>
            <w:left w:w="70" w:type="dxa"/>
            <w:right w:w="70" w:type="dxa"/>
          </w:tblCellMar>
          <w:tblLook w:val="04A0"/>
        </w:tblPrEx>
        <w:trPr>
          <w:trHeight w:val="255"/>
        </w:trPr>
        <w:tc>
          <w:tcPr>
            <w:tcW w:w="2282"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Ostatné výdavky</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162 943</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136 082</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102 472</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102 472</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102 472</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102 472</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102 472</w:t>
            </w:r>
          </w:p>
        </w:tc>
      </w:tr>
      <w:tr>
        <w:tblPrEx>
          <w:tblW w:w="9072" w:type="dxa"/>
          <w:tblInd w:w="55" w:type="dxa"/>
          <w:tblCellMar>
            <w:left w:w="70" w:type="dxa"/>
            <w:right w:w="70" w:type="dxa"/>
          </w:tblCellMar>
          <w:tblLook w:val="04A0"/>
        </w:tblPrEx>
        <w:trPr>
          <w:trHeight w:val="255"/>
        </w:trPr>
        <w:tc>
          <w:tcPr>
            <w:tcW w:w="2282"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Iné zdroje</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33 867</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147 350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133 868</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133 868</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r>
      <w:tr>
        <w:tblPrEx>
          <w:tblW w:w="9072" w:type="dxa"/>
          <w:tblInd w:w="55" w:type="dxa"/>
          <w:tblCellMar>
            <w:left w:w="70" w:type="dxa"/>
            <w:right w:w="70" w:type="dxa"/>
          </w:tblCellMar>
          <w:tblLook w:val="04A0"/>
        </w:tblPrEx>
        <w:trPr>
          <w:trHeight w:val="255"/>
        </w:trPr>
        <w:tc>
          <w:tcPr>
            <w:tcW w:w="228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Korekcia za SOP PS</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1 300 000</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sz w:val="14"/>
                <w:szCs w:val="14"/>
              </w:rPr>
            </w:pPr>
            <w:r w:rsidRPr="009E58F9">
              <w:rPr>
                <w:rFonts w:ascii="Times New Roman" w:hAnsi="Times New Roman" w:cs="Times New Roman"/>
                <w:sz w:val="14"/>
                <w:szCs w:val="14"/>
              </w:rPr>
              <w:t>0</w:t>
            </w:r>
          </w:p>
        </w:tc>
      </w:tr>
    </w:tbl>
    <w:p w:rsidR="00CB350B" w:rsidRPr="0004638E" w:rsidP="00CB350B">
      <w:pPr>
        <w:bidi w:val="0"/>
        <w:ind w:firstLine="708"/>
        <w:jc w:val="both"/>
        <w:rPr>
          <w:rFonts w:ascii="Times New Roman" w:hAnsi="Times New Roman" w:cs="Times New Roman"/>
        </w:rPr>
      </w:pPr>
    </w:p>
    <w:p w:rsidR="00CB350B" w:rsidRPr="0004638E" w:rsidP="00CB350B">
      <w:pPr>
        <w:bidi w:val="0"/>
        <w:ind w:firstLine="708"/>
        <w:jc w:val="both"/>
        <w:rPr>
          <w:rFonts w:ascii="Times New Roman" w:hAnsi="Times New Roman" w:cs="Times New Roman"/>
          <w:bCs/>
        </w:rPr>
      </w:pPr>
      <w:r w:rsidRPr="0004638E">
        <w:rPr>
          <w:rFonts w:ascii="Times New Roman" w:hAnsi="Times New Roman" w:cs="Times New Roman"/>
        </w:rPr>
        <w:t>Na</w:t>
      </w:r>
      <w:r w:rsidRPr="0004638E">
        <w:rPr>
          <w:rFonts w:ascii="Times New Roman" w:hAnsi="Times New Roman" w:cs="Times New Roman"/>
          <w:bCs/>
        </w:rPr>
        <w:t xml:space="preserve"> inštitucionálnu podporu </w:t>
      </w:r>
      <w:r w:rsidRPr="0004638E">
        <w:rPr>
          <w:rFonts w:ascii="Times New Roman" w:hAnsi="Times New Roman" w:cs="Times New Roman"/>
        </w:rPr>
        <w:t>Ministerstva hospodárstva SR sa v roku 2012 rozpočtuje suma 27,1</w:t>
      </w:r>
      <w:r w:rsidRPr="0004638E">
        <w:rPr>
          <w:rFonts w:ascii="Times New Roman" w:hAnsi="Times New Roman" w:cs="Times New Roman"/>
          <w:bCs/>
        </w:rPr>
        <w:t xml:space="preserve"> mil. eur, čo je oproti schválenému rozpočtu na rok 2011 pokles o 20,5 %. Uvedený pokles ovplyvnila najm</w:t>
      </w:r>
      <w:r>
        <w:rPr>
          <w:rFonts w:ascii="Times New Roman" w:hAnsi="Times New Roman" w:cs="Times New Roman"/>
          <w:bCs/>
        </w:rPr>
        <w:t>ä delimitácia výdavkov na OBEO na</w:t>
      </w:r>
      <w:r w:rsidRPr="0004638E">
        <w:rPr>
          <w:rFonts w:ascii="Times New Roman" w:hAnsi="Times New Roman" w:cs="Times New Roman"/>
          <w:bCs/>
        </w:rPr>
        <w:t xml:space="preserve"> MZV SR v objeme 6,57 mil. eur. </w:t>
      </w:r>
      <w:r>
        <w:rPr>
          <w:rFonts w:ascii="Times New Roman" w:hAnsi="Times New Roman" w:cs="Times New Roman"/>
          <w:bCs/>
        </w:rPr>
        <w:t xml:space="preserve">Pokiaľ sa výdavky schváleného rozpočtu na rok 2011 znížia </w:t>
      </w:r>
      <w:r w:rsidRPr="0004638E">
        <w:rPr>
          <w:rFonts w:ascii="Times New Roman" w:hAnsi="Times New Roman" w:cs="Times New Roman"/>
          <w:bCs/>
        </w:rPr>
        <w:t xml:space="preserve">o výdavky </w:t>
      </w:r>
      <w:r>
        <w:rPr>
          <w:rFonts w:ascii="Times New Roman" w:hAnsi="Times New Roman" w:cs="Times New Roman"/>
          <w:bCs/>
        </w:rPr>
        <w:t xml:space="preserve">určené </w:t>
      </w:r>
      <w:r w:rsidRPr="0004638E">
        <w:rPr>
          <w:rFonts w:ascii="Times New Roman" w:hAnsi="Times New Roman" w:cs="Times New Roman"/>
          <w:bCs/>
        </w:rPr>
        <w:t>na OBEO</w:t>
      </w:r>
      <w:r>
        <w:rPr>
          <w:rFonts w:ascii="Times New Roman" w:hAnsi="Times New Roman" w:cs="Times New Roman"/>
          <w:bCs/>
        </w:rPr>
        <w:t>, tak výdavky na</w:t>
      </w:r>
      <w:r w:rsidRPr="0004638E">
        <w:rPr>
          <w:rFonts w:ascii="Times New Roman" w:hAnsi="Times New Roman" w:cs="Times New Roman"/>
          <w:bCs/>
        </w:rPr>
        <w:t xml:space="preserve"> administráciu aparátu a podriadených organizácií na rok 2012 klesajú </w:t>
      </w:r>
      <w:r>
        <w:rPr>
          <w:rFonts w:ascii="Times New Roman" w:hAnsi="Times New Roman" w:cs="Times New Roman"/>
          <w:bCs/>
        </w:rPr>
        <w:t xml:space="preserve">medziročne </w:t>
      </w:r>
      <w:r w:rsidRPr="0004638E">
        <w:rPr>
          <w:rFonts w:ascii="Times New Roman" w:hAnsi="Times New Roman" w:cs="Times New Roman"/>
          <w:bCs/>
        </w:rPr>
        <w:t xml:space="preserve">o 1,48 %. </w:t>
      </w:r>
    </w:p>
    <w:p w:rsidR="00CB350B" w:rsidRPr="0004638E" w:rsidP="00CB350B">
      <w:pPr>
        <w:bidi w:val="0"/>
        <w:ind w:firstLine="708"/>
        <w:jc w:val="both"/>
        <w:rPr>
          <w:rFonts w:ascii="Times New Roman" w:hAnsi="Times New Roman" w:cs="Times New Roman"/>
          <w:bCs/>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Výdavky sú určené na zabezpečenie plnenia úloh týchto organizácií.</w:t>
      </w:r>
    </w:p>
    <w:p w:rsidR="00CB350B" w:rsidRPr="0004638E" w:rsidP="00CB350B">
      <w:pPr>
        <w:bidi w:val="0"/>
        <w:jc w:val="both"/>
        <w:rPr>
          <w:rFonts w:ascii="Times New Roman" w:hAnsi="Times New Roman" w:cs="Times New Roman"/>
        </w:rPr>
      </w:pPr>
    </w:p>
    <w:tbl>
      <w:tblPr>
        <w:tblStyle w:val="TableNormal"/>
        <w:tblW w:w="9072" w:type="dxa"/>
        <w:tblInd w:w="55" w:type="dxa"/>
        <w:tblCellMar>
          <w:left w:w="70" w:type="dxa"/>
          <w:right w:w="70" w:type="dxa"/>
        </w:tblCellMar>
        <w:tblLook w:val="04A0"/>
      </w:tblPr>
      <w:tblGrid>
        <w:gridCol w:w="2282"/>
        <w:gridCol w:w="970"/>
        <w:gridCol w:w="970"/>
        <w:gridCol w:w="970"/>
        <w:gridCol w:w="970"/>
        <w:gridCol w:w="970"/>
        <w:gridCol w:w="970"/>
        <w:gridCol w:w="970"/>
      </w:tblGrid>
      <w:tr>
        <w:tblPrEx>
          <w:tblW w:w="9072" w:type="dxa"/>
          <w:tblInd w:w="55" w:type="dxa"/>
          <w:tblCellMar>
            <w:left w:w="70" w:type="dxa"/>
            <w:right w:w="70" w:type="dxa"/>
          </w:tblCellMar>
          <w:tblLook w:val="04A0"/>
        </w:tblPrEx>
        <w:trPr>
          <w:trHeight w:val="255"/>
        </w:trPr>
        <w:tc>
          <w:tcPr>
            <w:tcW w:w="228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b/>
                <w:sz w:val="14"/>
                <w:szCs w:val="14"/>
              </w:rPr>
            </w:pPr>
            <w:r w:rsidRPr="009E58F9">
              <w:rPr>
                <w:rFonts w:ascii="Times New Roman" w:hAnsi="Times New Roman" w:cs="Times New Roman"/>
                <w:b/>
                <w:sz w:val="14"/>
                <w:szCs w:val="14"/>
              </w:rPr>
              <w:t> </w:t>
            </w:r>
            <w:r>
              <w:rPr>
                <w:rFonts w:ascii="Times New Roman" w:hAnsi="Times New Roman" w:cs="Times New Roman"/>
                <w:b/>
                <w:sz w:val="14"/>
                <w:szCs w:val="14"/>
              </w:rPr>
              <w:t>v eurách</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sz w:val="14"/>
                <w:szCs w:val="14"/>
              </w:rPr>
            </w:pPr>
            <w:r w:rsidRPr="009E58F9">
              <w:rPr>
                <w:rFonts w:ascii="Times New Roman" w:hAnsi="Times New Roman" w:cs="Times New Roman"/>
                <w:b/>
                <w:sz w:val="14"/>
                <w:szCs w:val="14"/>
              </w:rPr>
              <w:t>2009 S</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sz w:val="14"/>
                <w:szCs w:val="14"/>
              </w:rPr>
            </w:pPr>
            <w:r w:rsidRPr="009E58F9">
              <w:rPr>
                <w:rFonts w:ascii="Times New Roman" w:hAnsi="Times New Roman" w:cs="Times New Roman"/>
                <w:b/>
                <w:sz w:val="14"/>
                <w:szCs w:val="14"/>
              </w:rPr>
              <w:t>2010 S</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sz w:val="14"/>
                <w:szCs w:val="14"/>
              </w:rPr>
            </w:pPr>
            <w:r w:rsidRPr="009E58F9">
              <w:rPr>
                <w:rFonts w:ascii="Times New Roman" w:hAnsi="Times New Roman" w:cs="Times New Roman"/>
                <w:b/>
                <w:sz w:val="14"/>
                <w:szCs w:val="14"/>
              </w:rPr>
              <w:t>2011 R</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sz w:val="14"/>
                <w:szCs w:val="14"/>
              </w:rPr>
            </w:pPr>
            <w:r w:rsidRPr="009E58F9">
              <w:rPr>
                <w:rFonts w:ascii="Times New Roman" w:hAnsi="Times New Roman" w:cs="Times New Roman"/>
                <w:b/>
                <w:sz w:val="14"/>
                <w:szCs w:val="14"/>
              </w:rPr>
              <w:t>2011 OS</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sz w:val="14"/>
                <w:szCs w:val="14"/>
              </w:rPr>
            </w:pPr>
            <w:r w:rsidRPr="009E58F9">
              <w:rPr>
                <w:rFonts w:ascii="Times New Roman" w:hAnsi="Times New Roman" w:cs="Times New Roman"/>
                <w:b/>
                <w:sz w:val="14"/>
                <w:szCs w:val="14"/>
              </w:rPr>
              <w:t>2012 N</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sz w:val="14"/>
                <w:szCs w:val="14"/>
              </w:rPr>
            </w:pPr>
            <w:r w:rsidRPr="009E58F9">
              <w:rPr>
                <w:rFonts w:ascii="Times New Roman" w:hAnsi="Times New Roman" w:cs="Times New Roman"/>
                <w:b/>
                <w:sz w:val="14"/>
                <w:szCs w:val="14"/>
              </w:rPr>
              <w:t>2013 N</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center"/>
              <w:rPr>
                <w:rFonts w:ascii="Times New Roman" w:hAnsi="Times New Roman" w:cs="Times New Roman"/>
                <w:b/>
                <w:sz w:val="14"/>
                <w:szCs w:val="14"/>
              </w:rPr>
            </w:pPr>
            <w:r w:rsidRPr="009E58F9">
              <w:rPr>
                <w:rFonts w:ascii="Times New Roman" w:hAnsi="Times New Roman" w:cs="Times New Roman"/>
                <w:b/>
                <w:sz w:val="14"/>
                <w:szCs w:val="14"/>
              </w:rPr>
              <w:t>2014 N</w:t>
            </w:r>
          </w:p>
        </w:tc>
      </w:tr>
      <w:tr>
        <w:tblPrEx>
          <w:tblW w:w="9072" w:type="dxa"/>
          <w:tblInd w:w="55" w:type="dxa"/>
          <w:tblCellMar>
            <w:left w:w="70" w:type="dxa"/>
            <w:right w:w="70" w:type="dxa"/>
          </w:tblCellMar>
          <w:tblLook w:val="04A0"/>
        </w:tblPrEx>
        <w:trPr>
          <w:trHeight w:val="255"/>
        </w:trPr>
        <w:tc>
          <w:tcPr>
            <w:tcW w:w="2282"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 Admin. aparátu a org.</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40 766 013</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37 290 580</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34 107 459</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28 695 874</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27 125 797</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26 748 890</w:t>
            </w:r>
          </w:p>
        </w:tc>
        <w:tc>
          <w:tcPr>
            <w:tcW w:w="970" w:type="dxa"/>
            <w:tcBorders>
              <w:top w:val="single" w:sz="4" w:space="0" w:color="auto"/>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27 195 892</w:t>
            </w:r>
          </w:p>
        </w:tc>
      </w:tr>
      <w:tr>
        <w:tblPrEx>
          <w:tblW w:w="9072" w:type="dxa"/>
          <w:tblInd w:w="55" w:type="dxa"/>
          <w:tblCellMar>
            <w:left w:w="70" w:type="dxa"/>
            <w:right w:w="70" w:type="dxa"/>
          </w:tblCellMar>
          <w:tblLook w:val="04A0"/>
        </w:tblPrEx>
        <w:trPr>
          <w:trHeight w:val="255"/>
        </w:trPr>
        <w:tc>
          <w:tcPr>
            <w:tcW w:w="2282"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Puncový úrad</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749 024</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660 796</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676 474</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676 474</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654 800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654 800</w:t>
            </w:r>
          </w:p>
        </w:tc>
        <w:tc>
          <w:tcPr>
            <w:tcW w:w="970" w:type="dxa"/>
            <w:tcBorders>
              <w:top w:val="nil"/>
              <w:left w:val="nil"/>
              <w:bottom w:val="single" w:sz="4" w:space="0" w:color="auto"/>
              <w:right w:val="single" w:sz="4" w:space="0" w:color="auto"/>
            </w:tcBorders>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654 800</w:t>
            </w:r>
          </w:p>
        </w:tc>
      </w:tr>
      <w:tr>
        <w:tblPrEx>
          <w:tblW w:w="9072" w:type="dxa"/>
          <w:tblInd w:w="55" w:type="dxa"/>
          <w:tblCellMar>
            <w:left w:w="70" w:type="dxa"/>
            <w:right w:w="70" w:type="dxa"/>
          </w:tblCellMar>
          <w:tblLook w:val="04A0"/>
        </w:tblPrEx>
        <w:trPr>
          <w:trHeight w:val="255"/>
        </w:trPr>
        <w:tc>
          <w:tcPr>
            <w:tcW w:w="2282"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Múzeum obchodu</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286 704</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227 076</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229 011</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229 011</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208 625</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208 625</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208 625</w:t>
            </w:r>
          </w:p>
        </w:tc>
      </w:tr>
      <w:tr>
        <w:tblPrEx>
          <w:tblW w:w="9072" w:type="dxa"/>
          <w:tblInd w:w="55" w:type="dxa"/>
          <w:tblCellMar>
            <w:left w:w="70" w:type="dxa"/>
            <w:right w:w="70" w:type="dxa"/>
          </w:tblCellMar>
          <w:tblLook w:val="04A0"/>
        </w:tblPrEx>
        <w:trPr>
          <w:trHeight w:val="255"/>
        </w:trPr>
        <w:tc>
          <w:tcPr>
            <w:tcW w:w="2282"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 xml:space="preserve">Slovenská obchod. inšpekcia </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5 222 835</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4 505 321</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4 447 093</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4 647 093</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4 647 093</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4 647 093</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4 647 093</w:t>
            </w:r>
          </w:p>
        </w:tc>
      </w:tr>
      <w:tr>
        <w:tblPrEx>
          <w:tblW w:w="9072" w:type="dxa"/>
          <w:tblInd w:w="55" w:type="dxa"/>
          <w:tblCellMar>
            <w:left w:w="70" w:type="dxa"/>
            <w:right w:w="70" w:type="dxa"/>
          </w:tblCellMar>
          <w:tblLook w:val="04A0"/>
        </w:tblPrEx>
        <w:trPr>
          <w:trHeight w:val="269"/>
        </w:trPr>
        <w:tc>
          <w:tcPr>
            <w:tcW w:w="2282"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Hlavný banský úrad</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1 630 699</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1 636 028</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1 400 740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1 407 740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1 400 740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1 400 740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1 400 738</w:t>
            </w:r>
          </w:p>
        </w:tc>
      </w:tr>
      <w:tr>
        <w:tblPrEx>
          <w:tblW w:w="9072" w:type="dxa"/>
          <w:tblInd w:w="55" w:type="dxa"/>
          <w:tblCellMar>
            <w:left w:w="70" w:type="dxa"/>
            <w:right w:w="70" w:type="dxa"/>
          </w:tblCellMar>
          <w:tblLook w:val="04A0"/>
        </w:tblPrEx>
        <w:trPr>
          <w:trHeight w:val="273"/>
        </w:trPr>
        <w:tc>
          <w:tcPr>
            <w:tcW w:w="2282" w:type="dxa"/>
            <w:tcBorders>
              <w:top w:val="nil"/>
              <w:left w:val="single" w:sz="4" w:space="0" w:color="auto"/>
              <w:bottom w:val="single" w:sz="4" w:space="0" w:color="auto"/>
              <w:right w:val="single" w:sz="4" w:space="0" w:color="auto"/>
            </w:tcBorders>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Štátna energetická inšpekcia</w:t>
            </w:r>
          </w:p>
        </w:tc>
        <w:tc>
          <w:tcPr>
            <w:tcW w:w="970"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989 317</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965 138</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904 838</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904 838</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907 870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907 870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904 838</w:t>
            </w:r>
          </w:p>
        </w:tc>
      </w:tr>
      <w:tr>
        <w:tblPrEx>
          <w:tblW w:w="9072" w:type="dxa"/>
          <w:tblInd w:w="55" w:type="dxa"/>
          <w:tblCellMar>
            <w:left w:w="70" w:type="dxa"/>
            <w:right w:w="70" w:type="dxa"/>
          </w:tblCellMar>
          <w:tblLook w:val="04A0"/>
        </w:tblPrEx>
        <w:trPr>
          <w:trHeight w:val="255"/>
        </w:trPr>
        <w:tc>
          <w:tcPr>
            <w:tcW w:w="2282"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Centrum pre chemické látky</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423 045</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507 270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385 257</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392 764</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385 257</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385 257</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385 257</w:t>
            </w:r>
          </w:p>
        </w:tc>
      </w:tr>
      <w:tr>
        <w:tblPrEx>
          <w:tblW w:w="9072" w:type="dxa"/>
          <w:tblInd w:w="55" w:type="dxa"/>
          <w:tblCellMar>
            <w:left w:w="70" w:type="dxa"/>
            <w:right w:w="70" w:type="dxa"/>
          </w:tblCellMar>
          <w:tblLook w:val="04A0"/>
        </w:tblPrEx>
        <w:trPr>
          <w:trHeight w:val="255"/>
        </w:trPr>
        <w:tc>
          <w:tcPr>
            <w:tcW w:w="2282"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Úrad pre regul. sieť. odvetví</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3 390 848</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2 770 855</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2 405 316</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2 405 316</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2 410 359</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2 410 359</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2 410 359</w:t>
            </w:r>
          </w:p>
        </w:tc>
      </w:tr>
      <w:tr>
        <w:tblPrEx>
          <w:tblW w:w="9072" w:type="dxa"/>
          <w:tblInd w:w="55" w:type="dxa"/>
          <w:tblCellMar>
            <w:left w:w="70" w:type="dxa"/>
            <w:right w:w="70" w:type="dxa"/>
          </w:tblCellMar>
          <w:tblLook w:val="04A0"/>
        </w:tblPrEx>
        <w:trPr>
          <w:trHeight w:val="270"/>
        </w:trPr>
        <w:tc>
          <w:tcPr>
            <w:tcW w:w="2282"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OBEO a zahr. služba</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5 114 196</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7 135 330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6 957 923</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404 932</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738 267</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664 840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672 340</w:t>
            </w:r>
          </w:p>
        </w:tc>
      </w:tr>
      <w:tr>
        <w:tblPrEx>
          <w:tblW w:w="9072" w:type="dxa"/>
          <w:tblInd w:w="55" w:type="dxa"/>
          <w:tblCellMar>
            <w:left w:w="70" w:type="dxa"/>
            <w:right w:w="70" w:type="dxa"/>
          </w:tblCellMar>
          <w:tblLook w:val="04A0"/>
        </w:tblPrEx>
        <w:trPr>
          <w:trHeight w:val="255"/>
        </w:trPr>
        <w:tc>
          <w:tcPr>
            <w:tcW w:w="2282"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Slovenská inov. a energ. ag.</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1 410 152</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1 286 303</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1 302 540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2 651 299</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1 082 540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1 002 540</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1 002 540</w:t>
            </w:r>
          </w:p>
        </w:tc>
      </w:tr>
      <w:tr>
        <w:tblPrEx>
          <w:tblW w:w="9072" w:type="dxa"/>
          <w:tblInd w:w="55" w:type="dxa"/>
          <w:tblCellMar>
            <w:left w:w="70" w:type="dxa"/>
            <w:right w:w="70" w:type="dxa"/>
          </w:tblCellMar>
          <w:tblLook w:val="04A0"/>
        </w:tblPrEx>
        <w:trPr>
          <w:trHeight w:val="255"/>
        </w:trPr>
        <w:tc>
          <w:tcPr>
            <w:tcW w:w="2282" w:type="dxa"/>
            <w:tcBorders>
              <w:top w:val="nil"/>
              <w:left w:val="single" w:sz="4" w:space="0" w:color="auto"/>
              <w:bottom w:val="single" w:sz="4" w:space="0" w:color="auto"/>
              <w:right w:val="single" w:sz="4" w:space="0" w:color="auto"/>
            </w:tcBorders>
            <w:noWrap/>
            <w:textDirection w:val="lrTb"/>
            <w:vAlign w:val="bottom"/>
            <w:hideMark/>
          </w:tcPr>
          <w:p w:rsidR="00CB350B" w:rsidRPr="009E58F9" w:rsidP="00257E12">
            <w:pPr>
              <w:bidi w:val="0"/>
              <w:rPr>
                <w:rFonts w:ascii="Times New Roman" w:hAnsi="Times New Roman" w:cs="Times New Roman"/>
                <w:color w:val="000000"/>
                <w:sz w:val="14"/>
                <w:szCs w:val="14"/>
              </w:rPr>
            </w:pPr>
            <w:r w:rsidRPr="009E58F9">
              <w:rPr>
                <w:rFonts w:ascii="Times New Roman" w:hAnsi="Times New Roman" w:cs="Times New Roman"/>
                <w:color w:val="000000"/>
                <w:sz w:val="14"/>
                <w:szCs w:val="14"/>
              </w:rPr>
              <w:t xml:space="preserve">MH SR admin. aparátu </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21 549 193</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17 596 463</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15 398 267</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14 976 407</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14 690 246</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14 466 766</w:t>
            </w:r>
          </w:p>
        </w:tc>
        <w:tc>
          <w:tcPr>
            <w:tcW w:w="970" w:type="dxa"/>
            <w:tcBorders>
              <w:top w:val="nil"/>
              <w:left w:val="nil"/>
              <w:bottom w:val="single" w:sz="4" w:space="0" w:color="auto"/>
              <w:right w:val="single" w:sz="4" w:space="0" w:color="auto"/>
            </w:tcBorders>
            <w:noWrap/>
            <w:textDirection w:val="lrTb"/>
            <w:vAlign w:val="bottom"/>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14 909 302</w:t>
            </w:r>
          </w:p>
        </w:tc>
      </w:tr>
    </w:tbl>
    <w:p w:rsidR="00CB350B" w:rsidRPr="0004638E" w:rsidP="00CB350B">
      <w:pPr>
        <w:bidi w:val="0"/>
        <w:spacing w:before="100" w:beforeAutospacing="1" w:after="100" w:afterAutospacing="1"/>
        <w:ind w:firstLine="708"/>
        <w:jc w:val="both"/>
        <w:rPr>
          <w:rFonts w:ascii="Times New Roman" w:hAnsi="Times New Roman" w:cs="Times New Roman"/>
        </w:rPr>
      </w:pPr>
      <w:r w:rsidRPr="0004638E">
        <w:rPr>
          <w:rFonts w:ascii="Times New Roman" w:hAnsi="Times New Roman" w:cs="Times New Roman"/>
        </w:rPr>
        <w:t xml:space="preserve">Výdavky na administráciu v pôsobnosti kapitoly sú smerované na administráciu vlastného aparátu ministerstva a zabezpečenie činnosti siedmich rozpočtových organizácií v oblasti puncovníctva a skúšania drahých kovov, múzejnej činnosti z oblasti obchodu, trhového dozoru v ochrane spotrebiteľa na vnútornom trhu, zabezpečovania a riadenia výkonu štátnej banskej správy, výkonu štátneho dozoru pri dodržiavaní právnych predpisov v oblasti energetiky, kontroly a poskytovania informácií pri uvádzaní chemických látok a biocídov na trh a regulácie v oblasti sieťových odvetví. Výdavky sú určené aj na zabezpečenie činnosti príspevkovej organizácie Slovenská inovačná a energetická  agentúra, ktorej úlohou je získavanie a spracovanie informácií v energetike, hospodárení s energiou, racionálnom využívaní zdrojov energie ako aj sledovanie a vyhodnocovanie inovačných aktivít a návrh opatrení na ich podporu. </w:t>
      </w: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Rezort je gestorom medzirezortného programu hospodárska mobilizácia, na ktorom sú rozpočtované výdavky na rok 2012 v sume 2,81 mil. eur a účastníkom troch medzirezortných programov, na ktoré sú na rok 2012 smerované zdroje v sume 894 tis. eur.</w:t>
      </w:r>
    </w:p>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Výdavky na cezhraničnú spoluprácu sú určené na úhradu ročného účastníckeho poplatku v rámci programu INTERREG IV C v sume 10,1 tis. eur  a INTERACT II v sume 25,2 tis. eur.</w:t>
      </w:r>
    </w:p>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Ostatné výdavky v tejto oblasti sú smerované pre občianske združen</w:t>
      </w:r>
      <w:r>
        <w:rPr>
          <w:rFonts w:ascii="Times New Roman" w:hAnsi="Times New Roman" w:cs="Times New Roman"/>
        </w:rPr>
        <w:t>ia na ochranu práv spotrebiteľa a</w:t>
      </w:r>
      <w:r w:rsidRPr="0004638E">
        <w:rPr>
          <w:rFonts w:ascii="Times New Roman" w:hAnsi="Times New Roman" w:cs="Times New Roman"/>
        </w:rPr>
        <w:t xml:space="preserve"> Európske spotrebiteľské centrum. </w:t>
      </w:r>
    </w:p>
    <w:p w:rsidR="00CB350B" w:rsidP="00CB350B">
      <w:pPr>
        <w:pBdr>
          <w:bottom w:val="single" w:sz="4" w:space="1" w:color="auto"/>
        </w:pBdr>
        <w:bidi w:val="0"/>
        <w:ind w:right="-286"/>
        <w:jc w:val="both"/>
        <w:rPr>
          <w:rFonts w:ascii="Times New Roman" w:hAnsi="Times New Roman" w:cs="Times New Roman"/>
          <w:b/>
        </w:rPr>
      </w:pPr>
    </w:p>
    <w:p w:rsidR="00CB350B" w:rsidRPr="0004638E" w:rsidP="00CB350B">
      <w:pPr>
        <w:pBdr>
          <w:bottom w:val="single" w:sz="4" w:space="1" w:color="auto"/>
        </w:pBdr>
        <w:bidi w:val="0"/>
        <w:ind w:right="-286"/>
        <w:jc w:val="both"/>
        <w:rPr>
          <w:rFonts w:ascii="Times New Roman" w:hAnsi="Times New Roman" w:cs="Times New Roman"/>
          <w:b/>
        </w:rPr>
      </w:pPr>
      <w:r w:rsidRPr="0004638E">
        <w:rPr>
          <w:rFonts w:ascii="Times New Roman" w:hAnsi="Times New Roman" w:cs="Times New Roman"/>
          <w:b/>
        </w:rPr>
        <w:t xml:space="preserve">Ministerstvo kultúry      </w:t>
      </w:r>
    </w:p>
    <w:p w:rsidR="00CB350B" w:rsidRPr="0004638E" w:rsidP="00CB350B">
      <w:pPr>
        <w:bidi w:val="0"/>
        <w:jc w:val="both"/>
        <w:rPr>
          <w:rFonts w:ascii="Times New Roman" w:hAnsi="Times New Roman" w:cs="Times New Roman"/>
        </w:rPr>
      </w:pPr>
    </w:p>
    <w:tbl>
      <w:tblPr>
        <w:tblStyle w:val="TableNormal"/>
        <w:tblW w:w="5039" w:type="pct"/>
        <w:tblCellMar>
          <w:left w:w="70" w:type="dxa"/>
          <w:right w:w="70" w:type="dxa"/>
        </w:tblCellMar>
        <w:tblLook w:val="04A0"/>
      </w:tblPr>
      <w:tblGrid>
        <w:gridCol w:w="2764"/>
        <w:gridCol w:w="942"/>
        <w:gridCol w:w="941"/>
        <w:gridCol w:w="941"/>
        <w:gridCol w:w="941"/>
        <w:gridCol w:w="943"/>
        <w:gridCol w:w="943"/>
        <w:gridCol w:w="869"/>
      </w:tblGrid>
      <w:tr>
        <w:tblPrEx>
          <w:tblW w:w="5039" w:type="pct"/>
          <w:tblCellMar>
            <w:left w:w="70" w:type="dxa"/>
            <w:right w:w="70" w:type="dxa"/>
          </w:tblCellMar>
          <w:tblLook w:val="04A0"/>
        </w:tblPrEx>
        <w:trPr>
          <w:trHeight w:val="259"/>
        </w:trPr>
        <w:tc>
          <w:tcPr>
            <w:tcW w:w="1488" w:type="pct"/>
            <w:tcBorders>
              <w:top w:val="single" w:sz="4" w:space="0" w:color="auto"/>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b/>
                <w:bCs/>
                <w:sz w:val="14"/>
                <w:szCs w:val="14"/>
              </w:rPr>
            </w:pPr>
            <w:r w:rsidRPr="009E58F9">
              <w:rPr>
                <w:rFonts w:ascii="Times New Roman" w:hAnsi="Times New Roman" w:cs="Times New Roman"/>
                <w:color w:val="000000"/>
                <w:sz w:val="14"/>
                <w:szCs w:val="14"/>
                <w:lang w:eastAsia="sk-SK"/>
              </w:rPr>
              <w:t> </w:t>
            </w:r>
            <w:r w:rsidRPr="009E58F9">
              <w:rPr>
                <w:rFonts w:ascii="Times New Roman" w:hAnsi="Times New Roman" w:cs="Times New Roman"/>
                <w:b/>
                <w:bCs/>
                <w:color w:val="000000"/>
                <w:sz w:val="14"/>
                <w:szCs w:val="14"/>
                <w:lang w:eastAsia="sk-SK"/>
              </w:rPr>
              <w:t>v eurách</w:t>
            </w:r>
          </w:p>
        </w:tc>
        <w:tc>
          <w:tcPr>
            <w:tcW w:w="507"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2009 S</w:t>
            </w:r>
          </w:p>
        </w:tc>
        <w:tc>
          <w:tcPr>
            <w:tcW w:w="507"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2010 S</w:t>
            </w:r>
          </w:p>
        </w:tc>
        <w:tc>
          <w:tcPr>
            <w:tcW w:w="507"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2011 R</w:t>
            </w:r>
          </w:p>
        </w:tc>
        <w:tc>
          <w:tcPr>
            <w:tcW w:w="507"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2011 OS</w:t>
            </w:r>
          </w:p>
        </w:tc>
        <w:tc>
          <w:tcPr>
            <w:tcW w:w="508"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2012 N</w:t>
            </w:r>
          </w:p>
        </w:tc>
        <w:tc>
          <w:tcPr>
            <w:tcW w:w="508"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2013 N</w:t>
            </w:r>
          </w:p>
        </w:tc>
        <w:tc>
          <w:tcPr>
            <w:tcW w:w="468"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2014 N</w:t>
            </w:r>
          </w:p>
        </w:tc>
      </w:tr>
      <w:tr>
        <w:tblPrEx>
          <w:tblW w:w="5039" w:type="pct"/>
          <w:tblCellMar>
            <w:left w:w="70" w:type="dxa"/>
            <w:right w:w="70" w:type="dxa"/>
          </w:tblCellMar>
          <w:tblLook w:val="04A0"/>
        </w:tblPrEx>
        <w:trPr>
          <w:trHeight w:val="259"/>
        </w:trPr>
        <w:tc>
          <w:tcPr>
            <w:tcW w:w="1488" w:type="pct"/>
            <w:tcBorders>
              <w:top w:val="single" w:sz="4" w:space="0" w:color="auto"/>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b/>
                <w:bCs/>
                <w:sz w:val="14"/>
                <w:szCs w:val="14"/>
              </w:rPr>
            </w:pPr>
            <w:r w:rsidRPr="009E58F9">
              <w:rPr>
                <w:rFonts w:ascii="Times New Roman" w:hAnsi="Times New Roman" w:cs="Times New Roman"/>
                <w:b/>
                <w:bCs/>
                <w:sz w:val="14"/>
                <w:szCs w:val="14"/>
              </w:rPr>
              <w:t>Zdroje príslušnej kapitoly</w:t>
            </w:r>
          </w:p>
        </w:tc>
        <w:tc>
          <w:tcPr>
            <w:tcW w:w="507" w:type="pct"/>
            <w:tcBorders>
              <w:top w:val="single" w:sz="4" w:space="0" w:color="auto"/>
              <w:left w:val="nil"/>
              <w:bottom w:val="single" w:sz="4" w:space="0" w:color="auto"/>
              <w:right w:val="single" w:sz="4" w:space="0" w:color="auto"/>
            </w:tcBorders>
            <w:tcMar>
              <w:left w:w="0" w:type="dxa"/>
              <w:right w:w="57" w:type="dxa"/>
            </w:tcMar>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196 515 082</w:t>
            </w:r>
          </w:p>
        </w:tc>
        <w:tc>
          <w:tcPr>
            <w:tcW w:w="507" w:type="pct"/>
            <w:tcBorders>
              <w:top w:val="single" w:sz="4" w:space="0" w:color="auto"/>
              <w:left w:val="nil"/>
              <w:bottom w:val="single" w:sz="4" w:space="0" w:color="auto"/>
              <w:right w:val="single" w:sz="4" w:space="0" w:color="auto"/>
            </w:tcBorders>
            <w:tcMar>
              <w:left w:w="0" w:type="dxa"/>
              <w:right w:w="57" w:type="dxa"/>
            </w:tcMar>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189 940 472</w:t>
            </w:r>
          </w:p>
        </w:tc>
        <w:tc>
          <w:tcPr>
            <w:tcW w:w="507" w:type="pct"/>
            <w:tcBorders>
              <w:top w:val="single" w:sz="4" w:space="0" w:color="auto"/>
              <w:left w:val="nil"/>
              <w:bottom w:val="single" w:sz="4" w:space="0" w:color="auto"/>
              <w:right w:val="single" w:sz="4" w:space="0" w:color="auto"/>
            </w:tcBorders>
            <w:tcMar>
              <w:left w:w="0" w:type="dxa"/>
              <w:right w:w="57" w:type="dxa"/>
            </w:tcMar>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167 192 123</w:t>
            </w:r>
          </w:p>
        </w:tc>
        <w:tc>
          <w:tcPr>
            <w:tcW w:w="507" w:type="pct"/>
            <w:tcBorders>
              <w:top w:val="single" w:sz="4" w:space="0" w:color="auto"/>
              <w:left w:val="nil"/>
              <w:bottom w:val="single" w:sz="4" w:space="0" w:color="auto"/>
              <w:right w:val="single" w:sz="4" w:space="0" w:color="auto"/>
            </w:tcBorders>
            <w:tcMar>
              <w:left w:w="0" w:type="dxa"/>
              <w:right w:w="57" w:type="dxa"/>
            </w:tcMar>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172 241 637</w:t>
            </w:r>
          </w:p>
        </w:tc>
        <w:tc>
          <w:tcPr>
            <w:tcW w:w="508" w:type="pct"/>
            <w:tcBorders>
              <w:top w:val="single" w:sz="4" w:space="0" w:color="auto"/>
              <w:left w:val="nil"/>
              <w:bottom w:val="single" w:sz="4" w:space="0" w:color="auto"/>
              <w:right w:val="single" w:sz="4" w:space="0" w:color="auto"/>
            </w:tcBorders>
            <w:tcMar>
              <w:left w:w="0" w:type="dxa"/>
              <w:right w:w="57" w:type="dxa"/>
            </w:tcMar>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91663">
              <w:rPr>
                <w:rFonts w:ascii="Times New Roman" w:hAnsi="Times New Roman" w:cs="Times New Roman"/>
                <w:b/>
                <w:bCs/>
                <w:color w:val="000000"/>
                <w:sz w:val="14"/>
                <w:szCs w:val="14"/>
              </w:rPr>
              <w:t>181 173 995</w:t>
            </w:r>
          </w:p>
        </w:tc>
        <w:tc>
          <w:tcPr>
            <w:tcW w:w="508" w:type="pct"/>
            <w:tcBorders>
              <w:top w:val="single" w:sz="4" w:space="0" w:color="auto"/>
              <w:left w:val="nil"/>
              <w:bottom w:val="single" w:sz="4" w:space="0" w:color="auto"/>
              <w:right w:val="single" w:sz="4" w:space="0" w:color="auto"/>
            </w:tcBorders>
            <w:tcMar>
              <w:left w:w="0" w:type="dxa"/>
              <w:right w:w="57" w:type="dxa"/>
            </w:tcMar>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159 901 278</w:t>
            </w:r>
          </w:p>
        </w:tc>
        <w:tc>
          <w:tcPr>
            <w:tcW w:w="468" w:type="pct"/>
            <w:tcBorders>
              <w:top w:val="single" w:sz="4" w:space="0" w:color="auto"/>
              <w:left w:val="nil"/>
              <w:bottom w:val="single" w:sz="4" w:space="0" w:color="auto"/>
              <w:right w:val="single" w:sz="4" w:space="0" w:color="auto"/>
            </w:tcBorders>
            <w:tcMar>
              <w:left w:w="0" w:type="dxa"/>
              <w:right w:w="57" w:type="dxa"/>
            </w:tcMar>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158 858 918</w:t>
            </w:r>
          </w:p>
        </w:tc>
      </w:tr>
      <w:tr>
        <w:tblPrEx>
          <w:tblW w:w="5039" w:type="pct"/>
          <w:tblCellMar>
            <w:left w:w="70" w:type="dxa"/>
            <w:right w:w="70" w:type="dxa"/>
          </w:tblCellMar>
          <w:tblLook w:val="04A0"/>
        </w:tblPrEx>
        <w:trPr>
          <w:trHeight w:val="259"/>
        </w:trPr>
        <w:tc>
          <w:tcPr>
            <w:tcW w:w="1488"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Inštitucionálna  podpora organizácií rezortu</w:t>
            </w:r>
          </w:p>
        </w:tc>
        <w:tc>
          <w:tcPr>
            <w:tcW w:w="507"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87 816 855</w:t>
            </w:r>
          </w:p>
        </w:tc>
        <w:tc>
          <w:tcPr>
            <w:tcW w:w="507"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88 756 044</w:t>
            </w:r>
          </w:p>
        </w:tc>
        <w:tc>
          <w:tcPr>
            <w:tcW w:w="507"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85 368 160</w:t>
            </w:r>
          </w:p>
        </w:tc>
        <w:tc>
          <w:tcPr>
            <w:tcW w:w="507"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87 149 923</w:t>
            </w:r>
          </w:p>
        </w:tc>
        <w:tc>
          <w:tcPr>
            <w:tcW w:w="508"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79 934 460</w:t>
            </w:r>
          </w:p>
        </w:tc>
        <w:tc>
          <w:tcPr>
            <w:tcW w:w="508"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79 934 460</w:t>
            </w:r>
          </w:p>
        </w:tc>
        <w:tc>
          <w:tcPr>
            <w:tcW w:w="468"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80 684 460</w:t>
            </w:r>
          </w:p>
        </w:tc>
      </w:tr>
      <w:tr>
        <w:tblPrEx>
          <w:tblW w:w="5039" w:type="pct"/>
          <w:tblCellMar>
            <w:left w:w="70" w:type="dxa"/>
            <w:right w:w="70" w:type="dxa"/>
          </w:tblCellMar>
          <w:tblLook w:val="04A0"/>
        </w:tblPrEx>
        <w:trPr>
          <w:trHeight w:val="259"/>
        </w:trPr>
        <w:tc>
          <w:tcPr>
            <w:tcW w:w="1488" w:type="pct"/>
            <w:tcBorders>
              <w:top w:val="nil"/>
              <w:left w:val="single" w:sz="4" w:space="0" w:color="auto"/>
              <w:bottom w:val="single" w:sz="4" w:space="0" w:color="auto"/>
              <w:right w:val="single" w:sz="4" w:space="0" w:color="auto"/>
            </w:tcBorders>
            <w:noWrap/>
            <w:textDirection w:val="lrTb"/>
            <w:vAlign w:val="center"/>
            <w:hideMark/>
          </w:tcPr>
          <w:p w:rsidR="00CB350B" w:rsidRPr="00991663" w:rsidP="00257E12">
            <w:pPr>
              <w:bidi w:val="0"/>
              <w:rPr>
                <w:rFonts w:ascii="Times New Roman" w:hAnsi="Times New Roman" w:cs="Times New Roman"/>
                <w:sz w:val="14"/>
                <w:szCs w:val="14"/>
              </w:rPr>
            </w:pPr>
            <w:r w:rsidRPr="00991663">
              <w:rPr>
                <w:rFonts w:ascii="Times New Roman" w:hAnsi="Times New Roman" w:cs="Times New Roman"/>
                <w:sz w:val="14"/>
                <w:szCs w:val="14"/>
              </w:rPr>
              <w:t>Grantový systém</w:t>
            </w:r>
          </w:p>
        </w:tc>
        <w:tc>
          <w:tcPr>
            <w:tcW w:w="507"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28 626 607</w:t>
            </w:r>
          </w:p>
        </w:tc>
        <w:tc>
          <w:tcPr>
            <w:tcW w:w="507"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19 849 083</w:t>
            </w:r>
          </w:p>
        </w:tc>
        <w:tc>
          <w:tcPr>
            <w:tcW w:w="507"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16 891 200</w:t>
            </w:r>
          </w:p>
        </w:tc>
        <w:tc>
          <w:tcPr>
            <w:tcW w:w="507"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16 891 200</w:t>
            </w:r>
          </w:p>
        </w:tc>
        <w:tc>
          <w:tcPr>
            <w:tcW w:w="508"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21 066 097</w:t>
            </w:r>
          </w:p>
        </w:tc>
        <w:tc>
          <w:tcPr>
            <w:tcW w:w="508"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10 566 097</w:t>
            </w:r>
          </w:p>
        </w:tc>
        <w:tc>
          <w:tcPr>
            <w:tcW w:w="468"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9 516 097</w:t>
            </w:r>
          </w:p>
        </w:tc>
      </w:tr>
      <w:tr>
        <w:tblPrEx>
          <w:tblW w:w="5039" w:type="pct"/>
          <w:tblCellMar>
            <w:left w:w="70" w:type="dxa"/>
            <w:right w:w="70" w:type="dxa"/>
          </w:tblCellMar>
          <w:tblLook w:val="04A0"/>
        </w:tblPrEx>
        <w:trPr>
          <w:trHeight w:val="259"/>
        </w:trPr>
        <w:tc>
          <w:tcPr>
            <w:tcW w:w="1488" w:type="pct"/>
            <w:tcBorders>
              <w:top w:val="nil"/>
              <w:left w:val="single" w:sz="4" w:space="0" w:color="auto"/>
              <w:bottom w:val="single" w:sz="4" w:space="0" w:color="auto"/>
              <w:right w:val="single" w:sz="4" w:space="0" w:color="auto"/>
            </w:tcBorders>
            <w:noWrap/>
            <w:textDirection w:val="lrTb"/>
            <w:vAlign w:val="center"/>
            <w:hideMark/>
          </w:tcPr>
          <w:p w:rsidR="00CB350B" w:rsidRPr="00991663" w:rsidP="00257E12">
            <w:pPr>
              <w:bidi w:val="0"/>
              <w:rPr>
                <w:rFonts w:ascii="Times New Roman" w:hAnsi="Times New Roman" w:cs="Times New Roman"/>
                <w:sz w:val="14"/>
                <w:szCs w:val="14"/>
              </w:rPr>
            </w:pPr>
            <w:r w:rsidRPr="00991663">
              <w:rPr>
                <w:rFonts w:ascii="Times New Roman" w:hAnsi="Times New Roman" w:cs="Times New Roman"/>
                <w:sz w:val="14"/>
                <w:szCs w:val="14"/>
              </w:rPr>
              <w:t>Transfery pre verejnoprávne inštitúcie</w:t>
            </w:r>
          </w:p>
        </w:tc>
        <w:tc>
          <w:tcPr>
            <w:tcW w:w="507"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17 272 653</w:t>
            </w:r>
          </w:p>
        </w:tc>
        <w:tc>
          <w:tcPr>
            <w:tcW w:w="507"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23 215 727</w:t>
            </w:r>
          </w:p>
        </w:tc>
        <w:tc>
          <w:tcPr>
            <w:tcW w:w="507"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18 500 000</w:t>
            </w:r>
          </w:p>
        </w:tc>
        <w:tc>
          <w:tcPr>
            <w:tcW w:w="507"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18 500 000</w:t>
            </w:r>
          </w:p>
        </w:tc>
        <w:tc>
          <w:tcPr>
            <w:tcW w:w="508"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18 000 000</w:t>
            </w:r>
          </w:p>
        </w:tc>
        <w:tc>
          <w:tcPr>
            <w:tcW w:w="508"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17 500 000</w:t>
            </w:r>
          </w:p>
        </w:tc>
        <w:tc>
          <w:tcPr>
            <w:tcW w:w="468"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17 500 000</w:t>
            </w:r>
          </w:p>
        </w:tc>
      </w:tr>
      <w:tr>
        <w:tblPrEx>
          <w:tblW w:w="5039" w:type="pct"/>
          <w:tblCellMar>
            <w:left w:w="70" w:type="dxa"/>
            <w:right w:w="70" w:type="dxa"/>
          </w:tblCellMar>
          <w:tblLook w:val="04A0"/>
        </w:tblPrEx>
        <w:trPr>
          <w:trHeight w:val="259"/>
        </w:trPr>
        <w:tc>
          <w:tcPr>
            <w:tcW w:w="1488" w:type="pct"/>
            <w:tcBorders>
              <w:top w:val="nil"/>
              <w:left w:val="single" w:sz="4" w:space="0" w:color="auto"/>
              <w:bottom w:val="single" w:sz="4" w:space="0" w:color="auto"/>
              <w:right w:val="single" w:sz="4" w:space="0" w:color="auto"/>
            </w:tcBorders>
            <w:noWrap/>
            <w:textDirection w:val="lrTb"/>
            <w:vAlign w:val="center"/>
            <w:hideMark/>
          </w:tcPr>
          <w:p w:rsidR="00CB350B" w:rsidRPr="00991663" w:rsidP="00257E12">
            <w:pPr>
              <w:bidi w:val="0"/>
              <w:rPr>
                <w:rFonts w:ascii="Times New Roman" w:hAnsi="Times New Roman" w:cs="Times New Roman"/>
                <w:sz w:val="14"/>
                <w:szCs w:val="14"/>
              </w:rPr>
            </w:pPr>
            <w:r w:rsidRPr="00991663">
              <w:rPr>
                <w:rFonts w:ascii="Times New Roman" w:hAnsi="Times New Roman" w:cs="Times New Roman"/>
                <w:sz w:val="14"/>
                <w:szCs w:val="14"/>
              </w:rPr>
              <w:t>Strategické zámery kapitoly</w:t>
            </w:r>
          </w:p>
        </w:tc>
        <w:tc>
          <w:tcPr>
            <w:tcW w:w="507"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17 454 977</w:t>
            </w:r>
          </w:p>
        </w:tc>
        <w:tc>
          <w:tcPr>
            <w:tcW w:w="507"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8 967 070</w:t>
            </w:r>
          </w:p>
        </w:tc>
        <w:tc>
          <w:tcPr>
            <w:tcW w:w="507"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1 493 726</w:t>
            </w:r>
          </w:p>
        </w:tc>
        <w:tc>
          <w:tcPr>
            <w:tcW w:w="507"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4 065 130</w:t>
            </w:r>
          </w:p>
        </w:tc>
        <w:tc>
          <w:tcPr>
            <w:tcW w:w="508"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6 793 726</w:t>
            </w:r>
          </w:p>
        </w:tc>
        <w:tc>
          <w:tcPr>
            <w:tcW w:w="508"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6 793 726</w:t>
            </w:r>
          </w:p>
        </w:tc>
        <w:tc>
          <w:tcPr>
            <w:tcW w:w="468"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5 793 726</w:t>
            </w:r>
          </w:p>
        </w:tc>
      </w:tr>
      <w:tr>
        <w:tblPrEx>
          <w:tblW w:w="5039" w:type="pct"/>
          <w:tblCellMar>
            <w:left w:w="70" w:type="dxa"/>
            <w:right w:w="70" w:type="dxa"/>
          </w:tblCellMar>
          <w:tblLook w:val="04A0"/>
        </w:tblPrEx>
        <w:trPr>
          <w:trHeight w:val="259"/>
        </w:trPr>
        <w:tc>
          <w:tcPr>
            <w:tcW w:w="1488" w:type="pct"/>
            <w:tcBorders>
              <w:top w:val="nil"/>
              <w:left w:val="single" w:sz="4" w:space="0" w:color="auto"/>
              <w:bottom w:val="single" w:sz="4" w:space="0" w:color="auto"/>
              <w:right w:val="single" w:sz="4" w:space="0" w:color="auto"/>
            </w:tcBorders>
            <w:noWrap/>
            <w:textDirection w:val="lrTb"/>
            <w:vAlign w:val="center"/>
            <w:hideMark/>
          </w:tcPr>
          <w:p w:rsidR="00CB350B" w:rsidRPr="00991663" w:rsidP="00257E12">
            <w:pPr>
              <w:bidi w:val="0"/>
              <w:rPr>
                <w:rFonts w:ascii="Times New Roman" w:hAnsi="Times New Roman" w:cs="Times New Roman"/>
                <w:sz w:val="14"/>
                <w:szCs w:val="14"/>
              </w:rPr>
            </w:pPr>
            <w:r w:rsidRPr="00991663">
              <w:rPr>
                <w:rFonts w:ascii="Times New Roman" w:hAnsi="Times New Roman" w:cs="Times New Roman"/>
                <w:sz w:val="14"/>
                <w:szCs w:val="14"/>
              </w:rPr>
              <w:t xml:space="preserve">Cirkvi a náboženské spoločnosti </w:t>
            </w:r>
          </w:p>
        </w:tc>
        <w:tc>
          <w:tcPr>
            <w:tcW w:w="507"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37 191 961</w:t>
            </w:r>
          </w:p>
        </w:tc>
        <w:tc>
          <w:tcPr>
            <w:tcW w:w="507"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40 330 512</w:t>
            </w:r>
          </w:p>
        </w:tc>
        <w:tc>
          <w:tcPr>
            <w:tcW w:w="507"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37 211 961</w:t>
            </w:r>
          </w:p>
        </w:tc>
        <w:tc>
          <w:tcPr>
            <w:tcW w:w="507"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37 211 961</w:t>
            </w:r>
          </w:p>
        </w:tc>
        <w:tc>
          <w:tcPr>
            <w:tcW w:w="508"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37 211 961</w:t>
            </w:r>
          </w:p>
        </w:tc>
        <w:tc>
          <w:tcPr>
            <w:tcW w:w="508"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37 211 961</w:t>
            </w:r>
          </w:p>
        </w:tc>
        <w:tc>
          <w:tcPr>
            <w:tcW w:w="468"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37 211 961</w:t>
            </w:r>
          </w:p>
        </w:tc>
      </w:tr>
      <w:tr>
        <w:tblPrEx>
          <w:tblW w:w="5039" w:type="pct"/>
          <w:tblCellMar>
            <w:left w:w="70" w:type="dxa"/>
            <w:right w:w="70" w:type="dxa"/>
          </w:tblCellMar>
          <w:tblLook w:val="04A0"/>
        </w:tblPrEx>
        <w:trPr>
          <w:trHeight w:val="259"/>
        </w:trPr>
        <w:tc>
          <w:tcPr>
            <w:tcW w:w="1488" w:type="pct"/>
            <w:tcBorders>
              <w:top w:val="nil"/>
              <w:left w:val="single" w:sz="4" w:space="0" w:color="auto"/>
              <w:bottom w:val="single" w:sz="4" w:space="0" w:color="auto"/>
              <w:right w:val="single" w:sz="4" w:space="0" w:color="auto"/>
            </w:tcBorders>
            <w:noWrap/>
            <w:textDirection w:val="lrTb"/>
            <w:vAlign w:val="center"/>
            <w:hideMark/>
          </w:tcPr>
          <w:p w:rsidR="00CB350B" w:rsidRPr="00991663" w:rsidP="00257E12">
            <w:pPr>
              <w:bidi w:val="0"/>
              <w:rPr>
                <w:rFonts w:ascii="Times New Roman" w:hAnsi="Times New Roman" w:cs="Times New Roman"/>
                <w:sz w:val="14"/>
                <w:szCs w:val="14"/>
              </w:rPr>
            </w:pPr>
            <w:r w:rsidRPr="00991663">
              <w:rPr>
                <w:rFonts w:ascii="Times New Roman" w:hAnsi="Times New Roman" w:cs="Times New Roman"/>
                <w:sz w:val="14"/>
                <w:szCs w:val="14"/>
              </w:rPr>
              <w:t>Aparát a iné výdavkové tituly</w:t>
            </w:r>
          </w:p>
        </w:tc>
        <w:tc>
          <w:tcPr>
            <w:tcW w:w="507"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8 152 029</w:t>
            </w:r>
          </w:p>
        </w:tc>
        <w:tc>
          <w:tcPr>
            <w:tcW w:w="507"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8 822 036</w:t>
            </w:r>
          </w:p>
        </w:tc>
        <w:tc>
          <w:tcPr>
            <w:tcW w:w="507"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7 727 076</w:t>
            </w:r>
          </w:p>
        </w:tc>
        <w:tc>
          <w:tcPr>
            <w:tcW w:w="507"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8 423 423</w:t>
            </w:r>
          </w:p>
        </w:tc>
        <w:tc>
          <w:tcPr>
            <w:tcW w:w="508"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18 167 751</w:t>
            </w:r>
          </w:p>
        </w:tc>
        <w:tc>
          <w:tcPr>
            <w:tcW w:w="508"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7 895 034</w:t>
            </w:r>
          </w:p>
        </w:tc>
        <w:tc>
          <w:tcPr>
            <w:tcW w:w="468"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8 152 674</w:t>
            </w:r>
          </w:p>
        </w:tc>
      </w:tr>
    </w:tbl>
    <w:p w:rsidR="00CB350B" w:rsidRPr="00991663"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991663">
        <w:rPr>
          <w:rFonts w:ascii="Times New Roman" w:hAnsi="Times New Roman" w:cs="Times New Roman"/>
        </w:rPr>
        <w:t>Celkové zdroje kapitoly sa rozpočtujú v sume 181,2 mil. eur, čo oproti schválenému rozpočtu roku 2011 predstavuje zvýšenie o 8,36 %, v absolútnom vyjadrení 14 mil</w:t>
      </w:r>
      <w:r w:rsidRPr="0004638E">
        <w:rPr>
          <w:rFonts w:ascii="Times New Roman" w:hAnsi="Times New Roman" w:cs="Times New Roman"/>
        </w:rPr>
        <w:t xml:space="preserve">. eur. </w:t>
      </w:r>
    </w:p>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Rozpočtované výdavky kapitoly pok</w:t>
      </w:r>
      <w:r>
        <w:rPr>
          <w:rFonts w:ascii="Times New Roman" w:hAnsi="Times New Roman" w:cs="Times New Roman"/>
        </w:rPr>
        <w:t>rývajú nasledujúce oblasti.</w:t>
      </w:r>
    </w:p>
    <w:p w:rsidR="00CB350B" w:rsidRPr="0004638E" w:rsidP="00CB350B">
      <w:pPr>
        <w:bidi w:val="0"/>
        <w:ind w:firstLine="708"/>
        <w:jc w:val="both"/>
        <w:rPr>
          <w:rFonts w:ascii="Times New Roman" w:hAnsi="Times New Roman" w:cs="Times New Roman"/>
        </w:rPr>
      </w:pPr>
    </w:p>
    <w:p w:rsidR="00CB350B" w:rsidRPr="0004638E" w:rsidP="00CB350B">
      <w:pPr>
        <w:bidi w:val="0"/>
        <w:jc w:val="both"/>
        <w:rPr>
          <w:rFonts w:ascii="Times New Roman" w:hAnsi="Times New Roman" w:cs="Times New Roman"/>
          <w:b/>
        </w:rPr>
      </w:pPr>
      <w:r w:rsidRPr="0004638E">
        <w:rPr>
          <w:rFonts w:ascii="Times New Roman" w:hAnsi="Times New Roman" w:cs="Times New Roman"/>
          <w:b/>
          <w:bCs/>
        </w:rPr>
        <w:t>Inštitucionálna podpora štátnych organizácií rezortu</w:t>
      </w:r>
    </w:p>
    <w:p w:rsidR="00CB350B" w:rsidRPr="0004638E" w:rsidP="00CB350B">
      <w:pPr>
        <w:autoSpaceDE w:val="0"/>
        <w:autoSpaceDN w:val="0"/>
        <w:bidi w:val="0"/>
        <w:adjustRightInd w:val="0"/>
        <w:jc w:val="both"/>
        <w:rPr>
          <w:rFonts w:ascii="Times New Roman" w:hAnsi="Times New Roman" w:cs="Times New Roman"/>
        </w:rPr>
      </w:pPr>
    </w:p>
    <w:tbl>
      <w:tblPr>
        <w:tblStyle w:val="TableNormal"/>
        <w:tblW w:w="4962" w:type="pct"/>
        <w:tblCellMar>
          <w:left w:w="70" w:type="dxa"/>
          <w:right w:w="70" w:type="dxa"/>
        </w:tblCellMar>
        <w:tblLook w:val="04A0"/>
      </w:tblPr>
      <w:tblGrid>
        <w:gridCol w:w="2744"/>
        <w:gridCol w:w="933"/>
        <w:gridCol w:w="933"/>
        <w:gridCol w:w="932"/>
        <w:gridCol w:w="932"/>
        <w:gridCol w:w="932"/>
        <w:gridCol w:w="932"/>
        <w:gridCol w:w="804"/>
      </w:tblGrid>
      <w:tr>
        <w:tblPrEx>
          <w:tblW w:w="4962" w:type="pct"/>
          <w:tblCellMar>
            <w:left w:w="70" w:type="dxa"/>
            <w:right w:w="70" w:type="dxa"/>
          </w:tblCellMar>
          <w:tblLook w:val="04A0"/>
        </w:tblPrEx>
        <w:trPr>
          <w:trHeight w:hRule="exact" w:val="284"/>
        </w:trPr>
        <w:tc>
          <w:tcPr>
            <w:tcW w:w="1500" w:type="pct"/>
            <w:tcBorders>
              <w:top w:val="single" w:sz="4" w:space="0" w:color="auto"/>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b/>
                <w:bCs/>
                <w:sz w:val="14"/>
                <w:szCs w:val="14"/>
              </w:rPr>
            </w:pPr>
            <w:r w:rsidRPr="009E58F9">
              <w:rPr>
                <w:rFonts w:ascii="Times New Roman" w:hAnsi="Times New Roman" w:cs="Times New Roman"/>
                <w:color w:val="000000"/>
                <w:sz w:val="14"/>
                <w:szCs w:val="14"/>
                <w:lang w:eastAsia="sk-SK"/>
              </w:rPr>
              <w:t> </w:t>
            </w:r>
            <w:r w:rsidRPr="009E58F9">
              <w:rPr>
                <w:rFonts w:ascii="Times New Roman" w:hAnsi="Times New Roman" w:cs="Times New Roman"/>
                <w:b/>
                <w:bCs/>
                <w:color w:val="000000"/>
                <w:sz w:val="14"/>
                <w:szCs w:val="14"/>
                <w:lang w:eastAsia="sk-SK"/>
              </w:rPr>
              <w:t>v eurách</w:t>
            </w:r>
          </w:p>
        </w:tc>
        <w:tc>
          <w:tcPr>
            <w:tcW w:w="51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2009 S</w:t>
            </w:r>
          </w:p>
        </w:tc>
        <w:tc>
          <w:tcPr>
            <w:tcW w:w="51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2010 S</w:t>
            </w:r>
          </w:p>
        </w:tc>
        <w:tc>
          <w:tcPr>
            <w:tcW w:w="51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2011 R</w:t>
            </w:r>
          </w:p>
        </w:tc>
        <w:tc>
          <w:tcPr>
            <w:tcW w:w="51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2011 OS</w:t>
            </w:r>
          </w:p>
        </w:tc>
        <w:tc>
          <w:tcPr>
            <w:tcW w:w="51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2012 N</w:t>
            </w:r>
          </w:p>
        </w:tc>
        <w:tc>
          <w:tcPr>
            <w:tcW w:w="51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2013 N</w:t>
            </w:r>
          </w:p>
        </w:tc>
        <w:tc>
          <w:tcPr>
            <w:tcW w:w="51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2014 N</w:t>
            </w:r>
          </w:p>
        </w:tc>
      </w:tr>
      <w:tr>
        <w:tblPrEx>
          <w:tblW w:w="4962" w:type="pct"/>
          <w:tblCellMar>
            <w:left w:w="70" w:type="dxa"/>
            <w:right w:w="70" w:type="dxa"/>
          </w:tblCellMar>
          <w:tblLook w:val="04A0"/>
        </w:tblPrEx>
        <w:trPr>
          <w:trHeight w:hRule="exact" w:val="284"/>
        </w:trPr>
        <w:tc>
          <w:tcPr>
            <w:tcW w:w="1500" w:type="pct"/>
            <w:tcBorders>
              <w:top w:val="single" w:sz="4" w:space="0" w:color="auto"/>
              <w:left w:val="single" w:sz="4" w:space="0" w:color="auto"/>
              <w:bottom w:val="single" w:sz="4" w:space="0" w:color="auto"/>
              <w:right w:val="single" w:sz="4" w:space="0" w:color="auto"/>
            </w:tcBorders>
            <w:noWrap/>
            <w:textDirection w:val="lrTb"/>
            <w:vAlign w:val="center"/>
            <w:hideMark/>
          </w:tcPr>
          <w:p w:rsidR="00CB350B" w:rsidRPr="009E58F9" w:rsidP="00257E12">
            <w:pPr>
              <w:bidi w:val="0"/>
              <w:jc w:val="both"/>
              <w:rPr>
                <w:rFonts w:ascii="Times New Roman" w:hAnsi="Times New Roman" w:cs="Times New Roman"/>
                <w:b/>
                <w:bCs/>
                <w:sz w:val="14"/>
                <w:szCs w:val="14"/>
              </w:rPr>
            </w:pPr>
            <w:r>
              <w:rPr>
                <w:rFonts w:ascii="Times New Roman" w:hAnsi="Times New Roman" w:cs="Times New Roman"/>
                <w:b/>
                <w:bCs/>
                <w:sz w:val="14"/>
                <w:szCs w:val="14"/>
              </w:rPr>
              <w:t>Inštit.</w:t>
            </w:r>
            <w:r w:rsidRPr="009E58F9">
              <w:rPr>
                <w:rFonts w:ascii="Times New Roman" w:hAnsi="Times New Roman" w:cs="Times New Roman"/>
                <w:b/>
                <w:bCs/>
                <w:sz w:val="14"/>
                <w:szCs w:val="14"/>
              </w:rPr>
              <w:t xml:space="preserve"> podpora organizácií rezortu</w:t>
            </w:r>
          </w:p>
        </w:tc>
        <w:tc>
          <w:tcPr>
            <w:tcW w:w="51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87 816 855</w:t>
            </w:r>
          </w:p>
        </w:tc>
        <w:tc>
          <w:tcPr>
            <w:tcW w:w="51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88 756 044</w:t>
            </w:r>
          </w:p>
        </w:tc>
        <w:tc>
          <w:tcPr>
            <w:tcW w:w="51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85 368 160</w:t>
            </w:r>
          </w:p>
        </w:tc>
        <w:tc>
          <w:tcPr>
            <w:tcW w:w="51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87 149 923</w:t>
            </w:r>
          </w:p>
        </w:tc>
        <w:tc>
          <w:tcPr>
            <w:tcW w:w="51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79 934 460</w:t>
            </w:r>
          </w:p>
        </w:tc>
        <w:tc>
          <w:tcPr>
            <w:tcW w:w="51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79 934 460</w:t>
            </w:r>
          </w:p>
        </w:tc>
        <w:tc>
          <w:tcPr>
            <w:tcW w:w="51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80 684 460</w:t>
            </w:r>
          </w:p>
        </w:tc>
      </w:tr>
      <w:tr>
        <w:tblPrEx>
          <w:tblW w:w="4962"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jc w:val="both"/>
              <w:rPr>
                <w:rFonts w:ascii="Times New Roman" w:hAnsi="Times New Roman" w:cs="Times New Roman"/>
                <w:sz w:val="14"/>
                <w:szCs w:val="14"/>
              </w:rPr>
            </w:pPr>
            <w:r w:rsidRPr="009E58F9">
              <w:rPr>
                <w:rFonts w:ascii="Times New Roman" w:hAnsi="Times New Roman" w:cs="Times New Roman"/>
                <w:sz w:val="14"/>
                <w:szCs w:val="14"/>
              </w:rPr>
              <w:t>Inštitucionálna podpora RO a PO*</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80 001 845</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82 742 903</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80 259 360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83 100 373</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73 389 660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73 389 660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73 389 660</w:t>
            </w:r>
          </w:p>
        </w:tc>
      </w:tr>
      <w:tr>
        <w:tblPrEx>
          <w:tblW w:w="4962"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Podpora kultúrnych aktivít RO a PO*</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6 035 383</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4 844 178</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5 108 800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3 706 703</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5 844 800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5 844 800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6 294 800</w:t>
            </w:r>
          </w:p>
        </w:tc>
      </w:tr>
      <w:tr>
        <w:tblPrEx>
          <w:tblW w:w="4962"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Podpora kultúrnych aktivít v zahraničí</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1 779 627</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1 168 963</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342 847</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700 000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700 000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1 000 000</w:t>
            </w:r>
          </w:p>
        </w:tc>
      </w:tr>
    </w:tbl>
    <w:p w:rsidR="00CB350B" w:rsidRPr="00DB788F" w:rsidP="00CB350B">
      <w:pPr>
        <w:autoSpaceDE w:val="0"/>
        <w:autoSpaceDN w:val="0"/>
        <w:bidi w:val="0"/>
        <w:adjustRightInd w:val="0"/>
        <w:jc w:val="both"/>
        <w:rPr>
          <w:rFonts w:ascii="Times New Roman" w:hAnsi="Times New Roman" w:cs="Times New Roman"/>
          <w:sz w:val="14"/>
          <w:szCs w:val="14"/>
        </w:rPr>
      </w:pPr>
      <w:r w:rsidRPr="00DB788F">
        <w:rPr>
          <w:rFonts w:ascii="Times New Roman" w:hAnsi="Times New Roman" w:cs="Times New Roman"/>
          <w:sz w:val="14"/>
          <w:szCs w:val="14"/>
        </w:rPr>
        <w:t>*rozpočtových a príspevkových organizácií</w:t>
      </w:r>
    </w:p>
    <w:p w:rsidR="00CB350B" w:rsidRPr="0004638E" w:rsidP="00CB350B">
      <w:pPr>
        <w:autoSpaceDE w:val="0"/>
        <w:autoSpaceDN w:val="0"/>
        <w:bidi w:val="0"/>
        <w:adjustRightInd w:val="0"/>
        <w:jc w:val="both"/>
        <w:rPr>
          <w:rFonts w:ascii="Times New Roman" w:hAnsi="Times New Roman" w:cs="Times New Roman"/>
        </w:rPr>
      </w:pPr>
    </w:p>
    <w:p w:rsidR="00CB350B" w:rsidRPr="0004638E" w:rsidP="00CB350B">
      <w:pPr>
        <w:autoSpaceDE w:val="0"/>
        <w:autoSpaceDN w:val="0"/>
        <w:bidi w:val="0"/>
        <w:adjustRightInd w:val="0"/>
        <w:ind w:firstLine="708"/>
        <w:jc w:val="both"/>
        <w:rPr>
          <w:rFonts w:ascii="Times New Roman" w:hAnsi="Times New Roman" w:cs="Times New Roman"/>
        </w:rPr>
      </w:pPr>
      <w:r w:rsidRPr="0004638E">
        <w:rPr>
          <w:rFonts w:ascii="Times New Roman" w:hAnsi="Times New Roman" w:cs="Times New Roman"/>
        </w:rPr>
        <w:t>Celkové výdavky na oblasť inštitucionálnej podpory štátnych organizácií rezortu medziročne klesli o 6,4</w:t>
      </w:r>
      <w:r>
        <w:rPr>
          <w:rFonts w:ascii="Times New Roman" w:hAnsi="Times New Roman" w:cs="Times New Roman"/>
        </w:rPr>
        <w:t xml:space="preserve"> </w:t>
      </w:r>
      <w:r w:rsidRPr="0004638E">
        <w:rPr>
          <w:rFonts w:ascii="Times New Roman" w:hAnsi="Times New Roman" w:cs="Times New Roman"/>
        </w:rPr>
        <w:t xml:space="preserve">% predovšetkým z dôvodu </w:t>
      </w:r>
      <w:r>
        <w:rPr>
          <w:rFonts w:ascii="Times New Roman" w:hAnsi="Times New Roman" w:cs="Times New Roman"/>
        </w:rPr>
        <w:t xml:space="preserve">nerozpočtovania výdavkov v sume 5,69 mil. eur v súvislosti s </w:t>
      </w:r>
      <w:r w:rsidRPr="0004638E">
        <w:rPr>
          <w:rFonts w:ascii="Times New Roman" w:hAnsi="Times New Roman" w:cs="Times New Roman"/>
        </w:rPr>
        <w:t>ukončen</w:t>
      </w:r>
      <w:r>
        <w:rPr>
          <w:rFonts w:ascii="Times New Roman" w:hAnsi="Times New Roman" w:cs="Times New Roman"/>
        </w:rPr>
        <w:t>ím</w:t>
      </w:r>
      <w:r w:rsidRPr="0004638E">
        <w:rPr>
          <w:rFonts w:ascii="Times New Roman" w:hAnsi="Times New Roman" w:cs="Times New Roman"/>
        </w:rPr>
        <w:t xml:space="preserve"> </w:t>
      </w:r>
      <w:r>
        <w:rPr>
          <w:rFonts w:ascii="Times New Roman" w:hAnsi="Times New Roman" w:cs="Times New Roman"/>
        </w:rPr>
        <w:t>rekonštrukcie</w:t>
      </w:r>
      <w:r w:rsidRPr="0004638E">
        <w:rPr>
          <w:rFonts w:ascii="Times New Roman" w:hAnsi="Times New Roman" w:cs="Times New Roman"/>
        </w:rPr>
        <w:t xml:space="preserve"> Redut</w:t>
      </w:r>
      <w:r>
        <w:rPr>
          <w:rFonts w:ascii="Times New Roman" w:hAnsi="Times New Roman" w:cs="Times New Roman"/>
        </w:rPr>
        <w:t>y.</w:t>
      </w:r>
      <w:r w:rsidRPr="0004638E">
        <w:rPr>
          <w:rFonts w:ascii="Times New Roman" w:hAnsi="Times New Roman" w:cs="Times New Roman"/>
        </w:rPr>
        <w:t xml:space="preserve"> </w:t>
      </w:r>
      <w:r>
        <w:rPr>
          <w:rFonts w:ascii="Times New Roman" w:hAnsi="Times New Roman" w:cs="Times New Roman"/>
        </w:rPr>
        <w:t>Z</w:t>
      </w:r>
      <w:r w:rsidRPr="0004638E">
        <w:rPr>
          <w:rFonts w:ascii="Times New Roman" w:hAnsi="Times New Roman" w:cs="Times New Roman"/>
        </w:rPr>
        <w:t>níženie sa premietlo v rámci prvku inštitucionálnej podpory rozpočtových a príspevkových organizácií (o 8,6</w:t>
      </w:r>
      <w:r>
        <w:rPr>
          <w:rFonts w:ascii="Times New Roman" w:hAnsi="Times New Roman" w:cs="Times New Roman"/>
        </w:rPr>
        <w:t xml:space="preserve"> </w:t>
      </w:r>
      <w:r w:rsidRPr="0004638E">
        <w:rPr>
          <w:rFonts w:ascii="Times New Roman" w:hAnsi="Times New Roman" w:cs="Times New Roman"/>
        </w:rPr>
        <w:t xml:space="preserve">%). Naopak výrazné zvýšenie oproti schválenému rozpočtu roku 2011 je navrhované na </w:t>
      </w:r>
      <w:r>
        <w:rPr>
          <w:rFonts w:ascii="Times New Roman" w:hAnsi="Times New Roman" w:cs="Times New Roman"/>
        </w:rPr>
        <w:t>p</w:t>
      </w:r>
      <w:r w:rsidRPr="0004638E">
        <w:rPr>
          <w:rFonts w:ascii="Times New Roman" w:hAnsi="Times New Roman" w:cs="Times New Roman"/>
        </w:rPr>
        <w:t>odporu kultúrnych aktivít rozpočtových a príspevkových organizácií (o 14,4</w:t>
      </w:r>
      <w:r>
        <w:rPr>
          <w:rFonts w:ascii="Times New Roman" w:hAnsi="Times New Roman" w:cs="Times New Roman"/>
        </w:rPr>
        <w:t xml:space="preserve"> </w:t>
      </w:r>
      <w:r w:rsidRPr="0004638E">
        <w:rPr>
          <w:rFonts w:ascii="Times New Roman" w:hAnsi="Times New Roman" w:cs="Times New Roman"/>
        </w:rPr>
        <w:t xml:space="preserve">%) a na </w:t>
      </w:r>
      <w:r>
        <w:rPr>
          <w:rFonts w:ascii="Times New Roman" w:hAnsi="Times New Roman" w:cs="Times New Roman"/>
        </w:rPr>
        <w:t>p</w:t>
      </w:r>
      <w:r w:rsidRPr="0004638E">
        <w:rPr>
          <w:rFonts w:ascii="Times New Roman" w:hAnsi="Times New Roman" w:cs="Times New Roman"/>
        </w:rPr>
        <w:t>odporu kultúrnych aktivít v zahraničí, ktoré v roku 2011 neboli rozpočtované.</w:t>
      </w:r>
    </w:p>
    <w:p w:rsidR="00CB350B" w:rsidP="00CB350B">
      <w:pPr>
        <w:autoSpaceDE w:val="0"/>
        <w:autoSpaceDN w:val="0"/>
        <w:bidi w:val="0"/>
        <w:adjustRightInd w:val="0"/>
        <w:ind w:firstLine="708"/>
        <w:jc w:val="both"/>
        <w:rPr>
          <w:rFonts w:ascii="Times New Roman" w:hAnsi="Times New Roman" w:cs="Times New Roman"/>
        </w:rPr>
      </w:pPr>
    </w:p>
    <w:p w:rsidR="00257E12" w:rsidP="00CB350B">
      <w:pPr>
        <w:autoSpaceDE w:val="0"/>
        <w:autoSpaceDN w:val="0"/>
        <w:bidi w:val="0"/>
        <w:adjustRightInd w:val="0"/>
        <w:ind w:firstLine="708"/>
        <w:jc w:val="both"/>
        <w:rPr>
          <w:rFonts w:ascii="Times New Roman" w:hAnsi="Times New Roman" w:cs="Times New Roman"/>
        </w:rPr>
      </w:pPr>
    </w:p>
    <w:p w:rsidR="00257E12" w:rsidP="00CB350B">
      <w:pPr>
        <w:autoSpaceDE w:val="0"/>
        <w:autoSpaceDN w:val="0"/>
        <w:bidi w:val="0"/>
        <w:adjustRightInd w:val="0"/>
        <w:ind w:firstLine="708"/>
        <w:jc w:val="both"/>
        <w:rPr>
          <w:rFonts w:ascii="Times New Roman" w:hAnsi="Times New Roman" w:cs="Times New Roman"/>
        </w:rPr>
      </w:pPr>
    </w:p>
    <w:p w:rsidR="00257E12" w:rsidP="00CB350B">
      <w:pPr>
        <w:autoSpaceDE w:val="0"/>
        <w:autoSpaceDN w:val="0"/>
        <w:bidi w:val="0"/>
        <w:adjustRightInd w:val="0"/>
        <w:ind w:firstLine="708"/>
        <w:jc w:val="both"/>
        <w:rPr>
          <w:rFonts w:ascii="Times New Roman" w:hAnsi="Times New Roman" w:cs="Times New Roman"/>
        </w:rPr>
      </w:pPr>
    </w:p>
    <w:p w:rsidR="00257E12" w:rsidP="00CB350B">
      <w:pPr>
        <w:autoSpaceDE w:val="0"/>
        <w:autoSpaceDN w:val="0"/>
        <w:bidi w:val="0"/>
        <w:adjustRightInd w:val="0"/>
        <w:ind w:firstLine="708"/>
        <w:jc w:val="both"/>
        <w:rPr>
          <w:rFonts w:ascii="Times New Roman" w:hAnsi="Times New Roman" w:cs="Times New Roman"/>
        </w:rPr>
      </w:pPr>
    </w:p>
    <w:p w:rsidR="00257E12" w:rsidP="00CB350B">
      <w:pPr>
        <w:autoSpaceDE w:val="0"/>
        <w:autoSpaceDN w:val="0"/>
        <w:bidi w:val="0"/>
        <w:adjustRightInd w:val="0"/>
        <w:ind w:firstLine="708"/>
        <w:jc w:val="both"/>
        <w:rPr>
          <w:rFonts w:ascii="Times New Roman" w:hAnsi="Times New Roman" w:cs="Times New Roman"/>
        </w:rPr>
      </w:pPr>
    </w:p>
    <w:p w:rsidR="00257E12" w:rsidP="00CB350B">
      <w:pPr>
        <w:autoSpaceDE w:val="0"/>
        <w:autoSpaceDN w:val="0"/>
        <w:bidi w:val="0"/>
        <w:adjustRightInd w:val="0"/>
        <w:ind w:firstLine="708"/>
        <w:jc w:val="both"/>
        <w:rPr>
          <w:rFonts w:ascii="Times New Roman" w:hAnsi="Times New Roman" w:cs="Times New Roman"/>
        </w:rPr>
      </w:pPr>
    </w:p>
    <w:p w:rsidR="00CB350B" w:rsidP="00CB350B">
      <w:pPr>
        <w:autoSpaceDE w:val="0"/>
        <w:autoSpaceDN w:val="0"/>
        <w:bidi w:val="0"/>
        <w:adjustRightInd w:val="0"/>
        <w:ind w:firstLine="708"/>
        <w:jc w:val="both"/>
        <w:rPr>
          <w:rFonts w:ascii="Times New Roman" w:hAnsi="Times New Roman" w:cs="Times New Roman"/>
        </w:rPr>
      </w:pPr>
      <w:r w:rsidRPr="0004638E">
        <w:rPr>
          <w:rFonts w:ascii="Times New Roman" w:hAnsi="Times New Roman" w:cs="Times New Roman"/>
        </w:rPr>
        <w:t xml:space="preserve">Prehľad výdavkov rozpočtovaných </w:t>
      </w:r>
      <w:r>
        <w:rPr>
          <w:rFonts w:ascii="Times New Roman" w:hAnsi="Times New Roman" w:cs="Times New Roman"/>
        </w:rPr>
        <w:t>v</w:t>
      </w:r>
      <w:r w:rsidRPr="0004638E">
        <w:rPr>
          <w:rFonts w:ascii="Times New Roman" w:hAnsi="Times New Roman" w:cs="Times New Roman"/>
        </w:rPr>
        <w:t xml:space="preserve"> </w:t>
      </w:r>
      <w:r>
        <w:rPr>
          <w:rFonts w:ascii="Times New Roman" w:hAnsi="Times New Roman" w:cs="Times New Roman"/>
        </w:rPr>
        <w:t>i</w:t>
      </w:r>
      <w:r w:rsidRPr="0004638E">
        <w:rPr>
          <w:rFonts w:ascii="Times New Roman" w:hAnsi="Times New Roman" w:cs="Times New Roman"/>
        </w:rPr>
        <w:t>nštitucionáln</w:t>
      </w:r>
      <w:r>
        <w:rPr>
          <w:rFonts w:ascii="Times New Roman" w:hAnsi="Times New Roman" w:cs="Times New Roman"/>
        </w:rPr>
        <w:t>ej</w:t>
      </w:r>
      <w:r w:rsidRPr="0004638E">
        <w:rPr>
          <w:rFonts w:ascii="Times New Roman" w:hAnsi="Times New Roman" w:cs="Times New Roman"/>
        </w:rPr>
        <w:t xml:space="preserve"> podpor</w:t>
      </w:r>
      <w:r>
        <w:rPr>
          <w:rFonts w:ascii="Times New Roman" w:hAnsi="Times New Roman" w:cs="Times New Roman"/>
        </w:rPr>
        <w:t>e</w:t>
      </w:r>
      <w:r w:rsidRPr="0004638E">
        <w:rPr>
          <w:rFonts w:ascii="Times New Roman" w:hAnsi="Times New Roman" w:cs="Times New Roman"/>
        </w:rPr>
        <w:t xml:space="preserve"> rozpočtov</w:t>
      </w:r>
      <w:r>
        <w:rPr>
          <w:rFonts w:ascii="Times New Roman" w:hAnsi="Times New Roman" w:cs="Times New Roman"/>
        </w:rPr>
        <w:t>ých a príspevkových organizácií.</w:t>
      </w:r>
    </w:p>
    <w:p w:rsidR="00CB350B" w:rsidRPr="0004638E" w:rsidP="00CB350B">
      <w:pPr>
        <w:autoSpaceDE w:val="0"/>
        <w:autoSpaceDN w:val="0"/>
        <w:bidi w:val="0"/>
        <w:adjustRightInd w:val="0"/>
        <w:jc w:val="both"/>
        <w:rPr>
          <w:rFonts w:ascii="Times New Roman" w:hAnsi="Times New Roman" w:cs="Times New Roman"/>
        </w:rPr>
      </w:pPr>
    </w:p>
    <w:tbl>
      <w:tblPr>
        <w:tblStyle w:val="TableNormal"/>
        <w:tblW w:w="4962" w:type="pct"/>
        <w:tblCellMar>
          <w:left w:w="70" w:type="dxa"/>
          <w:right w:w="70" w:type="dxa"/>
        </w:tblCellMar>
        <w:tblLook w:val="04A0"/>
      </w:tblPr>
      <w:tblGrid>
        <w:gridCol w:w="2740"/>
        <w:gridCol w:w="915"/>
        <w:gridCol w:w="915"/>
        <w:gridCol w:w="915"/>
        <w:gridCol w:w="915"/>
        <w:gridCol w:w="914"/>
        <w:gridCol w:w="914"/>
        <w:gridCol w:w="914"/>
      </w:tblGrid>
      <w:tr>
        <w:tblPrEx>
          <w:tblW w:w="4962" w:type="pct"/>
          <w:tblCellMar>
            <w:left w:w="70" w:type="dxa"/>
            <w:right w:w="70" w:type="dxa"/>
          </w:tblCellMar>
          <w:tblLook w:val="04A0"/>
        </w:tblPrEx>
        <w:trPr>
          <w:trHeight w:val="284"/>
        </w:trPr>
        <w:tc>
          <w:tcPr>
            <w:tcW w:w="1497" w:type="pct"/>
            <w:tcBorders>
              <w:top w:val="single" w:sz="4" w:space="0" w:color="auto"/>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b/>
                <w:bCs/>
                <w:sz w:val="14"/>
                <w:szCs w:val="14"/>
              </w:rPr>
            </w:pPr>
            <w:r w:rsidRPr="009E58F9">
              <w:rPr>
                <w:rFonts w:ascii="Times New Roman" w:hAnsi="Times New Roman" w:cs="Times New Roman"/>
                <w:color w:val="000000"/>
                <w:sz w:val="14"/>
                <w:szCs w:val="14"/>
                <w:lang w:eastAsia="sk-SK"/>
              </w:rPr>
              <w:t> </w:t>
            </w:r>
            <w:r w:rsidRPr="009E58F9">
              <w:rPr>
                <w:rFonts w:ascii="Times New Roman" w:hAnsi="Times New Roman" w:cs="Times New Roman"/>
                <w:b/>
                <w:bCs/>
                <w:color w:val="000000"/>
                <w:sz w:val="14"/>
                <w:szCs w:val="14"/>
                <w:lang w:eastAsia="sk-SK"/>
              </w:rPr>
              <w:t>v eurách</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2009 S</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2010 S</w:t>
            </w:r>
          </w:p>
        </w:tc>
        <w:tc>
          <w:tcPr>
            <w:tcW w:w="50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2011 R</w:t>
            </w:r>
          </w:p>
        </w:tc>
        <w:tc>
          <w:tcPr>
            <w:tcW w:w="50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2011 OS</w:t>
            </w:r>
          </w:p>
        </w:tc>
        <w:tc>
          <w:tcPr>
            <w:tcW w:w="50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2012 N</w:t>
            </w:r>
          </w:p>
        </w:tc>
        <w:tc>
          <w:tcPr>
            <w:tcW w:w="50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2013 N</w:t>
            </w:r>
          </w:p>
        </w:tc>
        <w:tc>
          <w:tcPr>
            <w:tcW w:w="50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2014 N</w:t>
            </w:r>
          </w:p>
        </w:tc>
      </w:tr>
      <w:tr>
        <w:tblPrEx>
          <w:tblW w:w="4962" w:type="pct"/>
          <w:tblCellMar>
            <w:left w:w="70" w:type="dxa"/>
            <w:right w:w="70" w:type="dxa"/>
          </w:tblCellMar>
          <w:tblLook w:val="04A0"/>
        </w:tblPrEx>
        <w:trPr>
          <w:trHeight w:val="284"/>
        </w:trPr>
        <w:tc>
          <w:tcPr>
            <w:tcW w:w="1497" w:type="pct"/>
            <w:tcBorders>
              <w:top w:val="single" w:sz="4" w:space="0" w:color="auto"/>
              <w:left w:val="single" w:sz="4" w:space="0" w:color="auto"/>
              <w:bottom w:val="single" w:sz="4" w:space="0" w:color="auto"/>
              <w:right w:val="single" w:sz="4" w:space="0" w:color="auto"/>
            </w:tcBorders>
            <w:noWrap/>
            <w:textDirection w:val="lrTb"/>
            <w:vAlign w:val="center"/>
            <w:hideMark/>
          </w:tcPr>
          <w:p w:rsidR="00CB350B" w:rsidRPr="009E58F9" w:rsidP="00257E12">
            <w:pPr>
              <w:bidi w:val="0"/>
              <w:jc w:val="both"/>
              <w:rPr>
                <w:rFonts w:ascii="Times New Roman" w:hAnsi="Times New Roman" w:cs="Times New Roman"/>
                <w:b/>
                <w:bCs/>
                <w:sz w:val="14"/>
                <w:szCs w:val="14"/>
              </w:rPr>
            </w:pPr>
            <w:r w:rsidRPr="009E58F9">
              <w:rPr>
                <w:rFonts w:ascii="Times New Roman" w:hAnsi="Times New Roman" w:cs="Times New Roman"/>
                <w:b/>
                <w:bCs/>
                <w:sz w:val="14"/>
                <w:szCs w:val="14"/>
              </w:rPr>
              <w:t>Rozpočtové organizácie</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18 803 930</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21 835 052</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17 829 325</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20 640 168</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17 828 555</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17 828 555</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17 828 555</w:t>
            </w:r>
          </w:p>
        </w:tc>
      </w:tr>
      <w:tr>
        <w:tblPrEx>
          <w:tblW w:w="4962" w:type="pct"/>
          <w:tblCellMar>
            <w:left w:w="70" w:type="dxa"/>
            <w:right w:w="70" w:type="dxa"/>
          </w:tblCellMar>
          <w:tblLook w:val="04A0"/>
        </w:tblPrEx>
        <w:trPr>
          <w:trHeight w:val="284"/>
        </w:trPr>
        <w:tc>
          <w:tcPr>
            <w:tcW w:w="1497"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Slovenská národná knižnica, Martin</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4 353 717</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4 633 579</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5 157 000</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4 972 469</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5 157 000</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5 157 000</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5 157 000</w:t>
            </w:r>
          </w:p>
        </w:tc>
      </w:tr>
      <w:tr>
        <w:tblPrEx>
          <w:tblW w:w="4962" w:type="pct"/>
          <w:tblCellMar>
            <w:left w:w="70" w:type="dxa"/>
            <w:right w:w="70" w:type="dxa"/>
          </w:tblCellMar>
          <w:tblLook w:val="04A0"/>
        </w:tblPrEx>
        <w:trPr>
          <w:trHeight w:val="284"/>
        </w:trPr>
        <w:tc>
          <w:tcPr>
            <w:tcW w:w="1497"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Univerzitná knižnica, Bratislava</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4 213 865</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4 188 788</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4 249 750</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4 249 750</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4 249 750</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4 249 750</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4 249 750</w:t>
            </w:r>
          </w:p>
        </w:tc>
      </w:tr>
      <w:tr>
        <w:tblPrEx>
          <w:tblW w:w="4962" w:type="pct"/>
          <w:tblCellMar>
            <w:left w:w="70" w:type="dxa"/>
            <w:right w:w="70" w:type="dxa"/>
          </w:tblCellMar>
          <w:tblLook w:val="04A0"/>
        </w:tblPrEx>
        <w:trPr>
          <w:trHeight w:val="284"/>
        </w:trPr>
        <w:tc>
          <w:tcPr>
            <w:tcW w:w="1497"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Štátna vedecká knižnica, Prešov</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578 921</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673 662</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700 970</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799 970</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700 970</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700 970</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700 970</w:t>
            </w:r>
          </w:p>
        </w:tc>
      </w:tr>
      <w:tr>
        <w:tblPrEx>
          <w:tblW w:w="4962" w:type="pct"/>
          <w:tblCellMar>
            <w:left w:w="70" w:type="dxa"/>
            <w:right w:w="70" w:type="dxa"/>
          </w:tblCellMar>
          <w:tblLook w:val="04A0"/>
        </w:tblPrEx>
        <w:trPr>
          <w:trHeight w:val="284"/>
        </w:trPr>
        <w:tc>
          <w:tcPr>
            <w:tcW w:w="1497"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Štátna vedecká knižnica, Košice</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1 195 442</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1 161 332</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1 160 325</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1 160 325</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1 160 325</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1 160 325</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1 160 325</w:t>
            </w:r>
          </w:p>
        </w:tc>
      </w:tr>
      <w:tr>
        <w:tblPrEx>
          <w:tblW w:w="4962" w:type="pct"/>
          <w:tblCellMar>
            <w:left w:w="70" w:type="dxa"/>
            <w:right w:w="70" w:type="dxa"/>
          </w:tblCellMar>
          <w:tblLook w:val="04A0"/>
        </w:tblPrEx>
        <w:trPr>
          <w:trHeight w:val="284"/>
        </w:trPr>
        <w:tc>
          <w:tcPr>
            <w:tcW w:w="1497"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Bibiána, Bratislava</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1 044 624</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1 031 129</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1 080 000</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1 080 000</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1 080 000</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1 080 000</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1 080 000</w:t>
            </w:r>
          </w:p>
        </w:tc>
      </w:tr>
      <w:tr>
        <w:tblPrEx>
          <w:tblW w:w="4962" w:type="pct"/>
          <w:tblCellMar>
            <w:left w:w="70" w:type="dxa"/>
            <w:right w:w="70" w:type="dxa"/>
          </w:tblCellMar>
          <w:tblLook w:val="04A0"/>
        </w:tblPrEx>
        <w:trPr>
          <w:trHeight w:val="284"/>
        </w:trPr>
        <w:tc>
          <w:tcPr>
            <w:tcW w:w="1497"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Pamiatkový úrad SR</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5 873 455</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5 114 831</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5 480 510</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5 500 336</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5 480 510</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5 480 510</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5 480 510</w:t>
            </w:r>
          </w:p>
        </w:tc>
      </w:tr>
      <w:tr>
        <w:tblPrEx>
          <w:tblW w:w="4962" w:type="pct"/>
          <w:tblCellMar>
            <w:left w:w="70" w:type="dxa"/>
            <w:right w:w="70" w:type="dxa"/>
          </w:tblCellMar>
          <w:tblLook w:val="04A0"/>
        </w:tblPrEx>
        <w:trPr>
          <w:trHeight w:val="284"/>
        </w:trPr>
        <w:tc>
          <w:tcPr>
            <w:tcW w:w="1497"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Ministerstvo kultúry SR</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1 543 906</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5 031 731</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770</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2 877 318</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r>
    </w:tbl>
    <w:p w:rsidR="00CB350B" w:rsidRPr="0004638E" w:rsidP="00CB350B">
      <w:pPr>
        <w:autoSpaceDE w:val="0"/>
        <w:autoSpaceDN w:val="0"/>
        <w:bidi w:val="0"/>
        <w:adjustRightInd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763"/>
        <w:gridCol w:w="939"/>
        <w:gridCol w:w="939"/>
        <w:gridCol w:w="940"/>
        <w:gridCol w:w="940"/>
        <w:gridCol w:w="940"/>
        <w:gridCol w:w="940"/>
        <w:gridCol w:w="811"/>
      </w:tblGrid>
      <w:tr>
        <w:tblPrEx>
          <w:tblW w:w="5000" w:type="pct"/>
          <w:tblCellMar>
            <w:left w:w="70" w:type="dxa"/>
            <w:right w:w="70" w:type="dxa"/>
          </w:tblCellMar>
          <w:tblLook w:val="04A0"/>
        </w:tblPrEx>
        <w:trPr>
          <w:trHeight w:hRule="exact" w:val="284"/>
        </w:trPr>
        <w:tc>
          <w:tcPr>
            <w:tcW w:w="1500" w:type="pct"/>
            <w:tcBorders>
              <w:top w:val="single" w:sz="4" w:space="0" w:color="auto"/>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b/>
                <w:bCs/>
                <w:sz w:val="14"/>
                <w:szCs w:val="14"/>
              </w:rPr>
            </w:pPr>
            <w:r w:rsidRPr="009E58F9">
              <w:rPr>
                <w:rFonts w:ascii="Times New Roman" w:hAnsi="Times New Roman" w:cs="Times New Roman"/>
                <w:color w:val="000000"/>
                <w:sz w:val="14"/>
                <w:szCs w:val="14"/>
                <w:lang w:eastAsia="sk-SK"/>
              </w:rPr>
              <w:t> </w:t>
            </w:r>
            <w:r w:rsidRPr="009E58F9">
              <w:rPr>
                <w:rFonts w:ascii="Times New Roman" w:hAnsi="Times New Roman" w:cs="Times New Roman"/>
                <w:b/>
                <w:bCs/>
                <w:color w:val="000000"/>
                <w:sz w:val="14"/>
                <w:szCs w:val="14"/>
                <w:lang w:eastAsia="sk-SK"/>
              </w:rPr>
              <w:t>v eurách</w:t>
            </w:r>
          </w:p>
        </w:tc>
        <w:tc>
          <w:tcPr>
            <w:tcW w:w="51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2009 S</w:t>
            </w:r>
          </w:p>
        </w:tc>
        <w:tc>
          <w:tcPr>
            <w:tcW w:w="51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2010 S</w:t>
            </w:r>
          </w:p>
        </w:tc>
        <w:tc>
          <w:tcPr>
            <w:tcW w:w="51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2011 R</w:t>
            </w:r>
          </w:p>
        </w:tc>
        <w:tc>
          <w:tcPr>
            <w:tcW w:w="51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2011 OS</w:t>
            </w:r>
          </w:p>
        </w:tc>
        <w:tc>
          <w:tcPr>
            <w:tcW w:w="51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2012 N</w:t>
            </w:r>
          </w:p>
        </w:tc>
        <w:tc>
          <w:tcPr>
            <w:tcW w:w="51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2013 N</w:t>
            </w:r>
          </w:p>
        </w:tc>
        <w:tc>
          <w:tcPr>
            <w:tcW w:w="44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2014 N</w:t>
            </w:r>
          </w:p>
        </w:tc>
      </w:tr>
      <w:tr>
        <w:tblPrEx>
          <w:tblW w:w="5000" w:type="pct"/>
          <w:tblCellMar>
            <w:left w:w="70" w:type="dxa"/>
            <w:right w:w="70" w:type="dxa"/>
          </w:tblCellMar>
          <w:tblLook w:val="04A0"/>
        </w:tblPrEx>
        <w:trPr>
          <w:trHeight w:hRule="exact" w:val="284"/>
        </w:trPr>
        <w:tc>
          <w:tcPr>
            <w:tcW w:w="1500" w:type="pct"/>
            <w:tcBorders>
              <w:top w:val="single" w:sz="4" w:space="0" w:color="auto"/>
              <w:left w:val="single" w:sz="4" w:space="0" w:color="auto"/>
              <w:bottom w:val="single" w:sz="4" w:space="0" w:color="auto"/>
              <w:right w:val="single" w:sz="4" w:space="0" w:color="auto"/>
            </w:tcBorders>
            <w:noWrap/>
            <w:textDirection w:val="lrTb"/>
            <w:vAlign w:val="center"/>
            <w:hideMark/>
          </w:tcPr>
          <w:p w:rsidR="00CB350B" w:rsidRPr="009E58F9" w:rsidP="00257E12">
            <w:pPr>
              <w:bidi w:val="0"/>
              <w:jc w:val="both"/>
              <w:rPr>
                <w:rFonts w:ascii="Times New Roman" w:hAnsi="Times New Roman" w:cs="Times New Roman"/>
                <w:b/>
                <w:bCs/>
                <w:sz w:val="14"/>
                <w:szCs w:val="14"/>
              </w:rPr>
            </w:pPr>
            <w:r w:rsidRPr="009E58F9">
              <w:rPr>
                <w:rFonts w:ascii="Times New Roman" w:hAnsi="Times New Roman" w:cs="Times New Roman"/>
                <w:b/>
                <w:bCs/>
                <w:sz w:val="14"/>
                <w:szCs w:val="14"/>
              </w:rPr>
              <w:t>Príspevkové organizácie</w:t>
            </w:r>
          </w:p>
        </w:tc>
        <w:tc>
          <w:tcPr>
            <w:tcW w:w="51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58 902 251</w:t>
            </w:r>
          </w:p>
        </w:tc>
        <w:tc>
          <w:tcPr>
            <w:tcW w:w="51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59 038 155</w:t>
            </w:r>
          </w:p>
        </w:tc>
        <w:tc>
          <w:tcPr>
            <w:tcW w:w="51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60 936 035</w:t>
            </w:r>
          </w:p>
        </w:tc>
        <w:tc>
          <w:tcPr>
            <w:tcW w:w="51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60 966 205</w:t>
            </w:r>
          </w:p>
        </w:tc>
        <w:tc>
          <w:tcPr>
            <w:tcW w:w="51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54 067 105</w:t>
            </w:r>
          </w:p>
        </w:tc>
        <w:tc>
          <w:tcPr>
            <w:tcW w:w="51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54 067 105</w:t>
            </w:r>
          </w:p>
        </w:tc>
        <w:tc>
          <w:tcPr>
            <w:tcW w:w="44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54 067 105</w:t>
            </w:r>
          </w:p>
        </w:tc>
      </w:tr>
      <w:tr>
        <w:tblPrEx>
          <w:tblW w:w="5000"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Štátna vedecká knižnica., Banská Bystrica</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967 152</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956 462</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935 900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935 900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935 900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935 900</w:t>
            </w:r>
          </w:p>
        </w:tc>
        <w:tc>
          <w:tcPr>
            <w:tcW w:w="44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935 900</w:t>
            </w:r>
          </w:p>
        </w:tc>
      </w:tr>
      <w:tr>
        <w:tblPrEx>
          <w:tblW w:w="5000"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Slovenské národné divadlo, Bratislava</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15 938 623</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15 726 029</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16 200 000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16 200 000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16 200 000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16 200 000</w:t>
            </w:r>
          </w:p>
        </w:tc>
        <w:tc>
          <w:tcPr>
            <w:tcW w:w="44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16 200 000</w:t>
            </w:r>
          </w:p>
        </w:tc>
      </w:tr>
      <w:tr>
        <w:tblPrEx>
          <w:tblW w:w="5000"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Štátna opera, Banská Bystrica</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2 718 258</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2 918 317</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3 595 925</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3 595 925</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3 595 925</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3 595 925</w:t>
            </w:r>
          </w:p>
        </w:tc>
        <w:tc>
          <w:tcPr>
            <w:tcW w:w="44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3 595 925</w:t>
            </w:r>
          </w:p>
        </w:tc>
      </w:tr>
      <w:tr>
        <w:tblPrEx>
          <w:tblW w:w="5000"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Štátne divadlo, Košice</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3 747 365</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3 523 279</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3 820 000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3 820 000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3 820 000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3 820 000</w:t>
            </w:r>
          </w:p>
        </w:tc>
        <w:tc>
          <w:tcPr>
            <w:tcW w:w="44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3 820 000</w:t>
            </w:r>
          </w:p>
        </w:tc>
      </w:tr>
      <w:tr>
        <w:tblPrEx>
          <w:tblW w:w="5000"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Umelecký súbor Lúčnica</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715 612</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673 086</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654 366</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674 766</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654 366</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654 366</w:t>
            </w:r>
          </w:p>
        </w:tc>
        <w:tc>
          <w:tcPr>
            <w:tcW w:w="44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654 366</w:t>
            </w:r>
          </w:p>
        </w:tc>
      </w:tr>
      <w:tr>
        <w:tblPrEx>
          <w:tblW w:w="5000"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Slov. ľudový umelecký. kolektív, Bratislava</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1 108 717</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1 100 726</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1 176 560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1 176 560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1 176 560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1 176 560</w:t>
            </w:r>
          </w:p>
        </w:tc>
        <w:tc>
          <w:tcPr>
            <w:tcW w:w="44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1 176 560</w:t>
            </w:r>
          </w:p>
        </w:tc>
      </w:tr>
      <w:tr>
        <w:tblPrEx>
          <w:tblW w:w="5000"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Slovenská filharmónia, Bratislava</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10 406 637</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11 963 091</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12 225 340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12 225 340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5 489 340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5 489 340</w:t>
            </w:r>
          </w:p>
        </w:tc>
        <w:tc>
          <w:tcPr>
            <w:tcW w:w="44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5 489 340</w:t>
            </w:r>
          </w:p>
        </w:tc>
      </w:tr>
      <w:tr>
        <w:tblPrEx>
          <w:tblW w:w="5000"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Maďarský umelecký súbor Mladé srdcia*</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257 417</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182 762</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44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Štátny komorný orchester, Žilina</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714 161</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607 263</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706 600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706 600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706 600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706 600</w:t>
            </w:r>
          </w:p>
        </w:tc>
        <w:tc>
          <w:tcPr>
            <w:tcW w:w="44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706 600</w:t>
            </w:r>
          </w:p>
        </w:tc>
      </w:tr>
      <w:tr>
        <w:tblPrEx>
          <w:tblW w:w="5000"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Štátna filharmónia, Košice</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1 376 152</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1 265 131</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1 400 000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1 400 000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1 400 000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1 400 000</w:t>
            </w:r>
          </w:p>
        </w:tc>
        <w:tc>
          <w:tcPr>
            <w:tcW w:w="44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1 400 000</w:t>
            </w:r>
          </w:p>
        </w:tc>
      </w:tr>
      <w:tr>
        <w:tblPrEx>
          <w:tblW w:w="5000"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Slov. ústredná hvezdáreň, Hurbanovo</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529 006</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438 019</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476 985</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476 985</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476 985</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476 985</w:t>
            </w:r>
          </w:p>
        </w:tc>
        <w:tc>
          <w:tcPr>
            <w:tcW w:w="44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476 985</w:t>
            </w:r>
          </w:p>
        </w:tc>
      </w:tr>
      <w:tr>
        <w:tblPrEx>
          <w:tblW w:w="5000"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Ústav pre vzťahy štátu a cirkví*</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110 821</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107 833</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133 700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133 700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44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Hudobné centrum, Bratislava</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889 095</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842 029</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1 111 620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1 111 620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1 111 620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1 111 620</w:t>
            </w:r>
          </w:p>
        </w:tc>
        <w:tc>
          <w:tcPr>
            <w:tcW w:w="44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1 111 620</w:t>
            </w:r>
          </w:p>
        </w:tc>
      </w:tr>
      <w:tr>
        <w:tblPrEx>
          <w:tblW w:w="5000"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Slovenské centrum dizajnu, Bratislava</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317 928</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307 960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334 250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334 250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334 250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334 250</w:t>
            </w:r>
          </w:p>
        </w:tc>
        <w:tc>
          <w:tcPr>
            <w:tcW w:w="44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334 250</w:t>
            </w:r>
          </w:p>
        </w:tc>
      </w:tr>
      <w:tr>
        <w:tblPrEx>
          <w:tblW w:w="5000"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Slovenský filmový ústav, Bratislava</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965 231</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966 000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1 000 000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1 000 000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1 000 000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1 000 000</w:t>
            </w:r>
          </w:p>
        </w:tc>
        <w:tc>
          <w:tcPr>
            <w:tcW w:w="44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1 000 000</w:t>
            </w:r>
          </w:p>
        </w:tc>
      </w:tr>
      <w:tr>
        <w:tblPrEx>
          <w:tblW w:w="5000"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Divadelný ústav, Bratislava</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946 968</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790 807</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1 050 000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1 050 500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1 050 500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1 050 500</w:t>
            </w:r>
          </w:p>
        </w:tc>
        <w:tc>
          <w:tcPr>
            <w:tcW w:w="44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1 050 500</w:t>
            </w:r>
          </w:p>
        </w:tc>
      </w:tr>
      <w:tr>
        <w:tblPrEx>
          <w:tblW w:w="5000"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Národné osvetové centrum, Bratislava</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1 626 460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1 577 430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1 450 000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1 459 000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1 450 000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1 450 000</w:t>
            </w:r>
          </w:p>
        </w:tc>
        <w:tc>
          <w:tcPr>
            <w:tcW w:w="44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1 450 000</w:t>
            </w:r>
          </w:p>
        </w:tc>
      </w:tr>
      <w:tr>
        <w:tblPrEx>
          <w:tblW w:w="5000"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Literárne informačné .centrum, Bratislava</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778 916</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728 154</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740 125</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797 425</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740 125</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740 125</w:t>
            </w:r>
          </w:p>
        </w:tc>
        <w:tc>
          <w:tcPr>
            <w:tcW w:w="44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740 125</w:t>
            </w:r>
          </w:p>
        </w:tc>
      </w:tr>
      <w:tr>
        <w:tblPrEx>
          <w:tblW w:w="5000"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Slov. knižnica pre nevidiacich, Levoča</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727 585</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705 130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797 425</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740 125</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797 425</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797 425</w:t>
            </w:r>
          </w:p>
        </w:tc>
        <w:tc>
          <w:tcPr>
            <w:tcW w:w="44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797 425</w:t>
            </w:r>
          </w:p>
        </w:tc>
      </w:tr>
      <w:tr>
        <w:tblPrEx>
          <w:tblW w:w="5000"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Slovenské národné múzeum, Bratislava</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7 105 015</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6 280 759</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6 013 365</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6 013 635</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6 013 635</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6 013 635</w:t>
            </w:r>
          </w:p>
        </w:tc>
        <w:tc>
          <w:tcPr>
            <w:tcW w:w="44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6 013 635</w:t>
            </w:r>
          </w:p>
        </w:tc>
      </w:tr>
      <w:tr>
        <w:tblPrEx>
          <w:tblW w:w="5000"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Slovenské technické múzeum, Košice</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930 274</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823 639</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815 560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815 560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815 560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815 560</w:t>
            </w:r>
          </w:p>
        </w:tc>
        <w:tc>
          <w:tcPr>
            <w:tcW w:w="44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815 560</w:t>
            </w:r>
          </w:p>
        </w:tc>
      </w:tr>
      <w:tr>
        <w:tblPrEx>
          <w:tblW w:w="5000"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Múzeum SNP, Banská Bystrica</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904 147</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929 869</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955 000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955 000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955 000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955 000</w:t>
            </w:r>
          </w:p>
        </w:tc>
        <w:tc>
          <w:tcPr>
            <w:tcW w:w="44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955 000</w:t>
            </w:r>
          </w:p>
        </w:tc>
      </w:tr>
      <w:tr>
        <w:tblPrEx>
          <w:tblW w:w="5000"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Slovenská národná galéria, Bratislava</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2 693 484</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2 437 388</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2 742 760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2 742 760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2 742 760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2 742 760</w:t>
            </w:r>
          </w:p>
        </w:tc>
        <w:tc>
          <w:tcPr>
            <w:tcW w:w="44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2 742 760</w:t>
            </w:r>
          </w:p>
        </w:tc>
      </w:tr>
      <w:tr>
        <w:tblPrEx>
          <w:tblW w:w="5000"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Ústredie ľud. umelecký. výroby, Bratislava</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1 012 855</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1 272 073</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1 300 554</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1 300 554</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1 300 554</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1 300 554</w:t>
            </w:r>
          </w:p>
        </w:tc>
        <w:tc>
          <w:tcPr>
            <w:tcW w:w="44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1 300 554</w:t>
            </w:r>
          </w:p>
        </w:tc>
      </w:tr>
      <w:tr>
        <w:tblPrEx>
          <w:tblW w:w="5000"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Slovenská agentúra pre cestovný ruch*</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518 786</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44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Divadlo Nová scéna, Bratislava</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1 414 372</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1 396 133</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1 300 000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1 300 000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1 300 000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1 300 000</w:t>
            </w:r>
          </w:p>
        </w:tc>
        <w:tc>
          <w:tcPr>
            <w:tcW w:w="44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1 300 000</w:t>
            </w:r>
          </w:p>
        </w:tc>
      </w:tr>
    </w:tbl>
    <w:p w:rsidR="00CB350B" w:rsidRPr="00DB788F" w:rsidP="00CB350B">
      <w:pPr>
        <w:autoSpaceDE w:val="0"/>
        <w:autoSpaceDN w:val="0"/>
        <w:bidi w:val="0"/>
        <w:adjustRightInd w:val="0"/>
        <w:jc w:val="both"/>
        <w:rPr>
          <w:rFonts w:ascii="Times New Roman" w:hAnsi="Times New Roman" w:cs="Times New Roman"/>
          <w:sz w:val="14"/>
          <w:szCs w:val="14"/>
        </w:rPr>
      </w:pPr>
      <w:r w:rsidRPr="00DB788F">
        <w:rPr>
          <w:rFonts w:ascii="Times New Roman" w:hAnsi="Times New Roman" w:cs="Times New Roman"/>
          <w:sz w:val="14"/>
          <w:szCs w:val="14"/>
        </w:rPr>
        <w:t>*organizácia bola zrušená, resp. delimitovaná</w:t>
      </w:r>
    </w:p>
    <w:p w:rsidR="00CB350B" w:rsidRPr="00DB788F" w:rsidP="00CB350B">
      <w:pPr>
        <w:autoSpaceDE w:val="0"/>
        <w:autoSpaceDN w:val="0"/>
        <w:bidi w:val="0"/>
        <w:adjustRightInd w:val="0"/>
        <w:jc w:val="both"/>
        <w:rPr>
          <w:rFonts w:ascii="Times New Roman" w:hAnsi="Times New Roman" w:cs="Times New Roman"/>
          <w:sz w:val="14"/>
          <w:szCs w:val="14"/>
        </w:rPr>
      </w:pPr>
    </w:p>
    <w:tbl>
      <w:tblPr>
        <w:tblStyle w:val="TableNormal"/>
        <w:tblW w:w="4962" w:type="pct"/>
        <w:tblCellMar>
          <w:left w:w="70" w:type="dxa"/>
          <w:right w:w="70" w:type="dxa"/>
        </w:tblCellMar>
        <w:tblLook w:val="04A0"/>
      </w:tblPr>
      <w:tblGrid>
        <w:gridCol w:w="2744"/>
        <w:gridCol w:w="933"/>
        <w:gridCol w:w="933"/>
        <w:gridCol w:w="932"/>
        <w:gridCol w:w="932"/>
        <w:gridCol w:w="932"/>
        <w:gridCol w:w="932"/>
        <w:gridCol w:w="804"/>
      </w:tblGrid>
      <w:tr>
        <w:tblPrEx>
          <w:tblW w:w="4962" w:type="pct"/>
          <w:tblCellMar>
            <w:left w:w="70" w:type="dxa"/>
            <w:right w:w="70" w:type="dxa"/>
          </w:tblCellMar>
          <w:tblLook w:val="04A0"/>
        </w:tblPrEx>
        <w:trPr>
          <w:trHeight w:hRule="exact" w:val="284"/>
        </w:trPr>
        <w:tc>
          <w:tcPr>
            <w:tcW w:w="1500" w:type="pct"/>
            <w:tcBorders>
              <w:top w:val="single" w:sz="4" w:space="0" w:color="auto"/>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b/>
                <w:bCs/>
                <w:sz w:val="14"/>
                <w:szCs w:val="14"/>
              </w:rPr>
            </w:pPr>
            <w:r w:rsidRPr="009E58F9">
              <w:rPr>
                <w:rFonts w:ascii="Times New Roman" w:hAnsi="Times New Roman" w:cs="Times New Roman"/>
                <w:color w:val="000000"/>
                <w:sz w:val="14"/>
                <w:szCs w:val="14"/>
                <w:lang w:eastAsia="sk-SK"/>
              </w:rPr>
              <w:t> </w:t>
            </w:r>
            <w:r w:rsidRPr="009E58F9">
              <w:rPr>
                <w:rFonts w:ascii="Times New Roman" w:hAnsi="Times New Roman" w:cs="Times New Roman"/>
                <w:b/>
                <w:bCs/>
                <w:color w:val="000000"/>
                <w:sz w:val="14"/>
                <w:szCs w:val="14"/>
                <w:lang w:eastAsia="sk-SK"/>
              </w:rPr>
              <w:t>v eurách</w:t>
            </w:r>
          </w:p>
        </w:tc>
        <w:tc>
          <w:tcPr>
            <w:tcW w:w="51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2009 S</w:t>
            </w:r>
          </w:p>
        </w:tc>
        <w:tc>
          <w:tcPr>
            <w:tcW w:w="51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2010 S</w:t>
            </w:r>
          </w:p>
        </w:tc>
        <w:tc>
          <w:tcPr>
            <w:tcW w:w="51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2011 R</w:t>
            </w:r>
          </w:p>
        </w:tc>
        <w:tc>
          <w:tcPr>
            <w:tcW w:w="51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2011 OS</w:t>
            </w:r>
          </w:p>
        </w:tc>
        <w:tc>
          <w:tcPr>
            <w:tcW w:w="51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2012 N</w:t>
            </w:r>
          </w:p>
        </w:tc>
        <w:tc>
          <w:tcPr>
            <w:tcW w:w="51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2013 N</w:t>
            </w:r>
          </w:p>
        </w:tc>
        <w:tc>
          <w:tcPr>
            <w:tcW w:w="51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2014 N</w:t>
            </w:r>
          </w:p>
        </w:tc>
      </w:tr>
      <w:tr>
        <w:tblPrEx>
          <w:tblW w:w="4962"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b/>
                <w:sz w:val="14"/>
                <w:szCs w:val="14"/>
              </w:rPr>
            </w:pPr>
            <w:r w:rsidRPr="009E58F9">
              <w:rPr>
                <w:rFonts w:ascii="Times New Roman" w:hAnsi="Times New Roman" w:cs="Times New Roman"/>
                <w:b/>
                <w:sz w:val="14"/>
                <w:szCs w:val="14"/>
              </w:rPr>
              <w:t>Matica slovenská*</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2 295 664</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1 869 696</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1 494 000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1 494 000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1 494 000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1 494 000</w:t>
            </w:r>
          </w:p>
        </w:tc>
        <w:tc>
          <w:tcPr>
            <w:tcW w:w="51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1 494 000</w:t>
            </w:r>
          </w:p>
        </w:tc>
      </w:tr>
    </w:tbl>
    <w:p w:rsidR="00CB350B" w:rsidRPr="00DB788F" w:rsidP="00CB350B">
      <w:pPr>
        <w:autoSpaceDE w:val="0"/>
        <w:autoSpaceDN w:val="0"/>
        <w:bidi w:val="0"/>
        <w:adjustRightInd w:val="0"/>
        <w:jc w:val="both"/>
        <w:rPr>
          <w:rFonts w:ascii="Times New Roman" w:hAnsi="Times New Roman" w:cs="Times New Roman"/>
          <w:sz w:val="14"/>
          <w:szCs w:val="14"/>
        </w:rPr>
      </w:pPr>
      <w:r w:rsidRPr="00DB788F">
        <w:rPr>
          <w:rFonts w:ascii="Times New Roman" w:hAnsi="Times New Roman" w:cs="Times New Roman"/>
          <w:sz w:val="14"/>
          <w:szCs w:val="14"/>
        </w:rPr>
        <w:t>*verejnoprávna ustanovizeň</w:t>
      </w:r>
    </w:p>
    <w:p w:rsidR="00CB350B" w:rsidRPr="0004638E" w:rsidP="00CB350B">
      <w:pPr>
        <w:autoSpaceDE w:val="0"/>
        <w:autoSpaceDN w:val="0"/>
        <w:bidi w:val="0"/>
        <w:adjustRightInd w:val="0"/>
        <w:jc w:val="both"/>
        <w:rPr>
          <w:rFonts w:ascii="Times New Roman" w:hAnsi="Times New Roman" w:cs="Times New Roman"/>
        </w:rPr>
      </w:pPr>
    </w:p>
    <w:p w:rsidR="00CB350B" w:rsidP="00CB350B">
      <w:pPr>
        <w:autoSpaceDE w:val="0"/>
        <w:autoSpaceDN w:val="0"/>
        <w:bidi w:val="0"/>
        <w:adjustRightInd w:val="0"/>
        <w:ind w:firstLine="708"/>
        <w:jc w:val="both"/>
        <w:rPr>
          <w:rFonts w:ascii="Times New Roman" w:hAnsi="Times New Roman" w:cs="Times New Roman"/>
        </w:rPr>
      </w:pPr>
      <w:r w:rsidRPr="0004638E">
        <w:rPr>
          <w:rFonts w:ascii="Times New Roman" w:hAnsi="Times New Roman" w:cs="Times New Roman"/>
        </w:rPr>
        <w:t>Oblasť inštitucionálnej podpory pokrýva svojou činnosťou podporu 29 rezortných rozpočtových a príspevkových organizácií vo všetkých oblastiach pôsobenia kapitoly (divadlá, galérie, múzeá, osvetová činnosť atď.), čo je oproti roku 2011 o dve organizácie, ktoré boli zrušené, menej.</w:t>
      </w:r>
    </w:p>
    <w:p w:rsidR="00257E12" w:rsidRPr="0004638E" w:rsidP="00CB350B">
      <w:pPr>
        <w:autoSpaceDE w:val="0"/>
        <w:autoSpaceDN w:val="0"/>
        <w:bidi w:val="0"/>
        <w:adjustRightInd w:val="0"/>
        <w:ind w:firstLine="708"/>
        <w:jc w:val="both"/>
        <w:rPr>
          <w:rFonts w:ascii="Times New Roman" w:hAnsi="Times New Roman" w:cs="Times New Roman"/>
        </w:rPr>
      </w:pPr>
    </w:p>
    <w:p w:rsidR="00CB350B" w:rsidRPr="0004638E" w:rsidP="00CB350B">
      <w:pPr>
        <w:autoSpaceDE w:val="0"/>
        <w:autoSpaceDN w:val="0"/>
        <w:bidi w:val="0"/>
        <w:adjustRightInd w:val="0"/>
        <w:ind w:firstLine="708"/>
        <w:jc w:val="both"/>
        <w:rPr>
          <w:rFonts w:ascii="Times New Roman" w:hAnsi="Times New Roman" w:cs="Times New Roman"/>
          <w:bCs/>
        </w:rPr>
      </w:pPr>
      <w:r w:rsidRPr="0004638E">
        <w:rPr>
          <w:rFonts w:ascii="Times New Roman" w:hAnsi="Times New Roman" w:cs="Times New Roman"/>
        </w:rPr>
        <w:t xml:space="preserve">Do inštitucionálnej podpory sú zahrnuté aj výdavky spojené s </w:t>
      </w:r>
      <w:r w:rsidRPr="0004638E">
        <w:rPr>
          <w:rFonts w:ascii="Times New Roman" w:hAnsi="Times New Roman" w:cs="Times New Roman"/>
          <w:bCs/>
        </w:rPr>
        <w:t>aktivitami rozpočtových a príspevkových organizácií rezortu nad rámec ich rozpočtu, ktoré sú počas roka postupne presúvané na základe rozhodnutia ministerstva v prospech niektorých organizácií. Obdobným mechanizmom je financovaná aj podpora kultúrnych aktivít v zahraničí</w:t>
      </w:r>
      <w:r>
        <w:rPr>
          <w:rFonts w:ascii="Times New Roman" w:hAnsi="Times New Roman" w:cs="Times New Roman"/>
          <w:bCs/>
        </w:rPr>
        <w:t>.</w:t>
      </w:r>
    </w:p>
    <w:p w:rsidR="00CB350B" w:rsidRPr="00C157CC" w:rsidP="00CB350B">
      <w:pPr>
        <w:bidi w:val="0"/>
        <w:jc w:val="both"/>
        <w:rPr>
          <w:rFonts w:ascii="Times New Roman" w:hAnsi="Times New Roman" w:cs="Times New Roman"/>
        </w:rPr>
      </w:pPr>
    </w:p>
    <w:p w:rsidR="00CB350B" w:rsidRPr="0004638E" w:rsidP="00CB350B">
      <w:pPr>
        <w:bidi w:val="0"/>
        <w:jc w:val="both"/>
        <w:rPr>
          <w:rFonts w:ascii="Times New Roman" w:hAnsi="Times New Roman" w:cs="Times New Roman"/>
          <w:b/>
          <w:bCs/>
        </w:rPr>
      </w:pPr>
      <w:r w:rsidRPr="0004638E">
        <w:rPr>
          <w:rFonts w:ascii="Times New Roman" w:hAnsi="Times New Roman" w:cs="Times New Roman"/>
          <w:b/>
          <w:bCs/>
        </w:rPr>
        <w:t>Grantový systém MK SR</w:t>
      </w:r>
    </w:p>
    <w:p w:rsidR="00CB350B" w:rsidRPr="0004638E" w:rsidP="00CB350B">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761"/>
        <w:gridCol w:w="924"/>
        <w:gridCol w:w="922"/>
        <w:gridCol w:w="921"/>
        <w:gridCol w:w="921"/>
        <w:gridCol w:w="921"/>
        <w:gridCol w:w="921"/>
        <w:gridCol w:w="921"/>
      </w:tblGrid>
      <w:tr>
        <w:tblPrEx>
          <w:tblW w:w="5000" w:type="pct"/>
          <w:tblCellMar>
            <w:left w:w="70" w:type="dxa"/>
            <w:right w:w="70" w:type="dxa"/>
          </w:tblCellMar>
          <w:tblLook w:val="04A0"/>
        </w:tblPrEx>
        <w:trPr>
          <w:trHeight w:hRule="exact" w:val="284"/>
        </w:trPr>
        <w:tc>
          <w:tcPr>
            <w:tcW w:w="1498" w:type="pct"/>
            <w:tcBorders>
              <w:top w:val="single" w:sz="4" w:space="0" w:color="auto"/>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b/>
                <w:bCs/>
                <w:sz w:val="14"/>
                <w:szCs w:val="14"/>
              </w:rPr>
            </w:pPr>
            <w:r w:rsidRPr="009E58F9">
              <w:rPr>
                <w:rFonts w:ascii="Times New Roman" w:hAnsi="Times New Roman" w:cs="Times New Roman"/>
                <w:color w:val="000000"/>
                <w:sz w:val="14"/>
                <w:szCs w:val="14"/>
                <w:lang w:eastAsia="sk-SK"/>
              </w:rPr>
              <w:t> </w:t>
            </w:r>
            <w:r w:rsidRPr="009E58F9">
              <w:rPr>
                <w:rFonts w:ascii="Times New Roman" w:hAnsi="Times New Roman" w:cs="Times New Roman"/>
                <w:b/>
                <w:bCs/>
                <w:color w:val="000000"/>
                <w:sz w:val="14"/>
                <w:szCs w:val="14"/>
                <w:lang w:eastAsia="sk-SK"/>
              </w:rPr>
              <w:t>v eurách</w:t>
            </w:r>
          </w:p>
        </w:tc>
        <w:tc>
          <w:tcPr>
            <w:tcW w:w="501"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2009 S</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2010 S</w:t>
            </w:r>
          </w:p>
        </w:tc>
        <w:tc>
          <w:tcPr>
            <w:tcW w:w="50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2011 R</w:t>
            </w:r>
          </w:p>
        </w:tc>
        <w:tc>
          <w:tcPr>
            <w:tcW w:w="50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2011 OS</w:t>
            </w:r>
          </w:p>
        </w:tc>
        <w:tc>
          <w:tcPr>
            <w:tcW w:w="50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2012 N</w:t>
            </w:r>
          </w:p>
        </w:tc>
        <w:tc>
          <w:tcPr>
            <w:tcW w:w="50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2013 N</w:t>
            </w:r>
          </w:p>
        </w:tc>
        <w:tc>
          <w:tcPr>
            <w:tcW w:w="50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2014 N</w:t>
            </w:r>
          </w:p>
        </w:tc>
      </w:tr>
      <w:tr>
        <w:tblPrEx>
          <w:tblW w:w="5000" w:type="pct"/>
          <w:tblCellMar>
            <w:left w:w="70" w:type="dxa"/>
            <w:right w:w="70" w:type="dxa"/>
          </w:tblCellMar>
          <w:tblLook w:val="04A0"/>
        </w:tblPrEx>
        <w:trPr>
          <w:trHeight w:hRule="exact" w:val="284"/>
        </w:trPr>
        <w:tc>
          <w:tcPr>
            <w:tcW w:w="1498" w:type="pct"/>
            <w:tcBorders>
              <w:top w:val="single" w:sz="4" w:space="0" w:color="auto"/>
              <w:left w:val="single" w:sz="4" w:space="0" w:color="auto"/>
              <w:bottom w:val="single" w:sz="4" w:space="0" w:color="auto"/>
              <w:right w:val="single" w:sz="4" w:space="0" w:color="auto"/>
            </w:tcBorders>
            <w:noWrap/>
            <w:textDirection w:val="lrTb"/>
            <w:vAlign w:val="center"/>
            <w:hideMark/>
          </w:tcPr>
          <w:p w:rsidR="00CB350B" w:rsidRPr="009E58F9" w:rsidP="00257E12">
            <w:pPr>
              <w:bidi w:val="0"/>
              <w:jc w:val="both"/>
              <w:rPr>
                <w:rFonts w:ascii="Times New Roman" w:hAnsi="Times New Roman" w:cs="Times New Roman"/>
                <w:b/>
                <w:bCs/>
                <w:sz w:val="14"/>
                <w:szCs w:val="14"/>
              </w:rPr>
            </w:pPr>
            <w:r w:rsidRPr="009E58F9">
              <w:rPr>
                <w:rFonts w:ascii="Times New Roman" w:hAnsi="Times New Roman" w:cs="Times New Roman"/>
                <w:b/>
                <w:bCs/>
                <w:sz w:val="14"/>
                <w:szCs w:val="14"/>
              </w:rPr>
              <w:t>Grantový systém</w:t>
            </w:r>
          </w:p>
        </w:tc>
        <w:tc>
          <w:tcPr>
            <w:tcW w:w="501"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28 626 607</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19 849 083</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16 891 200</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16 891 200</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b/>
                <w:bCs/>
                <w:color w:val="000000"/>
                <w:sz w:val="14"/>
                <w:szCs w:val="14"/>
              </w:rPr>
            </w:pPr>
            <w:r w:rsidRPr="00991663">
              <w:rPr>
                <w:rFonts w:ascii="Times New Roman" w:hAnsi="Times New Roman" w:cs="Times New Roman"/>
                <w:b/>
                <w:bCs/>
                <w:color w:val="000000"/>
                <w:sz w:val="14"/>
                <w:szCs w:val="14"/>
              </w:rPr>
              <w:t>21 066 097</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10 566 097</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9 516 097</w:t>
            </w:r>
          </w:p>
        </w:tc>
      </w:tr>
      <w:tr>
        <w:tblPrEx>
          <w:tblW w:w="5000" w:type="pct"/>
          <w:tblCellMar>
            <w:left w:w="70" w:type="dxa"/>
            <w:right w:w="70" w:type="dxa"/>
          </w:tblCellMar>
          <w:tblLook w:val="04A0"/>
        </w:tblPrEx>
        <w:trPr>
          <w:trHeight w:hRule="exact" w:val="284"/>
        </w:trPr>
        <w:tc>
          <w:tcPr>
            <w:tcW w:w="1498"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jc w:val="both"/>
              <w:rPr>
                <w:rFonts w:ascii="Times New Roman" w:hAnsi="Times New Roman" w:cs="Times New Roman"/>
                <w:sz w:val="14"/>
                <w:szCs w:val="14"/>
              </w:rPr>
            </w:pPr>
            <w:r w:rsidRPr="009E58F9">
              <w:rPr>
                <w:rFonts w:ascii="Times New Roman" w:hAnsi="Times New Roman" w:cs="Times New Roman"/>
                <w:sz w:val="14"/>
                <w:szCs w:val="14"/>
              </w:rPr>
              <w:t>bežné výdavky, z toho:</w:t>
            </w:r>
          </w:p>
        </w:tc>
        <w:tc>
          <w:tcPr>
            <w:tcW w:w="501"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22 377 478</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18 604 322</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16 891 200</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16 391 200</w:t>
            </w:r>
          </w:p>
        </w:tc>
        <w:tc>
          <w:tcPr>
            <w:tcW w:w="500" w:type="pct"/>
            <w:tcBorders>
              <w:top w:val="nil"/>
              <w:left w:val="nil"/>
              <w:bottom w:val="single" w:sz="4" w:space="0" w:color="auto"/>
              <w:right w:val="single" w:sz="4" w:space="0" w:color="auto"/>
            </w:tcBorders>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21 066 097</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10 566 097</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9 516 097</w:t>
            </w:r>
          </w:p>
        </w:tc>
      </w:tr>
      <w:tr>
        <w:tblPrEx>
          <w:tblW w:w="5000" w:type="pct"/>
          <w:tblCellMar>
            <w:left w:w="70" w:type="dxa"/>
            <w:right w:w="70" w:type="dxa"/>
          </w:tblCellMar>
          <w:tblLook w:val="04A0"/>
        </w:tblPrEx>
        <w:trPr>
          <w:trHeight w:hRule="exact" w:val="284"/>
        </w:trPr>
        <w:tc>
          <w:tcPr>
            <w:tcW w:w="1498"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 xml:space="preserve">         Európske hlavné mesto kultúry</w:t>
            </w:r>
          </w:p>
        </w:tc>
        <w:tc>
          <w:tcPr>
            <w:tcW w:w="501"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1 144 167</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1 992 000</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1 992 000</w:t>
            </w:r>
          </w:p>
        </w:tc>
        <w:tc>
          <w:tcPr>
            <w:tcW w:w="500" w:type="pct"/>
            <w:tcBorders>
              <w:top w:val="nil"/>
              <w:left w:val="nil"/>
              <w:bottom w:val="single" w:sz="4" w:space="0" w:color="auto"/>
              <w:right w:val="single" w:sz="4" w:space="0" w:color="auto"/>
            </w:tcBorders>
            <w:noWrap/>
            <w:textDirection w:val="lrTb"/>
            <w:vAlign w:val="center"/>
            <w:hideMark/>
          </w:tcPr>
          <w:p w:rsidR="00CB350B" w:rsidRPr="00991663" w:rsidP="00257E12">
            <w:pPr>
              <w:bidi w:val="0"/>
              <w:jc w:val="right"/>
              <w:rPr>
                <w:rFonts w:ascii="Times New Roman" w:hAnsi="Times New Roman" w:cs="Times New Roman"/>
                <w:color w:val="000000"/>
                <w:sz w:val="14"/>
                <w:szCs w:val="14"/>
              </w:rPr>
            </w:pPr>
            <w:r w:rsidRPr="00991663">
              <w:rPr>
                <w:rFonts w:ascii="Times New Roman" w:hAnsi="Times New Roman" w:cs="Times New Roman"/>
                <w:color w:val="000000"/>
                <w:sz w:val="14"/>
                <w:szCs w:val="14"/>
              </w:rPr>
              <w:t>3 320 000</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3 320 000</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hRule="exact" w:val="284"/>
        </w:trPr>
        <w:tc>
          <w:tcPr>
            <w:tcW w:w="1498"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kapitálové výdavky</w:t>
            </w:r>
          </w:p>
        </w:tc>
        <w:tc>
          <w:tcPr>
            <w:tcW w:w="501"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6 249 129</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1 244 761</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500 000</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r>
    </w:tbl>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 xml:space="preserve">Grantový systém predstavuje dotačný systém na podporu projektov z oblasti divadelného, výtvarného, tanečného, hudobného, literárneho umenia a na obnovu národných kultúrnych pamiatok (napr. </w:t>
      </w:r>
      <w:r>
        <w:rPr>
          <w:rFonts w:ascii="Times New Roman" w:hAnsi="Times New Roman" w:cs="Times New Roman"/>
        </w:rPr>
        <w:t>O</w:t>
      </w:r>
      <w:r w:rsidRPr="0004638E">
        <w:rPr>
          <w:rFonts w:ascii="Times New Roman" w:hAnsi="Times New Roman" w:cs="Times New Roman"/>
        </w:rPr>
        <w:t xml:space="preserve">bnovme si svoj dom, Európske hlavné mesto </w:t>
      </w:r>
      <w:r>
        <w:rPr>
          <w:rFonts w:ascii="Times New Roman" w:hAnsi="Times New Roman" w:cs="Times New Roman"/>
        </w:rPr>
        <w:t>kultúry</w:t>
      </w:r>
      <w:r w:rsidRPr="0004638E">
        <w:rPr>
          <w:rFonts w:ascii="Times New Roman" w:hAnsi="Times New Roman" w:cs="Times New Roman"/>
        </w:rPr>
        <w:t>,</w:t>
      </w:r>
      <w:r>
        <w:rPr>
          <w:rFonts w:ascii="Times New Roman" w:hAnsi="Times New Roman" w:cs="Times New Roman"/>
        </w:rPr>
        <w:t xml:space="preserve"> Pro Slovakia, Podpora návštevnosti kultúrnych podujatí</w:t>
      </w:r>
      <w:r w:rsidRPr="0004638E">
        <w:rPr>
          <w:rFonts w:ascii="Times New Roman" w:hAnsi="Times New Roman" w:cs="Times New Roman"/>
        </w:rPr>
        <w:t>,</w:t>
      </w:r>
      <w:r>
        <w:rPr>
          <w:rFonts w:ascii="Times New Roman" w:hAnsi="Times New Roman" w:cs="Times New Roman"/>
        </w:rPr>
        <w:t xml:space="preserve"> Kultúra znevýhodnených skupín</w:t>
      </w:r>
      <w:r w:rsidRPr="0004638E">
        <w:rPr>
          <w:rFonts w:ascii="Times New Roman" w:hAnsi="Times New Roman" w:cs="Times New Roman"/>
        </w:rPr>
        <w:t xml:space="preserve">, </w:t>
      </w:r>
      <w:r>
        <w:rPr>
          <w:rFonts w:ascii="Times New Roman" w:hAnsi="Times New Roman" w:cs="Times New Roman"/>
        </w:rPr>
        <w:t xml:space="preserve"> Mimoriadne kultúrne aktivity v rámci GS</w:t>
      </w:r>
      <w:r w:rsidRPr="0004638E">
        <w:rPr>
          <w:rFonts w:ascii="Times New Roman" w:hAnsi="Times New Roman" w:cs="Times New Roman"/>
        </w:rPr>
        <w:t xml:space="preserve">, </w:t>
      </w:r>
      <w:r>
        <w:rPr>
          <w:rFonts w:ascii="Times New Roman" w:hAnsi="Times New Roman" w:cs="Times New Roman"/>
        </w:rPr>
        <w:t xml:space="preserve"> Nehmotné kultúrne dedičstvo a iné</w:t>
      </w:r>
      <w:r w:rsidRPr="0004638E">
        <w:rPr>
          <w:rFonts w:ascii="Times New Roman" w:hAnsi="Times New Roman" w:cs="Times New Roman"/>
        </w:rPr>
        <w:t>).</w:t>
      </w:r>
    </w:p>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 xml:space="preserve">Vo financovaní grantového </w:t>
      </w:r>
      <w:r w:rsidRPr="00991663">
        <w:rPr>
          <w:rFonts w:ascii="Times New Roman" w:hAnsi="Times New Roman" w:cs="Times New Roman"/>
        </w:rPr>
        <w:t xml:space="preserve">systému dochádza k medziročnému nárastu  o 24,7 %, čo v absolútnom vyjadrení prestavuje sumu 4,18 mil. eur. Zvýšenie výdavkov zohľadňuje nárast počtu </w:t>
      </w:r>
      <w:r>
        <w:rPr>
          <w:rFonts w:ascii="Times New Roman" w:hAnsi="Times New Roman" w:cs="Times New Roman"/>
        </w:rPr>
        <w:t xml:space="preserve">podporených z </w:t>
      </w:r>
      <w:r w:rsidRPr="00991663">
        <w:rPr>
          <w:rFonts w:ascii="Times New Roman" w:hAnsi="Times New Roman" w:cs="Times New Roman"/>
        </w:rPr>
        <w:t>predložených projektov, ktoré v minulosti nebolo možné financovať vzhľadom na disponibilné zdroje tejto oblasti.</w:t>
      </w:r>
    </w:p>
    <w:p w:rsidR="00CB350B" w:rsidRPr="0004638E" w:rsidP="00CB350B">
      <w:pPr>
        <w:autoSpaceDE w:val="0"/>
        <w:autoSpaceDN w:val="0"/>
        <w:bidi w:val="0"/>
        <w:adjustRightInd w:val="0"/>
        <w:jc w:val="both"/>
        <w:rPr>
          <w:rFonts w:ascii="Times New Roman" w:hAnsi="Times New Roman" w:cs="Times New Roman"/>
          <w:b/>
          <w:bCs/>
        </w:rPr>
      </w:pPr>
    </w:p>
    <w:p w:rsidR="00CB350B" w:rsidRPr="0004638E" w:rsidP="00CB350B">
      <w:pPr>
        <w:autoSpaceDE w:val="0"/>
        <w:autoSpaceDN w:val="0"/>
        <w:bidi w:val="0"/>
        <w:adjustRightInd w:val="0"/>
        <w:jc w:val="both"/>
        <w:rPr>
          <w:rFonts w:ascii="Times New Roman" w:hAnsi="Times New Roman" w:cs="Times New Roman"/>
          <w:b/>
          <w:bCs/>
        </w:rPr>
      </w:pPr>
      <w:r w:rsidRPr="0004638E">
        <w:rPr>
          <w:rFonts w:ascii="Times New Roman" w:hAnsi="Times New Roman" w:cs="Times New Roman"/>
          <w:b/>
          <w:bCs/>
        </w:rPr>
        <w:t>Transfery pre verejnoprávne inštitúcie (RTVS, AVF, TASR)</w:t>
      </w:r>
    </w:p>
    <w:p w:rsidR="00CB350B" w:rsidRPr="0004638E" w:rsidP="00CB350B">
      <w:pPr>
        <w:bidi w:val="0"/>
        <w:jc w:val="both"/>
        <w:rPr>
          <w:rFonts w:ascii="Times New Roman" w:hAnsi="Times New Roman" w:cs="Times New Roman"/>
        </w:rPr>
      </w:pPr>
    </w:p>
    <w:tbl>
      <w:tblPr>
        <w:tblStyle w:val="TableNormal"/>
        <w:tblW w:w="4962" w:type="pct"/>
        <w:tblCellMar>
          <w:left w:w="70" w:type="dxa"/>
          <w:right w:w="70" w:type="dxa"/>
        </w:tblCellMar>
        <w:tblLook w:val="04A0"/>
      </w:tblPr>
      <w:tblGrid>
        <w:gridCol w:w="2740"/>
        <w:gridCol w:w="915"/>
        <w:gridCol w:w="915"/>
        <w:gridCol w:w="915"/>
        <w:gridCol w:w="915"/>
        <w:gridCol w:w="914"/>
        <w:gridCol w:w="914"/>
        <w:gridCol w:w="914"/>
      </w:tblGrid>
      <w:tr>
        <w:tblPrEx>
          <w:tblW w:w="4962" w:type="pct"/>
          <w:tblCellMar>
            <w:left w:w="70" w:type="dxa"/>
            <w:right w:w="70" w:type="dxa"/>
          </w:tblCellMar>
          <w:tblLook w:val="04A0"/>
        </w:tblPrEx>
        <w:trPr>
          <w:trHeight w:hRule="exact" w:val="284"/>
        </w:trPr>
        <w:tc>
          <w:tcPr>
            <w:tcW w:w="1497" w:type="pct"/>
            <w:tcBorders>
              <w:top w:val="single" w:sz="4" w:space="0" w:color="auto"/>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b/>
                <w:bCs/>
                <w:sz w:val="14"/>
                <w:szCs w:val="14"/>
              </w:rPr>
            </w:pPr>
            <w:r w:rsidRPr="009E58F9">
              <w:rPr>
                <w:rFonts w:ascii="Times New Roman" w:hAnsi="Times New Roman" w:cs="Times New Roman"/>
                <w:color w:val="000000"/>
                <w:sz w:val="14"/>
                <w:szCs w:val="14"/>
                <w:lang w:eastAsia="sk-SK"/>
              </w:rPr>
              <w:t> </w:t>
            </w:r>
            <w:r w:rsidRPr="009E58F9">
              <w:rPr>
                <w:rFonts w:ascii="Times New Roman" w:hAnsi="Times New Roman" w:cs="Times New Roman"/>
                <w:b/>
                <w:bCs/>
                <w:color w:val="000000"/>
                <w:sz w:val="14"/>
                <w:szCs w:val="14"/>
                <w:lang w:eastAsia="sk-SK"/>
              </w:rPr>
              <w:t>v eurách</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2009 S</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2010 S</w:t>
            </w:r>
          </w:p>
        </w:tc>
        <w:tc>
          <w:tcPr>
            <w:tcW w:w="50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2011 R</w:t>
            </w:r>
          </w:p>
        </w:tc>
        <w:tc>
          <w:tcPr>
            <w:tcW w:w="50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2011 OS</w:t>
            </w:r>
          </w:p>
        </w:tc>
        <w:tc>
          <w:tcPr>
            <w:tcW w:w="50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2012 N</w:t>
            </w:r>
          </w:p>
        </w:tc>
        <w:tc>
          <w:tcPr>
            <w:tcW w:w="50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2013 N</w:t>
            </w:r>
          </w:p>
        </w:tc>
        <w:tc>
          <w:tcPr>
            <w:tcW w:w="50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2014 N</w:t>
            </w:r>
          </w:p>
        </w:tc>
      </w:tr>
      <w:tr>
        <w:tblPrEx>
          <w:tblW w:w="4962" w:type="pct"/>
          <w:tblCellMar>
            <w:left w:w="70" w:type="dxa"/>
            <w:right w:w="70" w:type="dxa"/>
          </w:tblCellMar>
          <w:tblLook w:val="04A0"/>
        </w:tblPrEx>
        <w:trPr>
          <w:trHeight w:hRule="exact" w:val="284"/>
        </w:trPr>
        <w:tc>
          <w:tcPr>
            <w:tcW w:w="1497" w:type="pct"/>
            <w:tcBorders>
              <w:top w:val="single" w:sz="4" w:space="0" w:color="auto"/>
              <w:left w:val="single" w:sz="4" w:space="0" w:color="auto"/>
              <w:bottom w:val="single" w:sz="4" w:space="0" w:color="auto"/>
              <w:right w:val="single" w:sz="4" w:space="0" w:color="auto"/>
            </w:tcBorders>
            <w:noWrap/>
            <w:textDirection w:val="lrTb"/>
            <w:vAlign w:val="center"/>
            <w:hideMark/>
          </w:tcPr>
          <w:p w:rsidR="00CB350B" w:rsidRPr="009E58F9" w:rsidP="00257E12">
            <w:pPr>
              <w:bidi w:val="0"/>
              <w:jc w:val="both"/>
              <w:rPr>
                <w:rFonts w:ascii="Times New Roman" w:hAnsi="Times New Roman" w:cs="Times New Roman"/>
                <w:b/>
                <w:bCs/>
                <w:sz w:val="14"/>
                <w:szCs w:val="14"/>
              </w:rPr>
            </w:pPr>
            <w:r w:rsidRPr="009E58F9">
              <w:rPr>
                <w:rFonts w:ascii="Times New Roman" w:hAnsi="Times New Roman" w:cs="Times New Roman"/>
                <w:b/>
                <w:bCs/>
                <w:sz w:val="14"/>
                <w:szCs w:val="14"/>
              </w:rPr>
              <w:t>Transfery pre verejnoprávne inštitúcie</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17 272 653</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23 215 727</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18 500 000</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18 500 000</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18 000 000</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17 500 000</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17 500 000</w:t>
            </w:r>
          </w:p>
        </w:tc>
      </w:tr>
      <w:tr>
        <w:tblPrEx>
          <w:tblW w:w="4962" w:type="pct"/>
          <w:tblCellMar>
            <w:left w:w="70" w:type="dxa"/>
            <w:right w:w="70" w:type="dxa"/>
          </w:tblCellMar>
          <w:tblLook w:val="04A0"/>
        </w:tblPrEx>
        <w:trPr>
          <w:trHeight w:hRule="exact" w:val="284"/>
        </w:trPr>
        <w:tc>
          <w:tcPr>
            <w:tcW w:w="1497" w:type="pct"/>
            <w:tcBorders>
              <w:top w:val="nil"/>
              <w:left w:val="single" w:sz="4" w:space="0" w:color="auto"/>
              <w:bottom w:val="single" w:sz="4" w:space="0" w:color="auto"/>
              <w:right w:val="single" w:sz="4" w:space="0" w:color="auto"/>
            </w:tcBorders>
            <w:textDirection w:val="lrTb"/>
            <w:vAlign w:val="center"/>
            <w:hideMark/>
          </w:tcPr>
          <w:p w:rsidR="00CB350B" w:rsidRPr="009E58F9" w:rsidP="00257E12">
            <w:pPr>
              <w:bidi w:val="0"/>
              <w:jc w:val="both"/>
              <w:rPr>
                <w:rFonts w:ascii="Times New Roman" w:hAnsi="Times New Roman" w:cs="Times New Roman"/>
                <w:sz w:val="14"/>
                <w:szCs w:val="14"/>
              </w:rPr>
            </w:pPr>
            <w:r w:rsidRPr="009E58F9">
              <w:rPr>
                <w:rFonts w:ascii="Times New Roman" w:hAnsi="Times New Roman" w:cs="Times New Roman"/>
                <w:sz w:val="14"/>
                <w:szCs w:val="14"/>
              </w:rPr>
              <w:t>Transfer pre RTVS</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15 334 349</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16 515 936</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14 000 000</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14 000 000</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14 000 000</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14 000 000</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14 000 000</w:t>
            </w:r>
          </w:p>
        </w:tc>
      </w:tr>
      <w:tr>
        <w:tblPrEx>
          <w:tblW w:w="4962" w:type="pct"/>
          <w:tblCellMar>
            <w:left w:w="70" w:type="dxa"/>
            <w:right w:w="70" w:type="dxa"/>
          </w:tblCellMar>
          <w:tblLook w:val="04A0"/>
        </w:tblPrEx>
        <w:trPr>
          <w:trHeight w:hRule="exact" w:val="284"/>
        </w:trPr>
        <w:tc>
          <w:tcPr>
            <w:tcW w:w="1497" w:type="pct"/>
            <w:tcBorders>
              <w:top w:val="nil"/>
              <w:left w:val="single" w:sz="4" w:space="0" w:color="auto"/>
              <w:bottom w:val="single" w:sz="4" w:space="0" w:color="auto"/>
              <w:right w:val="single" w:sz="4" w:space="0" w:color="auto"/>
            </w:tcBorders>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Transfer pre AVF</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149 370</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4 500 000</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3 500 000</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3 500 000</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3 500 000</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3 500 000</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3 500 000</w:t>
            </w:r>
          </w:p>
        </w:tc>
      </w:tr>
      <w:tr>
        <w:tblPrEx>
          <w:tblW w:w="4962" w:type="pct"/>
          <w:tblCellMar>
            <w:left w:w="70" w:type="dxa"/>
            <w:right w:w="70" w:type="dxa"/>
          </w:tblCellMar>
          <w:tblLook w:val="04A0"/>
        </w:tblPrEx>
        <w:trPr>
          <w:trHeight w:hRule="exact" w:val="284"/>
        </w:trPr>
        <w:tc>
          <w:tcPr>
            <w:tcW w:w="1497" w:type="pct"/>
            <w:tcBorders>
              <w:top w:val="nil"/>
              <w:left w:val="single" w:sz="4" w:space="0" w:color="auto"/>
              <w:bottom w:val="single" w:sz="4" w:space="0" w:color="auto"/>
              <w:right w:val="single" w:sz="4" w:space="0" w:color="auto"/>
            </w:tcBorders>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Transfer pre TASR</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1 788 934</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2 199 791</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1 000 000</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1 000 000</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500 000</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50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r>
    </w:tbl>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Rozpis transferov pre verejnoprávne inštitúcie je v porovnaní so schváleným rozpočtom roka 2011 nižší o 2,7 %, t.j. o 500 tis. eur.</w:t>
      </w:r>
    </w:p>
    <w:p w:rsidR="00CB350B" w:rsidRPr="0004638E" w:rsidP="00CB350B">
      <w:pPr>
        <w:bidi w:val="0"/>
        <w:jc w:val="both"/>
        <w:rPr>
          <w:rFonts w:ascii="Times New Roman" w:hAnsi="Times New Roman" w:cs="Times New Roman"/>
        </w:rPr>
      </w:pPr>
    </w:p>
    <w:p w:rsidR="00CB350B" w:rsidRPr="0004638E" w:rsidP="00CB350B">
      <w:pPr>
        <w:tabs>
          <w:tab w:val="left" w:pos="180"/>
        </w:tabs>
        <w:bidi w:val="0"/>
        <w:jc w:val="both"/>
        <w:rPr>
          <w:rFonts w:ascii="Times New Roman" w:hAnsi="Times New Roman" w:cs="Times New Roman"/>
          <w:b/>
        </w:rPr>
      </w:pPr>
      <w:r>
        <w:rPr>
          <w:rFonts w:ascii="Times New Roman" w:hAnsi="Times New Roman" w:cs="Times New Roman"/>
        </w:rPr>
        <w:tab/>
        <w:tab/>
      </w:r>
      <w:r w:rsidRPr="0004638E">
        <w:rPr>
          <w:rFonts w:ascii="Times New Roman" w:hAnsi="Times New Roman" w:cs="Times New Roman"/>
        </w:rPr>
        <w:t>Transfery pre vyššie uvedené inštitúcie sa poskytujú na základe zmluvy medzi Ministerstvom kultúry SR a dotknutou inštitúciou, ktorá upravuje mechanizmus poskytovania finančných prostriedkov a špecifikuje ich účel použitia v danom rozpočtovom roku.</w:t>
      </w:r>
    </w:p>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 xml:space="preserve">Prostriedky potrebné na pokrytie zmluvy so štátom a RTVS sú na rok 2012 rozpočtované vo výške 14,0 mil. eur, čo zodpovedá schválenému rozpočtu na rok 2011. </w:t>
      </w:r>
    </w:p>
    <w:p w:rsidR="00CB350B" w:rsidRPr="0004638E" w:rsidP="00CB350B">
      <w:pPr>
        <w:bidi w:val="0"/>
        <w:jc w:val="both"/>
        <w:rPr>
          <w:rFonts w:ascii="Times New Roman" w:hAnsi="Times New Roman" w:cs="Times New Roman"/>
        </w:rPr>
      </w:pPr>
      <w:r w:rsidRPr="0004638E">
        <w:rPr>
          <w:rFonts w:ascii="Times New Roman" w:hAnsi="Times New Roman" w:cs="Times New Roman"/>
        </w:rPr>
        <w:tab/>
      </w: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 xml:space="preserve">V zmysle zákona č. 516/2008 Z. z. o Audiovizuálnom fonde je štát zaviazaný platiť príspevok do AVF, ktorý je  </w:t>
      </w:r>
      <w:r>
        <w:rPr>
          <w:rFonts w:ascii="Times New Roman" w:hAnsi="Times New Roman" w:cs="Times New Roman"/>
        </w:rPr>
        <w:t>na</w:t>
      </w:r>
      <w:r w:rsidRPr="0004638E">
        <w:rPr>
          <w:rFonts w:ascii="Times New Roman" w:hAnsi="Times New Roman" w:cs="Times New Roman"/>
        </w:rPr>
        <w:t xml:space="preserve"> rok 2012 navrhovaný na úrovni schváleného rozpočtu roku 2011 vo výške 3,5 mil. eur.</w:t>
      </w:r>
    </w:p>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iCs/>
        </w:rPr>
      </w:pPr>
      <w:r w:rsidRPr="0004638E">
        <w:rPr>
          <w:rFonts w:ascii="Times New Roman" w:hAnsi="Times New Roman" w:cs="Times New Roman"/>
        </w:rPr>
        <w:t xml:space="preserve">V súlade so zákonom č. 385/2008 Z. z. o Tlačovej agentúre Slovenskej republiky sú tejto verejnoprávnej inštitúcii poskytované finančné prostriedky formou bežného transferu. V roku 2012 sa v limite výdavkov pre TASR rozpočtuje suma 500 tis. eur, pričom oproti </w:t>
      </w:r>
      <w:r>
        <w:rPr>
          <w:rFonts w:ascii="Times New Roman" w:hAnsi="Times New Roman" w:cs="Times New Roman"/>
        </w:rPr>
        <w:t xml:space="preserve">schválenému rozpočtu na </w:t>
      </w:r>
      <w:r w:rsidRPr="0004638E">
        <w:rPr>
          <w:rFonts w:ascii="Times New Roman" w:hAnsi="Times New Roman" w:cs="Times New Roman"/>
        </w:rPr>
        <w:t xml:space="preserve">rok 2011 </w:t>
      </w:r>
      <w:r>
        <w:rPr>
          <w:rFonts w:ascii="Times New Roman" w:hAnsi="Times New Roman" w:cs="Times New Roman"/>
        </w:rPr>
        <w:t xml:space="preserve">dochádza </w:t>
      </w:r>
      <w:r w:rsidRPr="0004638E">
        <w:rPr>
          <w:rFonts w:ascii="Times New Roman" w:hAnsi="Times New Roman" w:cs="Times New Roman"/>
        </w:rPr>
        <w:t>k zníženiu o</w:t>
      </w:r>
      <w:r>
        <w:rPr>
          <w:rFonts w:ascii="Times New Roman" w:hAnsi="Times New Roman" w:cs="Times New Roman"/>
        </w:rPr>
        <w:t> </w:t>
      </w:r>
      <w:r w:rsidRPr="0004638E">
        <w:rPr>
          <w:rFonts w:ascii="Times New Roman" w:hAnsi="Times New Roman" w:cs="Times New Roman"/>
        </w:rPr>
        <w:t>50</w:t>
      </w:r>
      <w:r>
        <w:rPr>
          <w:rFonts w:ascii="Times New Roman" w:hAnsi="Times New Roman" w:cs="Times New Roman"/>
        </w:rPr>
        <w:t xml:space="preserve"> </w:t>
      </w:r>
      <w:r w:rsidRPr="0004638E">
        <w:rPr>
          <w:rFonts w:ascii="Times New Roman" w:hAnsi="Times New Roman" w:cs="Times New Roman"/>
        </w:rPr>
        <w:t>%. Pokles finančných zdrojov je koncipovaný v súlade so zámerom vlády minimalizovať príspevok zo štátneho rozpočtu tak, aby podpora štátu bola zachovaná len v segmente uchovávania, správy a sprístupňovania archívov.</w:t>
      </w:r>
    </w:p>
    <w:p w:rsidR="00CB350B" w:rsidRPr="0004638E" w:rsidP="00CB350B">
      <w:pPr>
        <w:bidi w:val="0"/>
        <w:jc w:val="both"/>
        <w:rPr>
          <w:rFonts w:ascii="Times New Roman" w:hAnsi="Times New Roman" w:cs="Times New Roman"/>
          <w:b/>
        </w:rPr>
      </w:pPr>
    </w:p>
    <w:p w:rsidR="00CB350B" w:rsidRPr="0004638E" w:rsidP="00CB350B">
      <w:pPr>
        <w:bidi w:val="0"/>
        <w:jc w:val="both"/>
        <w:rPr>
          <w:rFonts w:ascii="Times New Roman" w:hAnsi="Times New Roman" w:cs="Times New Roman"/>
          <w:b/>
        </w:rPr>
      </w:pPr>
      <w:r w:rsidRPr="0004638E">
        <w:rPr>
          <w:rFonts w:ascii="Times New Roman" w:hAnsi="Times New Roman" w:cs="Times New Roman"/>
          <w:b/>
        </w:rPr>
        <w:t>Strategické zámery kapitoly</w:t>
      </w:r>
    </w:p>
    <w:p w:rsidR="00CB350B" w:rsidP="00CB350B">
      <w:pPr>
        <w:bidi w:val="0"/>
        <w:jc w:val="both"/>
        <w:rPr>
          <w:rFonts w:ascii="Times New Roman" w:hAnsi="Times New Roman" w:cs="Times New Roman"/>
        </w:rPr>
      </w:pPr>
    </w:p>
    <w:tbl>
      <w:tblPr>
        <w:tblStyle w:val="TableNormal"/>
        <w:tblW w:w="4962" w:type="pct"/>
        <w:tblCellMar>
          <w:left w:w="70" w:type="dxa"/>
          <w:right w:w="70" w:type="dxa"/>
        </w:tblCellMar>
        <w:tblLook w:val="04A0"/>
      </w:tblPr>
      <w:tblGrid>
        <w:gridCol w:w="3128"/>
        <w:gridCol w:w="860"/>
        <w:gridCol w:w="859"/>
        <w:gridCol w:w="859"/>
        <w:gridCol w:w="859"/>
        <w:gridCol w:w="859"/>
        <w:gridCol w:w="859"/>
        <w:gridCol w:w="859"/>
      </w:tblGrid>
      <w:tr>
        <w:tblPrEx>
          <w:tblW w:w="4962" w:type="pct"/>
          <w:tblCellMar>
            <w:left w:w="70" w:type="dxa"/>
            <w:right w:w="70" w:type="dxa"/>
          </w:tblCellMar>
          <w:tblLook w:val="04A0"/>
        </w:tblPrEx>
        <w:trPr>
          <w:trHeight w:hRule="exact" w:val="284"/>
        </w:trPr>
        <w:tc>
          <w:tcPr>
            <w:tcW w:w="1710" w:type="pct"/>
            <w:tcBorders>
              <w:top w:val="single" w:sz="4" w:space="0" w:color="auto"/>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b/>
                <w:bCs/>
                <w:sz w:val="14"/>
                <w:szCs w:val="14"/>
              </w:rPr>
            </w:pPr>
            <w:r w:rsidRPr="009E58F9">
              <w:rPr>
                <w:rFonts w:ascii="Times New Roman" w:hAnsi="Times New Roman" w:cs="Times New Roman"/>
                <w:color w:val="000000"/>
                <w:sz w:val="14"/>
                <w:szCs w:val="14"/>
                <w:lang w:eastAsia="sk-SK"/>
              </w:rPr>
              <w:t> </w:t>
            </w:r>
            <w:r w:rsidRPr="009E58F9">
              <w:rPr>
                <w:rFonts w:ascii="Times New Roman" w:hAnsi="Times New Roman" w:cs="Times New Roman"/>
                <w:b/>
                <w:bCs/>
                <w:color w:val="000000"/>
                <w:sz w:val="14"/>
                <w:szCs w:val="14"/>
                <w:lang w:eastAsia="sk-SK"/>
              </w:rPr>
              <w:t>v eurách</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2009 S</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2010 S</w:t>
            </w:r>
          </w:p>
        </w:tc>
        <w:tc>
          <w:tcPr>
            <w:tcW w:w="47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2011 R</w:t>
            </w:r>
          </w:p>
        </w:tc>
        <w:tc>
          <w:tcPr>
            <w:tcW w:w="47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2011 OS</w:t>
            </w:r>
          </w:p>
        </w:tc>
        <w:tc>
          <w:tcPr>
            <w:tcW w:w="47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2012 N</w:t>
            </w:r>
          </w:p>
        </w:tc>
        <w:tc>
          <w:tcPr>
            <w:tcW w:w="47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2013 N</w:t>
            </w:r>
          </w:p>
        </w:tc>
        <w:tc>
          <w:tcPr>
            <w:tcW w:w="47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2014 N</w:t>
            </w:r>
          </w:p>
        </w:tc>
      </w:tr>
      <w:tr>
        <w:tblPrEx>
          <w:tblW w:w="4962" w:type="pct"/>
          <w:tblCellMar>
            <w:left w:w="70" w:type="dxa"/>
            <w:right w:w="70" w:type="dxa"/>
          </w:tblCellMar>
          <w:tblLook w:val="04A0"/>
        </w:tblPrEx>
        <w:trPr>
          <w:trHeight w:hRule="exact" w:val="284"/>
        </w:trPr>
        <w:tc>
          <w:tcPr>
            <w:tcW w:w="1710" w:type="pct"/>
            <w:tcBorders>
              <w:top w:val="single" w:sz="4" w:space="0" w:color="auto"/>
              <w:left w:val="single" w:sz="4" w:space="0" w:color="auto"/>
              <w:bottom w:val="single" w:sz="4" w:space="0" w:color="auto"/>
              <w:right w:val="single" w:sz="4" w:space="0" w:color="auto"/>
            </w:tcBorders>
            <w:noWrap/>
            <w:textDirection w:val="lrTb"/>
            <w:vAlign w:val="center"/>
            <w:hideMark/>
          </w:tcPr>
          <w:p w:rsidR="00CB350B" w:rsidRPr="009E58F9" w:rsidP="00257E12">
            <w:pPr>
              <w:bidi w:val="0"/>
              <w:jc w:val="both"/>
              <w:rPr>
                <w:rFonts w:ascii="Times New Roman" w:hAnsi="Times New Roman" w:cs="Times New Roman"/>
                <w:b/>
                <w:bCs/>
                <w:sz w:val="14"/>
                <w:szCs w:val="14"/>
              </w:rPr>
            </w:pPr>
            <w:r w:rsidRPr="009E58F9">
              <w:rPr>
                <w:rFonts w:ascii="Times New Roman" w:hAnsi="Times New Roman" w:cs="Times New Roman"/>
                <w:b/>
                <w:bCs/>
                <w:sz w:val="14"/>
                <w:szCs w:val="14"/>
              </w:rPr>
              <w:t>Strategické zámery kapitoly</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17 454 977</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8 967 070</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1 493 726</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4 065 130</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6 793 726</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6 793 726</w:t>
            </w:r>
          </w:p>
        </w:tc>
        <w:tc>
          <w:tcPr>
            <w:tcW w:w="47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5 793 726</w:t>
            </w:r>
          </w:p>
        </w:tc>
      </w:tr>
      <w:tr>
        <w:tblPrEx>
          <w:tblW w:w="4962" w:type="pct"/>
          <w:tblCellMar>
            <w:left w:w="70" w:type="dxa"/>
            <w:right w:w="70" w:type="dxa"/>
          </w:tblCellMar>
          <w:tblLook w:val="04A0"/>
        </w:tblPrEx>
        <w:trPr>
          <w:trHeight w:hRule="exact" w:val="284"/>
        </w:trPr>
        <w:tc>
          <w:tcPr>
            <w:tcW w:w="171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jc w:val="both"/>
              <w:rPr>
                <w:rFonts w:ascii="Times New Roman" w:hAnsi="Times New Roman" w:cs="Times New Roman"/>
                <w:sz w:val="14"/>
                <w:szCs w:val="14"/>
              </w:rPr>
            </w:pPr>
            <w:r w:rsidRPr="009E58F9">
              <w:rPr>
                <w:rFonts w:ascii="Times New Roman" w:hAnsi="Times New Roman" w:cs="Times New Roman"/>
                <w:sz w:val="14"/>
                <w:szCs w:val="14"/>
              </w:rPr>
              <w:t>Syst</w:t>
            </w:r>
            <w:r>
              <w:rPr>
                <w:rFonts w:ascii="Times New Roman" w:hAnsi="Times New Roman" w:cs="Times New Roman"/>
                <w:sz w:val="14"/>
                <w:szCs w:val="14"/>
              </w:rPr>
              <w:t>ematická</w:t>
            </w:r>
            <w:r w:rsidRPr="009E58F9">
              <w:rPr>
                <w:rFonts w:ascii="Times New Roman" w:hAnsi="Times New Roman" w:cs="Times New Roman"/>
                <w:sz w:val="14"/>
                <w:szCs w:val="14"/>
              </w:rPr>
              <w:t xml:space="preserve"> obnova audiovizuálneho dedičstva</w:t>
            </w:r>
          </w:p>
        </w:tc>
        <w:tc>
          <w:tcPr>
            <w:tcW w:w="47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1 493 726</w:t>
            </w:r>
          </w:p>
        </w:tc>
        <w:tc>
          <w:tcPr>
            <w:tcW w:w="47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1 493 726</w:t>
            </w:r>
          </w:p>
        </w:tc>
        <w:tc>
          <w:tcPr>
            <w:tcW w:w="47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1 493 726</w:t>
            </w:r>
          </w:p>
        </w:tc>
        <w:tc>
          <w:tcPr>
            <w:tcW w:w="47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1 493 726</w:t>
            </w:r>
          </w:p>
        </w:tc>
        <w:tc>
          <w:tcPr>
            <w:tcW w:w="47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1 493 726</w:t>
            </w:r>
          </w:p>
        </w:tc>
        <w:tc>
          <w:tcPr>
            <w:tcW w:w="47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1 493 726</w:t>
            </w:r>
          </w:p>
        </w:tc>
        <w:tc>
          <w:tcPr>
            <w:tcW w:w="470"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1 493 726</w:t>
            </w:r>
          </w:p>
        </w:tc>
      </w:tr>
      <w:tr>
        <w:tblPrEx>
          <w:tblW w:w="4962" w:type="pct"/>
          <w:tblCellMar>
            <w:left w:w="70" w:type="dxa"/>
            <w:right w:w="70" w:type="dxa"/>
          </w:tblCellMar>
          <w:tblLook w:val="04A0"/>
        </w:tblPrEx>
        <w:trPr>
          <w:trHeight w:hRule="exact" w:val="284"/>
        </w:trPr>
        <w:tc>
          <w:tcPr>
            <w:tcW w:w="171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Projekt informatizácie kultúry</w:t>
            </w:r>
          </w:p>
        </w:tc>
        <w:tc>
          <w:tcPr>
            <w:tcW w:w="47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10 076 703</w:t>
            </w:r>
          </w:p>
        </w:tc>
        <w:tc>
          <w:tcPr>
            <w:tcW w:w="47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4 399 671</w:t>
            </w:r>
          </w:p>
        </w:tc>
        <w:tc>
          <w:tcPr>
            <w:tcW w:w="47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47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1 468 737</w:t>
            </w:r>
          </w:p>
        </w:tc>
        <w:tc>
          <w:tcPr>
            <w:tcW w:w="47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2 900 000</w:t>
            </w:r>
          </w:p>
        </w:tc>
        <w:tc>
          <w:tcPr>
            <w:tcW w:w="47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2 900 000</w:t>
            </w:r>
          </w:p>
        </w:tc>
        <w:tc>
          <w:tcPr>
            <w:tcW w:w="47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2 900 000</w:t>
            </w:r>
          </w:p>
        </w:tc>
      </w:tr>
      <w:tr>
        <w:tblPrEx>
          <w:tblW w:w="4962" w:type="pct"/>
          <w:tblCellMar>
            <w:left w:w="70" w:type="dxa"/>
            <w:right w:w="70" w:type="dxa"/>
          </w:tblCellMar>
          <w:tblLook w:val="04A0"/>
        </w:tblPrEx>
        <w:trPr>
          <w:trHeight w:hRule="exact" w:val="284"/>
        </w:trPr>
        <w:tc>
          <w:tcPr>
            <w:tcW w:w="171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Stratég</w:t>
            </w:r>
            <w:r>
              <w:rPr>
                <w:rFonts w:ascii="Times New Roman" w:hAnsi="Times New Roman" w:cs="Times New Roman"/>
                <w:sz w:val="14"/>
                <w:szCs w:val="14"/>
              </w:rPr>
              <w:t>ia</w:t>
            </w:r>
            <w:r w:rsidRPr="009E58F9">
              <w:rPr>
                <w:rFonts w:ascii="Times New Roman" w:hAnsi="Times New Roman" w:cs="Times New Roman"/>
                <w:sz w:val="14"/>
                <w:szCs w:val="14"/>
              </w:rPr>
              <w:t xml:space="preserve"> rozvoja múzeí a galérii do r. 2011</w:t>
            </w:r>
          </w:p>
        </w:tc>
        <w:tc>
          <w:tcPr>
            <w:tcW w:w="47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3 714 842</w:t>
            </w:r>
          </w:p>
        </w:tc>
        <w:tc>
          <w:tcPr>
            <w:tcW w:w="47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1 716 923</w:t>
            </w:r>
          </w:p>
        </w:tc>
        <w:tc>
          <w:tcPr>
            <w:tcW w:w="47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47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375 343</w:t>
            </w:r>
          </w:p>
        </w:tc>
        <w:tc>
          <w:tcPr>
            <w:tcW w:w="47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47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47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r>
      <w:tr>
        <w:tblPrEx>
          <w:tblW w:w="4962" w:type="pct"/>
          <w:tblCellMar>
            <w:left w:w="70" w:type="dxa"/>
            <w:right w:w="70" w:type="dxa"/>
          </w:tblCellMar>
          <w:tblLook w:val="04A0"/>
        </w:tblPrEx>
        <w:trPr>
          <w:trHeight w:hRule="exact" w:val="284"/>
        </w:trPr>
        <w:tc>
          <w:tcPr>
            <w:tcW w:w="171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Stratég</w:t>
            </w:r>
            <w:r>
              <w:rPr>
                <w:rFonts w:ascii="Times New Roman" w:hAnsi="Times New Roman" w:cs="Times New Roman"/>
                <w:sz w:val="14"/>
                <w:szCs w:val="14"/>
              </w:rPr>
              <w:t>ia</w:t>
            </w:r>
            <w:r w:rsidRPr="009E58F9">
              <w:rPr>
                <w:rFonts w:ascii="Times New Roman" w:hAnsi="Times New Roman" w:cs="Times New Roman"/>
                <w:sz w:val="14"/>
                <w:szCs w:val="14"/>
              </w:rPr>
              <w:t xml:space="preserve"> rozvoja slov. knih</w:t>
            </w:r>
            <w:r>
              <w:rPr>
                <w:rFonts w:ascii="Times New Roman" w:hAnsi="Times New Roman" w:cs="Times New Roman"/>
                <w:sz w:val="14"/>
                <w:szCs w:val="14"/>
              </w:rPr>
              <w:t>ovníctva</w:t>
            </w:r>
            <w:r w:rsidRPr="009E58F9">
              <w:rPr>
                <w:rFonts w:ascii="Times New Roman" w:hAnsi="Times New Roman" w:cs="Times New Roman"/>
                <w:sz w:val="14"/>
                <w:szCs w:val="14"/>
              </w:rPr>
              <w:t>. na r. 2008-2013</w:t>
            </w:r>
          </w:p>
        </w:tc>
        <w:tc>
          <w:tcPr>
            <w:tcW w:w="47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1 301 486</w:t>
            </w:r>
          </w:p>
        </w:tc>
        <w:tc>
          <w:tcPr>
            <w:tcW w:w="47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961 751</w:t>
            </w:r>
          </w:p>
        </w:tc>
        <w:tc>
          <w:tcPr>
            <w:tcW w:w="47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47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727 324</w:t>
            </w:r>
          </w:p>
        </w:tc>
        <w:tc>
          <w:tcPr>
            <w:tcW w:w="47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1 900 000</w:t>
            </w:r>
          </w:p>
        </w:tc>
        <w:tc>
          <w:tcPr>
            <w:tcW w:w="47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1 900 000</w:t>
            </w:r>
          </w:p>
        </w:tc>
        <w:tc>
          <w:tcPr>
            <w:tcW w:w="47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900 000</w:t>
            </w:r>
          </w:p>
        </w:tc>
      </w:tr>
      <w:tr>
        <w:tblPrEx>
          <w:tblW w:w="4962" w:type="pct"/>
          <w:tblCellMar>
            <w:left w:w="70" w:type="dxa"/>
            <w:right w:w="70" w:type="dxa"/>
          </w:tblCellMar>
          <w:tblLook w:val="04A0"/>
        </w:tblPrEx>
        <w:trPr>
          <w:trHeight w:hRule="exact" w:val="284"/>
        </w:trPr>
        <w:tc>
          <w:tcPr>
            <w:tcW w:w="171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Projekt akvizície zbierkových predmetov</w:t>
            </w:r>
          </w:p>
        </w:tc>
        <w:tc>
          <w:tcPr>
            <w:tcW w:w="47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868 220</w:t>
            </w:r>
          </w:p>
        </w:tc>
        <w:tc>
          <w:tcPr>
            <w:tcW w:w="47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394 999</w:t>
            </w:r>
          </w:p>
        </w:tc>
        <w:tc>
          <w:tcPr>
            <w:tcW w:w="47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47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47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500 000</w:t>
            </w:r>
          </w:p>
        </w:tc>
        <w:tc>
          <w:tcPr>
            <w:tcW w:w="47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500 000</w:t>
            </w:r>
          </w:p>
        </w:tc>
        <w:tc>
          <w:tcPr>
            <w:tcW w:w="47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500 000</w:t>
            </w:r>
          </w:p>
        </w:tc>
      </w:tr>
    </w:tbl>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V rámci strategických zámerov kapitoly sa rozpočtujú zdroje na financovanie projektov a stratégií schválených vládou SR. Celkové výdavky sa navrhujú v sume 6,8</w:t>
      </w:r>
      <w:r>
        <w:rPr>
          <w:rFonts w:ascii="Times New Roman" w:hAnsi="Times New Roman" w:cs="Times New Roman"/>
        </w:rPr>
        <w:t> </w:t>
      </w:r>
      <w:r w:rsidRPr="0004638E">
        <w:rPr>
          <w:rFonts w:ascii="Times New Roman" w:hAnsi="Times New Roman" w:cs="Times New Roman"/>
        </w:rPr>
        <w:t>mil.</w:t>
      </w:r>
      <w:r>
        <w:rPr>
          <w:rFonts w:ascii="Times New Roman" w:hAnsi="Times New Roman" w:cs="Times New Roman"/>
        </w:rPr>
        <w:t> </w:t>
      </w:r>
      <w:r w:rsidRPr="0004638E">
        <w:rPr>
          <w:rFonts w:ascii="Times New Roman" w:hAnsi="Times New Roman" w:cs="Times New Roman"/>
        </w:rPr>
        <w:t>eur a oproti schválenému rozpočtu na rok 2011 rastú o</w:t>
      </w:r>
      <w:r>
        <w:rPr>
          <w:rFonts w:ascii="Times New Roman" w:hAnsi="Times New Roman" w:cs="Times New Roman"/>
        </w:rPr>
        <w:t> </w:t>
      </w:r>
      <w:r w:rsidRPr="0004638E">
        <w:rPr>
          <w:rFonts w:ascii="Times New Roman" w:hAnsi="Times New Roman" w:cs="Times New Roman"/>
        </w:rPr>
        <w:t>355</w:t>
      </w:r>
      <w:r>
        <w:rPr>
          <w:rFonts w:ascii="Times New Roman" w:hAnsi="Times New Roman" w:cs="Times New Roman"/>
        </w:rPr>
        <w:t xml:space="preserve"> </w:t>
      </w:r>
      <w:r w:rsidRPr="0004638E">
        <w:rPr>
          <w:rFonts w:ascii="Times New Roman" w:hAnsi="Times New Roman" w:cs="Times New Roman"/>
        </w:rPr>
        <w:t>%, t.</w:t>
      </w:r>
      <w:r>
        <w:rPr>
          <w:rFonts w:ascii="Times New Roman" w:hAnsi="Times New Roman" w:cs="Times New Roman"/>
        </w:rPr>
        <w:t xml:space="preserve"> </w:t>
      </w:r>
      <w:r w:rsidRPr="0004638E">
        <w:rPr>
          <w:rFonts w:ascii="Times New Roman" w:hAnsi="Times New Roman" w:cs="Times New Roman"/>
        </w:rPr>
        <w:t>j. o 5,3 mil. eur.</w:t>
      </w:r>
    </w:p>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Na financovanie obnovy audiovizuálneho dedičstva sú alokované zdroje pre Slovenský filmový ústav, ktorý realizuje obnovu kinematografických a audiovizuálnych diel a ich postupné sprístupňovanie verejnosti, ich výška 1,5 mil. eur každoročne zachováva úroveň schváleného rozpočtu roku 2011.</w:t>
      </w:r>
    </w:p>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 xml:space="preserve">Projekt informatizácie kultúry je zameraný na vytváranie bezpečného prostredia v rezorte, budovanie bezpečnej dátovej komunikácie a zabezpečenie plnenia štandardov pre informačné systémy verejnej správy. V porovnaní so schváleným rozpočtom roku 2011 kapitola navrhuje v roku 2012 finančné zabezpečenie projektu vyššie o 2,9 mil. eur. </w:t>
      </w:r>
    </w:p>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Hlavným zámerom stratégie rozvoja slovenského knihovníctva je vytvoriť podmienky pre knižnice a knižničnú činnosť, aby knižničný systém Slovenskej republiky zohrával aktívnu úlohu v poskytovaní informácií a v sprostredkúvaní poznatkov. Na uvedenú stratégiu sa v roku 2012 uvažuje použiť o 1,9 mil. eur viac oproti schválenému rozpočtu 2011.</w:t>
      </w:r>
    </w:p>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Cieľom projektu akvizície zbierkových predmetov je získať zbierkové predmety do zbierkových fondov organizácií, na ktoré v roku 2012 rezort vyčlenil finančné prostriedky vyššie o 500 tis. eur v porovnaní so schváleným rozpočtom  roku 2011, kedy neboli na uvedený projekt rozpočtované žiadne zdroje.</w:t>
      </w:r>
    </w:p>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 xml:space="preserve">Obdobne ako v roku 2011 na Stratégiu rozvoja múzeí a galérií SR kapitola nerozpočtuje </w:t>
      </w:r>
      <w:r>
        <w:rPr>
          <w:rFonts w:ascii="Times New Roman" w:hAnsi="Times New Roman" w:cs="Times New Roman"/>
        </w:rPr>
        <w:t xml:space="preserve">na rok 2012 </w:t>
      </w:r>
      <w:r w:rsidRPr="0004638E">
        <w:rPr>
          <w:rFonts w:ascii="Times New Roman" w:hAnsi="Times New Roman" w:cs="Times New Roman"/>
        </w:rPr>
        <w:t xml:space="preserve">žiadne zdroje. </w:t>
      </w:r>
    </w:p>
    <w:p w:rsidR="00CB350B" w:rsidP="00CB350B">
      <w:pPr>
        <w:bidi w:val="0"/>
        <w:jc w:val="both"/>
        <w:rPr>
          <w:rFonts w:ascii="Times New Roman" w:hAnsi="Times New Roman" w:cs="Times New Roman"/>
          <w:b/>
        </w:rPr>
      </w:pPr>
    </w:p>
    <w:p w:rsidR="00257E12" w:rsidP="00CB350B">
      <w:pPr>
        <w:bidi w:val="0"/>
        <w:jc w:val="both"/>
        <w:rPr>
          <w:rFonts w:ascii="Times New Roman" w:hAnsi="Times New Roman" w:cs="Times New Roman"/>
          <w:b/>
        </w:rPr>
      </w:pPr>
    </w:p>
    <w:p w:rsidR="00257E12" w:rsidP="00CB350B">
      <w:pPr>
        <w:bidi w:val="0"/>
        <w:jc w:val="both"/>
        <w:rPr>
          <w:rFonts w:ascii="Times New Roman" w:hAnsi="Times New Roman" w:cs="Times New Roman"/>
          <w:b/>
        </w:rPr>
      </w:pPr>
    </w:p>
    <w:p w:rsidR="00257E12" w:rsidP="00CB350B">
      <w:pPr>
        <w:bidi w:val="0"/>
        <w:jc w:val="both"/>
        <w:rPr>
          <w:rFonts w:ascii="Times New Roman" w:hAnsi="Times New Roman" w:cs="Times New Roman"/>
          <w:b/>
        </w:rPr>
      </w:pPr>
    </w:p>
    <w:p w:rsidR="00257E12" w:rsidP="00CB350B">
      <w:pPr>
        <w:bidi w:val="0"/>
        <w:jc w:val="both"/>
        <w:rPr>
          <w:rFonts w:ascii="Times New Roman" w:hAnsi="Times New Roman" w:cs="Times New Roman"/>
          <w:b/>
        </w:rPr>
      </w:pPr>
    </w:p>
    <w:p w:rsidR="00257E12" w:rsidP="00CB350B">
      <w:pPr>
        <w:bidi w:val="0"/>
        <w:jc w:val="both"/>
        <w:rPr>
          <w:rFonts w:ascii="Times New Roman" w:hAnsi="Times New Roman" w:cs="Times New Roman"/>
          <w:b/>
        </w:rPr>
      </w:pPr>
    </w:p>
    <w:p w:rsidR="00CB350B" w:rsidRPr="0004638E" w:rsidP="00CB350B">
      <w:pPr>
        <w:bidi w:val="0"/>
        <w:jc w:val="both"/>
        <w:rPr>
          <w:rFonts w:ascii="Times New Roman" w:hAnsi="Times New Roman" w:cs="Times New Roman"/>
          <w:b/>
        </w:rPr>
      </w:pPr>
      <w:r w:rsidRPr="0004638E">
        <w:rPr>
          <w:rFonts w:ascii="Times New Roman" w:hAnsi="Times New Roman" w:cs="Times New Roman"/>
          <w:b/>
        </w:rPr>
        <w:t>Cirkvi a náboženské spoločnosti</w:t>
      </w:r>
    </w:p>
    <w:p w:rsidR="00CB350B" w:rsidRPr="0004638E" w:rsidP="00CB350B">
      <w:pPr>
        <w:bidi w:val="0"/>
        <w:jc w:val="both"/>
        <w:rPr>
          <w:rFonts w:ascii="Times New Roman" w:hAnsi="Times New Roman" w:cs="Times New Roman"/>
        </w:rPr>
      </w:pPr>
    </w:p>
    <w:tbl>
      <w:tblPr>
        <w:tblStyle w:val="TableNormal"/>
        <w:tblW w:w="4962" w:type="pct"/>
        <w:tblCellMar>
          <w:left w:w="70" w:type="dxa"/>
          <w:right w:w="70" w:type="dxa"/>
        </w:tblCellMar>
        <w:tblLook w:val="04A0"/>
      </w:tblPr>
      <w:tblGrid>
        <w:gridCol w:w="2740"/>
        <w:gridCol w:w="915"/>
        <w:gridCol w:w="915"/>
        <w:gridCol w:w="915"/>
        <w:gridCol w:w="915"/>
        <w:gridCol w:w="914"/>
        <w:gridCol w:w="914"/>
        <w:gridCol w:w="914"/>
      </w:tblGrid>
      <w:tr>
        <w:tblPrEx>
          <w:tblW w:w="4962" w:type="pct"/>
          <w:tblCellMar>
            <w:left w:w="70" w:type="dxa"/>
            <w:right w:w="70" w:type="dxa"/>
          </w:tblCellMar>
          <w:tblLook w:val="04A0"/>
        </w:tblPrEx>
        <w:trPr>
          <w:trHeight w:hRule="exact" w:val="284"/>
        </w:trPr>
        <w:tc>
          <w:tcPr>
            <w:tcW w:w="1497" w:type="pct"/>
            <w:tcBorders>
              <w:top w:val="single" w:sz="4" w:space="0" w:color="auto"/>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b/>
                <w:bCs/>
                <w:sz w:val="14"/>
                <w:szCs w:val="14"/>
              </w:rPr>
            </w:pPr>
            <w:r w:rsidRPr="009E58F9">
              <w:rPr>
                <w:rFonts w:ascii="Times New Roman" w:hAnsi="Times New Roman" w:cs="Times New Roman"/>
                <w:color w:val="000000"/>
                <w:sz w:val="14"/>
                <w:szCs w:val="14"/>
                <w:lang w:eastAsia="sk-SK"/>
              </w:rPr>
              <w:t> </w:t>
            </w:r>
            <w:r w:rsidRPr="009E58F9">
              <w:rPr>
                <w:rFonts w:ascii="Times New Roman" w:hAnsi="Times New Roman" w:cs="Times New Roman"/>
                <w:b/>
                <w:bCs/>
                <w:color w:val="000000"/>
                <w:sz w:val="14"/>
                <w:szCs w:val="14"/>
                <w:lang w:eastAsia="sk-SK"/>
              </w:rPr>
              <w:t>v eurách</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2009 S</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2010 S</w:t>
            </w:r>
          </w:p>
        </w:tc>
        <w:tc>
          <w:tcPr>
            <w:tcW w:w="50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2011 R</w:t>
            </w:r>
          </w:p>
        </w:tc>
        <w:tc>
          <w:tcPr>
            <w:tcW w:w="50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2011 OS</w:t>
            </w:r>
          </w:p>
        </w:tc>
        <w:tc>
          <w:tcPr>
            <w:tcW w:w="50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2012 N</w:t>
            </w:r>
          </w:p>
        </w:tc>
        <w:tc>
          <w:tcPr>
            <w:tcW w:w="50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2013 N</w:t>
            </w:r>
          </w:p>
        </w:tc>
        <w:tc>
          <w:tcPr>
            <w:tcW w:w="500"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2014 N</w:t>
            </w:r>
          </w:p>
        </w:tc>
      </w:tr>
      <w:tr>
        <w:tblPrEx>
          <w:tblW w:w="4962" w:type="pct"/>
          <w:tblCellMar>
            <w:left w:w="70" w:type="dxa"/>
            <w:right w:w="70" w:type="dxa"/>
          </w:tblCellMar>
          <w:tblLook w:val="04A0"/>
        </w:tblPrEx>
        <w:trPr>
          <w:trHeight w:hRule="exact" w:val="284"/>
        </w:trPr>
        <w:tc>
          <w:tcPr>
            <w:tcW w:w="1497" w:type="pct"/>
            <w:tcBorders>
              <w:top w:val="single" w:sz="4" w:space="0" w:color="auto"/>
              <w:left w:val="single" w:sz="4" w:space="0" w:color="auto"/>
              <w:bottom w:val="single" w:sz="4" w:space="0" w:color="auto"/>
              <w:right w:val="single" w:sz="4" w:space="0" w:color="auto"/>
            </w:tcBorders>
            <w:noWrap/>
            <w:textDirection w:val="lrTb"/>
            <w:vAlign w:val="center"/>
            <w:hideMark/>
          </w:tcPr>
          <w:p w:rsidR="00CB350B" w:rsidRPr="009E58F9" w:rsidP="00257E12">
            <w:pPr>
              <w:bidi w:val="0"/>
              <w:jc w:val="both"/>
              <w:rPr>
                <w:rFonts w:ascii="Times New Roman" w:hAnsi="Times New Roman" w:cs="Times New Roman"/>
                <w:sz w:val="14"/>
                <w:szCs w:val="14"/>
              </w:rPr>
            </w:pPr>
            <w:r w:rsidRPr="009E58F9">
              <w:rPr>
                <w:rFonts w:ascii="Times New Roman" w:hAnsi="Times New Roman" w:cs="Times New Roman"/>
                <w:b/>
                <w:bCs/>
                <w:sz w:val="14"/>
                <w:szCs w:val="14"/>
              </w:rPr>
              <w:t xml:space="preserve">Cirkvi a náboženské spoločnosti </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37 191 961</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40 330 512</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37 211 961</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 xml:space="preserve"> </w:t>
            </w:r>
            <w:r w:rsidRPr="009E58F9">
              <w:rPr>
                <w:rFonts w:ascii="Times New Roman" w:hAnsi="Times New Roman" w:cs="Times New Roman"/>
                <w:b/>
                <w:bCs/>
                <w:color w:val="000000"/>
                <w:sz w:val="14"/>
                <w:szCs w:val="14"/>
              </w:rPr>
              <w:t>37 211 961</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37 211 961</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37 211 961</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37 211 961</w:t>
            </w:r>
          </w:p>
        </w:tc>
      </w:tr>
      <w:tr>
        <w:tblPrEx>
          <w:tblW w:w="4962" w:type="pct"/>
          <w:tblCellMar>
            <w:left w:w="70" w:type="dxa"/>
            <w:right w:w="70" w:type="dxa"/>
          </w:tblCellMar>
          <w:tblLook w:val="04A0"/>
        </w:tblPrEx>
        <w:trPr>
          <w:trHeight w:hRule="exact" w:val="284"/>
        </w:trPr>
        <w:tc>
          <w:tcPr>
            <w:tcW w:w="1497"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bežné výdavky</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37 191 961</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37 480 512</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37 211 961</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37 211 961</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37 211 961</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37 211 961</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37 211 961</w:t>
            </w:r>
          </w:p>
        </w:tc>
      </w:tr>
      <w:tr>
        <w:tblPrEx>
          <w:tblW w:w="4962" w:type="pct"/>
          <w:tblCellMar>
            <w:left w:w="70" w:type="dxa"/>
            <w:right w:w="70" w:type="dxa"/>
          </w:tblCellMar>
          <w:tblLook w:val="04A0"/>
        </w:tblPrEx>
        <w:trPr>
          <w:trHeight w:hRule="exact" w:val="284"/>
        </w:trPr>
        <w:tc>
          <w:tcPr>
            <w:tcW w:w="1497"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kapitálové výdavky</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2 850 000</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500"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r>
    </w:tbl>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 xml:space="preserve">Financovanie cirkví a náboženských spoločností vyplýva zo zákona č. 218/1949 Zb. o hospodárskom zabezpečení cirkví a náboženských spoločností štátom. Celkový transfer pre cirkvi a náboženské spoločnosti v objeme 37,2 mil. eur je </w:t>
      </w:r>
      <w:r>
        <w:rPr>
          <w:rFonts w:ascii="Times New Roman" w:hAnsi="Times New Roman" w:cs="Times New Roman"/>
        </w:rPr>
        <w:t>na</w:t>
      </w:r>
      <w:r w:rsidRPr="0004638E">
        <w:rPr>
          <w:rFonts w:ascii="Times New Roman" w:hAnsi="Times New Roman" w:cs="Times New Roman"/>
        </w:rPr>
        <w:t xml:space="preserve"> roky 2012 až 2014 rozpísaný na úrovni </w:t>
      </w:r>
      <w:r>
        <w:rPr>
          <w:rFonts w:ascii="Times New Roman" w:hAnsi="Times New Roman" w:cs="Times New Roman"/>
        </w:rPr>
        <w:t xml:space="preserve">schváleného </w:t>
      </w:r>
      <w:r w:rsidRPr="0004638E">
        <w:rPr>
          <w:rFonts w:ascii="Times New Roman" w:hAnsi="Times New Roman" w:cs="Times New Roman"/>
        </w:rPr>
        <w:t xml:space="preserve">rozpočtu </w:t>
      </w:r>
      <w:r>
        <w:rPr>
          <w:rFonts w:ascii="Times New Roman" w:hAnsi="Times New Roman" w:cs="Times New Roman"/>
        </w:rPr>
        <w:t>roku</w:t>
      </w:r>
      <w:r w:rsidRPr="0004638E">
        <w:rPr>
          <w:rFonts w:ascii="Times New Roman" w:hAnsi="Times New Roman" w:cs="Times New Roman"/>
        </w:rPr>
        <w:t xml:space="preserve"> 2011.</w:t>
      </w:r>
    </w:p>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Z rozpočtovaných prostriedkov sa financujú platy a poistné duchovných, prevádzka ústredí cirkví a náboženských spoločností a charitných domov (domovy dôchodcov pre kňazov). V zmysle zákona č. 282/1993 Z. z. o zmiernení niektorých majetkových krívd spôsobených cirkvám a náboženským spoločnostiam sú na úhradu nákladov súvisiacich so zameraním vydaných nehnuteľností pre cirkvi a náboženské spoločnosti rozpočtované finančné prostriedky v rámci koncepčnej a riadiacej činnosti aparátu.</w:t>
      </w:r>
    </w:p>
    <w:p w:rsidR="00CB350B" w:rsidRPr="0004638E" w:rsidP="00CB350B">
      <w:pPr>
        <w:bidi w:val="0"/>
        <w:jc w:val="both"/>
        <w:rPr>
          <w:rFonts w:ascii="Times New Roman" w:hAnsi="Times New Roman" w:cs="Times New Roman"/>
        </w:rPr>
      </w:pPr>
    </w:p>
    <w:p w:rsidR="00CB350B" w:rsidRPr="0004638E" w:rsidP="00CB350B">
      <w:pPr>
        <w:bidi w:val="0"/>
        <w:jc w:val="both"/>
        <w:rPr>
          <w:rFonts w:ascii="Times New Roman" w:hAnsi="Times New Roman" w:cs="Times New Roman"/>
          <w:b/>
        </w:rPr>
      </w:pPr>
      <w:r w:rsidRPr="0004638E">
        <w:rPr>
          <w:rFonts w:ascii="Times New Roman" w:hAnsi="Times New Roman" w:cs="Times New Roman"/>
          <w:b/>
        </w:rPr>
        <w:t>Administratíva a iné výdavkové tituly</w:t>
      </w:r>
    </w:p>
    <w:p w:rsidR="00CB350B" w:rsidRPr="0004638E" w:rsidP="00CB350B">
      <w:pPr>
        <w:bidi w:val="0"/>
        <w:jc w:val="both"/>
        <w:rPr>
          <w:rFonts w:ascii="Times New Roman" w:hAnsi="Times New Roman" w:cs="Times New Roman"/>
        </w:rPr>
      </w:pPr>
    </w:p>
    <w:tbl>
      <w:tblPr>
        <w:tblStyle w:val="TableNormal"/>
        <w:tblW w:w="4962" w:type="pct"/>
        <w:tblCellMar>
          <w:left w:w="70" w:type="dxa"/>
          <w:right w:w="70" w:type="dxa"/>
        </w:tblCellMar>
        <w:tblLook w:val="04A0"/>
      </w:tblPr>
      <w:tblGrid>
        <w:gridCol w:w="2742"/>
        <w:gridCol w:w="919"/>
        <w:gridCol w:w="921"/>
        <w:gridCol w:w="920"/>
        <w:gridCol w:w="922"/>
        <w:gridCol w:w="920"/>
        <w:gridCol w:w="922"/>
        <w:gridCol w:w="876"/>
      </w:tblGrid>
      <w:tr>
        <w:tblPrEx>
          <w:tblW w:w="4962" w:type="pct"/>
          <w:tblCellMar>
            <w:left w:w="70" w:type="dxa"/>
            <w:right w:w="70" w:type="dxa"/>
          </w:tblCellMar>
          <w:tblLook w:val="04A0"/>
        </w:tblPrEx>
        <w:trPr>
          <w:trHeight w:hRule="exact" w:val="284"/>
        </w:trPr>
        <w:tc>
          <w:tcPr>
            <w:tcW w:w="1500" w:type="pct"/>
            <w:tcBorders>
              <w:top w:val="single" w:sz="4" w:space="0" w:color="auto"/>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b/>
                <w:bCs/>
                <w:sz w:val="14"/>
                <w:szCs w:val="14"/>
              </w:rPr>
            </w:pPr>
            <w:r w:rsidRPr="009E58F9">
              <w:rPr>
                <w:rFonts w:ascii="Times New Roman" w:hAnsi="Times New Roman" w:cs="Times New Roman"/>
                <w:color w:val="000000"/>
                <w:sz w:val="14"/>
                <w:szCs w:val="14"/>
                <w:lang w:eastAsia="sk-SK"/>
              </w:rPr>
              <w:t> </w:t>
            </w:r>
            <w:r w:rsidRPr="009E58F9">
              <w:rPr>
                <w:rFonts w:ascii="Times New Roman" w:hAnsi="Times New Roman" w:cs="Times New Roman"/>
                <w:b/>
                <w:bCs/>
                <w:color w:val="000000"/>
                <w:sz w:val="14"/>
                <w:szCs w:val="14"/>
                <w:lang w:eastAsia="sk-SK"/>
              </w:rPr>
              <w:t>v eurách</w:t>
            </w:r>
          </w:p>
        </w:tc>
        <w:tc>
          <w:tcPr>
            <w:tcW w:w="503"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2009 S</w:t>
            </w:r>
          </w:p>
        </w:tc>
        <w:tc>
          <w:tcPr>
            <w:tcW w:w="504"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2010 S</w:t>
            </w:r>
          </w:p>
        </w:tc>
        <w:tc>
          <w:tcPr>
            <w:tcW w:w="503"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2011 R</w:t>
            </w:r>
          </w:p>
        </w:tc>
        <w:tc>
          <w:tcPr>
            <w:tcW w:w="504"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2011 OS</w:t>
            </w:r>
          </w:p>
        </w:tc>
        <w:tc>
          <w:tcPr>
            <w:tcW w:w="503"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2012 N</w:t>
            </w:r>
          </w:p>
        </w:tc>
        <w:tc>
          <w:tcPr>
            <w:tcW w:w="504"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2013 N</w:t>
            </w:r>
          </w:p>
        </w:tc>
        <w:tc>
          <w:tcPr>
            <w:tcW w:w="504" w:type="pct"/>
            <w:tcBorders>
              <w:top w:val="single" w:sz="4" w:space="0" w:color="auto"/>
              <w:left w:val="nil"/>
              <w:bottom w:val="single" w:sz="4" w:space="0" w:color="auto"/>
              <w:right w:val="single" w:sz="4" w:space="0" w:color="auto"/>
            </w:tcBorders>
            <w:textDirection w:val="lrTb"/>
            <w:vAlign w:val="center"/>
            <w:hideMark/>
          </w:tcPr>
          <w:p w:rsidR="00CB350B" w:rsidRPr="009E58F9" w:rsidP="00257E12">
            <w:pPr>
              <w:bidi w:val="0"/>
              <w:jc w:val="center"/>
              <w:rPr>
                <w:rFonts w:ascii="Times New Roman" w:hAnsi="Times New Roman" w:cs="Times New Roman"/>
                <w:b/>
                <w:bCs/>
                <w:sz w:val="14"/>
                <w:szCs w:val="14"/>
              </w:rPr>
            </w:pPr>
            <w:r w:rsidRPr="009E58F9">
              <w:rPr>
                <w:rFonts w:ascii="Times New Roman" w:hAnsi="Times New Roman" w:cs="Times New Roman"/>
                <w:b/>
                <w:bCs/>
                <w:sz w:val="14"/>
                <w:szCs w:val="14"/>
              </w:rPr>
              <w:t>2014 N</w:t>
            </w:r>
          </w:p>
        </w:tc>
      </w:tr>
      <w:tr>
        <w:tblPrEx>
          <w:tblW w:w="4962" w:type="pct"/>
          <w:tblCellMar>
            <w:left w:w="70" w:type="dxa"/>
            <w:right w:w="70" w:type="dxa"/>
          </w:tblCellMar>
          <w:tblLook w:val="04A0"/>
        </w:tblPrEx>
        <w:trPr>
          <w:trHeight w:hRule="exact" w:val="284"/>
        </w:trPr>
        <w:tc>
          <w:tcPr>
            <w:tcW w:w="1500" w:type="pct"/>
            <w:tcBorders>
              <w:top w:val="single" w:sz="4" w:space="0" w:color="auto"/>
              <w:left w:val="single" w:sz="4" w:space="0" w:color="auto"/>
              <w:bottom w:val="single" w:sz="4" w:space="0" w:color="auto"/>
              <w:right w:val="single" w:sz="4" w:space="0" w:color="auto"/>
            </w:tcBorders>
            <w:noWrap/>
            <w:textDirection w:val="lrTb"/>
            <w:vAlign w:val="center"/>
            <w:hideMark/>
          </w:tcPr>
          <w:p w:rsidR="00CB350B" w:rsidRPr="009E58F9" w:rsidP="00257E12">
            <w:pPr>
              <w:bidi w:val="0"/>
              <w:jc w:val="both"/>
              <w:rPr>
                <w:rFonts w:ascii="Times New Roman" w:hAnsi="Times New Roman" w:cs="Times New Roman"/>
                <w:b/>
                <w:bCs/>
                <w:sz w:val="14"/>
                <w:szCs w:val="14"/>
              </w:rPr>
            </w:pPr>
            <w:r w:rsidRPr="009E58F9">
              <w:rPr>
                <w:rFonts w:ascii="Times New Roman" w:hAnsi="Times New Roman" w:cs="Times New Roman"/>
                <w:b/>
                <w:bCs/>
                <w:sz w:val="14"/>
                <w:szCs w:val="14"/>
              </w:rPr>
              <w:t>Aparát a iné výdavkové tituly</w:t>
            </w:r>
          </w:p>
        </w:tc>
        <w:tc>
          <w:tcPr>
            <w:tcW w:w="503"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8 152 029</w:t>
            </w:r>
          </w:p>
        </w:tc>
        <w:tc>
          <w:tcPr>
            <w:tcW w:w="504"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8 822 036</w:t>
            </w:r>
          </w:p>
        </w:tc>
        <w:tc>
          <w:tcPr>
            <w:tcW w:w="503"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7 727 076</w:t>
            </w:r>
          </w:p>
        </w:tc>
        <w:tc>
          <w:tcPr>
            <w:tcW w:w="504"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8 423 423</w:t>
            </w:r>
          </w:p>
        </w:tc>
        <w:tc>
          <w:tcPr>
            <w:tcW w:w="503" w:type="pct"/>
            <w:tcBorders>
              <w:top w:val="single" w:sz="4" w:space="0" w:color="auto"/>
              <w:left w:val="nil"/>
              <w:bottom w:val="single" w:sz="4" w:space="0" w:color="auto"/>
              <w:right w:val="single" w:sz="4" w:space="0" w:color="auto"/>
            </w:tcBorders>
            <w:noWrap/>
            <w:textDirection w:val="lrTb"/>
            <w:vAlign w:val="center"/>
            <w:hideMark/>
          </w:tcPr>
          <w:p w:rsidR="00CB350B" w:rsidRPr="00B31C9D" w:rsidP="00257E12">
            <w:pPr>
              <w:bidi w:val="0"/>
              <w:jc w:val="right"/>
              <w:rPr>
                <w:rFonts w:ascii="Times New Roman" w:hAnsi="Times New Roman" w:cs="Times New Roman"/>
                <w:b/>
                <w:bCs/>
                <w:color w:val="000000"/>
                <w:sz w:val="14"/>
                <w:szCs w:val="14"/>
              </w:rPr>
            </w:pPr>
            <w:r w:rsidRPr="00B31C9D">
              <w:rPr>
                <w:rFonts w:ascii="Times New Roman" w:hAnsi="Times New Roman" w:cs="Times New Roman"/>
                <w:b/>
                <w:bCs/>
                <w:color w:val="000000"/>
                <w:sz w:val="14"/>
                <w:szCs w:val="14"/>
              </w:rPr>
              <w:t>18  167 751</w:t>
            </w:r>
          </w:p>
        </w:tc>
        <w:tc>
          <w:tcPr>
            <w:tcW w:w="504"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7 895 034</w:t>
            </w:r>
          </w:p>
        </w:tc>
        <w:tc>
          <w:tcPr>
            <w:tcW w:w="504" w:type="pct"/>
            <w:tcBorders>
              <w:top w:val="single" w:sz="4" w:space="0" w:color="auto"/>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b/>
                <w:bCs/>
                <w:color w:val="000000"/>
                <w:sz w:val="14"/>
                <w:szCs w:val="14"/>
              </w:rPr>
            </w:pPr>
            <w:r w:rsidRPr="009E58F9">
              <w:rPr>
                <w:rFonts w:ascii="Times New Roman" w:hAnsi="Times New Roman" w:cs="Times New Roman"/>
                <w:b/>
                <w:bCs/>
                <w:color w:val="000000"/>
                <w:sz w:val="14"/>
                <w:szCs w:val="14"/>
              </w:rPr>
              <w:t>8 152 674</w:t>
            </w:r>
          </w:p>
        </w:tc>
      </w:tr>
      <w:tr>
        <w:tblPrEx>
          <w:tblW w:w="4962"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Koncepčná a riadiaca činnosť</w:t>
            </w:r>
          </w:p>
        </w:tc>
        <w:tc>
          <w:tcPr>
            <w:tcW w:w="503"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7 164 049</w:t>
            </w:r>
          </w:p>
        </w:tc>
        <w:tc>
          <w:tcPr>
            <w:tcW w:w="504"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6 974 805</w:t>
            </w:r>
          </w:p>
        </w:tc>
        <w:tc>
          <w:tcPr>
            <w:tcW w:w="503"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6 500 000</w:t>
            </w:r>
          </w:p>
        </w:tc>
        <w:tc>
          <w:tcPr>
            <w:tcW w:w="504"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6 933 516</w:t>
            </w:r>
          </w:p>
        </w:tc>
        <w:tc>
          <w:tcPr>
            <w:tcW w:w="503" w:type="pct"/>
            <w:tcBorders>
              <w:top w:val="nil"/>
              <w:left w:val="nil"/>
              <w:bottom w:val="single" w:sz="4" w:space="0" w:color="auto"/>
              <w:right w:val="single" w:sz="4" w:space="0" w:color="auto"/>
            </w:tcBorders>
            <w:noWrap/>
            <w:textDirection w:val="lrTb"/>
            <w:vAlign w:val="center"/>
            <w:hideMark/>
          </w:tcPr>
          <w:p w:rsidR="00CB350B" w:rsidRPr="00B31C9D" w:rsidP="00257E12">
            <w:pPr>
              <w:bidi w:val="0"/>
              <w:jc w:val="right"/>
              <w:rPr>
                <w:rFonts w:ascii="Times New Roman" w:hAnsi="Times New Roman" w:cs="Times New Roman"/>
                <w:color w:val="000000"/>
                <w:sz w:val="14"/>
                <w:szCs w:val="14"/>
              </w:rPr>
            </w:pPr>
            <w:r w:rsidRPr="00B31C9D">
              <w:rPr>
                <w:rFonts w:ascii="Times New Roman" w:hAnsi="Times New Roman" w:cs="Times New Roman"/>
                <w:color w:val="000000"/>
                <w:sz w:val="14"/>
                <w:szCs w:val="14"/>
              </w:rPr>
              <w:t>18 165 095</w:t>
            </w:r>
          </w:p>
        </w:tc>
        <w:tc>
          <w:tcPr>
            <w:tcW w:w="504"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7 892 378</w:t>
            </w:r>
          </w:p>
        </w:tc>
        <w:tc>
          <w:tcPr>
            <w:tcW w:w="504"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7 900 018</w:t>
            </w:r>
          </w:p>
        </w:tc>
      </w:tr>
      <w:tr>
        <w:tblPrEx>
          <w:tblW w:w="4962"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 xml:space="preserve">Podpora riadenia programov     </w:t>
            </w:r>
          </w:p>
        </w:tc>
        <w:tc>
          <w:tcPr>
            <w:tcW w:w="503"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649 616</w:t>
            </w:r>
          </w:p>
        </w:tc>
        <w:tc>
          <w:tcPr>
            <w:tcW w:w="504"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1 770 629</w:t>
            </w:r>
          </w:p>
        </w:tc>
        <w:tc>
          <w:tcPr>
            <w:tcW w:w="503"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1 224 420</w:t>
            </w:r>
          </w:p>
        </w:tc>
        <w:tc>
          <w:tcPr>
            <w:tcW w:w="504"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1 224 420</w:t>
            </w:r>
          </w:p>
        </w:tc>
        <w:tc>
          <w:tcPr>
            <w:tcW w:w="503"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504"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504"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r>
      <w:tr>
        <w:tblPrEx>
          <w:tblW w:w="4962"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Prioritný projekt - nákup dopr. prostriedkov</w:t>
            </w:r>
          </w:p>
        </w:tc>
        <w:tc>
          <w:tcPr>
            <w:tcW w:w="503"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336 000</w:t>
            </w:r>
          </w:p>
        </w:tc>
        <w:tc>
          <w:tcPr>
            <w:tcW w:w="504"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503"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504"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503"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504"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504"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250 000</w:t>
            </w:r>
          </w:p>
        </w:tc>
      </w:tr>
      <w:tr>
        <w:tblPrEx>
          <w:tblW w:w="4962"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Ostatné výdavky (štrukturálne fondy)</w:t>
            </w:r>
          </w:p>
        </w:tc>
        <w:tc>
          <w:tcPr>
            <w:tcW w:w="503"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2 261</w:t>
            </w:r>
          </w:p>
        </w:tc>
        <w:tc>
          <w:tcPr>
            <w:tcW w:w="504"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76 602</w:t>
            </w:r>
          </w:p>
        </w:tc>
        <w:tc>
          <w:tcPr>
            <w:tcW w:w="503"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504"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262 831</w:t>
            </w:r>
          </w:p>
        </w:tc>
        <w:tc>
          <w:tcPr>
            <w:tcW w:w="503"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504"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504" w:type="pct"/>
            <w:tcBorders>
              <w:top w:val="nil"/>
              <w:left w:val="nil"/>
              <w:bottom w:val="single" w:sz="4" w:space="0" w:color="auto"/>
              <w:right w:val="single" w:sz="4" w:space="0" w:color="auto"/>
            </w:tcBorders>
            <w:noWrap/>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r>
      <w:tr>
        <w:tblPrEx>
          <w:tblW w:w="4962" w:type="pct"/>
          <w:tblCellMar>
            <w:left w:w="70" w:type="dxa"/>
            <w:right w:w="70" w:type="dxa"/>
          </w:tblCellMar>
          <w:tblLook w:val="04A0"/>
        </w:tblPrEx>
        <w:trPr>
          <w:trHeight w:hRule="exact" w:val="284"/>
        </w:trPr>
        <w:tc>
          <w:tcPr>
            <w:tcW w:w="1500" w:type="pct"/>
            <w:tcBorders>
              <w:top w:val="nil"/>
              <w:left w:val="single" w:sz="4" w:space="0" w:color="auto"/>
              <w:bottom w:val="single" w:sz="4" w:space="0" w:color="auto"/>
              <w:right w:val="single" w:sz="4" w:space="0" w:color="auto"/>
            </w:tcBorders>
            <w:noWrap/>
            <w:textDirection w:val="lrTb"/>
            <w:vAlign w:val="center"/>
            <w:hideMark/>
          </w:tcPr>
          <w:p w:rsidR="00CB350B" w:rsidRPr="009E58F9" w:rsidP="00257E12">
            <w:pPr>
              <w:bidi w:val="0"/>
              <w:rPr>
                <w:rFonts w:ascii="Times New Roman" w:hAnsi="Times New Roman" w:cs="Times New Roman"/>
                <w:sz w:val="14"/>
                <w:szCs w:val="14"/>
              </w:rPr>
            </w:pPr>
            <w:r w:rsidRPr="009E58F9">
              <w:rPr>
                <w:rFonts w:ascii="Times New Roman" w:hAnsi="Times New Roman" w:cs="Times New Roman"/>
                <w:sz w:val="14"/>
                <w:szCs w:val="14"/>
              </w:rPr>
              <w:t xml:space="preserve">Hospodárska mobilizácia  </w:t>
            </w:r>
          </w:p>
        </w:tc>
        <w:tc>
          <w:tcPr>
            <w:tcW w:w="503"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103</w:t>
            </w:r>
          </w:p>
        </w:tc>
        <w:tc>
          <w:tcPr>
            <w:tcW w:w="504"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0</w:t>
            </w:r>
          </w:p>
        </w:tc>
        <w:tc>
          <w:tcPr>
            <w:tcW w:w="503"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2 656</w:t>
            </w:r>
          </w:p>
        </w:tc>
        <w:tc>
          <w:tcPr>
            <w:tcW w:w="504"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2 656</w:t>
            </w:r>
          </w:p>
        </w:tc>
        <w:tc>
          <w:tcPr>
            <w:tcW w:w="503"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2 656</w:t>
            </w:r>
          </w:p>
        </w:tc>
        <w:tc>
          <w:tcPr>
            <w:tcW w:w="504"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2 656</w:t>
            </w:r>
          </w:p>
        </w:tc>
        <w:tc>
          <w:tcPr>
            <w:tcW w:w="504" w:type="pct"/>
            <w:tcBorders>
              <w:top w:val="nil"/>
              <w:left w:val="nil"/>
              <w:bottom w:val="single" w:sz="4" w:space="0" w:color="auto"/>
              <w:right w:val="single" w:sz="4" w:space="0" w:color="auto"/>
            </w:tcBorders>
            <w:textDirection w:val="lrTb"/>
            <w:vAlign w:val="center"/>
            <w:hideMark/>
          </w:tcPr>
          <w:p w:rsidR="00CB350B" w:rsidRPr="009E58F9" w:rsidP="00257E12">
            <w:pPr>
              <w:bidi w:val="0"/>
              <w:jc w:val="right"/>
              <w:rPr>
                <w:rFonts w:ascii="Times New Roman" w:hAnsi="Times New Roman" w:cs="Times New Roman"/>
                <w:color w:val="000000"/>
                <w:sz w:val="14"/>
                <w:szCs w:val="14"/>
              </w:rPr>
            </w:pPr>
            <w:r w:rsidRPr="009E58F9">
              <w:rPr>
                <w:rFonts w:ascii="Times New Roman" w:hAnsi="Times New Roman" w:cs="Times New Roman"/>
                <w:color w:val="000000"/>
                <w:sz w:val="14"/>
                <w:szCs w:val="14"/>
              </w:rPr>
              <w:t>2 656</w:t>
            </w:r>
          </w:p>
        </w:tc>
      </w:tr>
    </w:tbl>
    <w:p w:rsidR="00CB350B" w:rsidRPr="0004638E" w:rsidP="00CB350B">
      <w:pPr>
        <w:bidi w:val="0"/>
        <w:jc w:val="both"/>
        <w:rPr>
          <w:rFonts w:ascii="Times New Roman" w:hAnsi="Times New Roman" w:cs="Times New Roman"/>
        </w:rPr>
      </w:pPr>
    </w:p>
    <w:p w:rsidR="00CB350B" w:rsidRPr="00184404" w:rsidP="00CB350B">
      <w:pPr>
        <w:bidi w:val="0"/>
        <w:ind w:firstLine="708"/>
        <w:jc w:val="both"/>
        <w:rPr>
          <w:rFonts w:ascii="Times New Roman" w:hAnsi="Times New Roman" w:cs="Times New Roman"/>
        </w:rPr>
      </w:pPr>
      <w:r w:rsidRPr="00184404">
        <w:rPr>
          <w:rFonts w:ascii="Times New Roman" w:hAnsi="Times New Roman" w:cs="Times New Roman"/>
        </w:rPr>
        <w:t>V roku 2012 sa celkové výdavky na administratívu oproti schválenému rozpočtu na rok 2011 zvyšujú o</w:t>
      </w:r>
      <w:r>
        <w:rPr>
          <w:rFonts w:ascii="Times New Roman" w:hAnsi="Times New Roman" w:cs="Times New Roman"/>
        </w:rPr>
        <w:t> </w:t>
      </w:r>
      <w:r w:rsidRPr="00184404">
        <w:rPr>
          <w:rFonts w:ascii="Times New Roman" w:hAnsi="Times New Roman" w:cs="Times New Roman"/>
        </w:rPr>
        <w:t>135</w:t>
      </w:r>
      <w:r>
        <w:rPr>
          <w:rFonts w:ascii="Times New Roman" w:hAnsi="Times New Roman" w:cs="Times New Roman"/>
        </w:rPr>
        <w:t xml:space="preserve"> </w:t>
      </w:r>
      <w:r w:rsidRPr="00184404">
        <w:rPr>
          <w:rFonts w:ascii="Times New Roman" w:hAnsi="Times New Roman" w:cs="Times New Roman"/>
        </w:rPr>
        <w:t>%, t.</w:t>
      </w:r>
      <w:r>
        <w:rPr>
          <w:rFonts w:ascii="Times New Roman" w:hAnsi="Times New Roman" w:cs="Times New Roman"/>
        </w:rPr>
        <w:t xml:space="preserve"> </w:t>
      </w:r>
      <w:r w:rsidRPr="00184404">
        <w:rPr>
          <w:rFonts w:ascii="Times New Roman" w:hAnsi="Times New Roman" w:cs="Times New Roman"/>
        </w:rPr>
        <w:t xml:space="preserve">j. 10,4 mil. eur. </w:t>
      </w:r>
    </w:p>
    <w:p w:rsidR="00CB350B" w:rsidRPr="00184404" w:rsidP="00CB350B">
      <w:pPr>
        <w:bidi w:val="0"/>
        <w:ind w:firstLine="708"/>
        <w:jc w:val="both"/>
        <w:rPr>
          <w:rFonts w:ascii="Times New Roman" w:hAnsi="Times New Roman" w:cs="Times New Roman"/>
        </w:rPr>
      </w:pPr>
    </w:p>
    <w:p w:rsidR="00CB350B" w:rsidRPr="00184404" w:rsidP="00CB350B">
      <w:pPr>
        <w:bidi w:val="0"/>
        <w:ind w:firstLine="708"/>
        <w:jc w:val="both"/>
        <w:rPr>
          <w:rFonts w:ascii="Times New Roman" w:hAnsi="Times New Roman" w:cs="Times New Roman"/>
        </w:rPr>
      </w:pPr>
      <w:r w:rsidRPr="00184404">
        <w:rPr>
          <w:rFonts w:ascii="Times New Roman" w:hAnsi="Times New Roman" w:cs="Times New Roman"/>
        </w:rPr>
        <w:t>V rámci koncepčnej a riadiacej činnosti sú v roku 2012 rozpočtované výdavky na rekonštrukciu Slovenskej národnej galérie vo výške 10 mil. eur.</w:t>
      </w:r>
    </w:p>
    <w:p w:rsidR="00CB350B" w:rsidRPr="00184404" w:rsidP="00CB350B">
      <w:pPr>
        <w:bidi w:val="0"/>
        <w:ind w:firstLine="708"/>
        <w:jc w:val="both"/>
        <w:rPr>
          <w:rFonts w:ascii="Times New Roman" w:hAnsi="Times New Roman" w:cs="Times New Roman"/>
        </w:rPr>
      </w:pPr>
    </w:p>
    <w:p w:rsidR="00CB350B" w:rsidRPr="00184404" w:rsidP="00CB350B">
      <w:pPr>
        <w:bidi w:val="0"/>
        <w:ind w:firstLine="708"/>
        <w:jc w:val="both"/>
        <w:rPr>
          <w:rFonts w:ascii="Times New Roman" w:hAnsi="Times New Roman" w:cs="Times New Roman"/>
          <w:b/>
        </w:rPr>
      </w:pPr>
      <w:r w:rsidRPr="00184404">
        <w:rPr>
          <w:rFonts w:ascii="Times New Roman" w:hAnsi="Times New Roman" w:cs="Times New Roman"/>
        </w:rPr>
        <w:t>Na základe rozpisu kapitoly dochádza k posilneniu koncepčnej a riadiacej činnosti o 1,22 mil. eur z dôvodu presunu prostriedkov z titulu zrušenia dvoch príspevkových organizácií (Ústav pre vzťahy štátu a cirkvi a Centrálna a servisná organizácia) v rámci podpory riadenia programov.</w:t>
      </w:r>
    </w:p>
    <w:p w:rsidR="00CB350B" w:rsidRPr="00184404" w:rsidP="00CB350B">
      <w:pPr>
        <w:bidi w:val="0"/>
        <w:jc w:val="both"/>
        <w:rPr>
          <w:rFonts w:ascii="Times New Roman" w:hAnsi="Times New Roman" w:cs="Times New Roman"/>
        </w:rPr>
      </w:pPr>
    </w:p>
    <w:p w:rsidR="00CB350B" w:rsidRPr="00184404" w:rsidP="00CB350B">
      <w:pPr>
        <w:bidi w:val="0"/>
        <w:jc w:val="both"/>
        <w:rPr>
          <w:rFonts w:ascii="Times New Roman" w:hAnsi="Times New Roman" w:cs="Times New Roman"/>
        </w:rPr>
      </w:pPr>
      <w:r w:rsidRPr="00184404">
        <w:rPr>
          <w:rFonts w:ascii="Times New Roman" w:hAnsi="Times New Roman" w:cs="Times New Roman"/>
        </w:rPr>
        <w:tab/>
        <w:t>V roku 2012 sa na aparát ro</w:t>
      </w:r>
      <w:r>
        <w:rPr>
          <w:rFonts w:ascii="Times New Roman" w:hAnsi="Times New Roman" w:cs="Times New Roman"/>
        </w:rPr>
        <w:t>z</w:t>
      </w:r>
      <w:r w:rsidRPr="00184404">
        <w:rPr>
          <w:rFonts w:ascii="Times New Roman" w:hAnsi="Times New Roman" w:cs="Times New Roman"/>
        </w:rPr>
        <w:t>počtuje suma 6,</w:t>
      </w:r>
      <w:r>
        <w:rPr>
          <w:rFonts w:ascii="Times New Roman" w:hAnsi="Times New Roman" w:cs="Times New Roman"/>
        </w:rPr>
        <w:t>9</w:t>
      </w:r>
      <w:r w:rsidRPr="00184404">
        <w:rPr>
          <w:rFonts w:ascii="Times New Roman" w:hAnsi="Times New Roman" w:cs="Times New Roman"/>
        </w:rPr>
        <w:t>4 mil. eur, čo je o </w:t>
      </w:r>
      <w:r>
        <w:rPr>
          <w:rFonts w:ascii="Times New Roman" w:hAnsi="Times New Roman" w:cs="Times New Roman"/>
        </w:rPr>
        <w:t>4</w:t>
      </w:r>
      <w:r w:rsidRPr="00184404">
        <w:rPr>
          <w:rFonts w:ascii="Times New Roman" w:hAnsi="Times New Roman" w:cs="Times New Roman"/>
        </w:rPr>
        <w:t>41 tis. eur viac oproti schválenému rozpočtu roku 2011</w:t>
      </w:r>
      <w:r>
        <w:rPr>
          <w:rFonts w:ascii="Times New Roman" w:hAnsi="Times New Roman" w:cs="Times New Roman"/>
        </w:rPr>
        <w:t>.</w:t>
      </w:r>
    </w:p>
    <w:p w:rsidR="00CB350B" w:rsidRPr="00184404"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184404">
        <w:rPr>
          <w:rFonts w:ascii="Times New Roman" w:hAnsi="Times New Roman" w:cs="Times New Roman"/>
        </w:rPr>
        <w:t>V rámci uvedených výdavkov sa rozpočtuje 375 tis. eur určených na úhradu nákladov súvisiacich so zameraním</w:t>
      </w:r>
      <w:r w:rsidRPr="0004638E">
        <w:rPr>
          <w:rFonts w:ascii="Times New Roman" w:hAnsi="Times New Roman" w:cs="Times New Roman"/>
        </w:rPr>
        <w:t xml:space="preserve"> vydaných nehnuteľností pre cirkvi a náboženské spoločnosti</w:t>
      </w:r>
      <w:r>
        <w:rPr>
          <w:rFonts w:ascii="Times New Roman" w:hAnsi="Times New Roman" w:cs="Times New Roman"/>
        </w:rPr>
        <w:t>.</w:t>
      </w:r>
      <w:r w:rsidRPr="0004638E">
        <w:rPr>
          <w:rFonts w:ascii="Times New Roman" w:hAnsi="Times New Roman" w:cs="Times New Roman"/>
        </w:rPr>
        <w:t xml:space="preserve"> </w:t>
      </w:r>
    </w:p>
    <w:p w:rsidR="00CB350B" w:rsidP="00CB350B">
      <w:pPr>
        <w:bidi w:val="0"/>
        <w:jc w:val="both"/>
        <w:rPr>
          <w:rFonts w:ascii="Times New Roman" w:hAnsi="Times New Roman" w:cs="Times New Roman"/>
          <w:b/>
        </w:rPr>
      </w:pPr>
    </w:p>
    <w:p w:rsidR="00CB350B" w:rsidRPr="0004638E" w:rsidP="00CB350B">
      <w:pPr>
        <w:pBdr>
          <w:bottom w:val="single" w:sz="4" w:space="1" w:color="auto"/>
        </w:pBdr>
        <w:bidi w:val="0"/>
        <w:jc w:val="both"/>
        <w:rPr>
          <w:rFonts w:ascii="Times New Roman" w:hAnsi="Times New Roman" w:cs="Times New Roman"/>
          <w:b/>
          <w:kern w:val="32"/>
        </w:rPr>
      </w:pPr>
      <w:r w:rsidRPr="0004638E">
        <w:rPr>
          <w:rFonts w:ascii="Times New Roman" w:hAnsi="Times New Roman" w:cs="Times New Roman"/>
          <w:b/>
          <w:kern w:val="32"/>
        </w:rPr>
        <w:t>Ministerstvo zahraničných vecí SR</w:t>
      </w:r>
    </w:p>
    <w:p w:rsidR="00CB350B" w:rsidRPr="0004638E" w:rsidP="00CB350B">
      <w:pPr>
        <w:bidi w:val="0"/>
        <w:jc w:val="both"/>
        <w:rPr>
          <w:rFonts w:ascii="Times New Roman" w:hAnsi="Times New Roman" w:cs="Times New Roman"/>
          <w:b/>
          <w:color w:val="000000"/>
        </w:rPr>
      </w:pPr>
    </w:p>
    <w:p w:rsidR="00CB350B" w:rsidP="00CB350B">
      <w:pPr>
        <w:bidi w:val="0"/>
        <w:ind w:firstLine="708"/>
        <w:jc w:val="both"/>
        <w:rPr>
          <w:rFonts w:ascii="Times New Roman" w:hAnsi="Times New Roman" w:cs="Times New Roman"/>
          <w:color w:val="0070C0"/>
        </w:rPr>
      </w:pPr>
      <w:r w:rsidRPr="0004638E">
        <w:rPr>
          <w:rFonts w:ascii="Times New Roman" w:hAnsi="Times New Roman" w:cs="Times New Roman"/>
        </w:rPr>
        <w:t>Celkové výdavky kapitoly na rok 2012 sú v porovnaní so schváleným rozpočtom roku 2011 vyššie o 11,2 mil. eur, t.</w:t>
      </w:r>
      <w:r>
        <w:rPr>
          <w:rFonts w:ascii="Times New Roman" w:hAnsi="Times New Roman" w:cs="Times New Roman"/>
        </w:rPr>
        <w:t xml:space="preserve"> </w:t>
      </w:r>
      <w:r w:rsidRPr="0004638E">
        <w:rPr>
          <w:rFonts w:ascii="Times New Roman" w:hAnsi="Times New Roman" w:cs="Times New Roman"/>
        </w:rPr>
        <w:t>j. o 10,1 %.</w:t>
      </w:r>
      <w:r w:rsidRPr="0004638E">
        <w:rPr>
          <w:rFonts w:ascii="Times New Roman" w:hAnsi="Times New Roman" w:cs="Times New Roman"/>
          <w:color w:val="0070C0"/>
        </w:rPr>
        <w:t xml:space="preserve"> </w:t>
      </w:r>
    </w:p>
    <w:p w:rsidR="00CB350B" w:rsidRPr="0004638E" w:rsidP="00CB350B">
      <w:pPr>
        <w:bidi w:val="0"/>
        <w:jc w:val="both"/>
        <w:rPr>
          <w:rFonts w:ascii="Times New Roman" w:hAnsi="Times New Roman" w:cs="Times New Roman"/>
          <w:b/>
          <w:color w:val="000000"/>
        </w:rPr>
      </w:pPr>
    </w:p>
    <w:tbl>
      <w:tblPr>
        <w:tblStyle w:val="TableNormal"/>
        <w:tblW w:w="5000" w:type="pct"/>
        <w:tblCellMar>
          <w:left w:w="70" w:type="dxa"/>
          <w:right w:w="70" w:type="dxa"/>
        </w:tblCellMar>
        <w:tblLook w:val="04A0"/>
      </w:tblPr>
      <w:tblGrid>
        <w:gridCol w:w="2799"/>
        <w:gridCol w:w="916"/>
        <w:gridCol w:w="897"/>
        <w:gridCol w:w="936"/>
        <w:gridCol w:w="916"/>
        <w:gridCol w:w="916"/>
        <w:gridCol w:w="916"/>
        <w:gridCol w:w="916"/>
      </w:tblGrid>
      <w:tr>
        <w:tblPrEx>
          <w:tblW w:w="5000" w:type="pct"/>
          <w:tblCellMar>
            <w:left w:w="70" w:type="dxa"/>
            <w:right w:w="70" w:type="dxa"/>
          </w:tblCellMar>
          <w:tblLook w:val="04A0"/>
        </w:tblPrEx>
        <w:trPr>
          <w:trHeight w:val="259"/>
        </w:trPr>
        <w:tc>
          <w:tcPr>
            <w:tcW w:w="1520"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 v eurách</w:t>
            </w:r>
          </w:p>
        </w:tc>
        <w:tc>
          <w:tcPr>
            <w:tcW w:w="497" w:type="pct"/>
            <w:tcBorders>
              <w:top w:val="single" w:sz="4" w:space="0" w:color="auto"/>
              <w:left w:val="nil"/>
              <w:bottom w:val="single" w:sz="4" w:space="0" w:color="auto"/>
              <w:right w:val="single" w:sz="4" w:space="0" w:color="auto"/>
            </w:tcBorders>
            <w:noWrap/>
            <w:textDirection w:val="lrTb"/>
            <w:vAlign w:val="center"/>
            <w:hideMark/>
          </w:tcPr>
          <w:p w:rsidR="00CB350B" w:rsidRPr="005A6E2D" w:rsidP="00257E12">
            <w:pPr>
              <w:bidi w:val="0"/>
              <w:jc w:val="center"/>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2009 S</w:t>
            </w:r>
          </w:p>
        </w:tc>
        <w:tc>
          <w:tcPr>
            <w:tcW w:w="487" w:type="pct"/>
            <w:tcBorders>
              <w:top w:val="single" w:sz="4" w:space="0" w:color="auto"/>
              <w:left w:val="nil"/>
              <w:bottom w:val="single" w:sz="4" w:space="0" w:color="auto"/>
              <w:right w:val="single" w:sz="4" w:space="0" w:color="auto"/>
            </w:tcBorders>
            <w:noWrap/>
            <w:textDirection w:val="lrTb"/>
            <w:vAlign w:val="center"/>
            <w:hideMark/>
          </w:tcPr>
          <w:p w:rsidR="00CB350B" w:rsidRPr="005A6E2D" w:rsidP="00257E12">
            <w:pPr>
              <w:bidi w:val="0"/>
              <w:jc w:val="center"/>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2010S</w:t>
            </w:r>
          </w:p>
        </w:tc>
        <w:tc>
          <w:tcPr>
            <w:tcW w:w="508" w:type="pct"/>
            <w:tcBorders>
              <w:top w:val="single" w:sz="4" w:space="0" w:color="auto"/>
              <w:left w:val="nil"/>
              <w:bottom w:val="single" w:sz="4" w:space="0" w:color="auto"/>
              <w:right w:val="single" w:sz="4" w:space="0" w:color="auto"/>
            </w:tcBorders>
            <w:noWrap/>
            <w:textDirection w:val="lrTb"/>
            <w:vAlign w:val="center"/>
            <w:hideMark/>
          </w:tcPr>
          <w:p w:rsidR="00CB350B" w:rsidRPr="005A6E2D" w:rsidP="00257E12">
            <w:pPr>
              <w:bidi w:val="0"/>
              <w:jc w:val="center"/>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2011 R</w:t>
            </w:r>
          </w:p>
        </w:tc>
        <w:tc>
          <w:tcPr>
            <w:tcW w:w="497" w:type="pct"/>
            <w:tcBorders>
              <w:top w:val="single" w:sz="4" w:space="0" w:color="auto"/>
              <w:left w:val="nil"/>
              <w:bottom w:val="single" w:sz="4" w:space="0" w:color="auto"/>
              <w:right w:val="single" w:sz="4" w:space="0" w:color="auto"/>
            </w:tcBorders>
            <w:noWrap/>
            <w:textDirection w:val="lrTb"/>
            <w:vAlign w:val="center"/>
            <w:hideMark/>
          </w:tcPr>
          <w:p w:rsidR="00CB350B" w:rsidRPr="005A6E2D" w:rsidP="00257E12">
            <w:pPr>
              <w:bidi w:val="0"/>
              <w:jc w:val="center"/>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2011 OS</w:t>
            </w:r>
          </w:p>
        </w:tc>
        <w:tc>
          <w:tcPr>
            <w:tcW w:w="497" w:type="pct"/>
            <w:tcBorders>
              <w:top w:val="single" w:sz="4" w:space="0" w:color="auto"/>
              <w:left w:val="nil"/>
              <w:bottom w:val="single" w:sz="4" w:space="0" w:color="auto"/>
              <w:right w:val="single" w:sz="4" w:space="0" w:color="auto"/>
            </w:tcBorders>
            <w:noWrap/>
            <w:textDirection w:val="lrTb"/>
            <w:vAlign w:val="center"/>
            <w:hideMark/>
          </w:tcPr>
          <w:p w:rsidR="00CB350B" w:rsidRPr="005A6E2D" w:rsidP="00257E12">
            <w:pPr>
              <w:bidi w:val="0"/>
              <w:jc w:val="center"/>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2012 N</w:t>
            </w:r>
          </w:p>
        </w:tc>
        <w:tc>
          <w:tcPr>
            <w:tcW w:w="497" w:type="pct"/>
            <w:tcBorders>
              <w:top w:val="single" w:sz="4" w:space="0" w:color="auto"/>
              <w:left w:val="nil"/>
              <w:bottom w:val="single" w:sz="4" w:space="0" w:color="auto"/>
              <w:right w:val="single" w:sz="4" w:space="0" w:color="auto"/>
            </w:tcBorders>
            <w:noWrap/>
            <w:textDirection w:val="lrTb"/>
            <w:vAlign w:val="center"/>
            <w:hideMark/>
          </w:tcPr>
          <w:p w:rsidR="00CB350B" w:rsidRPr="005A6E2D" w:rsidP="00257E12">
            <w:pPr>
              <w:bidi w:val="0"/>
              <w:jc w:val="center"/>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2013 N</w:t>
            </w:r>
          </w:p>
        </w:tc>
        <w:tc>
          <w:tcPr>
            <w:tcW w:w="497" w:type="pct"/>
            <w:tcBorders>
              <w:top w:val="single" w:sz="4" w:space="0" w:color="auto"/>
              <w:left w:val="nil"/>
              <w:bottom w:val="single" w:sz="4" w:space="0" w:color="auto"/>
              <w:right w:val="single" w:sz="4" w:space="0" w:color="auto"/>
            </w:tcBorders>
            <w:noWrap/>
            <w:textDirection w:val="lrTb"/>
            <w:vAlign w:val="center"/>
            <w:hideMark/>
          </w:tcPr>
          <w:p w:rsidR="00CB350B" w:rsidRPr="005A6E2D" w:rsidP="00257E12">
            <w:pPr>
              <w:bidi w:val="0"/>
              <w:jc w:val="center"/>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2014 N</w:t>
            </w:r>
          </w:p>
        </w:tc>
      </w:tr>
      <w:tr>
        <w:tblPrEx>
          <w:tblW w:w="5000" w:type="pct"/>
          <w:tblCellMar>
            <w:left w:w="70" w:type="dxa"/>
            <w:right w:w="70" w:type="dxa"/>
          </w:tblCellMar>
          <w:tblLook w:val="04A0"/>
        </w:tblPrEx>
        <w:trPr>
          <w:trHeight w:val="259"/>
        </w:trPr>
        <w:tc>
          <w:tcPr>
            <w:tcW w:w="1520"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Zdroje príslušnej kapitoly</w:t>
            </w:r>
          </w:p>
        </w:tc>
        <w:tc>
          <w:tcPr>
            <w:tcW w:w="49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123 684 247</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110 758 151</w:t>
            </w:r>
          </w:p>
        </w:tc>
        <w:tc>
          <w:tcPr>
            <w:tcW w:w="508"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111 750 932</w:t>
            </w:r>
          </w:p>
        </w:tc>
        <w:tc>
          <w:tcPr>
            <w:tcW w:w="49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color w:val="000000"/>
                <w:sz w:val="14"/>
                <w:szCs w:val="14"/>
              </w:rPr>
            </w:pPr>
            <w:r w:rsidRPr="005A6E2D">
              <w:rPr>
                <w:rFonts w:ascii="Times New Roman" w:hAnsi="Times New Roman" w:cs="Times New Roman"/>
                <w:b/>
                <w:color w:val="000000"/>
                <w:sz w:val="14"/>
                <w:szCs w:val="14"/>
              </w:rPr>
              <w:t>129 764 963</w:t>
            </w:r>
          </w:p>
        </w:tc>
        <w:tc>
          <w:tcPr>
            <w:tcW w:w="49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color w:val="000000"/>
                <w:sz w:val="14"/>
                <w:szCs w:val="14"/>
              </w:rPr>
            </w:pPr>
            <w:r w:rsidRPr="005A6E2D">
              <w:rPr>
                <w:rFonts w:ascii="Times New Roman" w:hAnsi="Times New Roman" w:cs="Times New Roman"/>
                <w:b/>
                <w:bCs/>
                <w:color w:val="000000"/>
                <w:sz w:val="14"/>
                <w:szCs w:val="14"/>
              </w:rPr>
              <w:t>122 977 167</w:t>
            </w:r>
          </w:p>
        </w:tc>
        <w:tc>
          <w:tcPr>
            <w:tcW w:w="49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color w:val="000000"/>
                <w:sz w:val="14"/>
                <w:szCs w:val="14"/>
              </w:rPr>
            </w:pPr>
            <w:r w:rsidRPr="005A6E2D">
              <w:rPr>
                <w:rFonts w:ascii="Times New Roman" w:hAnsi="Times New Roman" w:cs="Times New Roman"/>
                <w:b/>
                <w:bCs/>
                <w:color w:val="000000"/>
                <w:sz w:val="14"/>
                <w:szCs w:val="14"/>
              </w:rPr>
              <w:t>119 264 749</w:t>
            </w:r>
          </w:p>
        </w:tc>
        <w:tc>
          <w:tcPr>
            <w:tcW w:w="49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color w:val="000000"/>
                <w:sz w:val="14"/>
                <w:szCs w:val="14"/>
              </w:rPr>
            </w:pPr>
            <w:r w:rsidRPr="005A6E2D">
              <w:rPr>
                <w:rFonts w:ascii="Times New Roman" w:hAnsi="Times New Roman" w:cs="Times New Roman"/>
                <w:b/>
                <w:bCs/>
                <w:color w:val="000000"/>
                <w:sz w:val="14"/>
                <w:szCs w:val="14"/>
              </w:rPr>
              <w:t>120 556 653</w:t>
            </w:r>
          </w:p>
        </w:tc>
      </w:tr>
      <w:tr>
        <w:tblPrEx>
          <w:tblW w:w="5000" w:type="pct"/>
          <w:tblCellMar>
            <w:left w:w="70" w:type="dxa"/>
            <w:right w:w="70" w:type="dxa"/>
          </w:tblCellMar>
          <w:tblLook w:val="04A0"/>
        </w:tblPrEx>
        <w:trPr>
          <w:trHeight w:val="259"/>
        </w:trPr>
        <w:tc>
          <w:tcPr>
            <w:tcW w:w="1520"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rPr>
              <w:t>Rozvoj zahraničných vzťahov</w:t>
            </w:r>
          </w:p>
        </w:tc>
        <w:tc>
          <w:tcPr>
            <w:tcW w:w="49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rPr>
              <w:t>107 339 977</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rPr>
              <w:t>100 152 808</w:t>
            </w:r>
          </w:p>
        </w:tc>
        <w:tc>
          <w:tcPr>
            <w:tcW w:w="508"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rPr>
              <w:t>94 973 536</w:t>
            </w:r>
          </w:p>
        </w:tc>
        <w:tc>
          <w:tcPr>
            <w:tcW w:w="49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108 508 451</w:t>
            </w:r>
          </w:p>
        </w:tc>
        <w:tc>
          <w:tcPr>
            <w:tcW w:w="49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104 764 333</w:t>
            </w:r>
          </w:p>
        </w:tc>
        <w:tc>
          <w:tcPr>
            <w:tcW w:w="49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100 491 326</w:t>
            </w:r>
          </w:p>
        </w:tc>
        <w:tc>
          <w:tcPr>
            <w:tcW w:w="49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100 498 966</w:t>
            </w:r>
          </w:p>
        </w:tc>
      </w:tr>
      <w:tr>
        <w:tblPrEx>
          <w:tblW w:w="5000" w:type="pct"/>
          <w:tblCellMar>
            <w:left w:w="70" w:type="dxa"/>
            <w:right w:w="70" w:type="dxa"/>
          </w:tblCellMar>
          <w:tblLook w:val="04A0"/>
        </w:tblPrEx>
        <w:trPr>
          <w:trHeight w:val="259"/>
        </w:trPr>
        <w:tc>
          <w:tcPr>
            <w:tcW w:w="1520"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rPr>
              <w:t>Oficiálna rozvojová pomoc</w:t>
            </w:r>
          </w:p>
        </w:tc>
        <w:tc>
          <w:tcPr>
            <w:tcW w:w="49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rPr>
              <w:t>5 832 831</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rPr>
              <w:t>6 541 893</w:t>
            </w:r>
          </w:p>
        </w:tc>
        <w:tc>
          <w:tcPr>
            <w:tcW w:w="508"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rPr>
              <w:t>5 985 072</w:t>
            </w:r>
          </w:p>
        </w:tc>
        <w:tc>
          <w:tcPr>
            <w:tcW w:w="49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9 646 072</w:t>
            </w:r>
          </w:p>
        </w:tc>
        <w:tc>
          <w:tcPr>
            <w:tcW w:w="49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5 980 936</w:t>
            </w:r>
          </w:p>
        </w:tc>
        <w:tc>
          <w:tcPr>
            <w:tcW w:w="49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5 980 936</w:t>
            </w:r>
          </w:p>
        </w:tc>
        <w:tc>
          <w:tcPr>
            <w:tcW w:w="49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5 980 936</w:t>
            </w:r>
          </w:p>
        </w:tc>
      </w:tr>
      <w:tr>
        <w:tblPrEx>
          <w:tblW w:w="5000" w:type="pct"/>
          <w:tblCellMar>
            <w:left w:w="70" w:type="dxa"/>
            <w:right w:w="70" w:type="dxa"/>
          </w:tblCellMar>
          <w:tblLook w:val="04A0"/>
        </w:tblPrEx>
        <w:trPr>
          <w:trHeight w:val="259"/>
        </w:trPr>
        <w:tc>
          <w:tcPr>
            <w:tcW w:w="1520"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rPr>
              <w:t>Príspevky SR do medzinárodných organizácií</w:t>
            </w:r>
          </w:p>
        </w:tc>
        <w:tc>
          <w:tcPr>
            <w:tcW w:w="497"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rPr>
              <w:t>10 511 439</w:t>
            </w:r>
          </w:p>
        </w:tc>
        <w:tc>
          <w:tcPr>
            <w:tcW w:w="487"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rPr>
              <w:t>4 063 450</w:t>
            </w:r>
          </w:p>
        </w:tc>
        <w:tc>
          <w:tcPr>
            <w:tcW w:w="508"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rPr>
              <w:t>10 792 324</w:t>
            </w:r>
          </w:p>
        </w:tc>
        <w:tc>
          <w:tcPr>
            <w:tcW w:w="497"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11 610 440</w:t>
            </w:r>
          </w:p>
        </w:tc>
        <w:tc>
          <w:tcPr>
            <w:tcW w:w="497" w:type="pct"/>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color w:val="000000"/>
                <w:sz w:val="14"/>
                <w:szCs w:val="14"/>
              </w:rPr>
              <w:t>12 231 898</w:t>
            </w:r>
          </w:p>
        </w:tc>
        <w:tc>
          <w:tcPr>
            <w:tcW w:w="497" w:type="pct"/>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color w:val="000000"/>
                <w:sz w:val="14"/>
                <w:szCs w:val="14"/>
              </w:rPr>
              <w:t>12 792 487</w:t>
            </w:r>
          </w:p>
        </w:tc>
        <w:tc>
          <w:tcPr>
            <w:tcW w:w="497" w:type="pct"/>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color w:val="000000"/>
                <w:sz w:val="14"/>
                <w:szCs w:val="14"/>
              </w:rPr>
              <w:t>14 076 751</w:t>
            </w:r>
          </w:p>
        </w:tc>
      </w:tr>
    </w:tbl>
    <w:p w:rsidR="00CB350B" w:rsidP="00CB350B">
      <w:pPr>
        <w:bidi w:val="0"/>
        <w:ind w:firstLine="708"/>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 xml:space="preserve">Medziročný nárast výdavkov odráža zmeny kompetenčného zákona, ktoré pre kapitolu znamenali delimitáciu kompetencií z Ministerstva hospodárstva SR (Obchodno-ekonomických oddelení) </w:t>
      </w:r>
      <w:r>
        <w:rPr>
          <w:rFonts w:ascii="Times New Roman" w:hAnsi="Times New Roman" w:cs="Times New Roman"/>
        </w:rPr>
        <w:t xml:space="preserve">v sume 6,57 mil. eur </w:t>
      </w:r>
      <w:r w:rsidRPr="0004638E">
        <w:rPr>
          <w:rFonts w:ascii="Times New Roman" w:hAnsi="Times New Roman" w:cs="Times New Roman"/>
        </w:rPr>
        <w:t>a z Úradu vlády SR (v oblasti koordinácie realizácie politík EÚ)</w:t>
      </w:r>
      <w:r>
        <w:rPr>
          <w:rFonts w:ascii="Times New Roman" w:hAnsi="Times New Roman" w:cs="Times New Roman"/>
        </w:rPr>
        <w:t xml:space="preserve"> v sume 187 tis. eur</w:t>
      </w:r>
      <w:r w:rsidRPr="0004638E">
        <w:rPr>
          <w:rFonts w:ascii="Times New Roman" w:hAnsi="Times New Roman" w:cs="Times New Roman"/>
        </w:rPr>
        <w:t>, zvýšené výdavky na povinné príspevky do medzinárodných organizácií</w:t>
      </w:r>
      <w:r>
        <w:rPr>
          <w:rFonts w:ascii="Times New Roman" w:hAnsi="Times New Roman" w:cs="Times New Roman"/>
        </w:rPr>
        <w:t xml:space="preserve"> v sume 1,44 mil. eur</w:t>
      </w:r>
      <w:r w:rsidRPr="0004638E">
        <w:rPr>
          <w:rFonts w:ascii="Times New Roman" w:hAnsi="Times New Roman" w:cs="Times New Roman"/>
        </w:rPr>
        <w:t>, ako aj zvýšené výdavky na zefektívnenie komunikačnej a informačnej infraštruktúry medzi ústredím MZV SR a zastupiteľskými úradmi SR v</w:t>
      </w:r>
      <w:r>
        <w:rPr>
          <w:rFonts w:ascii="Times New Roman" w:hAnsi="Times New Roman" w:cs="Times New Roman"/>
        </w:rPr>
        <w:t> </w:t>
      </w:r>
      <w:r w:rsidRPr="0004638E">
        <w:rPr>
          <w:rFonts w:ascii="Times New Roman" w:hAnsi="Times New Roman" w:cs="Times New Roman"/>
        </w:rPr>
        <w:t>zahraničí</w:t>
      </w:r>
      <w:r>
        <w:rPr>
          <w:rFonts w:ascii="Times New Roman" w:hAnsi="Times New Roman" w:cs="Times New Roman"/>
        </w:rPr>
        <w:t xml:space="preserve"> v sume 4,7 mil. </w:t>
      </w:r>
      <w:r w:rsidRPr="00373EA4">
        <w:rPr>
          <w:rFonts w:ascii="Times New Roman" w:hAnsi="Times New Roman" w:cs="Times New Roman"/>
        </w:rPr>
        <w:t xml:space="preserve">eur. </w:t>
      </w:r>
      <w:r w:rsidRPr="000F0531">
        <w:rPr>
          <w:rFonts w:ascii="Times New Roman" w:hAnsi="Times New Roman"/>
        </w:rPr>
        <w:t>MZV SR vypovedalo zmluvu o poskytovaní neverejnej telekomunikačnej služby</w:t>
      </w:r>
      <w:r w:rsidRPr="000F0531">
        <w:rPr>
          <w:rFonts w:ascii="Times New Roman" w:hAnsi="Times New Roman"/>
          <w:b/>
          <w:bCs/>
        </w:rPr>
        <w:t xml:space="preserve"> </w:t>
      </w:r>
      <w:r w:rsidRPr="000F0531">
        <w:rPr>
          <w:rFonts w:ascii="Times New Roman" w:hAnsi="Times New Roman"/>
        </w:rPr>
        <w:t xml:space="preserve">v zostatkovej hodnote 17,4 mil. </w:t>
      </w:r>
      <w:r>
        <w:rPr>
          <w:rFonts w:ascii="Times New Roman" w:hAnsi="Times New Roman"/>
        </w:rPr>
        <w:t>eur do rok</w:t>
      </w:r>
      <w:r w:rsidRPr="000F0531">
        <w:rPr>
          <w:rFonts w:ascii="Times New Roman" w:hAnsi="Times New Roman"/>
        </w:rPr>
        <w:t>u 2013. Navýšené výdavky sú potrebné k implementácii nového projektu komplexného systému pre prenos utajovaných informácií SR, EÚ a NATO medzi ústredím a zastupiteľskými úradmi, ktorý bude náhradou za pôvodný systém a navyše bude vo vlastníctve SR. Zavedením nového systému dôjde k ročnej úspore výdavkov vo výške 1,4 mil. eur, čo pri predpokladanej sedemročnej životnosti technických zariadení predstavuje celkovú úsporu 9,8 mil. eur.</w:t>
      </w:r>
      <w:r w:rsidRPr="000F0531">
        <w:rPr>
          <w:rFonts w:ascii="Times New Roman" w:hAnsi="Times New Roman"/>
          <w:b/>
        </w:rPr>
        <w:t xml:space="preserve"> </w:t>
      </w:r>
      <w:r w:rsidRPr="000F0531">
        <w:rPr>
          <w:rFonts w:ascii="Times New Roman" w:hAnsi="Times New Roman" w:cs="Times New Roman"/>
        </w:rPr>
        <w:t>Po odrátaní týchto úprav, ktoré zvyšujú rozpočtovú základňu schváleného rozpočtu 2012,</w:t>
      </w:r>
      <w:r w:rsidRPr="0004638E">
        <w:rPr>
          <w:rFonts w:ascii="Times New Roman" w:hAnsi="Times New Roman" w:cs="Times New Roman"/>
        </w:rPr>
        <w:t xml:space="preserve"> by celkový objem výdavkov kapitoly klesal oproti schválenému rozpočtu na rok 2011 o </w:t>
      </w:r>
      <w:r>
        <w:rPr>
          <w:rFonts w:ascii="Times New Roman" w:hAnsi="Times New Roman" w:cs="Times New Roman"/>
        </w:rPr>
        <w:t xml:space="preserve">         </w:t>
      </w:r>
      <w:r w:rsidRPr="0004638E">
        <w:rPr>
          <w:rFonts w:ascii="Times New Roman" w:hAnsi="Times New Roman" w:cs="Times New Roman"/>
        </w:rPr>
        <w:t>1,68 mil. eur (1,5 %).</w:t>
      </w:r>
    </w:p>
    <w:p w:rsidR="00CB350B" w:rsidRPr="0004638E" w:rsidP="00CB350B">
      <w:pPr>
        <w:pStyle w:val="BodyText25"/>
        <w:bidi w:val="0"/>
        <w:ind w:left="0" w:firstLine="0"/>
        <w:jc w:val="both"/>
        <w:rPr>
          <w:rFonts w:ascii="Times New Roman" w:hAnsi="Times New Roman"/>
          <w:b w:val="0"/>
          <w:i w:val="0"/>
          <w:sz w:val="24"/>
          <w:szCs w:val="24"/>
        </w:rPr>
      </w:pPr>
    </w:p>
    <w:p w:rsidR="00CB350B" w:rsidRPr="0004638E" w:rsidP="00CB350B">
      <w:pPr>
        <w:pStyle w:val="BodyText25"/>
        <w:bidi w:val="0"/>
        <w:ind w:left="0" w:firstLine="708"/>
        <w:jc w:val="both"/>
        <w:rPr>
          <w:rFonts w:ascii="Times New Roman" w:hAnsi="Times New Roman"/>
          <w:b w:val="0"/>
          <w:i w:val="0"/>
          <w:sz w:val="24"/>
          <w:szCs w:val="24"/>
        </w:rPr>
      </w:pPr>
      <w:r w:rsidRPr="0004638E">
        <w:rPr>
          <w:rFonts w:ascii="Times New Roman" w:hAnsi="Times New Roman"/>
          <w:b w:val="0"/>
          <w:i w:val="0"/>
          <w:sz w:val="24"/>
          <w:szCs w:val="24"/>
        </w:rPr>
        <w:t>Rozpočet Ministerstva zahraničných vecí</w:t>
      </w:r>
      <w:r>
        <w:rPr>
          <w:rFonts w:ascii="Times New Roman" w:hAnsi="Times New Roman"/>
          <w:b w:val="0"/>
          <w:i w:val="0"/>
          <w:sz w:val="24"/>
          <w:szCs w:val="24"/>
        </w:rPr>
        <w:t xml:space="preserve"> SR je smerovaný do týchto oblastí.</w:t>
      </w:r>
    </w:p>
    <w:p w:rsidR="00CB350B" w:rsidRPr="0004638E" w:rsidP="00CB350B">
      <w:pPr>
        <w:pStyle w:val="BodyText25"/>
        <w:bidi w:val="0"/>
        <w:ind w:left="0" w:firstLine="0"/>
        <w:jc w:val="both"/>
        <w:rPr>
          <w:rFonts w:ascii="Times New Roman" w:hAnsi="Times New Roman"/>
          <w:b w:val="0"/>
          <w:sz w:val="24"/>
          <w:szCs w:val="24"/>
        </w:rPr>
      </w:pPr>
    </w:p>
    <w:p w:rsidR="00CB350B" w:rsidRPr="0004638E" w:rsidP="00CB350B">
      <w:pPr>
        <w:bidi w:val="0"/>
        <w:jc w:val="both"/>
        <w:rPr>
          <w:rFonts w:ascii="Times New Roman" w:hAnsi="Times New Roman" w:cs="Times New Roman"/>
          <w:b/>
          <w:bCs/>
          <w:lang w:eastAsia="sk-SK"/>
        </w:rPr>
      </w:pPr>
      <w:r w:rsidRPr="0004638E">
        <w:rPr>
          <w:rFonts w:ascii="Times New Roman" w:hAnsi="Times New Roman" w:cs="Times New Roman"/>
          <w:b/>
          <w:bCs/>
          <w:lang w:eastAsia="sk-SK"/>
        </w:rPr>
        <w:t>Rozvoj zahraničných vzťahov</w:t>
      </w:r>
    </w:p>
    <w:p w:rsidR="00CB350B" w:rsidRPr="0004638E" w:rsidP="00CB350B">
      <w:pPr>
        <w:bidi w:val="0"/>
        <w:jc w:val="both"/>
        <w:rPr>
          <w:rFonts w:ascii="Times New Roman" w:hAnsi="Times New Roman" w:cs="Times New Roman"/>
        </w:rPr>
      </w:pPr>
    </w:p>
    <w:tbl>
      <w:tblPr>
        <w:tblStyle w:val="TableNormal"/>
        <w:tblW w:w="0" w:type="auto"/>
        <w:tblInd w:w="56" w:type="dxa"/>
        <w:tblLayout w:type="fixed"/>
        <w:tblCellMar>
          <w:left w:w="70" w:type="dxa"/>
          <w:right w:w="70" w:type="dxa"/>
        </w:tblCellMar>
        <w:tblLook w:val="04A0"/>
      </w:tblPr>
      <w:tblGrid>
        <w:gridCol w:w="2241"/>
        <w:gridCol w:w="977"/>
        <w:gridCol w:w="978"/>
        <w:gridCol w:w="978"/>
        <w:gridCol w:w="978"/>
        <w:gridCol w:w="978"/>
        <w:gridCol w:w="978"/>
        <w:gridCol w:w="978"/>
      </w:tblGrid>
      <w:tr>
        <w:tblPrEx>
          <w:tblW w:w="0" w:type="auto"/>
          <w:tblInd w:w="56" w:type="dxa"/>
          <w:tblLayout w:type="fixed"/>
          <w:tblCellMar>
            <w:left w:w="70" w:type="dxa"/>
            <w:right w:w="70" w:type="dxa"/>
          </w:tblCellMar>
          <w:tblLook w:val="04A0"/>
        </w:tblPrEx>
        <w:trPr>
          <w:trHeight w:val="261"/>
        </w:trPr>
        <w:tc>
          <w:tcPr>
            <w:tcW w:w="2241"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 v eurách</w:t>
            </w:r>
          </w:p>
        </w:tc>
        <w:tc>
          <w:tcPr>
            <w:tcW w:w="977" w:type="dxa"/>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2009 S</w:t>
            </w:r>
          </w:p>
        </w:tc>
        <w:tc>
          <w:tcPr>
            <w:tcW w:w="978"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2010 S</w:t>
            </w:r>
          </w:p>
        </w:tc>
        <w:tc>
          <w:tcPr>
            <w:tcW w:w="978"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2011 R</w:t>
            </w:r>
          </w:p>
        </w:tc>
        <w:tc>
          <w:tcPr>
            <w:tcW w:w="978"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2011 OS</w:t>
            </w:r>
          </w:p>
        </w:tc>
        <w:tc>
          <w:tcPr>
            <w:tcW w:w="978" w:type="dxa"/>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2012 N</w:t>
            </w:r>
          </w:p>
        </w:tc>
        <w:tc>
          <w:tcPr>
            <w:tcW w:w="978" w:type="dxa"/>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2013 N</w:t>
            </w:r>
          </w:p>
        </w:tc>
        <w:tc>
          <w:tcPr>
            <w:tcW w:w="978"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2014 N</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Rozvoj zahraničných vzťahov</w:t>
            </w:r>
          </w:p>
        </w:tc>
        <w:tc>
          <w:tcPr>
            <w:tcW w:w="977"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107 339 977</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100 152 808</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94 973 536</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108 508 451</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104 764 333</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100 491 326</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100 498 966</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 xml:space="preserve">     Reprezentácia SR v zahraničí</w:t>
            </w:r>
          </w:p>
        </w:tc>
        <w:tc>
          <w:tcPr>
            <w:tcW w:w="977" w:type="dxa"/>
            <w:tcBorders>
              <w:top w:val="nil"/>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67 056 788</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71 234 579</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72 215 750</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70 806 065</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70 807 945</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sz w:val="14"/>
                <w:szCs w:val="14"/>
                <w:lang w:eastAsia="sk-SK"/>
              </w:rPr>
            </w:pPr>
            <w:r w:rsidRPr="005A6E2D">
              <w:rPr>
                <w:rFonts w:ascii="Times New Roman" w:hAnsi="Times New Roman" w:cs="Times New Roman"/>
                <w:sz w:val="14"/>
                <w:szCs w:val="14"/>
                <w:lang w:eastAsia="sk-SK"/>
              </w:rPr>
              <w:t xml:space="preserve">         bežné výdavky</w:t>
            </w:r>
          </w:p>
        </w:tc>
        <w:tc>
          <w:tcPr>
            <w:tcW w:w="977" w:type="dxa"/>
            <w:tcBorders>
              <w:top w:val="nil"/>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67 056 788</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71 234 579</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72 215 750</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70 806 065</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70 807 945</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xml:space="preserve">                  610 mzdy</w:t>
            </w:r>
          </w:p>
        </w:tc>
        <w:tc>
          <w:tcPr>
            <w:tcW w:w="977" w:type="dxa"/>
            <w:tcBorders>
              <w:top w:val="nil"/>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 xml:space="preserve">38 921 874 </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42 197 716</w:t>
            </w:r>
          </w:p>
        </w:tc>
        <w:tc>
          <w:tcPr>
            <w:tcW w:w="978"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42 146 598</w:t>
            </w:r>
          </w:p>
        </w:tc>
        <w:tc>
          <w:tcPr>
            <w:tcW w:w="978"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42 146 598</w:t>
            </w:r>
          </w:p>
        </w:tc>
        <w:tc>
          <w:tcPr>
            <w:tcW w:w="978"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42 146 598</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xml:space="preserve">                  620 odvody</w:t>
            </w:r>
          </w:p>
        </w:tc>
        <w:tc>
          <w:tcPr>
            <w:tcW w:w="977" w:type="dxa"/>
            <w:tcBorders>
              <w:top w:val="nil"/>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 xml:space="preserve">8 545 255 </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8 179 948</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8 179 948</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8 186 713</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8 188 593</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xml:space="preserve">                  630 tovary a služby</w:t>
            </w:r>
          </w:p>
        </w:tc>
        <w:tc>
          <w:tcPr>
            <w:tcW w:w="977" w:type="dxa"/>
            <w:tcBorders>
              <w:top w:val="nil"/>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 xml:space="preserve">19 575 919 </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20 843 175</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21 856 204</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20 439 754</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20 439 754</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xml:space="preserve">                  640 bežné transfery</w:t>
            </w:r>
          </w:p>
        </w:tc>
        <w:tc>
          <w:tcPr>
            <w:tcW w:w="977" w:type="dxa"/>
            <w:tcBorders>
              <w:top w:val="nil"/>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 xml:space="preserve">13 740 </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13 740</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33 000</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33 000</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33 000</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sz w:val="14"/>
                <w:szCs w:val="14"/>
                <w:lang w:eastAsia="sk-SK"/>
              </w:rPr>
            </w:pPr>
            <w:r w:rsidRPr="005A6E2D">
              <w:rPr>
                <w:rFonts w:ascii="Times New Roman" w:hAnsi="Times New Roman" w:cs="Times New Roman"/>
                <w:sz w:val="14"/>
                <w:szCs w:val="14"/>
                <w:lang w:eastAsia="sk-SK"/>
              </w:rPr>
              <w:t xml:space="preserve">        kapitálové výdavky</w:t>
            </w:r>
          </w:p>
        </w:tc>
        <w:tc>
          <w:tcPr>
            <w:tcW w:w="977" w:type="dxa"/>
            <w:tcBorders>
              <w:top w:val="nil"/>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 xml:space="preserve">0 </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 xml:space="preserve">0 </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0</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0</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0</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 xml:space="preserve">     Tvorba a implementácia politík</w:t>
            </w:r>
          </w:p>
        </w:tc>
        <w:tc>
          <w:tcPr>
            <w:tcW w:w="977" w:type="dxa"/>
            <w:tcBorders>
              <w:top w:val="nil"/>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27 916 748</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37 273 872</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32 548 583</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29 685 261</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29 691 021</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sz w:val="14"/>
                <w:szCs w:val="14"/>
                <w:lang w:eastAsia="sk-SK"/>
              </w:rPr>
            </w:pPr>
            <w:r w:rsidRPr="005A6E2D">
              <w:rPr>
                <w:rFonts w:ascii="Times New Roman" w:hAnsi="Times New Roman" w:cs="Times New Roman"/>
                <w:sz w:val="14"/>
                <w:szCs w:val="14"/>
                <w:lang w:eastAsia="sk-SK"/>
              </w:rPr>
              <w:t xml:space="preserve">         bežné výdavky</w:t>
            </w:r>
          </w:p>
        </w:tc>
        <w:tc>
          <w:tcPr>
            <w:tcW w:w="977" w:type="dxa"/>
            <w:tcBorders>
              <w:top w:val="nil"/>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24 122 920</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27 634 910</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26 231 933</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26 248 611</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26 254 371</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xml:space="preserve">                  610 mzdy</w:t>
            </w:r>
          </w:p>
        </w:tc>
        <w:tc>
          <w:tcPr>
            <w:tcW w:w="977" w:type="dxa"/>
            <w:tcBorders>
              <w:top w:val="nil"/>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 xml:space="preserve">8 132 834 </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 xml:space="preserve">8 948 986 </w:t>
            </w:r>
          </w:p>
        </w:tc>
        <w:tc>
          <w:tcPr>
            <w:tcW w:w="978"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8 388 155</w:t>
            </w:r>
          </w:p>
        </w:tc>
        <w:tc>
          <w:tcPr>
            <w:tcW w:w="978"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8 405 639</w:t>
            </w:r>
          </w:p>
        </w:tc>
        <w:tc>
          <w:tcPr>
            <w:tcW w:w="978"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8 411 399</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xml:space="preserve">                  620 odvody</w:t>
            </w:r>
          </w:p>
        </w:tc>
        <w:tc>
          <w:tcPr>
            <w:tcW w:w="977" w:type="dxa"/>
            <w:tcBorders>
              <w:top w:val="nil"/>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 xml:space="preserve">2 322 048 </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 xml:space="preserve">2 981 800 </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2 982 606</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2 981 800</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2 981 800</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xml:space="preserve">                  630 tovary a služby</w:t>
            </w:r>
          </w:p>
        </w:tc>
        <w:tc>
          <w:tcPr>
            <w:tcW w:w="977" w:type="dxa"/>
            <w:tcBorders>
              <w:top w:val="nil"/>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 xml:space="preserve">11 757 941 </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 xml:space="preserve">13 637 811 </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12 617 490</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12 617 490</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12 617 490</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xml:space="preserve">                  640 bežné transfery</w:t>
            </w:r>
          </w:p>
        </w:tc>
        <w:tc>
          <w:tcPr>
            <w:tcW w:w="977" w:type="dxa"/>
            <w:tcBorders>
              <w:top w:val="nil"/>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 xml:space="preserve">1 910 097 </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 xml:space="preserve">2 066 313 </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2 243 682</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2 243 682</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2 243 682</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sz w:val="14"/>
                <w:szCs w:val="14"/>
                <w:lang w:eastAsia="sk-SK"/>
              </w:rPr>
            </w:pPr>
            <w:r w:rsidRPr="005A6E2D">
              <w:rPr>
                <w:rFonts w:ascii="Times New Roman" w:hAnsi="Times New Roman" w:cs="Times New Roman"/>
                <w:sz w:val="14"/>
                <w:szCs w:val="14"/>
                <w:lang w:eastAsia="sk-SK"/>
              </w:rPr>
              <w:t xml:space="preserve">        kapitálové výdavky</w:t>
            </w:r>
          </w:p>
        </w:tc>
        <w:tc>
          <w:tcPr>
            <w:tcW w:w="977" w:type="dxa"/>
            <w:tcBorders>
              <w:top w:val="nil"/>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 xml:space="preserve">3 793 828 </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 xml:space="preserve">9 638 962 </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6 316 650</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3 436 650</w:t>
            </w:r>
          </w:p>
        </w:tc>
        <w:tc>
          <w:tcPr>
            <w:tcW w:w="978"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3 436 650</w:t>
            </w:r>
          </w:p>
        </w:tc>
      </w:tr>
    </w:tbl>
    <w:p w:rsidR="00CB350B" w:rsidRPr="00575C66" w:rsidP="00CB350B">
      <w:pPr>
        <w:bidi w:val="0"/>
        <w:jc w:val="both"/>
        <w:rPr>
          <w:rFonts w:ascii="Times New Roman" w:hAnsi="Times New Roman" w:cs="Times New Roman"/>
          <w:sz w:val="14"/>
          <w:szCs w:val="14"/>
        </w:rPr>
      </w:pPr>
      <w:r w:rsidRPr="00575C66">
        <w:rPr>
          <w:rFonts w:ascii="Times New Roman" w:hAnsi="Times New Roman" w:cs="Times New Roman"/>
          <w:sz w:val="14"/>
          <w:szCs w:val="14"/>
        </w:rPr>
        <w:t>*n/a – zmena programovej štruktúry kapitoly od roku 2011</w:t>
      </w:r>
    </w:p>
    <w:p w:rsidR="00CB350B" w:rsidRPr="00575C66" w:rsidP="00CB350B">
      <w:pPr>
        <w:bidi w:val="0"/>
        <w:jc w:val="both"/>
        <w:rPr>
          <w:rFonts w:ascii="Times New Roman" w:hAnsi="Times New Roman" w:cs="Times New Roman"/>
          <w:sz w:val="14"/>
          <w:szCs w:val="14"/>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V rámci výdavkov na zahraničnú politiku sa rozpočtujú prostriedky predovšetkým na zastupiteľské úrady SR v zahraničí, v rámci ktorých sa okrem osobných výdavkov zahraničnej služby zabezpečuje prenájom bytov, administratívnych budov, rezidencií, lekárske prehliadky počas výkonu zahraničnej služby, školné a zápisné pre deti zamestnancov zahraničnej služby. Medziročný nárast výdavkov odráža zmeny kompetenčného zákona, ktoré pre kapitolu znamenali delimitáciu kompetencií z Ministerstva hospodárstva SR a z Úradu vlády SR. Ďalšie výdavky na zahraničnú politiku sú rozpísan</w:t>
      </w:r>
      <w:r>
        <w:rPr>
          <w:rFonts w:ascii="Times New Roman" w:hAnsi="Times New Roman" w:cs="Times New Roman"/>
        </w:rPr>
        <w:t>é</w:t>
      </w:r>
      <w:r w:rsidRPr="0004638E">
        <w:rPr>
          <w:rFonts w:ascii="Times New Roman" w:hAnsi="Times New Roman" w:cs="Times New Roman"/>
        </w:rPr>
        <w:t xml:space="preserve"> pre slovenské inštitúty v zahraničí, kde sa okrem osobných výdavkov zabezpečujú najmä výdavky súvisiace s reprezentáciou a propagáciou SR v zahraničí pri usporiadaní výstav, kultúrnych podujatí a programov.</w:t>
      </w:r>
    </w:p>
    <w:p w:rsidR="00CB350B" w:rsidRPr="0004638E" w:rsidP="00CB350B">
      <w:pPr>
        <w:bidi w:val="0"/>
        <w:ind w:firstLine="708"/>
        <w:jc w:val="both"/>
        <w:rPr>
          <w:rFonts w:ascii="Times New Roman" w:hAnsi="Times New Roman" w:cs="Times New Roman"/>
          <w:color w:val="0070C0"/>
        </w:rPr>
      </w:pPr>
    </w:p>
    <w:p w:rsidR="00CB350B" w:rsidRPr="0004638E" w:rsidP="00CB350B">
      <w:pPr>
        <w:bidi w:val="0"/>
        <w:ind w:left="45" w:firstLine="663"/>
        <w:jc w:val="both"/>
        <w:rPr>
          <w:rFonts w:ascii="Times New Roman" w:hAnsi="Times New Roman" w:cs="Times New Roman"/>
        </w:rPr>
      </w:pPr>
      <w:r w:rsidRPr="0004638E">
        <w:rPr>
          <w:rFonts w:ascii="Times New Roman" w:hAnsi="Times New Roman" w:cs="Times New Roman"/>
        </w:rPr>
        <w:t xml:space="preserve">Pre ústredie MZV SR sú okrem mzdových prostriedkov a prostriedkov na prevádzku rozpočtované aj bežné výdavky na spoluprácu s tretím sektorom v sume 75,0 tis. eur a vzdelávanie zamestnancov v objeme 171 tis. eur. V bežných transferoch bol rozpísaný transfer pre príspevkovú organizáciu SÚZA </w:t>
      </w:r>
      <w:r>
        <w:rPr>
          <w:rFonts w:ascii="Times New Roman" w:hAnsi="Times New Roman" w:cs="Times New Roman"/>
        </w:rPr>
        <w:t xml:space="preserve">vo výške </w:t>
      </w:r>
      <w:r w:rsidRPr="0004638E">
        <w:rPr>
          <w:rFonts w:ascii="Times New Roman" w:hAnsi="Times New Roman" w:cs="Times New Roman"/>
        </w:rPr>
        <w:t>2,02 mil. eur a prostriedky na dotácie v pôsobnosti MZV SR v sume 61,4 tis. eur.</w:t>
      </w:r>
    </w:p>
    <w:p w:rsidR="00CB350B" w:rsidRPr="0004638E" w:rsidP="00CB350B">
      <w:pPr>
        <w:bidi w:val="0"/>
        <w:ind w:left="45"/>
        <w:jc w:val="both"/>
        <w:rPr>
          <w:rFonts w:ascii="Times New Roman" w:hAnsi="Times New Roman" w:cs="Times New Roman"/>
        </w:rPr>
      </w:pPr>
    </w:p>
    <w:p w:rsidR="00CB350B" w:rsidRPr="0004638E" w:rsidP="00CB350B">
      <w:pPr>
        <w:bidi w:val="0"/>
        <w:ind w:left="45"/>
        <w:jc w:val="both"/>
        <w:rPr>
          <w:rFonts w:ascii="Times New Roman" w:hAnsi="Times New Roman" w:cs="Times New Roman"/>
          <w:b/>
        </w:rPr>
      </w:pPr>
      <w:r w:rsidRPr="0004638E">
        <w:rPr>
          <w:rFonts w:ascii="Times New Roman" w:hAnsi="Times New Roman" w:cs="Times New Roman"/>
          <w:b/>
        </w:rPr>
        <w:t>Oficiálna rozvojová pomoc</w:t>
      </w:r>
    </w:p>
    <w:p w:rsidR="00CB350B" w:rsidRPr="0004638E" w:rsidP="00CB350B">
      <w:pPr>
        <w:bidi w:val="0"/>
        <w:ind w:left="45"/>
        <w:jc w:val="both"/>
        <w:rPr>
          <w:rFonts w:ascii="Times New Roman" w:hAnsi="Times New Roman" w:cs="Times New Roman"/>
        </w:rPr>
      </w:pPr>
    </w:p>
    <w:tbl>
      <w:tblPr>
        <w:tblStyle w:val="TableNormal"/>
        <w:tblW w:w="0" w:type="auto"/>
        <w:tblInd w:w="56" w:type="dxa"/>
        <w:tblLayout w:type="fixed"/>
        <w:tblCellMar>
          <w:left w:w="70" w:type="dxa"/>
          <w:right w:w="70" w:type="dxa"/>
        </w:tblCellMar>
        <w:tblLook w:val="04A0"/>
      </w:tblPr>
      <w:tblGrid>
        <w:gridCol w:w="2566"/>
        <w:gridCol w:w="931"/>
        <w:gridCol w:w="931"/>
        <w:gridCol w:w="932"/>
        <w:gridCol w:w="931"/>
        <w:gridCol w:w="932"/>
        <w:gridCol w:w="931"/>
        <w:gridCol w:w="932"/>
      </w:tblGrid>
      <w:tr>
        <w:tblPrEx>
          <w:tblW w:w="0" w:type="auto"/>
          <w:tblInd w:w="56" w:type="dxa"/>
          <w:tblLayout w:type="fixed"/>
          <w:tblCellMar>
            <w:left w:w="70" w:type="dxa"/>
            <w:right w:w="70" w:type="dxa"/>
          </w:tblCellMar>
          <w:tblLook w:val="04A0"/>
        </w:tblPrEx>
        <w:trPr>
          <w:trHeight w:val="261"/>
        </w:trPr>
        <w:tc>
          <w:tcPr>
            <w:tcW w:w="2566"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 v eurách</w:t>
            </w:r>
          </w:p>
        </w:tc>
        <w:tc>
          <w:tcPr>
            <w:tcW w:w="931" w:type="dxa"/>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2009 S</w:t>
            </w:r>
          </w:p>
        </w:tc>
        <w:tc>
          <w:tcPr>
            <w:tcW w:w="931"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2010 S</w:t>
            </w:r>
          </w:p>
        </w:tc>
        <w:tc>
          <w:tcPr>
            <w:tcW w:w="932"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2011 R</w:t>
            </w:r>
          </w:p>
        </w:tc>
        <w:tc>
          <w:tcPr>
            <w:tcW w:w="931"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 xml:space="preserve">2011 OS </w:t>
            </w:r>
          </w:p>
        </w:tc>
        <w:tc>
          <w:tcPr>
            <w:tcW w:w="932" w:type="dxa"/>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2012 N</w:t>
            </w:r>
          </w:p>
        </w:tc>
        <w:tc>
          <w:tcPr>
            <w:tcW w:w="931" w:type="dxa"/>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2013 N</w:t>
            </w:r>
          </w:p>
        </w:tc>
        <w:tc>
          <w:tcPr>
            <w:tcW w:w="932"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2014 N</w:t>
            </w:r>
          </w:p>
        </w:tc>
      </w:tr>
      <w:tr>
        <w:tblPrEx>
          <w:tblW w:w="0" w:type="auto"/>
          <w:tblInd w:w="56" w:type="dxa"/>
          <w:tblLayout w:type="fixed"/>
          <w:tblCellMar>
            <w:left w:w="70" w:type="dxa"/>
            <w:right w:w="70" w:type="dxa"/>
          </w:tblCellMar>
          <w:tblLook w:val="04A0"/>
        </w:tblPrEx>
        <w:trPr>
          <w:trHeight w:val="261"/>
        </w:trPr>
        <w:tc>
          <w:tcPr>
            <w:tcW w:w="2566"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Oficiálna rozvojová pomoc</w:t>
            </w:r>
          </w:p>
        </w:tc>
        <w:tc>
          <w:tcPr>
            <w:tcW w:w="93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5 832 831</w:t>
            </w:r>
          </w:p>
        </w:tc>
        <w:tc>
          <w:tcPr>
            <w:tcW w:w="93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6 541 893</w:t>
            </w:r>
          </w:p>
        </w:tc>
        <w:tc>
          <w:tcPr>
            <w:tcW w:w="93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5 985 072</w:t>
            </w:r>
          </w:p>
        </w:tc>
        <w:tc>
          <w:tcPr>
            <w:tcW w:w="93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9 646 072</w:t>
            </w:r>
          </w:p>
        </w:tc>
        <w:tc>
          <w:tcPr>
            <w:tcW w:w="93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5 980 936</w:t>
            </w:r>
          </w:p>
        </w:tc>
        <w:tc>
          <w:tcPr>
            <w:tcW w:w="93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5 980 936</w:t>
            </w:r>
          </w:p>
        </w:tc>
        <w:tc>
          <w:tcPr>
            <w:tcW w:w="93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5 980 936</w:t>
            </w:r>
          </w:p>
        </w:tc>
      </w:tr>
      <w:tr>
        <w:tblPrEx>
          <w:tblW w:w="0" w:type="auto"/>
          <w:tblInd w:w="56" w:type="dxa"/>
          <w:tblLayout w:type="fixed"/>
          <w:tblCellMar>
            <w:left w:w="70" w:type="dxa"/>
            <w:right w:w="70" w:type="dxa"/>
          </w:tblCellMar>
          <w:tblLook w:val="04A0"/>
        </w:tblPrEx>
        <w:trPr>
          <w:trHeight w:val="261"/>
        </w:trPr>
        <w:tc>
          <w:tcPr>
            <w:tcW w:w="2566"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sz w:val="14"/>
                <w:szCs w:val="14"/>
                <w:lang w:eastAsia="sk-SK"/>
              </w:rPr>
            </w:pPr>
            <w:r w:rsidRPr="005A6E2D">
              <w:rPr>
                <w:rFonts w:ascii="Times New Roman" w:hAnsi="Times New Roman" w:cs="Times New Roman"/>
                <w:sz w:val="14"/>
                <w:szCs w:val="14"/>
                <w:lang w:eastAsia="sk-SK"/>
              </w:rPr>
              <w:t>rozpočtové zdroje kapitoly</w:t>
            </w:r>
          </w:p>
        </w:tc>
        <w:tc>
          <w:tcPr>
            <w:tcW w:w="93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4 024 201</w:t>
            </w:r>
          </w:p>
        </w:tc>
        <w:tc>
          <w:tcPr>
            <w:tcW w:w="93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2 913 960</w:t>
            </w:r>
          </w:p>
        </w:tc>
        <w:tc>
          <w:tcPr>
            <w:tcW w:w="93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5 985 072</w:t>
            </w:r>
          </w:p>
        </w:tc>
        <w:tc>
          <w:tcPr>
            <w:tcW w:w="93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5 976 072</w:t>
            </w:r>
          </w:p>
        </w:tc>
        <w:tc>
          <w:tcPr>
            <w:tcW w:w="93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5 980 936</w:t>
            </w:r>
          </w:p>
        </w:tc>
        <w:tc>
          <w:tcPr>
            <w:tcW w:w="93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5 980 936</w:t>
            </w:r>
          </w:p>
        </w:tc>
        <w:tc>
          <w:tcPr>
            <w:tcW w:w="93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5 980 936</w:t>
            </w:r>
          </w:p>
        </w:tc>
      </w:tr>
      <w:tr>
        <w:tblPrEx>
          <w:tblW w:w="0" w:type="auto"/>
          <w:tblInd w:w="56" w:type="dxa"/>
          <w:tblLayout w:type="fixed"/>
          <w:tblCellMar>
            <w:left w:w="70" w:type="dxa"/>
            <w:right w:w="70" w:type="dxa"/>
          </w:tblCellMar>
          <w:tblLook w:val="04A0"/>
        </w:tblPrEx>
        <w:trPr>
          <w:trHeight w:val="261"/>
        </w:trPr>
        <w:tc>
          <w:tcPr>
            <w:tcW w:w="2566"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sz w:val="14"/>
                <w:szCs w:val="14"/>
                <w:lang w:eastAsia="sk-SK"/>
              </w:rPr>
            </w:pPr>
            <w:r w:rsidRPr="005A6E2D">
              <w:rPr>
                <w:rFonts w:ascii="Times New Roman" w:hAnsi="Times New Roman" w:cs="Times New Roman"/>
                <w:color w:val="000000"/>
                <w:sz w:val="14"/>
                <w:szCs w:val="14"/>
              </w:rPr>
              <w:t>presun z minulých rokov</w:t>
            </w:r>
          </w:p>
        </w:tc>
        <w:tc>
          <w:tcPr>
            <w:tcW w:w="93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1 808 630</w:t>
            </w:r>
          </w:p>
        </w:tc>
        <w:tc>
          <w:tcPr>
            <w:tcW w:w="93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3 627 933</w:t>
            </w:r>
          </w:p>
        </w:tc>
        <w:tc>
          <w:tcPr>
            <w:tcW w:w="932" w:type="dxa"/>
            <w:tcBorders>
              <w:top w:val="nil"/>
              <w:left w:val="nil"/>
              <w:bottom w:val="single" w:sz="4" w:space="0" w:color="auto"/>
              <w:right w:val="single" w:sz="4" w:space="0" w:color="auto"/>
            </w:tcBorders>
            <w:textDirection w:val="lrTb"/>
            <w:vAlign w:val="bottom"/>
            <w:hideMark/>
          </w:tcPr>
          <w:p w:rsidR="00CB350B" w:rsidRPr="005A6E2D" w:rsidP="00257E12">
            <w:pPr>
              <w:bidi w:val="0"/>
              <w:ind w:left="360"/>
              <w:rPr>
                <w:rFonts w:ascii="Times New Roman" w:hAnsi="Times New Roman" w:cs="Times New Roman"/>
                <w:sz w:val="14"/>
                <w:szCs w:val="14"/>
                <w:lang w:eastAsia="sk-SK"/>
              </w:rPr>
            </w:pPr>
            <w:r w:rsidRPr="005A6E2D">
              <w:rPr>
                <w:rFonts w:ascii="Times New Roman" w:hAnsi="Times New Roman" w:cs="Times New Roman"/>
                <w:sz w:val="14"/>
                <w:szCs w:val="14"/>
                <w:lang w:eastAsia="sk-SK"/>
              </w:rPr>
              <w:t>-</w:t>
            </w:r>
          </w:p>
        </w:tc>
        <w:tc>
          <w:tcPr>
            <w:tcW w:w="93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3 670 000</w:t>
            </w:r>
          </w:p>
        </w:tc>
        <w:tc>
          <w:tcPr>
            <w:tcW w:w="932" w:type="dxa"/>
            <w:tcBorders>
              <w:top w:val="nil"/>
              <w:left w:val="nil"/>
              <w:bottom w:val="single" w:sz="4" w:space="0" w:color="auto"/>
              <w:right w:val="single" w:sz="4" w:space="0" w:color="auto"/>
            </w:tcBorders>
            <w:textDirection w:val="lrTb"/>
            <w:vAlign w:val="bottom"/>
            <w:hideMark/>
          </w:tcPr>
          <w:p w:rsidR="00CB350B" w:rsidRPr="005A6E2D" w:rsidP="00257E12">
            <w:pPr>
              <w:bidi w:val="0"/>
              <w:ind w:left="360"/>
              <w:rPr>
                <w:rFonts w:ascii="Times New Roman" w:hAnsi="Times New Roman" w:cs="Times New Roman"/>
                <w:sz w:val="14"/>
                <w:szCs w:val="14"/>
                <w:lang w:eastAsia="sk-SK"/>
              </w:rPr>
            </w:pPr>
            <w:r w:rsidRPr="005A6E2D">
              <w:rPr>
                <w:rFonts w:ascii="Times New Roman" w:hAnsi="Times New Roman" w:cs="Times New Roman"/>
                <w:sz w:val="14"/>
                <w:szCs w:val="14"/>
                <w:lang w:eastAsia="sk-SK"/>
              </w:rPr>
              <w:t>-</w:t>
            </w:r>
          </w:p>
        </w:tc>
        <w:tc>
          <w:tcPr>
            <w:tcW w:w="931" w:type="dxa"/>
            <w:tcBorders>
              <w:top w:val="nil"/>
              <w:left w:val="nil"/>
              <w:bottom w:val="single" w:sz="4" w:space="0" w:color="auto"/>
              <w:right w:val="single" w:sz="4" w:space="0" w:color="auto"/>
            </w:tcBorders>
            <w:textDirection w:val="lrTb"/>
            <w:vAlign w:val="bottom"/>
            <w:hideMark/>
          </w:tcPr>
          <w:p w:rsidR="00CB350B" w:rsidRPr="005A6E2D" w:rsidP="00257E12">
            <w:pPr>
              <w:bidi w:val="0"/>
              <w:ind w:left="360"/>
              <w:rPr>
                <w:rFonts w:ascii="Times New Roman" w:hAnsi="Times New Roman" w:cs="Times New Roman"/>
                <w:sz w:val="14"/>
                <w:szCs w:val="14"/>
                <w:lang w:eastAsia="sk-SK"/>
              </w:rPr>
            </w:pPr>
            <w:r w:rsidRPr="005A6E2D">
              <w:rPr>
                <w:rFonts w:ascii="Times New Roman" w:hAnsi="Times New Roman" w:cs="Times New Roman"/>
                <w:sz w:val="14"/>
                <w:szCs w:val="14"/>
                <w:lang w:eastAsia="sk-SK"/>
              </w:rPr>
              <w:t>-</w:t>
            </w:r>
          </w:p>
        </w:tc>
        <w:tc>
          <w:tcPr>
            <w:tcW w:w="932" w:type="dxa"/>
            <w:tcBorders>
              <w:top w:val="nil"/>
              <w:left w:val="nil"/>
              <w:bottom w:val="single" w:sz="4" w:space="0" w:color="auto"/>
              <w:right w:val="single" w:sz="4" w:space="0" w:color="auto"/>
            </w:tcBorders>
            <w:textDirection w:val="lrTb"/>
            <w:vAlign w:val="bottom"/>
            <w:hideMark/>
          </w:tcPr>
          <w:p w:rsidR="00CB350B" w:rsidRPr="005A6E2D" w:rsidP="00257E12">
            <w:pPr>
              <w:bidi w:val="0"/>
              <w:ind w:left="360"/>
              <w:rPr>
                <w:rFonts w:ascii="Times New Roman" w:hAnsi="Times New Roman" w:cs="Times New Roman"/>
                <w:sz w:val="14"/>
                <w:szCs w:val="14"/>
                <w:lang w:eastAsia="sk-SK"/>
              </w:rPr>
            </w:pPr>
            <w:r w:rsidRPr="005A6E2D">
              <w:rPr>
                <w:rFonts w:ascii="Times New Roman" w:hAnsi="Times New Roman" w:cs="Times New Roman"/>
                <w:sz w:val="14"/>
                <w:szCs w:val="14"/>
                <w:lang w:eastAsia="sk-SK"/>
              </w:rPr>
              <w:t>-</w:t>
            </w:r>
          </w:p>
        </w:tc>
      </w:tr>
    </w:tbl>
    <w:p w:rsidR="00CB350B" w:rsidRPr="0004638E" w:rsidP="00CB350B">
      <w:pPr>
        <w:bidi w:val="0"/>
        <w:ind w:left="45" w:firstLine="663"/>
        <w:jc w:val="both"/>
        <w:rPr>
          <w:rFonts w:ascii="Times New Roman" w:hAnsi="Times New Roman" w:cs="Times New Roman"/>
          <w:color w:val="0070C0"/>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 xml:space="preserve">Z prostriedkov rozpočtovaných v rámci oblasti na oficiálnu rozvojovú pomoc (ODA) sa zabezpečuje pomoc rozvojovým krajinám a krajinám v procese transformácie s tým, že prostriedky sú určené na projekty v prioritných krajinách a na projekty pre programové krajiny Srbsko, Afganistan a Keňa. Výdavky na túto oblasť ostávajú približne na úrovni schváleného rozpočtu </w:t>
      </w:r>
      <w:r>
        <w:rPr>
          <w:rFonts w:ascii="Times New Roman" w:hAnsi="Times New Roman" w:cs="Times New Roman"/>
        </w:rPr>
        <w:t>na</w:t>
      </w:r>
      <w:r w:rsidRPr="0004638E">
        <w:rPr>
          <w:rFonts w:ascii="Times New Roman" w:hAnsi="Times New Roman" w:cs="Times New Roman"/>
        </w:rPr>
        <w:t xml:space="preserve"> rok 2011. Výdavky určené na financovanie projektov v rozvojových krajinách, projektov rozvojového vzdelávania, projektov zameraných na budovanie kapacít a na verejnú informovanosť, rozpočtované na bežných transferoch, sa oproti schválenému rozpočtu na rok 2011 nemenia a sú vo výške 5,65 mil. eur. </w:t>
      </w:r>
    </w:p>
    <w:p w:rsidR="00CB350B" w:rsidP="00CB350B">
      <w:pPr>
        <w:bidi w:val="0"/>
        <w:jc w:val="both"/>
        <w:rPr>
          <w:rFonts w:ascii="Times New Roman" w:hAnsi="Times New Roman" w:cs="Times New Roman"/>
          <w:b/>
        </w:rPr>
      </w:pPr>
    </w:p>
    <w:p w:rsidR="00CB350B" w:rsidP="00CB350B">
      <w:pPr>
        <w:bidi w:val="0"/>
        <w:jc w:val="both"/>
        <w:rPr>
          <w:rFonts w:ascii="Times New Roman" w:hAnsi="Times New Roman" w:cs="Times New Roman"/>
          <w:b/>
        </w:rPr>
      </w:pPr>
    </w:p>
    <w:p w:rsidR="00CB350B" w:rsidP="00CB350B">
      <w:pPr>
        <w:bidi w:val="0"/>
        <w:jc w:val="both"/>
        <w:rPr>
          <w:rFonts w:ascii="Times New Roman" w:hAnsi="Times New Roman" w:cs="Times New Roman"/>
          <w:b/>
        </w:rPr>
      </w:pPr>
    </w:p>
    <w:p w:rsidR="00CB350B" w:rsidP="00CB350B">
      <w:pPr>
        <w:bidi w:val="0"/>
        <w:jc w:val="both"/>
        <w:rPr>
          <w:rFonts w:ascii="Times New Roman" w:hAnsi="Times New Roman" w:cs="Times New Roman"/>
          <w:b/>
        </w:rPr>
      </w:pPr>
    </w:p>
    <w:p w:rsidR="00CB350B" w:rsidP="00CB350B">
      <w:pPr>
        <w:bidi w:val="0"/>
        <w:jc w:val="both"/>
        <w:rPr>
          <w:rFonts w:ascii="Times New Roman" w:hAnsi="Times New Roman" w:cs="Times New Roman"/>
          <w:b/>
        </w:rPr>
      </w:pPr>
    </w:p>
    <w:p w:rsidR="00CB350B" w:rsidP="00CB350B">
      <w:pPr>
        <w:bidi w:val="0"/>
        <w:jc w:val="both"/>
        <w:rPr>
          <w:rFonts w:ascii="Times New Roman" w:hAnsi="Times New Roman" w:cs="Times New Roman"/>
          <w:b/>
        </w:rPr>
      </w:pPr>
    </w:p>
    <w:p w:rsidR="00CB350B" w:rsidP="00CB350B">
      <w:pPr>
        <w:bidi w:val="0"/>
        <w:jc w:val="both"/>
        <w:rPr>
          <w:rFonts w:ascii="Times New Roman" w:hAnsi="Times New Roman" w:cs="Times New Roman"/>
          <w:b/>
        </w:rPr>
      </w:pPr>
    </w:p>
    <w:p w:rsidR="00CB350B" w:rsidP="00CB350B">
      <w:pPr>
        <w:bidi w:val="0"/>
        <w:jc w:val="both"/>
        <w:rPr>
          <w:rFonts w:ascii="Times New Roman" w:hAnsi="Times New Roman" w:cs="Times New Roman"/>
          <w:b/>
        </w:rPr>
      </w:pPr>
    </w:p>
    <w:p w:rsidR="00CB350B" w:rsidP="00CB350B">
      <w:pPr>
        <w:bidi w:val="0"/>
        <w:jc w:val="both"/>
        <w:rPr>
          <w:rFonts w:ascii="Times New Roman" w:hAnsi="Times New Roman" w:cs="Times New Roman"/>
          <w:b/>
        </w:rPr>
      </w:pPr>
    </w:p>
    <w:p w:rsidR="00CB350B" w:rsidP="00CB350B">
      <w:pPr>
        <w:bidi w:val="0"/>
        <w:jc w:val="both"/>
        <w:rPr>
          <w:rFonts w:ascii="Times New Roman" w:hAnsi="Times New Roman" w:cs="Times New Roman"/>
          <w:b/>
        </w:rPr>
      </w:pPr>
    </w:p>
    <w:p w:rsidR="00CB350B" w:rsidP="00CB350B">
      <w:pPr>
        <w:bidi w:val="0"/>
        <w:jc w:val="both"/>
        <w:rPr>
          <w:rFonts w:ascii="Times New Roman" w:hAnsi="Times New Roman" w:cs="Times New Roman"/>
          <w:b/>
        </w:rPr>
      </w:pPr>
    </w:p>
    <w:p w:rsidR="00CB350B" w:rsidP="00CB350B">
      <w:pPr>
        <w:bidi w:val="0"/>
        <w:jc w:val="both"/>
        <w:rPr>
          <w:rFonts w:ascii="Times New Roman" w:hAnsi="Times New Roman" w:cs="Times New Roman"/>
          <w:b/>
        </w:rPr>
      </w:pPr>
    </w:p>
    <w:p w:rsidR="00CB350B" w:rsidP="00CB350B">
      <w:pPr>
        <w:bidi w:val="0"/>
        <w:jc w:val="both"/>
        <w:rPr>
          <w:rFonts w:ascii="Times New Roman" w:hAnsi="Times New Roman" w:cs="Times New Roman"/>
          <w:b/>
        </w:rPr>
      </w:pPr>
    </w:p>
    <w:p w:rsidR="00CB350B" w:rsidP="00CB350B">
      <w:pPr>
        <w:bidi w:val="0"/>
        <w:jc w:val="both"/>
        <w:rPr>
          <w:rFonts w:ascii="Times New Roman" w:hAnsi="Times New Roman" w:cs="Times New Roman"/>
          <w:b/>
        </w:rPr>
      </w:pPr>
    </w:p>
    <w:p w:rsidR="00CB350B" w:rsidP="00CB350B">
      <w:pPr>
        <w:bidi w:val="0"/>
        <w:jc w:val="both"/>
        <w:rPr>
          <w:rFonts w:ascii="Times New Roman" w:hAnsi="Times New Roman" w:cs="Times New Roman"/>
          <w:b/>
        </w:rPr>
      </w:pPr>
    </w:p>
    <w:p w:rsidR="00CB350B" w:rsidP="00CB350B">
      <w:pPr>
        <w:bidi w:val="0"/>
        <w:jc w:val="both"/>
        <w:rPr>
          <w:rFonts w:ascii="Times New Roman" w:hAnsi="Times New Roman" w:cs="Times New Roman"/>
          <w:b/>
        </w:rPr>
      </w:pPr>
    </w:p>
    <w:p w:rsidR="00CB350B" w:rsidP="00CB350B">
      <w:pPr>
        <w:bidi w:val="0"/>
        <w:jc w:val="both"/>
        <w:rPr>
          <w:rFonts w:ascii="Times New Roman" w:hAnsi="Times New Roman" w:cs="Times New Roman"/>
          <w:b/>
        </w:rPr>
      </w:pPr>
    </w:p>
    <w:p w:rsidR="00CB350B" w:rsidP="00CB350B">
      <w:pPr>
        <w:bidi w:val="0"/>
        <w:jc w:val="both"/>
        <w:rPr>
          <w:rFonts w:ascii="Times New Roman" w:hAnsi="Times New Roman" w:cs="Times New Roman"/>
          <w:b/>
        </w:rPr>
      </w:pPr>
    </w:p>
    <w:p w:rsidR="00CB350B" w:rsidP="00CB350B">
      <w:pPr>
        <w:bidi w:val="0"/>
        <w:jc w:val="both"/>
        <w:rPr>
          <w:rFonts w:ascii="Times New Roman" w:hAnsi="Times New Roman" w:cs="Times New Roman"/>
          <w:b/>
        </w:rPr>
      </w:pPr>
    </w:p>
    <w:p w:rsidR="00CB350B" w:rsidP="00CB350B">
      <w:pPr>
        <w:bidi w:val="0"/>
        <w:jc w:val="both"/>
        <w:rPr>
          <w:rFonts w:ascii="Times New Roman" w:hAnsi="Times New Roman" w:cs="Times New Roman"/>
          <w:b/>
        </w:rPr>
      </w:pPr>
    </w:p>
    <w:p w:rsidR="00CB350B" w:rsidP="00CB350B">
      <w:pPr>
        <w:bidi w:val="0"/>
        <w:jc w:val="both"/>
        <w:rPr>
          <w:rFonts w:ascii="Times New Roman" w:hAnsi="Times New Roman" w:cs="Times New Roman"/>
          <w:b/>
        </w:rPr>
      </w:pPr>
    </w:p>
    <w:p w:rsidR="00CB350B" w:rsidP="00CB350B">
      <w:pPr>
        <w:bidi w:val="0"/>
        <w:jc w:val="both"/>
        <w:rPr>
          <w:rFonts w:ascii="Times New Roman" w:hAnsi="Times New Roman" w:cs="Times New Roman"/>
          <w:b/>
        </w:rPr>
      </w:pPr>
    </w:p>
    <w:p w:rsidR="00CB350B" w:rsidP="00CB350B">
      <w:pPr>
        <w:bidi w:val="0"/>
        <w:jc w:val="both"/>
        <w:rPr>
          <w:rFonts w:ascii="Times New Roman" w:hAnsi="Times New Roman" w:cs="Times New Roman"/>
          <w:b/>
        </w:rPr>
      </w:pPr>
    </w:p>
    <w:p w:rsidR="00CB350B" w:rsidRPr="0004638E" w:rsidP="00CB350B">
      <w:pPr>
        <w:bidi w:val="0"/>
        <w:jc w:val="both"/>
        <w:rPr>
          <w:rFonts w:ascii="Times New Roman" w:hAnsi="Times New Roman" w:cs="Times New Roman"/>
          <w:b/>
        </w:rPr>
      </w:pPr>
      <w:r w:rsidRPr="0004638E">
        <w:rPr>
          <w:rFonts w:ascii="Times New Roman" w:hAnsi="Times New Roman" w:cs="Times New Roman"/>
          <w:b/>
        </w:rPr>
        <w:t>Príspevky do medzinárodných organizácií</w:t>
      </w:r>
    </w:p>
    <w:p w:rsidR="00CB350B" w:rsidRPr="0004638E" w:rsidP="00CB350B">
      <w:pPr>
        <w:bidi w:val="0"/>
        <w:jc w:val="both"/>
        <w:rPr>
          <w:rFonts w:ascii="Times New Roman" w:hAnsi="Times New Roman" w:cs="Times New Roman"/>
        </w:rPr>
      </w:pPr>
    </w:p>
    <w:tbl>
      <w:tblPr>
        <w:tblStyle w:val="TableNormal"/>
        <w:tblW w:w="5000" w:type="pct"/>
        <w:tblLayout w:type="fixed"/>
        <w:tblCellMar>
          <w:left w:w="70" w:type="dxa"/>
          <w:right w:w="70" w:type="dxa"/>
        </w:tblCellMar>
        <w:tblLook w:val="04A0"/>
      </w:tblPr>
      <w:tblGrid>
        <w:gridCol w:w="3614"/>
        <w:gridCol w:w="799"/>
        <w:gridCol w:w="799"/>
        <w:gridCol w:w="800"/>
        <w:gridCol w:w="800"/>
        <w:gridCol w:w="800"/>
        <w:gridCol w:w="800"/>
        <w:gridCol w:w="800"/>
      </w:tblGrid>
      <w:tr>
        <w:tblPrEx>
          <w:tblW w:w="5000" w:type="pct"/>
          <w:tblLayout w:type="fixed"/>
          <w:tblCellMar>
            <w:left w:w="70" w:type="dxa"/>
            <w:right w:w="70" w:type="dxa"/>
          </w:tblCellMar>
          <w:tblLook w:val="04A0"/>
        </w:tblPrEx>
        <w:trPr>
          <w:trHeight w:val="261"/>
        </w:trPr>
        <w:tc>
          <w:tcPr>
            <w:tcW w:w="1962"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 v eurách</w:t>
            </w:r>
          </w:p>
        </w:tc>
        <w:tc>
          <w:tcPr>
            <w:tcW w:w="434" w:type="pct"/>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2009 S</w:t>
            </w:r>
          </w:p>
        </w:tc>
        <w:tc>
          <w:tcPr>
            <w:tcW w:w="434"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2010 S</w:t>
            </w:r>
          </w:p>
        </w:tc>
        <w:tc>
          <w:tcPr>
            <w:tcW w:w="434"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2011 R</w:t>
            </w:r>
          </w:p>
        </w:tc>
        <w:tc>
          <w:tcPr>
            <w:tcW w:w="434"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 xml:space="preserve">2011 OS </w:t>
            </w:r>
          </w:p>
        </w:tc>
        <w:tc>
          <w:tcPr>
            <w:tcW w:w="434" w:type="pct"/>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2012 N</w:t>
            </w:r>
          </w:p>
        </w:tc>
        <w:tc>
          <w:tcPr>
            <w:tcW w:w="434" w:type="pct"/>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2013 N</w:t>
            </w:r>
          </w:p>
        </w:tc>
        <w:tc>
          <w:tcPr>
            <w:tcW w:w="434"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2014 N</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Príspevky SR do medzinárodných organizácií</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10 511 439</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4 063 450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10 792 324</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11 610 440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12 231 898</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12 792 487</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lang w:eastAsia="sk-SK"/>
              </w:rPr>
            </w:pPr>
            <w:r w:rsidRPr="005A6E2D">
              <w:rPr>
                <w:rFonts w:ascii="Times New Roman" w:hAnsi="Times New Roman" w:cs="Times New Roman"/>
                <w:b/>
                <w:bCs/>
                <w:sz w:val="14"/>
                <w:szCs w:val="14"/>
                <w:lang w:eastAsia="sk-SK"/>
              </w:rPr>
              <w:t>14 076 751</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sz w:val="14"/>
                <w:szCs w:val="14"/>
                <w:lang w:eastAsia="sk-SK"/>
              </w:rPr>
            </w:pPr>
            <w:r w:rsidRPr="005A6E2D">
              <w:rPr>
                <w:rFonts w:ascii="Times New Roman" w:hAnsi="Times New Roman" w:cs="Times New Roman"/>
                <w:sz w:val="14"/>
                <w:szCs w:val="14"/>
                <w:lang w:eastAsia="sk-SK"/>
              </w:rPr>
              <w:t xml:space="preserve">    v tom:</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 </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 </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 </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 </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 </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 </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 </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sz w:val="14"/>
                <w:szCs w:val="14"/>
                <w:lang w:eastAsia="sk-SK"/>
              </w:rPr>
            </w:pPr>
            <w:r w:rsidRPr="005A6E2D">
              <w:rPr>
                <w:rFonts w:ascii="Times New Roman" w:hAnsi="Times New Roman" w:cs="Times New Roman"/>
                <w:sz w:val="14"/>
                <w:szCs w:val="14"/>
                <w:lang w:eastAsia="sk-SK"/>
              </w:rPr>
              <w:t>Rekonštrukcia sídla NATO</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448 006</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818 116</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1 332 574</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1 893 163</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3 177 427</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Medzinárodný Vyšehradský fond</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2 750 000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1 500 000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1 500 000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1 500 000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1 500 000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1 500 000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Org.pre hosp. spol. a rozvoj (OECD) celkom</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1 245 391</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275 979</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888 000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888 000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995 000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995 000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995 000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Stredoeurópska iniciatíva (CEI)</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19 800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19 800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19 800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19 800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19 800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19 800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19 800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Úrad vys.pred.pre Bosnu a Herceg.</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11 184</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10 002</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10 000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10 000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10 000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10 000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10 000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Rada Európy (RE) celkom</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1 044 797</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1 150 000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1 150 000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1 150 000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1 150 000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1 150 000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ITF - Holokaust</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60 000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30 000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30 000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30 000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30 000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30 000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30 000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Úrad vys. pred. pre ľudské práva</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7 500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7 500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7 500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7 500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7 500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Wassenaarske usporiadanie (WA)</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1 794</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1 831</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1 900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1 900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1 900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1 900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1 900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Org. pre bezp. a spolupr. v Európe (OBSE)</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261 086</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264 270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260 000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260 000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260 000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260 000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260 000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Spol.konzult.skupina o otvorenom nebi (KK ZON)</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2 713</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4 464</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4 000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4 000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4 000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4 000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4 000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xml:space="preserve">ASEF - The Asia-Europe Foundation </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21 324</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21 324</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21 324</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21 324</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21 324</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Medzinárodné trestné tribunály celkom</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185 005</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90 519</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360 000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360 000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360 000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360 000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360 000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Inštitút pre bezpečnostné štúdie EÚ</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21 513</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25 214</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26 000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26 000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26 000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26 000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26 000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NATO - civilný rozpočet celkom</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655 232</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299 330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857 000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857 000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857 000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857 000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857 000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Org. spojených národov (OSN) - rozpočet</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2 211 652</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1 232 945</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2 355 000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2 355 000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2 355 000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2 355 000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2 355 000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Org. spojených národov (OSN) - mierové operácie</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1 666 973</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646 810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2 420 000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2 420 000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2 420 000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2 420 000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2 420 000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Medzinárodný výbor Červeného kríža (ICRC)</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47 071</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24 400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24 400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24 400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24 400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24 400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Fond svetového dedičstva UNESCO celkom</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152 503</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400 682</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396 650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396 650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396 650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396 650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396 650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Medzinárodná organizácia Frankofónie (IOF)</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2 154</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2 208</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2 446</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2 446</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2 446</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2 446</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2 446</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Org. spojených národov - ostatné (OSN)</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50 681</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28 270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344 980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344 980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344 980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344 980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344 980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OZOG (Odbor pre kontrolu zbrojenia, odzbrojenie a globálne výzvy)</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11 000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11 000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11 000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11 000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11 000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Medzinárodný trestný súd - výstavba sídla ICC v Haagu</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49 799</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209 220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100 000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100 000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100 000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100 000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100 000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sz w:val="14"/>
                <w:szCs w:val="14"/>
                <w:lang w:eastAsia="sk-SK"/>
              </w:rPr>
            </w:pPr>
            <w:r w:rsidRPr="005A6E2D">
              <w:rPr>
                <w:rFonts w:ascii="Times New Roman" w:hAnsi="Times New Roman" w:cs="Times New Roman"/>
                <w:sz w:val="14"/>
                <w:szCs w:val="14"/>
                <w:lang w:eastAsia="sk-SK"/>
              </w:rPr>
              <w:t>Dohovor o zákazoch alebo obmedzeniach určitých konven. zbraní CCW</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364</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735</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sz w:val="14"/>
                <w:szCs w:val="14"/>
                <w:lang w:eastAsia="sk-SK"/>
              </w:rPr>
            </w:pPr>
            <w:r w:rsidRPr="005A6E2D">
              <w:rPr>
                <w:rFonts w:ascii="Times New Roman" w:hAnsi="Times New Roman" w:cs="Times New Roman"/>
                <w:sz w:val="14"/>
                <w:szCs w:val="14"/>
                <w:lang w:eastAsia="sk-SK"/>
              </w:rPr>
              <w:t>Medzinárodný inštitút pre unifikáciu súkromného práva UNIDROIT</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12 250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12 250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sz w:val="14"/>
                <w:szCs w:val="14"/>
                <w:lang w:eastAsia="sk-SK"/>
              </w:rPr>
            </w:pPr>
            <w:r w:rsidRPr="005A6E2D">
              <w:rPr>
                <w:rFonts w:ascii="Times New Roman" w:hAnsi="Times New Roman" w:cs="Times New Roman"/>
                <w:sz w:val="14"/>
                <w:szCs w:val="14"/>
                <w:lang w:eastAsia="sk-SK"/>
              </w:rPr>
              <w:t>Medzinárodná humanitárna komisia pre zisťovanie faktov IHFFC</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367</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sz w:val="14"/>
                <w:szCs w:val="14"/>
                <w:lang w:eastAsia="sk-SK"/>
              </w:rPr>
            </w:pPr>
            <w:r w:rsidRPr="005A6E2D">
              <w:rPr>
                <w:rFonts w:ascii="Times New Roman" w:hAnsi="Times New Roman" w:cs="Times New Roman"/>
                <w:sz w:val="14"/>
                <w:szCs w:val="14"/>
                <w:lang w:eastAsia="sk-SK"/>
              </w:rPr>
              <w:t>Medzinárodný tribunál pre morské právo ITLOS</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6 457</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17 517</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sz w:val="14"/>
                <w:szCs w:val="14"/>
                <w:lang w:eastAsia="sk-SK"/>
              </w:rPr>
            </w:pPr>
            <w:r w:rsidRPr="005A6E2D">
              <w:rPr>
                <w:rFonts w:ascii="Times New Roman" w:hAnsi="Times New Roman" w:cs="Times New Roman"/>
                <w:sz w:val="14"/>
                <w:szCs w:val="14"/>
                <w:lang w:eastAsia="sk-SK"/>
              </w:rPr>
              <w:t>Stály arbitrážny dvor SAD</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3 204</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3 237</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sz w:val="14"/>
                <w:szCs w:val="14"/>
                <w:lang w:eastAsia="sk-SK"/>
              </w:rPr>
            </w:pPr>
            <w:r w:rsidRPr="005A6E2D">
              <w:rPr>
                <w:rFonts w:ascii="Times New Roman" w:hAnsi="Times New Roman" w:cs="Times New Roman"/>
                <w:sz w:val="14"/>
                <w:szCs w:val="14"/>
                <w:lang w:eastAsia="sk-SK"/>
              </w:rPr>
              <w:t>UNIFEM Rozvojový fond pre ženy</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6 863</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sz w:val="14"/>
                <w:szCs w:val="14"/>
                <w:lang w:eastAsia="sk-SK"/>
              </w:rPr>
            </w:pPr>
            <w:r w:rsidRPr="005A6E2D">
              <w:rPr>
                <w:rFonts w:ascii="Times New Roman" w:hAnsi="Times New Roman" w:cs="Times New Roman"/>
                <w:sz w:val="14"/>
                <w:szCs w:val="14"/>
                <w:lang w:eastAsia="sk-SK"/>
              </w:rPr>
              <w:t>Aliancia civilizácií</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6 863</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textDirection w:val="lrTb"/>
            <w:vAlign w:val="bottom"/>
            <w:hideMark/>
          </w:tcPr>
          <w:p w:rsidR="00CB350B" w:rsidRPr="005A6E2D" w:rsidP="00257E12">
            <w:pPr>
              <w:bidi w:val="0"/>
              <w:rPr>
                <w:rFonts w:ascii="Times New Roman" w:hAnsi="Times New Roman" w:cs="Times New Roman"/>
                <w:sz w:val="14"/>
                <w:szCs w:val="14"/>
                <w:lang w:eastAsia="sk-SK"/>
              </w:rPr>
            </w:pPr>
            <w:r w:rsidRPr="005A6E2D">
              <w:rPr>
                <w:rFonts w:ascii="Times New Roman" w:hAnsi="Times New Roman" w:cs="Times New Roman"/>
                <w:sz w:val="14"/>
                <w:szCs w:val="14"/>
                <w:lang w:eastAsia="sk-SK"/>
              </w:rPr>
              <w:t>Dohovor o zákaze použitia, skladovania, výroby a transfer protipechotných mín a o ich zničení</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572</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textDirection w:val="lrTb"/>
            <w:vAlign w:val="bottom"/>
            <w:hideMark/>
          </w:tcPr>
          <w:p w:rsidR="00CB350B" w:rsidRPr="005A6E2D" w:rsidP="00257E12">
            <w:pPr>
              <w:bidi w:val="0"/>
              <w:rPr>
                <w:rFonts w:ascii="Times New Roman" w:hAnsi="Times New Roman" w:cs="Times New Roman"/>
                <w:sz w:val="14"/>
                <w:szCs w:val="14"/>
                <w:lang w:eastAsia="sk-SK"/>
              </w:rPr>
            </w:pPr>
            <w:r w:rsidRPr="005A6E2D">
              <w:rPr>
                <w:rFonts w:ascii="Times New Roman" w:hAnsi="Times New Roman" w:cs="Times New Roman"/>
                <w:sz w:val="14"/>
                <w:szCs w:val="14"/>
                <w:lang w:eastAsia="sk-SK"/>
              </w:rPr>
              <w:t>Spoločná konzultatívna skupina Zmluvy o konvenčných ozbrojených silách v Európe</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3 929</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6 160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sz w:val="14"/>
                <w:szCs w:val="14"/>
                <w:lang w:eastAsia="sk-SK"/>
              </w:rPr>
            </w:pPr>
            <w:r w:rsidRPr="005A6E2D">
              <w:rPr>
                <w:rFonts w:ascii="Times New Roman" w:hAnsi="Times New Roman" w:cs="Times New Roman"/>
                <w:sz w:val="14"/>
                <w:szCs w:val="14"/>
                <w:lang w:eastAsia="sk-SK"/>
              </w:rPr>
              <w:t>Svetový potravinový program WFP</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10 295</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10 750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sz w:val="14"/>
                <w:szCs w:val="14"/>
                <w:lang w:eastAsia="sk-SK"/>
              </w:rPr>
            </w:pPr>
            <w:r w:rsidRPr="005A6E2D">
              <w:rPr>
                <w:rFonts w:ascii="Times New Roman" w:hAnsi="Times New Roman" w:cs="Times New Roman"/>
                <w:sz w:val="14"/>
                <w:szCs w:val="14"/>
                <w:lang w:eastAsia="sk-SK"/>
              </w:rPr>
              <w:t>Haagska konferencia medzinárodného súkromného práva HKMPS</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16 617</w:t>
            </w:r>
          </w:p>
        </w:tc>
        <w:tc>
          <w:tcPr>
            <w:tcW w:w="43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18 677</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c>
          <w:tcPr>
            <w:tcW w:w="43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r>
      <w:tr>
        <w:tblPrEx>
          <w:tblW w:w="5000" w:type="pct"/>
          <w:tblLayout w:type="fixed"/>
          <w:tblCellMar>
            <w:left w:w="70" w:type="dxa"/>
            <w:right w:w="70" w:type="dxa"/>
          </w:tblCellMar>
          <w:tblLook w:val="04A0"/>
        </w:tblPrEx>
        <w:trPr>
          <w:trHeight w:val="261"/>
        </w:trPr>
        <w:tc>
          <w:tcPr>
            <w:tcW w:w="1962"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sz w:val="14"/>
                <w:szCs w:val="14"/>
                <w:lang w:eastAsia="sk-SK"/>
              </w:rPr>
            </w:pPr>
            <w:r w:rsidRPr="005A6E2D">
              <w:rPr>
                <w:rFonts w:ascii="Times New Roman" w:hAnsi="Times New Roman" w:cs="Times New Roman"/>
                <w:sz w:val="14"/>
                <w:szCs w:val="14"/>
                <w:lang w:eastAsia="sk-SK"/>
              </w:rPr>
              <w:t>DCAF - Democratic Control of Armed Forces</w:t>
            </w:r>
          </w:p>
        </w:tc>
        <w:tc>
          <w:tcPr>
            <w:tcW w:w="434" w:type="pct"/>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p>
        </w:tc>
        <w:tc>
          <w:tcPr>
            <w:tcW w:w="434" w:type="pct"/>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lang w:eastAsia="sk-SK"/>
              </w:rPr>
            </w:pPr>
            <w:r w:rsidRPr="005A6E2D">
              <w:rPr>
                <w:rFonts w:ascii="Times New Roman" w:hAnsi="Times New Roman" w:cs="Times New Roman"/>
                <w:sz w:val="14"/>
                <w:szCs w:val="14"/>
                <w:lang w:eastAsia="sk-SK"/>
              </w:rPr>
              <w:t>4 000</w:t>
            </w:r>
          </w:p>
        </w:tc>
        <w:tc>
          <w:tcPr>
            <w:tcW w:w="434"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c>
          <w:tcPr>
            <w:tcW w:w="434"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c>
          <w:tcPr>
            <w:tcW w:w="434"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c>
          <w:tcPr>
            <w:tcW w:w="434"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c>
          <w:tcPr>
            <w:tcW w:w="434"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0</w:t>
            </w:r>
          </w:p>
        </w:tc>
      </w:tr>
      <w:tr>
        <w:tblPrEx>
          <w:tblW w:w="5000" w:type="pct"/>
          <w:tblLayout w:type="fixed"/>
          <w:tblCellMar>
            <w:left w:w="70" w:type="dxa"/>
            <w:right w:w="70" w:type="dxa"/>
          </w:tblCellMar>
          <w:tblLook w:val="04A0"/>
        </w:tblPrEx>
        <w:trPr>
          <w:trHeight w:val="261"/>
        </w:trPr>
        <w:tc>
          <w:tcPr>
            <w:tcW w:w="1962"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xml:space="preserve"> + súvisiace bankové poplatky v 630</w:t>
            </w:r>
          </w:p>
        </w:tc>
        <w:tc>
          <w:tcPr>
            <w:tcW w:w="434" w:type="pct"/>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4309</w:t>
            </w:r>
          </w:p>
        </w:tc>
        <w:tc>
          <w:tcPr>
            <w:tcW w:w="434" w:type="pct"/>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575</w:t>
            </w:r>
          </w:p>
        </w:tc>
        <w:tc>
          <w:tcPr>
            <w:tcW w:w="434"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2324</w:t>
            </w:r>
          </w:p>
        </w:tc>
        <w:tc>
          <w:tcPr>
            <w:tcW w:w="434"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2324</w:t>
            </w:r>
          </w:p>
        </w:tc>
        <w:tc>
          <w:tcPr>
            <w:tcW w:w="434"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2324</w:t>
            </w:r>
          </w:p>
        </w:tc>
        <w:tc>
          <w:tcPr>
            <w:tcW w:w="434"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2324</w:t>
            </w:r>
          </w:p>
        </w:tc>
        <w:tc>
          <w:tcPr>
            <w:tcW w:w="434"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2324</w:t>
            </w:r>
          </w:p>
        </w:tc>
      </w:tr>
    </w:tbl>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V rámci oblasti diplomaci</w:t>
      </w:r>
      <w:r>
        <w:rPr>
          <w:rFonts w:ascii="Times New Roman" w:hAnsi="Times New Roman" w:cs="Times New Roman"/>
        </w:rPr>
        <w:t>e</w:t>
      </w:r>
      <w:r w:rsidRPr="0004638E">
        <w:rPr>
          <w:rFonts w:ascii="Times New Roman" w:hAnsi="Times New Roman" w:cs="Times New Roman"/>
        </w:rPr>
        <w:t xml:space="preserve"> sa zohľadnili aj výdavky v oblasti poplatkov a príspevkov za členstvo SR v medzinárodných organizáciách. Transfer na úhradu členských príspevkov bol </w:t>
      </w:r>
      <w:r>
        <w:rPr>
          <w:rFonts w:ascii="Times New Roman" w:hAnsi="Times New Roman" w:cs="Times New Roman"/>
        </w:rPr>
        <w:t>na</w:t>
      </w:r>
      <w:r w:rsidRPr="0004638E">
        <w:rPr>
          <w:rFonts w:ascii="Times New Roman" w:hAnsi="Times New Roman" w:cs="Times New Roman"/>
        </w:rPr>
        <w:t> rok 2012 zvýšený o 1,44 mil. eur, t.</w:t>
      </w:r>
      <w:r>
        <w:rPr>
          <w:rFonts w:ascii="Times New Roman" w:hAnsi="Times New Roman" w:cs="Times New Roman"/>
        </w:rPr>
        <w:t xml:space="preserve"> </w:t>
      </w:r>
      <w:r w:rsidRPr="0004638E">
        <w:rPr>
          <w:rFonts w:ascii="Times New Roman" w:hAnsi="Times New Roman" w:cs="Times New Roman"/>
        </w:rPr>
        <w:t xml:space="preserve">j. 13,3 %, a to v dôsledku nárastu príspevku SR do OECD v sume 107 tis. eur, ale najmä z dôvodu plánovaného transferu na výstavbu nového sídla NATO </w:t>
      </w:r>
      <w:r>
        <w:rPr>
          <w:rFonts w:ascii="Times New Roman" w:hAnsi="Times New Roman" w:cs="Times New Roman"/>
        </w:rPr>
        <w:t>na</w:t>
      </w:r>
      <w:r w:rsidRPr="0004638E">
        <w:rPr>
          <w:rFonts w:ascii="Times New Roman" w:hAnsi="Times New Roman" w:cs="Times New Roman"/>
        </w:rPr>
        <w:t xml:space="preserve"> rok 2012 v sume 1,33 mil. eur.</w:t>
      </w:r>
    </w:p>
    <w:p w:rsidR="00CB350B" w:rsidP="00CB350B">
      <w:pPr>
        <w:bidi w:val="0"/>
      </w:pPr>
    </w:p>
    <w:p w:rsidR="00CB350B" w:rsidP="00CB350B">
      <w:pPr>
        <w:bidi w:val="0"/>
      </w:pPr>
    </w:p>
    <w:p w:rsidR="00CB350B" w:rsidRPr="0004638E" w:rsidP="00CB350B">
      <w:pPr>
        <w:pBdr>
          <w:bottom w:val="single" w:sz="4" w:space="1" w:color="auto"/>
        </w:pBdr>
        <w:bidi w:val="0"/>
        <w:jc w:val="both"/>
        <w:rPr>
          <w:rFonts w:ascii="Times New Roman" w:hAnsi="Times New Roman" w:cs="Times New Roman"/>
          <w:b/>
          <w:bCs/>
        </w:rPr>
      </w:pPr>
      <w:r w:rsidRPr="0004638E">
        <w:rPr>
          <w:rFonts w:ascii="Times New Roman" w:hAnsi="Times New Roman" w:cs="Times New Roman"/>
          <w:b/>
        </w:rPr>
        <w:t xml:space="preserve">Kancelária Národnej rady SR </w:t>
      </w:r>
    </w:p>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color w:val="000000"/>
        </w:rPr>
      </w:pPr>
      <w:r w:rsidRPr="0004638E">
        <w:rPr>
          <w:rFonts w:ascii="Times New Roman" w:hAnsi="Times New Roman" w:cs="Times New Roman"/>
          <w:color w:val="000000"/>
        </w:rPr>
        <w:t>V rozpočte Kancelárie Národnej rady SR sú zahrnuté výdavky na činnosť poslancov a výborov NR SR, vrátane odmien asistentom poslancov, výdavkov na prevádzku poslaneckých pracovní v areáli NR SR, ako aj kancelárií vo vybraných sídlach v rámci územia SR, výdavky na ubytovanie poslancov mimo ubytovacieho zariadenia NR SR a výdavky na činnosť poslaneckých klubov.</w:t>
      </w:r>
    </w:p>
    <w:p w:rsidR="00CB350B" w:rsidRPr="0004638E" w:rsidP="00CB350B">
      <w:pPr>
        <w:bidi w:val="0"/>
        <w:ind w:firstLine="708"/>
        <w:jc w:val="both"/>
        <w:rPr>
          <w:rFonts w:ascii="Times New Roman" w:hAnsi="Times New Roman" w:cs="Times New Roman"/>
          <w:color w:val="000000"/>
        </w:rPr>
      </w:pPr>
    </w:p>
    <w:tbl>
      <w:tblPr>
        <w:tblStyle w:val="TableNormal"/>
        <w:tblW w:w="5000" w:type="pct"/>
        <w:tblCellMar>
          <w:left w:w="70" w:type="dxa"/>
          <w:right w:w="70" w:type="dxa"/>
        </w:tblCellMar>
        <w:tblLook w:val="04A0"/>
      </w:tblPr>
      <w:tblGrid>
        <w:gridCol w:w="2801"/>
        <w:gridCol w:w="898"/>
        <w:gridCol w:w="897"/>
        <w:gridCol w:w="897"/>
        <w:gridCol w:w="897"/>
        <w:gridCol w:w="941"/>
        <w:gridCol w:w="941"/>
        <w:gridCol w:w="940"/>
      </w:tblGrid>
      <w:tr>
        <w:tblPrEx>
          <w:tblW w:w="5000" w:type="pct"/>
          <w:tblCellMar>
            <w:left w:w="70" w:type="dxa"/>
            <w:right w:w="70" w:type="dxa"/>
          </w:tblCellMar>
          <w:tblLook w:val="04A0"/>
        </w:tblPrEx>
        <w:trPr>
          <w:trHeight w:val="259"/>
        </w:trPr>
        <w:tc>
          <w:tcPr>
            <w:tcW w:w="1520"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 v eurách</w:t>
            </w:r>
          </w:p>
        </w:tc>
        <w:tc>
          <w:tcPr>
            <w:tcW w:w="487"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2009 S</w:t>
            </w:r>
          </w:p>
        </w:tc>
        <w:tc>
          <w:tcPr>
            <w:tcW w:w="487"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2010S</w:t>
            </w:r>
          </w:p>
        </w:tc>
        <w:tc>
          <w:tcPr>
            <w:tcW w:w="487"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2011 R</w:t>
            </w:r>
          </w:p>
        </w:tc>
        <w:tc>
          <w:tcPr>
            <w:tcW w:w="487"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2011 OS</w:t>
            </w:r>
          </w:p>
        </w:tc>
        <w:tc>
          <w:tcPr>
            <w:tcW w:w="511"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2012 N</w:t>
            </w:r>
          </w:p>
        </w:tc>
        <w:tc>
          <w:tcPr>
            <w:tcW w:w="511"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2013 N</w:t>
            </w:r>
          </w:p>
        </w:tc>
        <w:tc>
          <w:tcPr>
            <w:tcW w:w="510"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2014 N</w:t>
            </w:r>
          </w:p>
        </w:tc>
      </w:tr>
      <w:tr>
        <w:tblPrEx>
          <w:tblW w:w="5000" w:type="pct"/>
          <w:tblCellMar>
            <w:left w:w="70" w:type="dxa"/>
            <w:right w:w="70" w:type="dxa"/>
          </w:tblCellMar>
          <w:tblLook w:val="04A0"/>
        </w:tblPrEx>
        <w:trPr>
          <w:trHeight w:val="259"/>
        </w:trPr>
        <w:tc>
          <w:tcPr>
            <w:tcW w:w="1520"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Zdroje príslušnej kapitoly</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color w:val="000000"/>
                <w:sz w:val="14"/>
                <w:szCs w:val="14"/>
              </w:rPr>
            </w:pPr>
            <w:r w:rsidRPr="005A6E2D">
              <w:rPr>
                <w:rFonts w:ascii="Times New Roman" w:hAnsi="Times New Roman" w:cs="Times New Roman"/>
                <w:b/>
                <w:color w:val="000000"/>
                <w:sz w:val="14"/>
                <w:szCs w:val="14"/>
              </w:rPr>
              <w:t>57 794 909</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color w:val="000000"/>
                <w:sz w:val="14"/>
                <w:szCs w:val="14"/>
              </w:rPr>
            </w:pPr>
            <w:r w:rsidRPr="005A6E2D">
              <w:rPr>
                <w:rFonts w:ascii="Times New Roman" w:hAnsi="Times New Roman" w:cs="Times New Roman"/>
                <w:b/>
                <w:color w:val="000000"/>
                <w:sz w:val="14"/>
                <w:szCs w:val="14"/>
              </w:rPr>
              <w:t>47 742 782</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color w:val="000000"/>
                <w:sz w:val="14"/>
                <w:szCs w:val="14"/>
              </w:rPr>
            </w:pPr>
            <w:r w:rsidRPr="005A6E2D">
              <w:rPr>
                <w:rFonts w:ascii="Times New Roman" w:hAnsi="Times New Roman" w:cs="Times New Roman"/>
                <w:b/>
                <w:color w:val="000000"/>
                <w:sz w:val="14"/>
                <w:szCs w:val="14"/>
              </w:rPr>
              <w:t>29 059 302</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color w:val="000000"/>
                <w:sz w:val="14"/>
                <w:szCs w:val="14"/>
              </w:rPr>
            </w:pPr>
            <w:r w:rsidRPr="005A6E2D">
              <w:rPr>
                <w:rFonts w:ascii="Times New Roman" w:hAnsi="Times New Roman" w:cs="Times New Roman"/>
                <w:b/>
                <w:color w:val="000000"/>
                <w:sz w:val="14"/>
                <w:szCs w:val="14"/>
              </w:rPr>
              <w:t>30 417 074</w:t>
            </w:r>
          </w:p>
        </w:tc>
        <w:tc>
          <w:tcPr>
            <w:tcW w:w="511" w:type="pct"/>
            <w:tcBorders>
              <w:top w:val="nil"/>
              <w:left w:val="nil"/>
              <w:bottom w:val="single" w:sz="4" w:space="0" w:color="auto"/>
              <w:right w:val="single" w:sz="4" w:space="0" w:color="auto"/>
            </w:tcBorders>
            <w:noWrap/>
            <w:textDirection w:val="lrTb"/>
            <w:vAlign w:val="bottom"/>
            <w:hideMark/>
          </w:tcPr>
          <w:p w:rsidR="00CB350B" w:rsidRPr="006720D0" w:rsidP="00257E12">
            <w:pPr>
              <w:bidi w:val="0"/>
              <w:jc w:val="right"/>
              <w:rPr>
                <w:rFonts w:ascii="Times New Roman" w:hAnsi="Times New Roman" w:cs="Times New Roman"/>
                <w:b/>
                <w:color w:val="000000"/>
                <w:sz w:val="14"/>
                <w:szCs w:val="14"/>
              </w:rPr>
            </w:pPr>
            <w:r w:rsidRPr="006720D0">
              <w:rPr>
                <w:rFonts w:ascii="Times New Roman" w:hAnsi="Times New Roman" w:cs="Times New Roman"/>
                <w:b/>
                <w:color w:val="000000"/>
                <w:sz w:val="14"/>
                <w:szCs w:val="14"/>
              </w:rPr>
              <w:t>23 898 665</w:t>
            </w:r>
          </w:p>
        </w:tc>
        <w:tc>
          <w:tcPr>
            <w:tcW w:w="511" w:type="pct"/>
            <w:tcBorders>
              <w:top w:val="nil"/>
              <w:left w:val="nil"/>
              <w:bottom w:val="single" w:sz="4" w:space="0" w:color="auto"/>
              <w:right w:val="single" w:sz="4" w:space="0" w:color="auto"/>
            </w:tcBorders>
            <w:noWrap/>
            <w:textDirection w:val="lrTb"/>
            <w:vAlign w:val="bottom"/>
            <w:hideMark/>
          </w:tcPr>
          <w:p w:rsidR="00CB350B" w:rsidRPr="006720D0" w:rsidP="00257E12">
            <w:pPr>
              <w:bidi w:val="0"/>
              <w:jc w:val="right"/>
              <w:rPr>
                <w:rFonts w:ascii="Times New Roman" w:hAnsi="Times New Roman" w:cs="Times New Roman"/>
                <w:b/>
                <w:color w:val="000000"/>
                <w:sz w:val="14"/>
                <w:szCs w:val="14"/>
              </w:rPr>
            </w:pPr>
            <w:r w:rsidRPr="006720D0">
              <w:rPr>
                <w:rFonts w:ascii="Times New Roman" w:hAnsi="Times New Roman" w:cs="Times New Roman"/>
                <w:b/>
                <w:color w:val="000000"/>
                <w:sz w:val="14"/>
                <w:szCs w:val="14"/>
              </w:rPr>
              <w:t>24 713 974</w:t>
            </w:r>
          </w:p>
        </w:tc>
        <w:tc>
          <w:tcPr>
            <w:tcW w:w="510" w:type="pct"/>
            <w:tcBorders>
              <w:top w:val="nil"/>
              <w:left w:val="nil"/>
              <w:bottom w:val="single" w:sz="4" w:space="0" w:color="auto"/>
              <w:right w:val="single" w:sz="4" w:space="0" w:color="auto"/>
            </w:tcBorders>
            <w:noWrap/>
            <w:textDirection w:val="lrTb"/>
            <w:vAlign w:val="bottom"/>
            <w:hideMark/>
          </w:tcPr>
          <w:p w:rsidR="00CB350B" w:rsidRPr="006720D0" w:rsidP="00257E12">
            <w:pPr>
              <w:bidi w:val="0"/>
              <w:jc w:val="right"/>
              <w:rPr>
                <w:rFonts w:ascii="Times New Roman" w:hAnsi="Times New Roman" w:cs="Times New Roman"/>
                <w:b/>
                <w:color w:val="000000"/>
                <w:sz w:val="14"/>
                <w:szCs w:val="14"/>
              </w:rPr>
            </w:pPr>
            <w:r w:rsidRPr="006720D0">
              <w:rPr>
                <w:rFonts w:ascii="Times New Roman" w:hAnsi="Times New Roman" w:cs="Times New Roman"/>
                <w:b/>
                <w:color w:val="000000"/>
                <w:sz w:val="14"/>
                <w:szCs w:val="14"/>
              </w:rPr>
              <w:t>26 723 531</w:t>
            </w:r>
          </w:p>
        </w:tc>
      </w:tr>
      <w:tr>
        <w:tblPrEx>
          <w:tblW w:w="5000" w:type="pct"/>
          <w:tblCellMar>
            <w:left w:w="70" w:type="dxa"/>
            <w:right w:w="70" w:type="dxa"/>
          </w:tblCellMar>
          <w:tblLook w:val="04A0"/>
        </w:tblPrEx>
        <w:trPr>
          <w:trHeight w:val="259"/>
        </w:trPr>
        <w:tc>
          <w:tcPr>
            <w:tcW w:w="1520"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z toho:</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w:t>
            </w:r>
          </w:p>
        </w:tc>
        <w:tc>
          <w:tcPr>
            <w:tcW w:w="511" w:type="pct"/>
            <w:tcBorders>
              <w:top w:val="nil"/>
              <w:left w:val="nil"/>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w:t>
            </w:r>
          </w:p>
        </w:tc>
        <w:tc>
          <w:tcPr>
            <w:tcW w:w="511" w:type="pct"/>
            <w:tcBorders>
              <w:top w:val="nil"/>
              <w:left w:val="nil"/>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w:t>
            </w:r>
          </w:p>
        </w:tc>
        <w:tc>
          <w:tcPr>
            <w:tcW w:w="510" w:type="pct"/>
            <w:tcBorders>
              <w:top w:val="nil"/>
              <w:left w:val="nil"/>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w:t>
            </w:r>
          </w:p>
        </w:tc>
      </w:tr>
      <w:tr>
        <w:tblPrEx>
          <w:tblW w:w="5000" w:type="pct"/>
          <w:tblCellMar>
            <w:left w:w="70" w:type="dxa"/>
            <w:right w:w="70" w:type="dxa"/>
          </w:tblCellMar>
          <w:tblLook w:val="04A0"/>
        </w:tblPrEx>
        <w:trPr>
          <w:trHeight w:val="259"/>
        </w:trPr>
        <w:tc>
          <w:tcPr>
            <w:tcW w:w="1520"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xml:space="preserve">rozpočtové zdroje kapitoly </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52 238 258</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46 598 684</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29 059 302</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29 059 302</w:t>
            </w:r>
          </w:p>
        </w:tc>
        <w:tc>
          <w:tcPr>
            <w:tcW w:w="511" w:type="pct"/>
            <w:tcBorders>
              <w:top w:val="nil"/>
              <w:left w:val="nil"/>
              <w:bottom w:val="single" w:sz="4" w:space="0" w:color="auto"/>
              <w:right w:val="single" w:sz="4" w:space="0" w:color="auto"/>
            </w:tcBorders>
            <w:noWrap/>
            <w:textDirection w:val="lrTb"/>
            <w:vAlign w:val="bottom"/>
            <w:hideMark/>
          </w:tcPr>
          <w:p w:rsidR="00CB350B" w:rsidRPr="002B2E0E" w:rsidP="00257E12">
            <w:pPr>
              <w:bidi w:val="0"/>
              <w:jc w:val="right"/>
              <w:rPr>
                <w:rFonts w:ascii="Times New Roman" w:hAnsi="Times New Roman" w:cs="Times New Roman"/>
                <w:color w:val="000000"/>
                <w:sz w:val="14"/>
                <w:szCs w:val="14"/>
              </w:rPr>
            </w:pPr>
            <w:r w:rsidRPr="002B2E0E">
              <w:rPr>
                <w:rFonts w:ascii="Times New Roman" w:hAnsi="Times New Roman" w:cs="Times New Roman"/>
                <w:color w:val="000000"/>
                <w:sz w:val="14"/>
                <w:szCs w:val="14"/>
              </w:rPr>
              <w:t>23 898 665</w:t>
            </w:r>
          </w:p>
        </w:tc>
        <w:tc>
          <w:tcPr>
            <w:tcW w:w="511" w:type="pct"/>
            <w:tcBorders>
              <w:top w:val="nil"/>
              <w:left w:val="nil"/>
              <w:bottom w:val="single" w:sz="4" w:space="0" w:color="auto"/>
              <w:right w:val="single" w:sz="4" w:space="0" w:color="auto"/>
            </w:tcBorders>
            <w:noWrap/>
            <w:textDirection w:val="lrTb"/>
            <w:vAlign w:val="bottom"/>
            <w:hideMark/>
          </w:tcPr>
          <w:p w:rsidR="00CB350B" w:rsidRPr="002B2E0E" w:rsidP="00257E12">
            <w:pPr>
              <w:bidi w:val="0"/>
              <w:jc w:val="right"/>
              <w:rPr>
                <w:rFonts w:ascii="Times New Roman" w:hAnsi="Times New Roman" w:cs="Times New Roman"/>
                <w:color w:val="000000"/>
                <w:sz w:val="14"/>
                <w:szCs w:val="14"/>
              </w:rPr>
            </w:pPr>
            <w:r w:rsidRPr="002B2E0E">
              <w:rPr>
                <w:rFonts w:ascii="Times New Roman" w:hAnsi="Times New Roman" w:cs="Times New Roman"/>
                <w:color w:val="000000"/>
                <w:sz w:val="14"/>
                <w:szCs w:val="14"/>
              </w:rPr>
              <w:t>24 713 974</w:t>
            </w:r>
          </w:p>
        </w:tc>
        <w:tc>
          <w:tcPr>
            <w:tcW w:w="510" w:type="pct"/>
            <w:tcBorders>
              <w:top w:val="nil"/>
              <w:left w:val="nil"/>
              <w:bottom w:val="single" w:sz="4" w:space="0" w:color="auto"/>
              <w:right w:val="single" w:sz="4" w:space="0" w:color="auto"/>
            </w:tcBorders>
            <w:noWrap/>
            <w:textDirection w:val="lrTb"/>
            <w:vAlign w:val="bottom"/>
            <w:hideMark/>
          </w:tcPr>
          <w:p w:rsidR="00CB350B" w:rsidRPr="002B2E0E" w:rsidP="00257E12">
            <w:pPr>
              <w:bidi w:val="0"/>
              <w:jc w:val="right"/>
              <w:rPr>
                <w:rFonts w:ascii="Times New Roman" w:hAnsi="Times New Roman" w:cs="Times New Roman"/>
                <w:color w:val="000000"/>
                <w:sz w:val="14"/>
                <w:szCs w:val="14"/>
              </w:rPr>
            </w:pPr>
            <w:r w:rsidRPr="002B2E0E">
              <w:rPr>
                <w:rFonts w:ascii="Times New Roman" w:hAnsi="Times New Roman" w:cs="Times New Roman"/>
                <w:color w:val="000000"/>
                <w:sz w:val="14"/>
                <w:szCs w:val="14"/>
              </w:rPr>
              <w:t>26 723 531</w:t>
            </w:r>
          </w:p>
        </w:tc>
      </w:tr>
      <w:tr>
        <w:tblPrEx>
          <w:tblW w:w="5000" w:type="pct"/>
          <w:tblCellMar>
            <w:left w:w="70" w:type="dxa"/>
            <w:right w:w="70" w:type="dxa"/>
          </w:tblCellMar>
          <w:tblLook w:val="04A0"/>
        </w:tblPrEx>
        <w:trPr>
          <w:trHeight w:val="259"/>
        </w:trPr>
        <w:tc>
          <w:tcPr>
            <w:tcW w:w="1520"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xml:space="preserve">    v tom: bežné výdavky  600</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27 911 547</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25 944 664</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23 657 310</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23 657 310</w:t>
            </w:r>
          </w:p>
        </w:tc>
        <w:tc>
          <w:tcPr>
            <w:tcW w:w="511" w:type="pct"/>
            <w:tcBorders>
              <w:top w:val="nil"/>
              <w:left w:val="nil"/>
              <w:bottom w:val="single" w:sz="4" w:space="0" w:color="auto"/>
              <w:right w:val="single" w:sz="4" w:space="0" w:color="auto"/>
            </w:tcBorders>
            <w:noWrap/>
            <w:textDirection w:val="lrTb"/>
            <w:vAlign w:val="bottom"/>
            <w:hideMark/>
          </w:tcPr>
          <w:p w:rsidR="00CB350B" w:rsidRPr="002B2E0E" w:rsidP="00257E12">
            <w:pPr>
              <w:bidi w:val="0"/>
              <w:jc w:val="right"/>
              <w:rPr>
                <w:rFonts w:ascii="Times New Roman" w:hAnsi="Times New Roman" w:cs="Times New Roman"/>
                <w:color w:val="000000"/>
                <w:sz w:val="14"/>
                <w:szCs w:val="14"/>
              </w:rPr>
            </w:pPr>
            <w:r w:rsidRPr="002B2E0E">
              <w:rPr>
                <w:rFonts w:ascii="Times New Roman" w:hAnsi="Times New Roman" w:cs="Times New Roman"/>
                <w:color w:val="000000"/>
                <w:sz w:val="14"/>
                <w:szCs w:val="14"/>
              </w:rPr>
              <w:t>23 566 673</w:t>
            </w:r>
          </w:p>
        </w:tc>
        <w:tc>
          <w:tcPr>
            <w:tcW w:w="511" w:type="pct"/>
            <w:tcBorders>
              <w:top w:val="nil"/>
              <w:left w:val="nil"/>
              <w:bottom w:val="single" w:sz="4" w:space="0" w:color="auto"/>
              <w:right w:val="single" w:sz="4" w:space="0" w:color="auto"/>
            </w:tcBorders>
            <w:noWrap/>
            <w:textDirection w:val="lrTb"/>
            <w:vAlign w:val="bottom"/>
            <w:hideMark/>
          </w:tcPr>
          <w:p w:rsidR="00CB350B" w:rsidRPr="002B2E0E" w:rsidP="00257E12">
            <w:pPr>
              <w:bidi w:val="0"/>
              <w:jc w:val="right"/>
              <w:rPr>
                <w:rFonts w:ascii="Times New Roman" w:hAnsi="Times New Roman" w:cs="Times New Roman"/>
                <w:color w:val="000000"/>
                <w:sz w:val="14"/>
                <w:szCs w:val="14"/>
              </w:rPr>
            </w:pPr>
            <w:r w:rsidRPr="002B2E0E">
              <w:rPr>
                <w:rFonts w:ascii="Times New Roman" w:hAnsi="Times New Roman" w:cs="Times New Roman"/>
                <w:color w:val="000000"/>
                <w:sz w:val="14"/>
                <w:szCs w:val="14"/>
              </w:rPr>
              <w:t>24 411 982</w:t>
            </w:r>
          </w:p>
        </w:tc>
        <w:tc>
          <w:tcPr>
            <w:tcW w:w="510" w:type="pct"/>
            <w:tcBorders>
              <w:top w:val="nil"/>
              <w:left w:val="nil"/>
              <w:bottom w:val="single" w:sz="4" w:space="0" w:color="auto"/>
              <w:right w:val="single" w:sz="4" w:space="0" w:color="auto"/>
            </w:tcBorders>
            <w:noWrap/>
            <w:textDirection w:val="lrTb"/>
            <w:vAlign w:val="bottom"/>
            <w:hideMark/>
          </w:tcPr>
          <w:p w:rsidR="00CB350B" w:rsidRPr="002B2E0E" w:rsidP="00257E12">
            <w:pPr>
              <w:bidi w:val="0"/>
              <w:jc w:val="right"/>
              <w:rPr>
                <w:rFonts w:ascii="Times New Roman" w:hAnsi="Times New Roman" w:cs="Times New Roman"/>
                <w:color w:val="000000"/>
                <w:sz w:val="14"/>
                <w:szCs w:val="14"/>
              </w:rPr>
            </w:pPr>
            <w:r w:rsidRPr="002B2E0E">
              <w:rPr>
                <w:rFonts w:ascii="Times New Roman" w:hAnsi="Times New Roman" w:cs="Times New Roman"/>
                <w:color w:val="000000"/>
                <w:sz w:val="14"/>
                <w:szCs w:val="14"/>
              </w:rPr>
              <w:t>25 758 539</w:t>
            </w:r>
          </w:p>
        </w:tc>
      </w:tr>
      <w:tr>
        <w:tblPrEx>
          <w:tblW w:w="5000" w:type="pct"/>
          <w:tblCellMar>
            <w:left w:w="70" w:type="dxa"/>
            <w:right w:w="70" w:type="dxa"/>
          </w:tblCellMar>
          <w:tblLook w:val="04A0"/>
        </w:tblPrEx>
        <w:trPr>
          <w:trHeight w:val="259"/>
        </w:trPr>
        <w:tc>
          <w:tcPr>
            <w:tcW w:w="1520"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xml:space="preserve">                                    610 mzdy</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12 690 451</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11 921 244</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11 335 557</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11 335 557</w:t>
            </w:r>
          </w:p>
        </w:tc>
        <w:tc>
          <w:tcPr>
            <w:tcW w:w="511" w:type="pct"/>
            <w:tcBorders>
              <w:top w:val="nil"/>
              <w:left w:val="nil"/>
              <w:bottom w:val="single" w:sz="4" w:space="0" w:color="auto"/>
              <w:right w:val="single" w:sz="4" w:space="0" w:color="auto"/>
            </w:tcBorders>
            <w:noWrap/>
            <w:textDirection w:val="lrTb"/>
            <w:vAlign w:val="bottom"/>
            <w:hideMark/>
          </w:tcPr>
          <w:p w:rsidR="00CB350B" w:rsidRPr="002B2E0E" w:rsidP="00257E12">
            <w:pPr>
              <w:bidi w:val="0"/>
              <w:jc w:val="right"/>
              <w:rPr>
                <w:rFonts w:ascii="Times New Roman" w:hAnsi="Times New Roman" w:cs="Times New Roman"/>
                <w:color w:val="000000"/>
                <w:sz w:val="14"/>
                <w:szCs w:val="14"/>
              </w:rPr>
            </w:pPr>
            <w:r w:rsidRPr="002B2E0E">
              <w:rPr>
                <w:rFonts w:ascii="Times New Roman" w:hAnsi="Times New Roman" w:cs="Times New Roman"/>
                <w:color w:val="000000"/>
                <w:sz w:val="14"/>
                <w:szCs w:val="14"/>
              </w:rPr>
              <w:t>11 752 848</w:t>
            </w:r>
          </w:p>
        </w:tc>
        <w:tc>
          <w:tcPr>
            <w:tcW w:w="511" w:type="pct"/>
            <w:tcBorders>
              <w:top w:val="nil"/>
              <w:left w:val="nil"/>
              <w:bottom w:val="single" w:sz="4" w:space="0" w:color="auto"/>
              <w:right w:val="single" w:sz="4" w:space="0" w:color="auto"/>
            </w:tcBorders>
            <w:noWrap/>
            <w:textDirection w:val="lrTb"/>
            <w:vAlign w:val="bottom"/>
            <w:hideMark/>
          </w:tcPr>
          <w:p w:rsidR="00CB350B" w:rsidRPr="002B2E0E" w:rsidP="00257E12">
            <w:pPr>
              <w:bidi w:val="0"/>
              <w:jc w:val="right"/>
              <w:rPr>
                <w:rFonts w:ascii="Times New Roman" w:hAnsi="Times New Roman" w:cs="Times New Roman"/>
                <w:color w:val="000000"/>
                <w:sz w:val="14"/>
                <w:szCs w:val="14"/>
              </w:rPr>
            </w:pPr>
            <w:r w:rsidRPr="002B2E0E">
              <w:rPr>
                <w:rFonts w:ascii="Times New Roman" w:hAnsi="Times New Roman" w:cs="Times New Roman"/>
                <w:color w:val="000000"/>
                <w:sz w:val="14"/>
                <w:szCs w:val="14"/>
              </w:rPr>
              <w:t>12 404 435</w:t>
            </w:r>
          </w:p>
        </w:tc>
        <w:tc>
          <w:tcPr>
            <w:tcW w:w="510" w:type="pct"/>
            <w:tcBorders>
              <w:top w:val="nil"/>
              <w:left w:val="nil"/>
              <w:bottom w:val="single" w:sz="4" w:space="0" w:color="auto"/>
              <w:right w:val="single" w:sz="4" w:space="0" w:color="auto"/>
            </w:tcBorders>
            <w:noWrap/>
            <w:textDirection w:val="lrTb"/>
            <w:vAlign w:val="bottom"/>
            <w:hideMark/>
          </w:tcPr>
          <w:p w:rsidR="00CB350B" w:rsidRPr="002B2E0E" w:rsidP="00257E12">
            <w:pPr>
              <w:bidi w:val="0"/>
              <w:jc w:val="right"/>
              <w:rPr>
                <w:rFonts w:ascii="Times New Roman" w:hAnsi="Times New Roman" w:cs="Times New Roman"/>
                <w:color w:val="000000"/>
                <w:sz w:val="14"/>
                <w:szCs w:val="14"/>
              </w:rPr>
            </w:pPr>
            <w:r w:rsidRPr="002B2E0E">
              <w:rPr>
                <w:rFonts w:ascii="Times New Roman" w:hAnsi="Times New Roman" w:cs="Times New Roman"/>
                <w:color w:val="000000"/>
                <w:sz w:val="14"/>
                <w:szCs w:val="14"/>
              </w:rPr>
              <w:t>12 797 435</w:t>
            </w:r>
          </w:p>
        </w:tc>
      </w:tr>
      <w:tr>
        <w:tblPrEx>
          <w:tblW w:w="5000" w:type="pct"/>
          <w:tblCellMar>
            <w:left w:w="70" w:type="dxa"/>
            <w:right w:w="70" w:type="dxa"/>
          </w:tblCellMar>
          <w:tblLook w:val="04A0"/>
        </w:tblPrEx>
        <w:trPr>
          <w:trHeight w:val="259"/>
        </w:trPr>
        <w:tc>
          <w:tcPr>
            <w:tcW w:w="1520"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xml:space="preserve">                                    620 odvody</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3 299 569</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3 194 320</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3 097 288</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3 085 816</w:t>
            </w:r>
          </w:p>
        </w:tc>
        <w:tc>
          <w:tcPr>
            <w:tcW w:w="511" w:type="pct"/>
            <w:tcBorders>
              <w:top w:val="nil"/>
              <w:left w:val="nil"/>
              <w:bottom w:val="single" w:sz="4" w:space="0" w:color="auto"/>
              <w:right w:val="single" w:sz="4" w:space="0" w:color="auto"/>
            </w:tcBorders>
            <w:noWrap/>
            <w:textDirection w:val="lrTb"/>
            <w:vAlign w:val="bottom"/>
            <w:hideMark/>
          </w:tcPr>
          <w:p w:rsidR="00CB350B" w:rsidRPr="002B2E0E" w:rsidP="00257E12">
            <w:pPr>
              <w:bidi w:val="0"/>
              <w:jc w:val="right"/>
              <w:rPr>
                <w:rFonts w:ascii="Times New Roman" w:hAnsi="Times New Roman" w:cs="Times New Roman"/>
                <w:color w:val="000000"/>
                <w:sz w:val="14"/>
                <w:szCs w:val="14"/>
              </w:rPr>
            </w:pPr>
            <w:r w:rsidRPr="002B2E0E">
              <w:rPr>
                <w:rFonts w:ascii="Times New Roman" w:hAnsi="Times New Roman" w:cs="Times New Roman"/>
                <w:color w:val="000000"/>
                <w:sz w:val="14"/>
                <w:szCs w:val="14"/>
              </w:rPr>
              <w:t>3 206 806</w:t>
            </w:r>
          </w:p>
        </w:tc>
        <w:tc>
          <w:tcPr>
            <w:tcW w:w="511" w:type="pct"/>
            <w:tcBorders>
              <w:top w:val="nil"/>
              <w:left w:val="nil"/>
              <w:bottom w:val="single" w:sz="4" w:space="0" w:color="auto"/>
              <w:right w:val="single" w:sz="4" w:space="0" w:color="auto"/>
            </w:tcBorders>
            <w:noWrap/>
            <w:textDirection w:val="lrTb"/>
            <w:vAlign w:val="bottom"/>
            <w:hideMark/>
          </w:tcPr>
          <w:p w:rsidR="00CB350B" w:rsidRPr="002B2E0E" w:rsidP="00257E12">
            <w:pPr>
              <w:bidi w:val="0"/>
              <w:jc w:val="right"/>
              <w:rPr>
                <w:rFonts w:ascii="Times New Roman" w:hAnsi="Times New Roman" w:cs="Times New Roman"/>
                <w:color w:val="000000"/>
                <w:sz w:val="14"/>
                <w:szCs w:val="14"/>
              </w:rPr>
            </w:pPr>
            <w:r w:rsidRPr="002B2E0E">
              <w:rPr>
                <w:rFonts w:ascii="Times New Roman" w:hAnsi="Times New Roman" w:cs="Times New Roman"/>
                <w:color w:val="000000"/>
                <w:sz w:val="14"/>
                <w:szCs w:val="14"/>
              </w:rPr>
              <w:t>3 400 528</w:t>
            </w:r>
          </w:p>
        </w:tc>
        <w:tc>
          <w:tcPr>
            <w:tcW w:w="510" w:type="pct"/>
            <w:tcBorders>
              <w:top w:val="nil"/>
              <w:left w:val="nil"/>
              <w:bottom w:val="single" w:sz="4" w:space="0" w:color="auto"/>
              <w:right w:val="single" w:sz="4" w:space="0" w:color="auto"/>
            </w:tcBorders>
            <w:noWrap/>
            <w:textDirection w:val="lrTb"/>
            <w:vAlign w:val="bottom"/>
            <w:hideMark/>
          </w:tcPr>
          <w:p w:rsidR="00CB350B" w:rsidRPr="002B2E0E" w:rsidP="00257E12">
            <w:pPr>
              <w:bidi w:val="0"/>
              <w:jc w:val="right"/>
              <w:rPr>
                <w:rFonts w:ascii="Times New Roman" w:hAnsi="Times New Roman" w:cs="Times New Roman"/>
                <w:color w:val="000000"/>
                <w:sz w:val="14"/>
                <w:szCs w:val="14"/>
              </w:rPr>
            </w:pPr>
            <w:r w:rsidRPr="002B2E0E">
              <w:rPr>
                <w:rFonts w:ascii="Times New Roman" w:hAnsi="Times New Roman" w:cs="Times New Roman"/>
                <w:color w:val="000000"/>
                <w:sz w:val="14"/>
                <w:szCs w:val="14"/>
              </w:rPr>
              <w:t>3 481 052</w:t>
            </w:r>
          </w:p>
        </w:tc>
      </w:tr>
      <w:tr>
        <w:tblPrEx>
          <w:tblW w:w="5000" w:type="pct"/>
          <w:tblCellMar>
            <w:left w:w="70" w:type="dxa"/>
            <w:right w:w="70" w:type="dxa"/>
          </w:tblCellMar>
          <w:tblLook w:val="04A0"/>
        </w:tblPrEx>
        <w:trPr>
          <w:trHeight w:val="259"/>
        </w:trPr>
        <w:tc>
          <w:tcPr>
            <w:tcW w:w="1520"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xml:space="preserve">                                    630 tovary a služby</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11 082 829</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9 457 485</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9 045 218</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8 876 690</w:t>
            </w:r>
          </w:p>
        </w:tc>
        <w:tc>
          <w:tcPr>
            <w:tcW w:w="511" w:type="pct"/>
            <w:tcBorders>
              <w:top w:val="nil"/>
              <w:left w:val="nil"/>
              <w:bottom w:val="single" w:sz="4" w:space="0" w:color="auto"/>
              <w:right w:val="single" w:sz="4" w:space="0" w:color="auto"/>
            </w:tcBorders>
            <w:noWrap/>
            <w:textDirection w:val="lrTb"/>
            <w:vAlign w:val="bottom"/>
            <w:hideMark/>
          </w:tcPr>
          <w:p w:rsidR="00CB350B" w:rsidRPr="002B2E0E" w:rsidP="00257E12">
            <w:pPr>
              <w:bidi w:val="0"/>
              <w:jc w:val="right"/>
              <w:rPr>
                <w:rFonts w:ascii="Times New Roman" w:hAnsi="Times New Roman" w:cs="Times New Roman"/>
                <w:color w:val="000000"/>
                <w:sz w:val="14"/>
                <w:szCs w:val="14"/>
              </w:rPr>
            </w:pPr>
            <w:r w:rsidRPr="002B2E0E">
              <w:rPr>
                <w:rFonts w:ascii="Times New Roman" w:hAnsi="Times New Roman" w:cs="Times New Roman"/>
                <w:color w:val="000000"/>
                <w:sz w:val="14"/>
                <w:szCs w:val="14"/>
              </w:rPr>
              <w:t>8 427 772</w:t>
            </w:r>
          </w:p>
        </w:tc>
        <w:tc>
          <w:tcPr>
            <w:tcW w:w="511" w:type="pct"/>
            <w:tcBorders>
              <w:top w:val="nil"/>
              <w:left w:val="nil"/>
              <w:bottom w:val="single" w:sz="4" w:space="0" w:color="auto"/>
              <w:right w:val="single" w:sz="4" w:space="0" w:color="auto"/>
            </w:tcBorders>
            <w:noWrap/>
            <w:textDirection w:val="lrTb"/>
            <w:vAlign w:val="bottom"/>
            <w:hideMark/>
          </w:tcPr>
          <w:p w:rsidR="00CB350B" w:rsidRPr="002B2E0E" w:rsidP="00257E12">
            <w:pPr>
              <w:bidi w:val="0"/>
              <w:jc w:val="right"/>
              <w:rPr>
                <w:rFonts w:ascii="Times New Roman" w:hAnsi="Times New Roman" w:cs="Times New Roman"/>
                <w:color w:val="000000"/>
                <w:sz w:val="14"/>
                <w:szCs w:val="14"/>
              </w:rPr>
            </w:pPr>
            <w:r w:rsidRPr="002B2E0E">
              <w:rPr>
                <w:rFonts w:ascii="Times New Roman" w:hAnsi="Times New Roman" w:cs="Times New Roman"/>
                <w:color w:val="000000"/>
                <w:sz w:val="14"/>
                <w:szCs w:val="14"/>
              </w:rPr>
              <w:t>8 434 772</w:t>
            </w:r>
          </w:p>
        </w:tc>
        <w:tc>
          <w:tcPr>
            <w:tcW w:w="510" w:type="pct"/>
            <w:tcBorders>
              <w:top w:val="nil"/>
              <w:left w:val="nil"/>
              <w:bottom w:val="single" w:sz="4" w:space="0" w:color="auto"/>
              <w:right w:val="single" w:sz="4" w:space="0" w:color="auto"/>
            </w:tcBorders>
            <w:noWrap/>
            <w:textDirection w:val="lrTb"/>
            <w:vAlign w:val="bottom"/>
            <w:hideMark/>
          </w:tcPr>
          <w:p w:rsidR="00CB350B" w:rsidRPr="002B2E0E" w:rsidP="00257E12">
            <w:pPr>
              <w:bidi w:val="0"/>
              <w:jc w:val="right"/>
              <w:rPr>
                <w:rFonts w:ascii="Times New Roman" w:hAnsi="Times New Roman" w:cs="Times New Roman"/>
                <w:color w:val="000000"/>
                <w:sz w:val="14"/>
                <w:szCs w:val="14"/>
              </w:rPr>
            </w:pPr>
            <w:r w:rsidRPr="002B2E0E">
              <w:rPr>
                <w:rFonts w:ascii="Times New Roman" w:hAnsi="Times New Roman" w:cs="Times New Roman"/>
                <w:color w:val="000000"/>
                <w:sz w:val="14"/>
                <w:szCs w:val="14"/>
              </w:rPr>
              <w:t>8 434 772</w:t>
            </w:r>
          </w:p>
        </w:tc>
      </w:tr>
      <w:tr>
        <w:tblPrEx>
          <w:tblW w:w="5000" w:type="pct"/>
          <w:tblCellMar>
            <w:left w:w="70" w:type="dxa"/>
            <w:right w:w="70" w:type="dxa"/>
          </w:tblCellMar>
          <w:tblLook w:val="04A0"/>
        </w:tblPrEx>
        <w:trPr>
          <w:trHeight w:val="259"/>
        </w:trPr>
        <w:tc>
          <w:tcPr>
            <w:tcW w:w="1520"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xml:space="preserve">                                    640 bežné transfery</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838 698</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1 371 615</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179 247</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359 247</w:t>
            </w:r>
          </w:p>
        </w:tc>
        <w:tc>
          <w:tcPr>
            <w:tcW w:w="511" w:type="pct"/>
            <w:tcBorders>
              <w:top w:val="nil"/>
              <w:left w:val="nil"/>
              <w:bottom w:val="single" w:sz="4" w:space="0" w:color="auto"/>
              <w:right w:val="single" w:sz="4" w:space="0" w:color="auto"/>
            </w:tcBorders>
            <w:noWrap/>
            <w:textDirection w:val="lrTb"/>
            <w:vAlign w:val="bottom"/>
            <w:hideMark/>
          </w:tcPr>
          <w:p w:rsidR="00CB350B" w:rsidRPr="002B2E0E" w:rsidP="00257E12">
            <w:pPr>
              <w:bidi w:val="0"/>
              <w:jc w:val="right"/>
              <w:rPr>
                <w:rFonts w:ascii="Times New Roman" w:hAnsi="Times New Roman" w:cs="Times New Roman"/>
                <w:color w:val="000000"/>
                <w:sz w:val="14"/>
                <w:szCs w:val="14"/>
              </w:rPr>
            </w:pPr>
            <w:r w:rsidRPr="002B2E0E">
              <w:rPr>
                <w:rFonts w:ascii="Times New Roman" w:hAnsi="Times New Roman" w:cs="Times New Roman"/>
                <w:color w:val="000000"/>
                <w:sz w:val="14"/>
                <w:szCs w:val="14"/>
              </w:rPr>
              <w:t>179 247</w:t>
            </w:r>
          </w:p>
        </w:tc>
        <w:tc>
          <w:tcPr>
            <w:tcW w:w="511" w:type="pct"/>
            <w:tcBorders>
              <w:top w:val="nil"/>
              <w:left w:val="nil"/>
              <w:bottom w:val="single" w:sz="4" w:space="0" w:color="auto"/>
              <w:right w:val="single" w:sz="4" w:space="0" w:color="auto"/>
            </w:tcBorders>
            <w:noWrap/>
            <w:textDirection w:val="lrTb"/>
            <w:vAlign w:val="bottom"/>
            <w:hideMark/>
          </w:tcPr>
          <w:p w:rsidR="00CB350B" w:rsidRPr="002B2E0E" w:rsidP="00257E12">
            <w:pPr>
              <w:bidi w:val="0"/>
              <w:jc w:val="right"/>
              <w:rPr>
                <w:rFonts w:ascii="Times New Roman" w:hAnsi="Times New Roman" w:cs="Times New Roman"/>
                <w:color w:val="000000"/>
                <w:sz w:val="14"/>
                <w:szCs w:val="14"/>
              </w:rPr>
            </w:pPr>
            <w:r w:rsidRPr="002B2E0E">
              <w:rPr>
                <w:rFonts w:ascii="Times New Roman" w:hAnsi="Times New Roman" w:cs="Times New Roman"/>
                <w:color w:val="000000"/>
                <w:sz w:val="14"/>
                <w:szCs w:val="14"/>
              </w:rPr>
              <w:t>172 247</w:t>
            </w:r>
          </w:p>
        </w:tc>
        <w:tc>
          <w:tcPr>
            <w:tcW w:w="510" w:type="pct"/>
            <w:tcBorders>
              <w:top w:val="nil"/>
              <w:left w:val="nil"/>
              <w:bottom w:val="single" w:sz="4" w:space="0" w:color="auto"/>
              <w:right w:val="single" w:sz="4" w:space="0" w:color="auto"/>
            </w:tcBorders>
            <w:noWrap/>
            <w:textDirection w:val="lrTb"/>
            <w:vAlign w:val="bottom"/>
            <w:hideMark/>
          </w:tcPr>
          <w:p w:rsidR="00CB350B" w:rsidRPr="002B2E0E" w:rsidP="00257E12">
            <w:pPr>
              <w:bidi w:val="0"/>
              <w:jc w:val="right"/>
              <w:rPr>
                <w:rFonts w:ascii="Times New Roman" w:hAnsi="Times New Roman" w:cs="Times New Roman"/>
                <w:color w:val="000000"/>
                <w:sz w:val="14"/>
                <w:szCs w:val="14"/>
              </w:rPr>
            </w:pPr>
            <w:r w:rsidRPr="002B2E0E">
              <w:rPr>
                <w:rFonts w:ascii="Times New Roman" w:hAnsi="Times New Roman" w:cs="Times New Roman"/>
                <w:color w:val="000000"/>
                <w:sz w:val="14"/>
                <w:szCs w:val="14"/>
              </w:rPr>
              <w:t>1 045 280</w:t>
            </w:r>
          </w:p>
        </w:tc>
      </w:tr>
      <w:tr>
        <w:tblPrEx>
          <w:tblW w:w="5000" w:type="pct"/>
          <w:tblCellMar>
            <w:left w:w="70" w:type="dxa"/>
            <w:right w:w="70" w:type="dxa"/>
          </w:tblCellMar>
          <w:tblLook w:val="04A0"/>
        </w:tblPrEx>
        <w:trPr>
          <w:trHeight w:val="259"/>
        </w:trPr>
        <w:tc>
          <w:tcPr>
            <w:tcW w:w="1520"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xml:space="preserve">               kapitálové výdavky 700</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24 326 711</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20 654 020</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5 401 992</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5 401 992</w:t>
            </w:r>
          </w:p>
        </w:tc>
        <w:tc>
          <w:tcPr>
            <w:tcW w:w="511" w:type="pct"/>
            <w:tcBorders>
              <w:top w:val="nil"/>
              <w:left w:val="nil"/>
              <w:bottom w:val="single" w:sz="4" w:space="0" w:color="auto"/>
              <w:right w:val="single" w:sz="4" w:space="0" w:color="auto"/>
            </w:tcBorders>
            <w:noWrap/>
            <w:textDirection w:val="lrTb"/>
            <w:vAlign w:val="bottom"/>
            <w:hideMark/>
          </w:tcPr>
          <w:p w:rsidR="00CB350B" w:rsidRPr="002B2E0E" w:rsidP="00257E12">
            <w:pPr>
              <w:bidi w:val="0"/>
              <w:jc w:val="right"/>
              <w:rPr>
                <w:rFonts w:ascii="Times New Roman" w:hAnsi="Times New Roman" w:cs="Times New Roman"/>
                <w:color w:val="000000"/>
                <w:sz w:val="14"/>
                <w:szCs w:val="14"/>
              </w:rPr>
            </w:pPr>
            <w:r w:rsidRPr="002B2E0E">
              <w:rPr>
                <w:rFonts w:ascii="Times New Roman" w:hAnsi="Times New Roman" w:cs="Times New Roman"/>
                <w:color w:val="000000"/>
                <w:sz w:val="14"/>
                <w:szCs w:val="14"/>
              </w:rPr>
              <w:t>331 992</w:t>
            </w:r>
          </w:p>
        </w:tc>
        <w:tc>
          <w:tcPr>
            <w:tcW w:w="511" w:type="pct"/>
            <w:tcBorders>
              <w:top w:val="nil"/>
              <w:left w:val="nil"/>
              <w:bottom w:val="single" w:sz="4" w:space="0" w:color="auto"/>
              <w:right w:val="single" w:sz="4" w:space="0" w:color="auto"/>
            </w:tcBorders>
            <w:noWrap/>
            <w:textDirection w:val="lrTb"/>
            <w:vAlign w:val="bottom"/>
            <w:hideMark/>
          </w:tcPr>
          <w:p w:rsidR="00CB350B" w:rsidRPr="002B2E0E" w:rsidP="00257E12">
            <w:pPr>
              <w:bidi w:val="0"/>
              <w:jc w:val="right"/>
              <w:rPr>
                <w:rFonts w:ascii="Times New Roman" w:hAnsi="Times New Roman" w:cs="Times New Roman"/>
                <w:color w:val="000000"/>
                <w:sz w:val="14"/>
                <w:szCs w:val="14"/>
              </w:rPr>
            </w:pPr>
            <w:r w:rsidRPr="002B2E0E">
              <w:rPr>
                <w:rFonts w:ascii="Times New Roman" w:hAnsi="Times New Roman" w:cs="Times New Roman"/>
                <w:color w:val="000000"/>
                <w:sz w:val="14"/>
                <w:szCs w:val="14"/>
              </w:rPr>
              <w:t>301 992</w:t>
            </w:r>
          </w:p>
        </w:tc>
        <w:tc>
          <w:tcPr>
            <w:tcW w:w="510" w:type="pct"/>
            <w:tcBorders>
              <w:top w:val="nil"/>
              <w:left w:val="nil"/>
              <w:bottom w:val="single" w:sz="4" w:space="0" w:color="auto"/>
              <w:right w:val="single" w:sz="4" w:space="0" w:color="auto"/>
            </w:tcBorders>
            <w:noWrap/>
            <w:textDirection w:val="lrTb"/>
            <w:vAlign w:val="bottom"/>
            <w:hideMark/>
          </w:tcPr>
          <w:p w:rsidR="00CB350B" w:rsidRPr="002B2E0E" w:rsidP="00257E12">
            <w:pPr>
              <w:bidi w:val="0"/>
              <w:jc w:val="right"/>
              <w:rPr>
                <w:rFonts w:ascii="Times New Roman" w:hAnsi="Times New Roman" w:cs="Times New Roman"/>
                <w:color w:val="000000"/>
                <w:sz w:val="14"/>
                <w:szCs w:val="14"/>
              </w:rPr>
            </w:pPr>
            <w:r w:rsidRPr="002B2E0E">
              <w:rPr>
                <w:rFonts w:ascii="Times New Roman" w:hAnsi="Times New Roman" w:cs="Times New Roman"/>
                <w:color w:val="000000"/>
                <w:sz w:val="14"/>
                <w:szCs w:val="14"/>
              </w:rPr>
              <w:t>964 992</w:t>
            </w:r>
          </w:p>
        </w:tc>
      </w:tr>
      <w:tr>
        <w:tblPrEx>
          <w:tblW w:w="5000" w:type="pct"/>
          <w:tblCellMar>
            <w:left w:w="70" w:type="dxa"/>
            <w:right w:w="70" w:type="dxa"/>
          </w:tblCellMar>
          <w:tblLook w:val="04A0"/>
        </w:tblPrEx>
        <w:trPr>
          <w:trHeight w:val="259"/>
        </w:trPr>
        <w:tc>
          <w:tcPr>
            <w:tcW w:w="1520"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xml:space="preserve">zdroje EÚ vrátane spolufinancovania: </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81 038</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40 520</w:t>
            </w:r>
          </w:p>
        </w:tc>
        <w:tc>
          <w:tcPr>
            <w:tcW w:w="511"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511"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510"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9"/>
        </w:trPr>
        <w:tc>
          <w:tcPr>
            <w:tcW w:w="1520"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presun z minulých rokov</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5 556 651</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970 128</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1 317 252</w:t>
            </w:r>
          </w:p>
        </w:tc>
        <w:tc>
          <w:tcPr>
            <w:tcW w:w="511"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511"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510"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9"/>
        </w:trPr>
        <w:tc>
          <w:tcPr>
            <w:tcW w:w="1520"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iné zdroje*</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92 931</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487"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511"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511"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510"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r>
    </w:tbl>
    <w:p w:rsidR="00CB350B" w:rsidRPr="0004638E" w:rsidP="00CB350B">
      <w:pPr>
        <w:bidi w:val="0"/>
        <w:rPr>
          <w:rFonts w:ascii="Times New Roman" w:hAnsi="Times New Roman" w:cs="Times New Roman"/>
        </w:rPr>
      </w:pPr>
    </w:p>
    <w:p w:rsidR="00CB350B" w:rsidRPr="00CD1C50" w:rsidP="00CB350B">
      <w:pPr>
        <w:autoSpaceDE w:val="0"/>
        <w:autoSpaceDN w:val="0"/>
        <w:bidi w:val="0"/>
        <w:adjustRightInd w:val="0"/>
        <w:ind w:firstLine="708"/>
        <w:jc w:val="both"/>
        <w:rPr>
          <w:rFonts w:ascii="Times New Roman" w:hAnsi="Times New Roman" w:cs="Times New Roman"/>
          <w:lang w:eastAsia="en-US"/>
        </w:rPr>
      </w:pPr>
      <w:r w:rsidRPr="00964C25">
        <w:rPr>
          <w:rFonts w:ascii="Times New Roman" w:hAnsi="Times New Roman" w:cs="Times New Roman"/>
          <w:color w:val="000000"/>
        </w:rPr>
        <w:t>V roku 2012 dosahujú rozpočtované výdavky kapitoly hodnotu 2</w:t>
      </w:r>
      <w:r>
        <w:rPr>
          <w:rFonts w:ascii="Times New Roman" w:hAnsi="Times New Roman" w:cs="Times New Roman"/>
          <w:color w:val="000000"/>
        </w:rPr>
        <w:t>3,9</w:t>
      </w:r>
      <w:r w:rsidRPr="00964C25">
        <w:rPr>
          <w:rFonts w:ascii="Times New Roman" w:hAnsi="Times New Roman" w:cs="Times New Roman"/>
          <w:color w:val="000000"/>
        </w:rPr>
        <w:t xml:space="preserve"> mil. eur, čo </w:t>
      </w:r>
      <w:r w:rsidRPr="00964C25">
        <w:rPr>
          <w:rFonts w:ascii="Times New Roman" w:hAnsi="Times New Roman" w:cs="Times New Roman"/>
        </w:rPr>
        <w:t xml:space="preserve">je v porovnaní so schváleným </w:t>
      </w:r>
      <w:r>
        <w:rPr>
          <w:rFonts w:ascii="Times New Roman" w:hAnsi="Times New Roman" w:cs="Times New Roman"/>
        </w:rPr>
        <w:t>rozpočtom roku 2011 menej o 17,76</w:t>
      </w:r>
      <w:r w:rsidRPr="00964C25">
        <w:rPr>
          <w:rFonts w:ascii="Times New Roman" w:hAnsi="Times New Roman" w:cs="Times New Roman"/>
        </w:rPr>
        <w:t xml:space="preserve"> %, pričom pokles je spôsobený najmä nerozpočtovaním prostriedkov na rekonštrukciu Bratislavského hradu v sume 5,12 mil. eur</w:t>
      </w:r>
      <w:r>
        <w:rPr>
          <w:rFonts w:ascii="Times New Roman" w:hAnsi="Times New Roman" w:cs="Times New Roman"/>
        </w:rPr>
        <w:t xml:space="preserve">.  </w:t>
      </w:r>
      <w:r w:rsidRPr="00964C25">
        <w:rPr>
          <w:rFonts w:ascii="Times New Roman" w:hAnsi="Times New Roman" w:cs="Times New Roman"/>
        </w:rPr>
        <w:t xml:space="preserve">Po </w:t>
      </w:r>
      <w:r>
        <w:rPr>
          <w:rFonts w:ascii="Times New Roman" w:hAnsi="Times New Roman" w:cs="Times New Roman"/>
        </w:rPr>
        <w:t>zohľadnení</w:t>
      </w:r>
      <w:r w:rsidRPr="00964C25">
        <w:rPr>
          <w:rFonts w:ascii="Times New Roman" w:hAnsi="Times New Roman" w:cs="Times New Roman"/>
        </w:rPr>
        <w:t xml:space="preserve"> t</w:t>
      </w:r>
      <w:r>
        <w:rPr>
          <w:rFonts w:ascii="Times New Roman" w:hAnsi="Times New Roman" w:cs="Times New Roman"/>
        </w:rPr>
        <w:t>o</w:t>
      </w:r>
      <w:r w:rsidRPr="00964C25">
        <w:rPr>
          <w:rFonts w:ascii="Times New Roman" w:hAnsi="Times New Roman" w:cs="Times New Roman"/>
        </w:rPr>
        <w:t>hto titul</w:t>
      </w:r>
      <w:r>
        <w:rPr>
          <w:rFonts w:ascii="Times New Roman" w:hAnsi="Times New Roman" w:cs="Times New Roman"/>
        </w:rPr>
        <w:t>u</w:t>
      </w:r>
      <w:r w:rsidRPr="00964C25">
        <w:rPr>
          <w:rFonts w:ascii="Times New Roman" w:hAnsi="Times New Roman" w:cs="Times New Roman"/>
        </w:rPr>
        <w:t xml:space="preserve"> celkové výdavky kapitoly rozpočtované na rok 2012 </w:t>
      </w:r>
      <w:r>
        <w:rPr>
          <w:rFonts w:ascii="Times New Roman" w:hAnsi="Times New Roman" w:cs="Times New Roman"/>
        </w:rPr>
        <w:t>by</w:t>
      </w:r>
      <w:r w:rsidRPr="00964C25">
        <w:rPr>
          <w:rFonts w:ascii="Times New Roman" w:hAnsi="Times New Roman" w:cs="Times New Roman"/>
        </w:rPr>
        <w:t xml:space="preserve"> oproti schválenému rozpočtu v roku 2011 </w:t>
      </w:r>
      <w:r>
        <w:rPr>
          <w:rFonts w:ascii="Times New Roman" w:hAnsi="Times New Roman" w:cs="Times New Roman"/>
        </w:rPr>
        <w:t xml:space="preserve">klesali </w:t>
      </w:r>
      <w:r w:rsidRPr="00964C25">
        <w:rPr>
          <w:rFonts w:ascii="Times New Roman" w:hAnsi="Times New Roman" w:cs="Times New Roman"/>
        </w:rPr>
        <w:t>o</w:t>
      </w:r>
      <w:r>
        <w:rPr>
          <w:rFonts w:ascii="Times New Roman" w:hAnsi="Times New Roman" w:cs="Times New Roman"/>
        </w:rPr>
        <w:t> 38,6</w:t>
      </w:r>
      <w:r w:rsidRPr="00964C25">
        <w:rPr>
          <w:rFonts w:ascii="Times New Roman" w:hAnsi="Times New Roman" w:cs="Times New Roman"/>
        </w:rPr>
        <w:t xml:space="preserve"> tis. eur (</w:t>
      </w:r>
      <w:r>
        <w:rPr>
          <w:rFonts w:ascii="Times New Roman" w:hAnsi="Times New Roman" w:cs="Times New Roman"/>
        </w:rPr>
        <w:t>0,16</w:t>
      </w:r>
      <w:r w:rsidRPr="00964C25">
        <w:rPr>
          <w:rFonts w:ascii="Times New Roman" w:hAnsi="Times New Roman" w:cs="Times New Roman"/>
        </w:rPr>
        <w:t xml:space="preserve"> %).</w:t>
      </w:r>
      <w:r>
        <w:rPr>
          <w:rFonts w:ascii="Times New Roman" w:hAnsi="Times New Roman" w:cs="Times New Roman"/>
        </w:rPr>
        <w:t xml:space="preserve"> Tento pokles bol spôsobený presunom kompetencií týkajúcich sa zabezpečovania autodopravy podpredsedov Národnej rady SR na </w:t>
      </w:r>
      <w:r>
        <w:rPr>
          <w:rFonts w:ascii="Times New Roman" w:hAnsi="Times New Roman" w:cs="Times New Roman"/>
          <w:lang w:eastAsia="en-US"/>
        </w:rPr>
        <w:t>Úrad pre ochranu ústavných činiteľov a diplomatických misií MV SR, dohodnutý delimitačným protokolom uzatvoreným medzi Ministerstvom vnútra SR a Kanceláriou Národnej rady SR dňa 24. 8. 2011.</w:t>
      </w:r>
      <w:r w:rsidRPr="00964C25">
        <w:rPr>
          <w:rFonts w:ascii="Times New Roman" w:hAnsi="Times New Roman" w:cs="Times New Roman"/>
        </w:rPr>
        <w:t xml:space="preserve"> </w:t>
      </w:r>
      <w:r>
        <w:rPr>
          <w:rFonts w:ascii="Times New Roman" w:hAnsi="Times New Roman" w:cs="Times New Roman"/>
        </w:rPr>
        <w:t>Celkový dopad delimitácie v roku 2012 je v sume 377 tis. eur.</w:t>
      </w:r>
    </w:p>
    <w:p w:rsidR="00CB350B" w:rsidRPr="0004638E" w:rsidP="00CB350B">
      <w:pPr>
        <w:bidi w:val="0"/>
        <w:ind w:firstLine="708"/>
        <w:jc w:val="both"/>
        <w:rPr>
          <w:rFonts w:ascii="Times New Roman" w:hAnsi="Times New Roman" w:cs="Times New Roman"/>
        </w:rPr>
      </w:pPr>
    </w:p>
    <w:p w:rsidR="00CB350B" w:rsidRPr="0004638E" w:rsidP="00CB350B">
      <w:pPr>
        <w:bidi w:val="0"/>
        <w:ind w:firstLine="708"/>
        <w:jc w:val="both"/>
        <w:rPr>
          <w:rFonts w:ascii="Times New Roman" w:hAnsi="Times New Roman" w:cs="Times New Roman"/>
          <w:color w:val="C00000"/>
        </w:rPr>
      </w:pPr>
      <w:r w:rsidRPr="0004638E">
        <w:rPr>
          <w:rFonts w:ascii="Times New Roman" w:hAnsi="Times New Roman" w:cs="Times New Roman"/>
        </w:rPr>
        <w:t xml:space="preserve">Objem osobných výdavkov sa </w:t>
      </w:r>
      <w:r>
        <w:rPr>
          <w:rFonts w:ascii="Times New Roman" w:hAnsi="Times New Roman" w:cs="Times New Roman"/>
        </w:rPr>
        <w:t>na</w:t>
      </w:r>
      <w:r w:rsidRPr="0004638E">
        <w:rPr>
          <w:rFonts w:ascii="Times New Roman" w:hAnsi="Times New Roman" w:cs="Times New Roman"/>
        </w:rPr>
        <w:t xml:space="preserve"> rok 2012 rozpočtuje na úrovni </w:t>
      </w:r>
      <w:r>
        <w:rPr>
          <w:rFonts w:ascii="Times New Roman" w:hAnsi="Times New Roman" w:cs="Times New Roman"/>
        </w:rPr>
        <w:t>15,0</w:t>
      </w:r>
      <w:r w:rsidRPr="0004638E">
        <w:rPr>
          <w:rFonts w:ascii="Times New Roman" w:hAnsi="Times New Roman" w:cs="Times New Roman"/>
        </w:rPr>
        <w:t xml:space="preserve"> mil. eur, čo v porovnaní so schváleným rokom 2011 predstavuje nárast o </w:t>
      </w:r>
      <w:r>
        <w:rPr>
          <w:rFonts w:ascii="Times New Roman" w:hAnsi="Times New Roman" w:cs="Times New Roman"/>
        </w:rPr>
        <w:t>527</w:t>
      </w:r>
      <w:r w:rsidRPr="0004638E">
        <w:rPr>
          <w:rFonts w:ascii="Times New Roman" w:hAnsi="Times New Roman" w:cs="Times New Roman"/>
        </w:rPr>
        <w:t xml:space="preserve"> tis. eur (</w:t>
      </w:r>
      <w:r>
        <w:rPr>
          <w:rFonts w:ascii="Times New Roman" w:hAnsi="Times New Roman" w:cs="Times New Roman"/>
        </w:rPr>
        <w:t>3,65</w:t>
      </w:r>
      <w:r w:rsidRPr="0004638E">
        <w:rPr>
          <w:rFonts w:ascii="Times New Roman" w:hAnsi="Times New Roman" w:cs="Times New Roman"/>
        </w:rPr>
        <w:t xml:space="preserve"> %) </w:t>
      </w:r>
      <w:r>
        <w:rPr>
          <w:rFonts w:ascii="Times New Roman" w:hAnsi="Times New Roman" w:cs="Times New Roman"/>
        </w:rPr>
        <w:t xml:space="preserve">z dôvodu </w:t>
      </w:r>
      <w:r w:rsidRPr="0004638E">
        <w:rPr>
          <w:rFonts w:ascii="Times New Roman" w:hAnsi="Times New Roman" w:cs="Times New Roman"/>
        </w:rPr>
        <w:t>ich zvýšen</w:t>
      </w:r>
      <w:r>
        <w:rPr>
          <w:rFonts w:ascii="Times New Roman" w:hAnsi="Times New Roman" w:cs="Times New Roman"/>
        </w:rPr>
        <w:t>ia, ktoré</w:t>
      </w:r>
      <w:r w:rsidRPr="0004638E">
        <w:rPr>
          <w:rFonts w:ascii="Times New Roman" w:hAnsi="Times New Roman" w:cs="Times New Roman"/>
        </w:rPr>
        <w:t xml:space="preserve"> súvis</w:t>
      </w:r>
      <w:r>
        <w:rPr>
          <w:rFonts w:ascii="Times New Roman" w:hAnsi="Times New Roman" w:cs="Times New Roman"/>
        </w:rPr>
        <w:t>í</w:t>
      </w:r>
      <w:r w:rsidRPr="0004638E">
        <w:rPr>
          <w:rFonts w:ascii="Times New Roman" w:hAnsi="Times New Roman" w:cs="Times New Roman"/>
        </w:rPr>
        <w:t xml:space="preserve"> so zákonom č. 120/1993 Z. z. Nárast osobných výdavkov poslancov Národnej rady </w:t>
      </w:r>
      <w:r>
        <w:rPr>
          <w:rFonts w:ascii="Times New Roman" w:hAnsi="Times New Roman" w:cs="Times New Roman"/>
        </w:rPr>
        <w:t>SR</w:t>
      </w:r>
      <w:r w:rsidRPr="0004638E">
        <w:rPr>
          <w:rFonts w:ascii="Times New Roman" w:hAnsi="Times New Roman" w:cs="Times New Roman"/>
        </w:rPr>
        <w:t xml:space="preserve"> v roku 2012 zohľadňuje dopočet platových náležitostí reálne vyplácaných v roku 2011 v zmysle zákona. </w:t>
      </w:r>
    </w:p>
    <w:p w:rsidR="00CB350B" w:rsidRPr="0004638E" w:rsidP="00CB350B">
      <w:pPr>
        <w:bidi w:val="0"/>
        <w:ind w:firstLine="708"/>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Výdavky na tovary a služby v objeme 8,</w:t>
      </w:r>
      <w:r>
        <w:rPr>
          <w:rFonts w:ascii="Times New Roman" w:hAnsi="Times New Roman" w:cs="Times New Roman"/>
        </w:rPr>
        <w:t>43</w:t>
      </w:r>
      <w:r w:rsidRPr="0004638E">
        <w:rPr>
          <w:rFonts w:ascii="Times New Roman" w:hAnsi="Times New Roman" w:cs="Times New Roman"/>
        </w:rPr>
        <w:t xml:space="preserve"> mil. eur klesajú oproti schválenému rozpočtu v roku 2011 o </w:t>
      </w:r>
      <w:r>
        <w:rPr>
          <w:rFonts w:ascii="Times New Roman" w:hAnsi="Times New Roman" w:cs="Times New Roman"/>
        </w:rPr>
        <w:t>617</w:t>
      </w:r>
      <w:r w:rsidRPr="0004638E">
        <w:rPr>
          <w:rFonts w:ascii="Times New Roman" w:hAnsi="Times New Roman" w:cs="Times New Roman"/>
        </w:rPr>
        <w:t xml:space="preserve"> tis. eur, čo predstavuje pokles o</w:t>
      </w:r>
      <w:r>
        <w:rPr>
          <w:rFonts w:ascii="Times New Roman" w:hAnsi="Times New Roman" w:cs="Times New Roman"/>
        </w:rPr>
        <w:t xml:space="preserve"> 6,83 </w:t>
      </w:r>
      <w:r w:rsidRPr="0004638E">
        <w:rPr>
          <w:rFonts w:ascii="Times New Roman" w:hAnsi="Times New Roman" w:cs="Times New Roman"/>
        </w:rPr>
        <w:t>%. Bežné transfery kapitoly ostávajú na úrovni schváleného rozpočtu v roku 2011.</w:t>
      </w:r>
    </w:p>
    <w:p w:rsidR="00CB350B" w:rsidRPr="0004638E" w:rsidP="00CB350B">
      <w:pPr>
        <w:bidi w:val="0"/>
        <w:ind w:firstLine="708"/>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Kapitálové výdavky v roku 2012 zaznamenávajú pokles oproti schválenému rozpočtu 2011 o</w:t>
      </w:r>
      <w:r>
        <w:rPr>
          <w:rFonts w:ascii="Times New Roman" w:hAnsi="Times New Roman" w:cs="Times New Roman"/>
        </w:rPr>
        <w:t> </w:t>
      </w:r>
      <w:r w:rsidRPr="0004638E">
        <w:rPr>
          <w:rFonts w:ascii="Times New Roman" w:hAnsi="Times New Roman" w:cs="Times New Roman"/>
        </w:rPr>
        <w:t>9</w:t>
      </w:r>
      <w:r>
        <w:rPr>
          <w:rFonts w:ascii="Times New Roman" w:hAnsi="Times New Roman" w:cs="Times New Roman"/>
        </w:rPr>
        <w:t>3,9</w:t>
      </w:r>
      <w:r w:rsidRPr="0004638E">
        <w:rPr>
          <w:rFonts w:ascii="Times New Roman" w:hAnsi="Times New Roman" w:cs="Times New Roman"/>
        </w:rPr>
        <w:t xml:space="preserve"> %, čo je spôsobené </w:t>
      </w:r>
      <w:r>
        <w:rPr>
          <w:rFonts w:ascii="Times New Roman" w:hAnsi="Times New Roman" w:cs="Times New Roman"/>
        </w:rPr>
        <w:t xml:space="preserve">najmä </w:t>
      </w:r>
      <w:r w:rsidRPr="0004638E">
        <w:rPr>
          <w:rFonts w:ascii="Times New Roman" w:hAnsi="Times New Roman" w:cs="Times New Roman"/>
        </w:rPr>
        <w:t xml:space="preserve">nerozpočtovaním výdavkov na rekonštrukciu Bratislavského hradu. Kapitálové výdavky v objeme </w:t>
      </w:r>
      <w:r>
        <w:rPr>
          <w:rFonts w:ascii="Times New Roman" w:hAnsi="Times New Roman" w:cs="Times New Roman"/>
        </w:rPr>
        <w:t>332</w:t>
      </w:r>
      <w:r w:rsidRPr="0004638E">
        <w:rPr>
          <w:rFonts w:ascii="Times New Roman" w:hAnsi="Times New Roman" w:cs="Times New Roman"/>
        </w:rPr>
        <w:t xml:space="preserve"> tis. eur budú použité na nákup softvéru, doplnenie výpočtovej techniky, rozšírenie informačných systémov a bežnú obmenu zastaraných a nefunkčných strojov a zariadení.</w:t>
      </w:r>
    </w:p>
    <w:p w:rsidR="00CB350B" w:rsidP="00CB350B">
      <w:pPr>
        <w:bidi w:val="0"/>
      </w:pPr>
    </w:p>
    <w:p w:rsidR="00CB350B" w:rsidP="00CB350B">
      <w:pPr>
        <w:bidi w:val="0"/>
      </w:pPr>
    </w:p>
    <w:p w:rsidR="00CB350B" w:rsidRPr="0004638E" w:rsidP="00CB350B">
      <w:pPr>
        <w:pBdr>
          <w:bottom w:val="single" w:sz="4" w:space="1" w:color="auto"/>
        </w:pBdr>
        <w:bidi w:val="0"/>
        <w:rPr>
          <w:rFonts w:ascii="Times New Roman" w:hAnsi="Times New Roman" w:cs="Times New Roman"/>
          <w:b/>
          <w:bCs/>
        </w:rPr>
      </w:pPr>
      <w:r w:rsidRPr="0004638E">
        <w:rPr>
          <w:rFonts w:ascii="Times New Roman" w:hAnsi="Times New Roman" w:cs="Times New Roman"/>
          <w:b/>
          <w:bCs/>
        </w:rPr>
        <w:t>Kancelária prezidenta SR</w:t>
      </w:r>
    </w:p>
    <w:tbl>
      <w:tblPr>
        <w:tblStyle w:val="TableNormal"/>
        <w:tblW w:w="5116" w:type="pct"/>
        <w:tblLayout w:type="fixed"/>
        <w:tblCellMar>
          <w:left w:w="70" w:type="dxa"/>
          <w:right w:w="70" w:type="dxa"/>
        </w:tblCellMar>
        <w:tblLook w:val="04A0"/>
      </w:tblPr>
      <w:tblGrid>
        <w:gridCol w:w="2614"/>
        <w:gridCol w:w="432"/>
        <w:gridCol w:w="560"/>
        <w:gridCol w:w="383"/>
        <w:gridCol w:w="609"/>
        <w:gridCol w:w="336"/>
        <w:gridCol w:w="658"/>
        <w:gridCol w:w="285"/>
        <w:gridCol w:w="707"/>
        <w:gridCol w:w="236"/>
        <w:gridCol w:w="758"/>
        <w:gridCol w:w="185"/>
        <w:gridCol w:w="807"/>
        <w:gridCol w:w="136"/>
        <w:gridCol w:w="720"/>
      </w:tblGrid>
      <w:tr>
        <w:tblPrEx>
          <w:tblW w:w="5116" w:type="pct"/>
          <w:tblLayout w:type="fixed"/>
          <w:tblCellMar>
            <w:left w:w="70" w:type="dxa"/>
            <w:right w:w="70" w:type="dxa"/>
          </w:tblCellMar>
          <w:tblLook w:val="04A0"/>
        </w:tblPrEx>
        <w:trPr>
          <w:trHeight w:val="259"/>
        </w:trPr>
        <w:tc>
          <w:tcPr>
            <w:tcW w:w="1616" w:type="pct"/>
            <w:gridSpan w:val="2"/>
            <w:tcBorders>
              <w:top w:val="none" w:sz="0" w:space="0" w:color="auto"/>
              <w:left w:val="none" w:sz="0" w:space="0" w:color="auto"/>
              <w:bottom w:val="single" w:sz="4" w:space="0" w:color="auto"/>
              <w:right w:val="nil"/>
            </w:tcBorders>
            <w:noWrap/>
            <w:textDirection w:val="lrTb"/>
            <w:vAlign w:val="bottom"/>
            <w:hideMark/>
          </w:tcPr>
          <w:p w:rsidR="00CB350B" w:rsidRPr="0004638E" w:rsidP="00257E12">
            <w:pPr>
              <w:bidi w:val="0"/>
              <w:rPr>
                <w:rFonts w:ascii="Times New Roman" w:hAnsi="Times New Roman" w:cs="Times New Roman"/>
                <w:color w:val="000000"/>
              </w:rPr>
            </w:pPr>
          </w:p>
        </w:tc>
        <w:tc>
          <w:tcPr>
            <w:tcW w:w="500" w:type="pct"/>
            <w:gridSpan w:val="2"/>
            <w:tcBorders>
              <w:top w:val="none" w:sz="0" w:space="0" w:color="auto"/>
              <w:left w:val="nil"/>
              <w:bottom w:val="single" w:sz="4" w:space="0" w:color="auto"/>
              <w:right w:val="nil"/>
            </w:tcBorders>
            <w:noWrap/>
            <w:textDirection w:val="lrTb"/>
            <w:vAlign w:val="bottom"/>
            <w:hideMark/>
          </w:tcPr>
          <w:p w:rsidR="00CB350B" w:rsidRPr="0004638E" w:rsidP="00257E12">
            <w:pPr>
              <w:bidi w:val="0"/>
              <w:rPr>
                <w:rFonts w:ascii="Times New Roman" w:hAnsi="Times New Roman" w:cs="Times New Roman"/>
                <w:color w:val="000000"/>
              </w:rPr>
            </w:pPr>
          </w:p>
        </w:tc>
        <w:tc>
          <w:tcPr>
            <w:tcW w:w="501" w:type="pct"/>
            <w:gridSpan w:val="2"/>
            <w:tcBorders>
              <w:top w:val="none" w:sz="0" w:space="0" w:color="auto"/>
              <w:left w:val="nil"/>
              <w:bottom w:val="single" w:sz="4" w:space="0" w:color="auto"/>
              <w:right w:val="nil"/>
            </w:tcBorders>
            <w:noWrap/>
            <w:textDirection w:val="lrTb"/>
            <w:vAlign w:val="bottom"/>
            <w:hideMark/>
          </w:tcPr>
          <w:p w:rsidR="00CB350B" w:rsidRPr="0004638E" w:rsidP="00257E12">
            <w:pPr>
              <w:bidi w:val="0"/>
              <w:rPr>
                <w:rFonts w:ascii="Times New Roman" w:hAnsi="Times New Roman" w:cs="Times New Roman"/>
                <w:color w:val="000000"/>
              </w:rPr>
            </w:pPr>
          </w:p>
        </w:tc>
        <w:tc>
          <w:tcPr>
            <w:tcW w:w="500" w:type="pct"/>
            <w:gridSpan w:val="2"/>
            <w:tcBorders>
              <w:top w:val="none" w:sz="0" w:space="0" w:color="auto"/>
              <w:left w:val="nil"/>
              <w:bottom w:val="single" w:sz="4" w:space="0" w:color="auto"/>
              <w:right w:val="nil"/>
            </w:tcBorders>
            <w:noWrap/>
            <w:textDirection w:val="lrTb"/>
            <w:vAlign w:val="bottom"/>
            <w:hideMark/>
          </w:tcPr>
          <w:p w:rsidR="00CB350B" w:rsidRPr="0004638E" w:rsidP="00257E12">
            <w:pPr>
              <w:bidi w:val="0"/>
              <w:rPr>
                <w:rFonts w:ascii="Times New Roman" w:hAnsi="Times New Roman" w:cs="Times New Roman"/>
                <w:color w:val="000000"/>
              </w:rPr>
            </w:pPr>
          </w:p>
        </w:tc>
        <w:tc>
          <w:tcPr>
            <w:tcW w:w="500" w:type="pct"/>
            <w:gridSpan w:val="2"/>
            <w:tcBorders>
              <w:top w:val="none" w:sz="0" w:space="0" w:color="auto"/>
              <w:left w:val="nil"/>
              <w:bottom w:val="single" w:sz="4" w:space="0" w:color="auto"/>
              <w:right w:val="nil"/>
            </w:tcBorders>
            <w:noWrap/>
            <w:textDirection w:val="lrTb"/>
            <w:vAlign w:val="bottom"/>
            <w:hideMark/>
          </w:tcPr>
          <w:p w:rsidR="00CB350B" w:rsidRPr="0004638E" w:rsidP="00257E12">
            <w:pPr>
              <w:bidi w:val="0"/>
              <w:rPr>
                <w:rFonts w:ascii="Times New Roman" w:hAnsi="Times New Roman" w:cs="Times New Roman"/>
                <w:color w:val="000000"/>
              </w:rPr>
            </w:pPr>
          </w:p>
        </w:tc>
        <w:tc>
          <w:tcPr>
            <w:tcW w:w="500" w:type="pct"/>
            <w:gridSpan w:val="2"/>
            <w:tcBorders>
              <w:top w:val="none" w:sz="0" w:space="0" w:color="auto"/>
              <w:left w:val="nil"/>
              <w:bottom w:val="single" w:sz="4" w:space="0" w:color="auto"/>
              <w:right w:val="nil"/>
            </w:tcBorders>
            <w:noWrap/>
            <w:textDirection w:val="lrTb"/>
            <w:vAlign w:val="bottom"/>
            <w:hideMark/>
          </w:tcPr>
          <w:p w:rsidR="00CB350B" w:rsidRPr="0004638E" w:rsidP="00257E12">
            <w:pPr>
              <w:bidi w:val="0"/>
              <w:rPr>
                <w:rFonts w:ascii="Times New Roman" w:hAnsi="Times New Roman" w:cs="Times New Roman"/>
                <w:color w:val="000000"/>
              </w:rPr>
            </w:pPr>
          </w:p>
        </w:tc>
        <w:tc>
          <w:tcPr>
            <w:tcW w:w="500" w:type="pct"/>
            <w:gridSpan w:val="2"/>
            <w:tcBorders>
              <w:top w:val="none" w:sz="0" w:space="0" w:color="auto"/>
              <w:left w:val="nil"/>
              <w:bottom w:val="single" w:sz="4" w:space="0" w:color="auto"/>
              <w:right w:val="nil"/>
            </w:tcBorders>
            <w:noWrap/>
            <w:textDirection w:val="lrTb"/>
            <w:vAlign w:val="bottom"/>
            <w:hideMark/>
          </w:tcPr>
          <w:p w:rsidR="00CB350B" w:rsidRPr="0004638E" w:rsidP="00257E12">
            <w:pPr>
              <w:bidi w:val="0"/>
              <w:rPr>
                <w:rFonts w:ascii="Times New Roman" w:hAnsi="Times New Roman" w:cs="Times New Roman"/>
                <w:color w:val="000000"/>
              </w:rPr>
            </w:pPr>
          </w:p>
        </w:tc>
        <w:tc>
          <w:tcPr>
            <w:tcW w:w="382" w:type="pct"/>
            <w:tcBorders>
              <w:top w:val="none" w:sz="0" w:space="0" w:color="auto"/>
              <w:left w:val="nil"/>
              <w:bottom w:val="single" w:sz="4" w:space="0" w:color="auto"/>
              <w:right w:val="none" w:sz="0" w:space="0" w:color="auto"/>
            </w:tcBorders>
            <w:noWrap/>
            <w:textDirection w:val="lrTb"/>
            <w:vAlign w:val="bottom"/>
            <w:hideMark/>
          </w:tcPr>
          <w:p w:rsidR="00CB350B" w:rsidRPr="0004638E" w:rsidP="00257E12">
            <w:pPr>
              <w:bidi w:val="0"/>
              <w:rPr>
                <w:rFonts w:ascii="Times New Roman" w:hAnsi="Times New Roman" w:cs="Times New Roman"/>
                <w:color w:val="000000"/>
              </w:rPr>
            </w:pPr>
          </w:p>
        </w:tc>
      </w:tr>
      <w:tr>
        <w:tblPrEx>
          <w:tblW w:w="5116" w:type="pct"/>
          <w:tblLayout w:type="fixed"/>
          <w:tblCellMar>
            <w:left w:w="70" w:type="dxa"/>
            <w:right w:w="70" w:type="dxa"/>
          </w:tblCellMar>
          <w:tblLook w:val="04A0"/>
        </w:tblPrEx>
        <w:trPr>
          <w:trHeight w:val="259"/>
        </w:trPr>
        <w:tc>
          <w:tcPr>
            <w:tcW w:w="1387"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color w:val="000000"/>
                <w:sz w:val="14"/>
                <w:szCs w:val="14"/>
              </w:rPr>
            </w:pPr>
            <w:r w:rsidRPr="005A6E2D">
              <w:rPr>
                <w:rFonts w:ascii="Times New Roman" w:hAnsi="Times New Roman" w:cs="Times New Roman"/>
                <w:b/>
                <w:color w:val="000000"/>
                <w:sz w:val="14"/>
                <w:szCs w:val="14"/>
              </w:rPr>
              <w:t>v eurách</w:t>
            </w:r>
          </w:p>
        </w:tc>
        <w:tc>
          <w:tcPr>
            <w:tcW w:w="526" w:type="pct"/>
            <w:gridSpan w:val="2"/>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color w:val="000000"/>
                <w:sz w:val="14"/>
                <w:szCs w:val="14"/>
              </w:rPr>
            </w:pPr>
            <w:r w:rsidRPr="005A6E2D">
              <w:rPr>
                <w:rFonts w:ascii="Times New Roman" w:hAnsi="Times New Roman" w:cs="Times New Roman"/>
                <w:b/>
                <w:color w:val="000000"/>
                <w:sz w:val="14"/>
                <w:szCs w:val="14"/>
              </w:rPr>
              <w:t>2009 S</w:t>
            </w:r>
          </w:p>
        </w:tc>
        <w:tc>
          <w:tcPr>
            <w:tcW w:w="526" w:type="pct"/>
            <w:gridSpan w:val="2"/>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color w:val="000000"/>
                <w:sz w:val="14"/>
                <w:szCs w:val="14"/>
              </w:rPr>
            </w:pPr>
            <w:r w:rsidRPr="005A6E2D">
              <w:rPr>
                <w:rFonts w:ascii="Times New Roman" w:hAnsi="Times New Roman" w:cs="Times New Roman"/>
                <w:b/>
                <w:color w:val="000000"/>
                <w:sz w:val="14"/>
                <w:szCs w:val="14"/>
              </w:rPr>
              <w:t>2010S</w:t>
            </w:r>
          </w:p>
        </w:tc>
        <w:tc>
          <w:tcPr>
            <w:tcW w:w="527" w:type="pct"/>
            <w:gridSpan w:val="2"/>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color w:val="000000"/>
                <w:sz w:val="14"/>
                <w:szCs w:val="14"/>
              </w:rPr>
            </w:pPr>
            <w:r w:rsidRPr="005A6E2D">
              <w:rPr>
                <w:rFonts w:ascii="Times New Roman" w:hAnsi="Times New Roman" w:cs="Times New Roman"/>
                <w:b/>
                <w:color w:val="000000"/>
                <w:sz w:val="14"/>
                <w:szCs w:val="14"/>
              </w:rPr>
              <w:t>2011 R</w:t>
            </w:r>
          </w:p>
        </w:tc>
        <w:tc>
          <w:tcPr>
            <w:tcW w:w="526" w:type="pct"/>
            <w:gridSpan w:val="2"/>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color w:val="000000"/>
                <w:sz w:val="14"/>
                <w:szCs w:val="14"/>
              </w:rPr>
            </w:pPr>
            <w:r w:rsidRPr="005A6E2D">
              <w:rPr>
                <w:rFonts w:ascii="Times New Roman" w:hAnsi="Times New Roman" w:cs="Times New Roman"/>
                <w:b/>
                <w:color w:val="000000"/>
                <w:sz w:val="14"/>
                <w:szCs w:val="14"/>
              </w:rPr>
              <w:t>2011 OS</w:t>
            </w:r>
          </w:p>
        </w:tc>
        <w:tc>
          <w:tcPr>
            <w:tcW w:w="527" w:type="pct"/>
            <w:gridSpan w:val="2"/>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color w:val="000000"/>
                <w:sz w:val="14"/>
                <w:szCs w:val="14"/>
              </w:rPr>
            </w:pPr>
            <w:r w:rsidRPr="005A6E2D">
              <w:rPr>
                <w:rFonts w:ascii="Times New Roman" w:hAnsi="Times New Roman" w:cs="Times New Roman"/>
                <w:b/>
                <w:color w:val="000000"/>
                <w:sz w:val="14"/>
                <w:szCs w:val="14"/>
              </w:rPr>
              <w:t>2012 N</w:t>
            </w:r>
          </w:p>
        </w:tc>
        <w:tc>
          <w:tcPr>
            <w:tcW w:w="526" w:type="pct"/>
            <w:gridSpan w:val="2"/>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color w:val="000000"/>
                <w:sz w:val="14"/>
                <w:szCs w:val="14"/>
              </w:rPr>
            </w:pPr>
            <w:r w:rsidRPr="005A6E2D">
              <w:rPr>
                <w:rFonts w:ascii="Times New Roman" w:hAnsi="Times New Roman" w:cs="Times New Roman"/>
                <w:b/>
                <w:color w:val="000000"/>
                <w:sz w:val="14"/>
                <w:szCs w:val="14"/>
              </w:rPr>
              <w:t>2013 N</w:t>
            </w:r>
          </w:p>
        </w:tc>
        <w:tc>
          <w:tcPr>
            <w:tcW w:w="454" w:type="pct"/>
            <w:gridSpan w:val="2"/>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color w:val="000000"/>
                <w:sz w:val="14"/>
                <w:szCs w:val="14"/>
              </w:rPr>
            </w:pPr>
            <w:r w:rsidRPr="005A6E2D">
              <w:rPr>
                <w:rFonts w:ascii="Times New Roman" w:hAnsi="Times New Roman" w:cs="Times New Roman"/>
                <w:b/>
                <w:color w:val="000000"/>
                <w:sz w:val="14"/>
                <w:szCs w:val="14"/>
              </w:rPr>
              <w:t>2014 N</w:t>
            </w:r>
          </w:p>
        </w:tc>
      </w:tr>
      <w:tr>
        <w:tblPrEx>
          <w:tblW w:w="5116" w:type="pct"/>
          <w:tblLayout w:type="fixed"/>
          <w:tblCellMar>
            <w:left w:w="70" w:type="dxa"/>
            <w:right w:w="70" w:type="dxa"/>
          </w:tblCellMar>
          <w:tblLook w:val="04A0"/>
        </w:tblPrEx>
        <w:trPr>
          <w:trHeight w:val="259"/>
        </w:trPr>
        <w:tc>
          <w:tcPr>
            <w:tcW w:w="1387"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bCs/>
                <w:sz w:val="14"/>
                <w:szCs w:val="14"/>
              </w:rPr>
            </w:pPr>
            <w:r w:rsidRPr="005A6E2D">
              <w:rPr>
                <w:rFonts w:ascii="Times New Roman" w:hAnsi="Times New Roman" w:cs="Times New Roman"/>
                <w:b/>
                <w:bCs/>
                <w:sz w:val="14"/>
                <w:szCs w:val="14"/>
              </w:rPr>
              <w:t>Zdroje príslušnej kapitoly</w:t>
            </w:r>
          </w:p>
        </w:tc>
        <w:tc>
          <w:tcPr>
            <w:tcW w:w="526" w:type="pct"/>
            <w:gridSpan w:val="2"/>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3 607 671</w:t>
            </w:r>
          </w:p>
        </w:tc>
        <w:tc>
          <w:tcPr>
            <w:tcW w:w="526" w:type="pct"/>
            <w:gridSpan w:val="2"/>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4 120 042</w:t>
            </w:r>
          </w:p>
        </w:tc>
        <w:tc>
          <w:tcPr>
            <w:tcW w:w="527" w:type="pct"/>
            <w:gridSpan w:val="2"/>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4 094 554</w:t>
            </w:r>
          </w:p>
        </w:tc>
        <w:tc>
          <w:tcPr>
            <w:tcW w:w="526" w:type="pct"/>
            <w:gridSpan w:val="2"/>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4 612 394</w:t>
            </w:r>
          </w:p>
        </w:tc>
        <w:tc>
          <w:tcPr>
            <w:tcW w:w="527" w:type="pct"/>
            <w:gridSpan w:val="2"/>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3 849 323</w:t>
            </w:r>
          </w:p>
        </w:tc>
        <w:tc>
          <w:tcPr>
            <w:tcW w:w="526" w:type="pct"/>
            <w:gridSpan w:val="2"/>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3 869 274</w:t>
            </w:r>
          </w:p>
        </w:tc>
        <w:tc>
          <w:tcPr>
            <w:tcW w:w="454" w:type="pct"/>
            <w:gridSpan w:val="2"/>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3 877 565</w:t>
            </w:r>
          </w:p>
        </w:tc>
      </w:tr>
      <w:tr>
        <w:tblPrEx>
          <w:tblW w:w="5116" w:type="pct"/>
          <w:tblLayout w:type="fixed"/>
          <w:tblCellMar>
            <w:left w:w="70" w:type="dxa"/>
            <w:right w:w="70" w:type="dxa"/>
          </w:tblCellMar>
          <w:tblLook w:val="04A0"/>
        </w:tblPrEx>
        <w:trPr>
          <w:trHeight w:val="259"/>
        </w:trPr>
        <w:tc>
          <w:tcPr>
            <w:tcW w:w="1387"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sz w:val="14"/>
                <w:szCs w:val="14"/>
              </w:rPr>
            </w:pPr>
            <w:r w:rsidRPr="005A6E2D">
              <w:rPr>
                <w:rFonts w:ascii="Times New Roman" w:hAnsi="Times New Roman" w:cs="Times New Roman"/>
                <w:sz w:val="14"/>
                <w:szCs w:val="14"/>
              </w:rPr>
              <w:t>z toho:</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sz w:val="14"/>
                <w:szCs w:val="14"/>
              </w:rPr>
            </w:pPr>
            <w:r w:rsidRPr="005A6E2D">
              <w:rPr>
                <w:rFonts w:ascii="Times New Roman" w:hAnsi="Times New Roman" w:cs="Times New Roman"/>
                <w:sz w:val="14"/>
                <w:szCs w:val="14"/>
              </w:rPr>
              <w:t> </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sz w:val="14"/>
                <w:szCs w:val="14"/>
              </w:rPr>
            </w:pPr>
            <w:r w:rsidRPr="005A6E2D">
              <w:rPr>
                <w:rFonts w:ascii="Times New Roman" w:hAnsi="Times New Roman" w:cs="Times New Roman"/>
                <w:sz w:val="14"/>
                <w:szCs w:val="14"/>
              </w:rPr>
              <w:t> </w:t>
            </w:r>
          </w:p>
        </w:tc>
        <w:tc>
          <w:tcPr>
            <w:tcW w:w="527" w:type="pct"/>
            <w:gridSpan w:val="2"/>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 </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 </w:t>
            </w:r>
          </w:p>
        </w:tc>
        <w:tc>
          <w:tcPr>
            <w:tcW w:w="527"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 </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 </w:t>
            </w:r>
          </w:p>
        </w:tc>
        <w:tc>
          <w:tcPr>
            <w:tcW w:w="454"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 </w:t>
            </w:r>
          </w:p>
        </w:tc>
      </w:tr>
      <w:tr>
        <w:tblPrEx>
          <w:tblW w:w="5116" w:type="pct"/>
          <w:tblLayout w:type="fixed"/>
          <w:tblCellMar>
            <w:left w:w="70" w:type="dxa"/>
            <w:right w:w="70" w:type="dxa"/>
          </w:tblCellMar>
          <w:tblLook w:val="04A0"/>
        </w:tblPrEx>
        <w:trPr>
          <w:trHeight w:val="259"/>
        </w:trPr>
        <w:tc>
          <w:tcPr>
            <w:tcW w:w="1387"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sz w:val="14"/>
                <w:szCs w:val="14"/>
              </w:rPr>
            </w:pPr>
            <w:r w:rsidRPr="005A6E2D">
              <w:rPr>
                <w:rFonts w:ascii="Times New Roman" w:hAnsi="Times New Roman" w:cs="Times New Roman"/>
                <w:sz w:val="14"/>
                <w:szCs w:val="14"/>
              </w:rPr>
              <w:t xml:space="preserve">rozpočtové zdroje kapitoly </w:t>
            </w:r>
          </w:p>
        </w:tc>
        <w:tc>
          <w:tcPr>
            <w:tcW w:w="526" w:type="pct"/>
            <w:gridSpan w:val="2"/>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bCs/>
                <w:sz w:val="14"/>
                <w:szCs w:val="14"/>
              </w:rPr>
              <w:t>3 600 971</w:t>
            </w:r>
          </w:p>
        </w:tc>
        <w:tc>
          <w:tcPr>
            <w:tcW w:w="526" w:type="pct"/>
            <w:gridSpan w:val="2"/>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3 946 534</w:t>
            </w:r>
          </w:p>
        </w:tc>
        <w:tc>
          <w:tcPr>
            <w:tcW w:w="527" w:type="pct"/>
            <w:gridSpan w:val="2"/>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4 094 554</w:t>
            </w:r>
          </w:p>
        </w:tc>
        <w:tc>
          <w:tcPr>
            <w:tcW w:w="526" w:type="pct"/>
            <w:gridSpan w:val="2"/>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bCs/>
                <w:sz w:val="14"/>
                <w:szCs w:val="14"/>
              </w:rPr>
              <w:t>4 094 554</w:t>
            </w:r>
          </w:p>
        </w:tc>
        <w:tc>
          <w:tcPr>
            <w:tcW w:w="527" w:type="pct"/>
            <w:gridSpan w:val="2"/>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bCs/>
                <w:sz w:val="14"/>
                <w:szCs w:val="14"/>
              </w:rPr>
              <w:t>3 849 323</w:t>
            </w:r>
          </w:p>
        </w:tc>
        <w:tc>
          <w:tcPr>
            <w:tcW w:w="526" w:type="pct"/>
            <w:gridSpan w:val="2"/>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bCs/>
                <w:sz w:val="14"/>
                <w:szCs w:val="14"/>
              </w:rPr>
              <w:t>3 869 274</w:t>
            </w:r>
          </w:p>
        </w:tc>
        <w:tc>
          <w:tcPr>
            <w:tcW w:w="454" w:type="pct"/>
            <w:gridSpan w:val="2"/>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bCs/>
                <w:sz w:val="14"/>
                <w:szCs w:val="14"/>
              </w:rPr>
              <w:t>3 877 565</w:t>
            </w:r>
          </w:p>
        </w:tc>
      </w:tr>
      <w:tr>
        <w:tblPrEx>
          <w:tblW w:w="5116" w:type="pct"/>
          <w:tblLayout w:type="fixed"/>
          <w:tblCellMar>
            <w:left w:w="70" w:type="dxa"/>
            <w:right w:w="70" w:type="dxa"/>
          </w:tblCellMar>
          <w:tblLook w:val="04A0"/>
        </w:tblPrEx>
        <w:trPr>
          <w:trHeight w:val="259"/>
        </w:trPr>
        <w:tc>
          <w:tcPr>
            <w:tcW w:w="1387"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sz w:val="14"/>
                <w:szCs w:val="14"/>
              </w:rPr>
            </w:pPr>
            <w:r w:rsidRPr="005A6E2D">
              <w:rPr>
                <w:rFonts w:ascii="Times New Roman" w:hAnsi="Times New Roman" w:cs="Times New Roman"/>
                <w:sz w:val="14"/>
                <w:szCs w:val="14"/>
              </w:rPr>
              <w:t xml:space="preserve">        v tom: bežné výdavky 600</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3 523 516</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 3 946 534</w:t>
            </w:r>
          </w:p>
        </w:tc>
        <w:tc>
          <w:tcPr>
            <w:tcW w:w="527"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 3 933 710</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 3 933 710</w:t>
            </w:r>
          </w:p>
        </w:tc>
        <w:tc>
          <w:tcPr>
            <w:tcW w:w="527"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 3 688 479</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 3 708 430</w:t>
            </w:r>
          </w:p>
        </w:tc>
        <w:tc>
          <w:tcPr>
            <w:tcW w:w="454"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3 716 721</w:t>
            </w:r>
          </w:p>
        </w:tc>
      </w:tr>
      <w:tr>
        <w:tblPrEx>
          <w:tblW w:w="5116" w:type="pct"/>
          <w:tblLayout w:type="fixed"/>
          <w:tblCellMar>
            <w:left w:w="70" w:type="dxa"/>
            <w:right w:w="70" w:type="dxa"/>
          </w:tblCellMar>
          <w:tblLook w:val="04A0"/>
        </w:tblPrEx>
        <w:trPr>
          <w:trHeight w:val="259"/>
        </w:trPr>
        <w:tc>
          <w:tcPr>
            <w:tcW w:w="1387"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sz w:val="14"/>
                <w:szCs w:val="14"/>
              </w:rPr>
            </w:pPr>
            <w:r w:rsidRPr="005A6E2D">
              <w:rPr>
                <w:rFonts w:ascii="Times New Roman" w:hAnsi="Times New Roman" w:cs="Times New Roman"/>
                <w:sz w:val="14"/>
                <w:szCs w:val="14"/>
              </w:rPr>
              <w:t xml:space="preserve">                               610 mzdy</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1 483 477</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1 656 272</w:t>
            </w:r>
          </w:p>
        </w:tc>
        <w:tc>
          <w:tcPr>
            <w:tcW w:w="527"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1 405 881</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1 405 881</w:t>
            </w:r>
          </w:p>
        </w:tc>
        <w:tc>
          <w:tcPr>
            <w:tcW w:w="527"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1 414 813</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1 429 597</w:t>
            </w:r>
          </w:p>
        </w:tc>
        <w:tc>
          <w:tcPr>
            <w:tcW w:w="454"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1 435 741</w:t>
            </w:r>
          </w:p>
        </w:tc>
      </w:tr>
      <w:tr>
        <w:tblPrEx>
          <w:tblW w:w="5116" w:type="pct"/>
          <w:tblLayout w:type="fixed"/>
          <w:tblCellMar>
            <w:left w:w="70" w:type="dxa"/>
            <w:right w:w="70" w:type="dxa"/>
          </w:tblCellMar>
          <w:tblLook w:val="04A0"/>
        </w:tblPrEx>
        <w:trPr>
          <w:trHeight w:val="259"/>
        </w:trPr>
        <w:tc>
          <w:tcPr>
            <w:tcW w:w="1387"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sz w:val="14"/>
                <w:szCs w:val="14"/>
              </w:rPr>
            </w:pPr>
            <w:r w:rsidRPr="005A6E2D">
              <w:rPr>
                <w:rFonts w:ascii="Times New Roman" w:hAnsi="Times New Roman" w:cs="Times New Roman"/>
                <w:sz w:val="14"/>
                <w:szCs w:val="14"/>
              </w:rPr>
              <w:t xml:space="preserve">                               620 odvody</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485 341</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533 328</w:t>
            </w:r>
          </w:p>
        </w:tc>
        <w:tc>
          <w:tcPr>
            <w:tcW w:w="527"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491 355</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491 355</w:t>
            </w:r>
          </w:p>
        </w:tc>
        <w:tc>
          <w:tcPr>
            <w:tcW w:w="527"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493 920</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499 087</w:t>
            </w:r>
          </w:p>
        </w:tc>
        <w:tc>
          <w:tcPr>
            <w:tcW w:w="454"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501 234</w:t>
            </w:r>
          </w:p>
        </w:tc>
      </w:tr>
      <w:tr>
        <w:tblPrEx>
          <w:tblW w:w="5116" w:type="pct"/>
          <w:tblLayout w:type="fixed"/>
          <w:tblCellMar>
            <w:left w:w="70" w:type="dxa"/>
            <w:right w:w="70" w:type="dxa"/>
          </w:tblCellMar>
          <w:tblLook w:val="04A0"/>
        </w:tblPrEx>
        <w:trPr>
          <w:trHeight w:val="259"/>
        </w:trPr>
        <w:tc>
          <w:tcPr>
            <w:tcW w:w="1387"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sz w:val="14"/>
                <w:szCs w:val="14"/>
              </w:rPr>
            </w:pPr>
            <w:r w:rsidRPr="005A6E2D">
              <w:rPr>
                <w:rFonts w:ascii="Times New Roman" w:hAnsi="Times New Roman" w:cs="Times New Roman"/>
                <w:sz w:val="14"/>
                <w:szCs w:val="14"/>
              </w:rPr>
              <w:t xml:space="preserve">                               630 tovary a služby</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1 447 016</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1 650 483</w:t>
            </w:r>
          </w:p>
        </w:tc>
        <w:tc>
          <w:tcPr>
            <w:tcW w:w="527"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1 934 569</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1 934 569</w:t>
            </w:r>
          </w:p>
        </w:tc>
        <w:tc>
          <w:tcPr>
            <w:tcW w:w="527"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1 677 841</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1 677 841</w:t>
            </w:r>
          </w:p>
        </w:tc>
        <w:tc>
          <w:tcPr>
            <w:tcW w:w="454"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1 677 841</w:t>
            </w:r>
          </w:p>
        </w:tc>
      </w:tr>
      <w:tr>
        <w:tblPrEx>
          <w:tblW w:w="5116" w:type="pct"/>
          <w:tblLayout w:type="fixed"/>
          <w:tblCellMar>
            <w:left w:w="70" w:type="dxa"/>
            <w:right w:w="70" w:type="dxa"/>
          </w:tblCellMar>
          <w:tblLook w:val="04A0"/>
        </w:tblPrEx>
        <w:trPr>
          <w:trHeight w:val="259"/>
        </w:trPr>
        <w:tc>
          <w:tcPr>
            <w:tcW w:w="1387"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sz w:val="14"/>
                <w:szCs w:val="14"/>
              </w:rPr>
            </w:pPr>
            <w:r w:rsidRPr="005A6E2D">
              <w:rPr>
                <w:rFonts w:ascii="Times New Roman" w:hAnsi="Times New Roman" w:cs="Times New Roman"/>
                <w:sz w:val="14"/>
                <w:szCs w:val="14"/>
              </w:rPr>
              <w:t xml:space="preserve">                               640 bežné transfery</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107 681</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106 451</w:t>
            </w:r>
          </w:p>
        </w:tc>
        <w:tc>
          <w:tcPr>
            <w:tcW w:w="527"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101 905</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101 905</w:t>
            </w:r>
          </w:p>
        </w:tc>
        <w:tc>
          <w:tcPr>
            <w:tcW w:w="527"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101 905</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101 905</w:t>
            </w:r>
          </w:p>
        </w:tc>
        <w:tc>
          <w:tcPr>
            <w:tcW w:w="454"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101 905</w:t>
            </w:r>
          </w:p>
        </w:tc>
      </w:tr>
      <w:tr>
        <w:tblPrEx>
          <w:tblW w:w="5116" w:type="pct"/>
          <w:tblLayout w:type="fixed"/>
          <w:tblCellMar>
            <w:left w:w="70" w:type="dxa"/>
            <w:right w:w="70" w:type="dxa"/>
          </w:tblCellMar>
          <w:tblLook w:val="04A0"/>
        </w:tblPrEx>
        <w:trPr>
          <w:trHeight w:val="259"/>
        </w:trPr>
        <w:tc>
          <w:tcPr>
            <w:tcW w:w="1387"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sz w:val="14"/>
                <w:szCs w:val="14"/>
              </w:rPr>
            </w:pPr>
            <w:r w:rsidRPr="005A6E2D">
              <w:rPr>
                <w:rFonts w:ascii="Times New Roman" w:hAnsi="Times New Roman" w:cs="Times New Roman"/>
                <w:sz w:val="14"/>
                <w:szCs w:val="14"/>
              </w:rPr>
              <w:t xml:space="preserve">                   kapitálové výdavky 700</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77 455</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 0</w:t>
            </w:r>
          </w:p>
        </w:tc>
        <w:tc>
          <w:tcPr>
            <w:tcW w:w="527"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160 844</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160 844</w:t>
            </w:r>
          </w:p>
        </w:tc>
        <w:tc>
          <w:tcPr>
            <w:tcW w:w="527"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160 844</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160 844</w:t>
            </w:r>
          </w:p>
        </w:tc>
        <w:tc>
          <w:tcPr>
            <w:tcW w:w="454"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160 844</w:t>
            </w:r>
          </w:p>
        </w:tc>
      </w:tr>
      <w:tr>
        <w:tblPrEx>
          <w:tblW w:w="5116" w:type="pct"/>
          <w:tblLayout w:type="fixed"/>
          <w:tblCellMar>
            <w:left w:w="70" w:type="dxa"/>
            <w:right w:w="70" w:type="dxa"/>
          </w:tblCellMar>
          <w:tblLook w:val="04A0"/>
        </w:tblPrEx>
        <w:trPr>
          <w:trHeight w:val="259"/>
        </w:trPr>
        <w:tc>
          <w:tcPr>
            <w:tcW w:w="1387" w:type="pct"/>
            <w:tcBorders>
              <w:top w:val="single" w:sz="4" w:space="0" w:color="auto"/>
              <w:left w:val="single" w:sz="4" w:space="0" w:color="auto"/>
              <w:bottom w:val="single" w:sz="4" w:space="0" w:color="auto"/>
              <w:right w:val="nil"/>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presun z minulých rokov</w:t>
            </w:r>
          </w:p>
        </w:tc>
        <w:tc>
          <w:tcPr>
            <w:tcW w:w="526" w:type="pct"/>
            <w:gridSpan w:val="2"/>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 0</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 173 508</w:t>
            </w:r>
          </w:p>
        </w:tc>
        <w:tc>
          <w:tcPr>
            <w:tcW w:w="527"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 0</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517 840</w:t>
            </w:r>
          </w:p>
        </w:tc>
        <w:tc>
          <w:tcPr>
            <w:tcW w:w="527"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 0</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 0</w:t>
            </w:r>
          </w:p>
        </w:tc>
        <w:tc>
          <w:tcPr>
            <w:tcW w:w="454"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 0</w:t>
            </w:r>
          </w:p>
        </w:tc>
      </w:tr>
      <w:tr>
        <w:tblPrEx>
          <w:tblW w:w="5116" w:type="pct"/>
          <w:tblLayout w:type="fixed"/>
          <w:tblCellMar>
            <w:left w:w="70" w:type="dxa"/>
            <w:right w:w="70" w:type="dxa"/>
          </w:tblCellMar>
          <w:tblLook w:val="04A0"/>
        </w:tblPrEx>
        <w:trPr>
          <w:trHeight w:val="259"/>
        </w:trPr>
        <w:tc>
          <w:tcPr>
            <w:tcW w:w="1387"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sz w:val="14"/>
                <w:szCs w:val="14"/>
              </w:rPr>
            </w:pPr>
            <w:r w:rsidRPr="005A6E2D">
              <w:rPr>
                <w:rFonts w:ascii="Times New Roman" w:hAnsi="Times New Roman" w:cs="Times New Roman"/>
                <w:sz w:val="14"/>
                <w:szCs w:val="14"/>
              </w:rPr>
              <w:t>iné zdroje</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6 701</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 0</w:t>
            </w:r>
          </w:p>
        </w:tc>
        <w:tc>
          <w:tcPr>
            <w:tcW w:w="527"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 0</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 0</w:t>
            </w:r>
          </w:p>
        </w:tc>
        <w:tc>
          <w:tcPr>
            <w:tcW w:w="527"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 0</w:t>
            </w:r>
          </w:p>
        </w:tc>
        <w:tc>
          <w:tcPr>
            <w:tcW w:w="526"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 0</w:t>
            </w:r>
          </w:p>
        </w:tc>
        <w:tc>
          <w:tcPr>
            <w:tcW w:w="454" w:type="pct"/>
            <w:gridSpan w:val="2"/>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 0</w:t>
            </w:r>
          </w:p>
        </w:tc>
      </w:tr>
    </w:tbl>
    <w:p w:rsidR="00CB350B" w:rsidRPr="0004638E" w:rsidP="00CB350B">
      <w:pPr>
        <w:autoSpaceDE w:val="0"/>
        <w:autoSpaceDN w:val="0"/>
        <w:bidi w:val="0"/>
        <w:adjustRightInd w:val="0"/>
        <w:jc w:val="both"/>
        <w:rPr>
          <w:rFonts w:ascii="Times New Roman" w:hAnsi="Times New Roman" w:cs="Times New Roman"/>
        </w:rPr>
      </w:pPr>
    </w:p>
    <w:p w:rsidR="00CB350B" w:rsidRPr="001A4294" w:rsidP="00CB350B">
      <w:pPr>
        <w:autoSpaceDE w:val="0"/>
        <w:autoSpaceDN w:val="0"/>
        <w:bidi w:val="0"/>
        <w:ind w:firstLine="708"/>
        <w:jc w:val="both"/>
        <w:rPr>
          <w:rFonts w:ascii="Times New Roman" w:hAnsi="Times New Roman" w:cs="Times New Roman"/>
        </w:rPr>
      </w:pPr>
      <w:r w:rsidRPr="005E3A08">
        <w:rPr>
          <w:rFonts w:ascii="Times New Roman" w:hAnsi="Times New Roman" w:cs="Times New Roman"/>
        </w:rPr>
        <w:t>Na rok 2012 sa pre kapitolu navrhuje limit výdavkov v sume 3,84 mil. eur, čo je pokles o 5,98 % v porovnaní so schváleným rozpočtom roku 2011. V roku 2011 mala kapitola navýšené výdavky jednorazovo o sumu 160 tis. eur (oprava Prezidentského paláca). Po odpočítaní tohto titulu celkové výdavky kapitoly rozpočtované na rok 2012 klesajú v porovnaní so schváleným rozpočtom roku 2011 o 2,16</w:t>
      </w:r>
      <w:r>
        <w:rPr>
          <w:rFonts w:ascii="Times New Roman" w:hAnsi="Times New Roman" w:cs="Times New Roman"/>
        </w:rPr>
        <w:t xml:space="preserve"> </w:t>
      </w:r>
      <w:r w:rsidRPr="005E3A08">
        <w:rPr>
          <w:rFonts w:ascii="Times New Roman" w:hAnsi="Times New Roman" w:cs="Times New Roman"/>
        </w:rPr>
        <w:t>% (85,2 tis. eur).</w:t>
      </w:r>
    </w:p>
    <w:p w:rsidR="00CB350B" w:rsidRPr="0004638E" w:rsidP="00CB350B">
      <w:pPr>
        <w:bidi w:val="0"/>
        <w:rPr>
          <w:rFonts w:ascii="Times New Roman" w:hAnsi="Times New Roman" w:cs="Times New Roman"/>
        </w:rPr>
      </w:pPr>
    </w:p>
    <w:p w:rsidR="00CB350B" w:rsidRPr="0004638E" w:rsidP="00CB350B">
      <w:pPr>
        <w:bidi w:val="0"/>
        <w:ind w:firstLine="708"/>
        <w:jc w:val="both"/>
        <w:rPr>
          <w:rFonts w:ascii="Times New Roman" w:hAnsi="Times New Roman" w:cs="Times New Roman"/>
          <w:color w:val="C00000"/>
        </w:rPr>
      </w:pPr>
      <w:r w:rsidRPr="0004638E">
        <w:rPr>
          <w:rFonts w:ascii="Times New Roman" w:hAnsi="Times New Roman" w:cs="Times New Roman"/>
        </w:rPr>
        <w:t xml:space="preserve">Objem osobných výdavkov sa na rok 2012 rozpočtuje na úrovni 1,90 mil. eur, čo je nárast o 0,6 % v porovnaní so schváleným rozpočtom roku 2011 </w:t>
      </w:r>
      <w:r>
        <w:rPr>
          <w:rFonts w:ascii="Times New Roman" w:hAnsi="Times New Roman" w:cs="Times New Roman"/>
        </w:rPr>
        <w:t>z dôvodu</w:t>
      </w:r>
      <w:r w:rsidRPr="0004638E">
        <w:rPr>
          <w:rFonts w:ascii="Times New Roman" w:hAnsi="Times New Roman" w:cs="Times New Roman"/>
        </w:rPr>
        <w:t xml:space="preserve"> ich zvýšeni</w:t>
      </w:r>
      <w:r>
        <w:rPr>
          <w:rFonts w:ascii="Times New Roman" w:hAnsi="Times New Roman" w:cs="Times New Roman"/>
        </w:rPr>
        <w:t>a, ktoré</w:t>
      </w:r>
      <w:r w:rsidRPr="0004638E">
        <w:rPr>
          <w:rFonts w:ascii="Times New Roman" w:hAnsi="Times New Roman" w:cs="Times New Roman"/>
        </w:rPr>
        <w:t xml:space="preserve"> súvis</w:t>
      </w:r>
      <w:r>
        <w:rPr>
          <w:rFonts w:ascii="Times New Roman" w:hAnsi="Times New Roman" w:cs="Times New Roman"/>
        </w:rPr>
        <w:t>í</w:t>
      </w:r>
      <w:r w:rsidRPr="0004638E">
        <w:rPr>
          <w:rFonts w:ascii="Times New Roman" w:hAnsi="Times New Roman" w:cs="Times New Roman"/>
        </w:rPr>
        <w:t xml:space="preserve"> so zákonom č. 120/1993 Z. z. Nárast osobných výdavkov ústavného činiteľa v roku 2012 zohľadňuje dopočet platových náležitostí reálne vyplácaných v roku 2011 v zmysle zákona. </w:t>
      </w:r>
    </w:p>
    <w:p w:rsidR="00CB350B" w:rsidRPr="0004638E"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 xml:space="preserve">Na tovary a služby sa v roku 2012 rozpisuje suma 1,67 mil. eur, čo je v porovnaní so schváleným rozpočtom roku 2011 pokles o 13,3 %. Limit výdavkov na tovary a služby v rokoch 2012 až 2014 vychádza zo zníženia o 160 tis. eur jednorazovo určených na opravu Prezidentského paláca. Po </w:t>
      </w:r>
      <w:r>
        <w:rPr>
          <w:rFonts w:ascii="Times New Roman" w:hAnsi="Times New Roman" w:cs="Times New Roman"/>
        </w:rPr>
        <w:t>abstrahovaní od</w:t>
      </w:r>
      <w:r w:rsidRPr="0004638E">
        <w:rPr>
          <w:rFonts w:ascii="Times New Roman" w:hAnsi="Times New Roman" w:cs="Times New Roman"/>
        </w:rPr>
        <w:t xml:space="preserve"> uvedenej zmeny predstavuje pokles výdavkov </w:t>
      </w:r>
      <w:r>
        <w:rPr>
          <w:rFonts w:ascii="Times New Roman" w:hAnsi="Times New Roman" w:cs="Times New Roman"/>
        </w:rPr>
        <w:t>na</w:t>
      </w:r>
      <w:r w:rsidRPr="0004638E">
        <w:rPr>
          <w:rFonts w:ascii="Times New Roman" w:hAnsi="Times New Roman" w:cs="Times New Roman"/>
        </w:rPr>
        <w:t xml:space="preserve"> rok 2012 a nasledovné roky 5</w:t>
      </w:r>
      <w:r>
        <w:rPr>
          <w:rFonts w:ascii="Times New Roman" w:hAnsi="Times New Roman" w:cs="Times New Roman"/>
        </w:rPr>
        <w:t xml:space="preserve"> </w:t>
      </w:r>
      <w:r w:rsidRPr="0004638E">
        <w:rPr>
          <w:rFonts w:ascii="Times New Roman" w:hAnsi="Times New Roman" w:cs="Times New Roman"/>
        </w:rPr>
        <w:t xml:space="preserve">%, čo zodpovedá navrhovanému zníženiu prevádzkových výdavkov. </w:t>
      </w:r>
    </w:p>
    <w:p w:rsidR="00CB350B" w:rsidRPr="0004638E" w:rsidP="00CB350B">
      <w:pPr>
        <w:autoSpaceDE w:val="0"/>
        <w:autoSpaceDN w:val="0"/>
        <w:bidi w:val="0"/>
        <w:adjustRightInd w:val="0"/>
        <w:jc w:val="both"/>
        <w:rPr>
          <w:rFonts w:ascii="Times New Roman" w:hAnsi="Times New Roman" w:cs="Times New Roman"/>
        </w:rPr>
      </w:pPr>
    </w:p>
    <w:p w:rsidR="00CB350B" w:rsidRPr="0004638E" w:rsidP="00CB350B">
      <w:pPr>
        <w:autoSpaceDE w:val="0"/>
        <w:autoSpaceDN w:val="0"/>
        <w:bidi w:val="0"/>
        <w:adjustRightInd w:val="0"/>
        <w:ind w:firstLine="708"/>
        <w:jc w:val="both"/>
        <w:rPr>
          <w:rFonts w:ascii="Times New Roman" w:hAnsi="Times New Roman" w:cs="Times New Roman"/>
        </w:rPr>
      </w:pPr>
      <w:r w:rsidRPr="0004638E">
        <w:rPr>
          <w:rFonts w:ascii="Times New Roman" w:hAnsi="Times New Roman" w:cs="Times New Roman"/>
        </w:rPr>
        <w:t>Výdavky na bežné transfery sa rozpisujú v sume 102 tis. eur, čo je na úrovni schváleného rozpočtu roka 2011.</w:t>
      </w:r>
    </w:p>
    <w:p w:rsidR="00CB350B" w:rsidRPr="0004638E" w:rsidP="00CB350B">
      <w:pPr>
        <w:autoSpaceDE w:val="0"/>
        <w:autoSpaceDN w:val="0"/>
        <w:bidi w:val="0"/>
        <w:adjustRightInd w:val="0"/>
        <w:jc w:val="both"/>
        <w:rPr>
          <w:rFonts w:ascii="Times New Roman" w:hAnsi="Times New Roman" w:cs="Times New Roman"/>
        </w:rPr>
      </w:pPr>
    </w:p>
    <w:p w:rsidR="00CB350B" w:rsidP="00CB350B">
      <w:pPr>
        <w:bidi w:val="0"/>
        <w:ind w:firstLine="708"/>
        <w:rPr>
          <w:rFonts w:ascii="Times New Roman" w:hAnsi="Times New Roman" w:cs="Times New Roman"/>
        </w:rPr>
      </w:pPr>
      <w:r w:rsidRPr="0004638E">
        <w:rPr>
          <w:rFonts w:ascii="Times New Roman" w:hAnsi="Times New Roman" w:cs="Times New Roman"/>
        </w:rPr>
        <w:t>Kapitálové výdavky sú na rok 2012 rozpočtované v sume 160 tis. eur, čo je na úrovni schváleného rozpočtu roka 2011.</w:t>
      </w:r>
    </w:p>
    <w:p w:rsidR="00CB350B" w:rsidP="00CB350B">
      <w:pPr>
        <w:pBdr>
          <w:bottom w:val="single" w:sz="4" w:space="1" w:color="auto"/>
        </w:pBdr>
        <w:bidi w:val="0"/>
        <w:rPr>
          <w:rFonts w:ascii="Arial Narrow" w:hAnsi="Arial Narrow" w:cs="Arial Narrow"/>
          <w:b/>
          <w:bCs/>
          <w:color w:val="FF0000"/>
          <w:sz w:val="22"/>
          <w:szCs w:val="22"/>
        </w:rPr>
      </w:pPr>
    </w:p>
    <w:p w:rsidR="00CB350B" w:rsidRPr="0004638E" w:rsidP="00CB350B">
      <w:pPr>
        <w:pBdr>
          <w:bottom w:val="single" w:sz="4" w:space="1" w:color="auto"/>
        </w:pBdr>
        <w:bidi w:val="0"/>
        <w:rPr>
          <w:rFonts w:ascii="Times New Roman" w:hAnsi="Times New Roman" w:cs="Times New Roman"/>
          <w:b/>
          <w:bCs/>
        </w:rPr>
      </w:pPr>
      <w:r w:rsidRPr="0004638E">
        <w:rPr>
          <w:rFonts w:ascii="Times New Roman" w:hAnsi="Times New Roman" w:cs="Times New Roman"/>
          <w:b/>
        </w:rPr>
        <w:t xml:space="preserve">Úrad vlády SR </w:t>
      </w:r>
    </w:p>
    <w:p w:rsidR="00CB350B" w:rsidRPr="0004638E" w:rsidP="00CB350B">
      <w:pPr>
        <w:bidi w:val="0"/>
        <w:jc w:val="both"/>
        <w:rPr>
          <w:rFonts w:ascii="Times New Roman" w:hAnsi="Times New Roman" w:cs="Times New Roman"/>
          <w:b/>
        </w:rPr>
      </w:pPr>
    </w:p>
    <w:p w:rsidR="00CB350B" w:rsidP="00CB350B">
      <w:pPr>
        <w:bidi w:val="0"/>
        <w:ind w:firstLine="708"/>
        <w:jc w:val="both"/>
        <w:rPr>
          <w:rFonts w:ascii="Times New Roman" w:hAnsi="Times New Roman" w:cs="Times New Roman"/>
          <w:color w:val="000000"/>
        </w:rPr>
      </w:pPr>
      <w:r w:rsidRPr="0004638E">
        <w:rPr>
          <w:rFonts w:ascii="Times New Roman" w:hAnsi="Times New Roman" w:cs="Times New Roman"/>
          <w:color w:val="000000"/>
        </w:rPr>
        <w:t>Výdavkami Úradu vlády SR na rok 2012 sa zabezpečujú prostriedky na podporu menšinovej kultúrnej politiky, na riešenie problematiky rómskych komunít, na zabezpečenie prevádzky vládnej siete Govnet a Ústredného portálu verejnej správy, ako aj na Informačné centrum Úradu vlády</w:t>
      </w:r>
      <w:r>
        <w:rPr>
          <w:rFonts w:ascii="Times New Roman" w:hAnsi="Times New Roman" w:cs="Times New Roman"/>
          <w:color w:val="000000"/>
        </w:rPr>
        <w:t xml:space="preserve"> SR</w:t>
      </w:r>
      <w:r w:rsidRPr="0004638E">
        <w:rPr>
          <w:rFonts w:ascii="Times New Roman" w:hAnsi="Times New Roman" w:cs="Times New Roman"/>
          <w:color w:val="000000"/>
        </w:rPr>
        <w:t xml:space="preserve"> pre občanov v súvislosti s členstvom SR v eurozóne. Pre Správu zariadení Úradu vlády SR sa zabezpečujú prostriedky na chod účelových zariadení v oblasti poskytovania služieb, na správu a údržbu objektov ÚV SR, na obstaranie a správu hnuteľného majetku pre ÚV SR a na obstaranie hmotného a nehmotného majetku. V rámci výdavkov Úradu pre Slovákov žijúcich v zahraničí sa rozpočtujú predovšetkým prostriedky na podporu aktivít Slovákov žijúcich v zahraničí.</w:t>
      </w:r>
    </w:p>
    <w:p w:rsidR="00CB350B" w:rsidRPr="0004638E" w:rsidP="00CB350B">
      <w:pPr>
        <w:bidi w:val="0"/>
        <w:jc w:val="both"/>
        <w:rPr>
          <w:rFonts w:ascii="Times New Roman" w:hAnsi="Times New Roman" w:cs="Times New Roman"/>
          <w:color w:val="000000"/>
        </w:rPr>
      </w:pPr>
    </w:p>
    <w:tbl>
      <w:tblPr>
        <w:tblStyle w:val="TableNormal"/>
        <w:tblW w:w="9229" w:type="dxa"/>
        <w:tblInd w:w="55" w:type="dxa"/>
        <w:tblLayout w:type="fixed"/>
        <w:tblCellMar>
          <w:left w:w="70" w:type="dxa"/>
          <w:right w:w="70" w:type="dxa"/>
        </w:tblCellMar>
        <w:tblLook w:val="04A0"/>
      </w:tblPr>
      <w:tblGrid>
        <w:gridCol w:w="2425"/>
        <w:gridCol w:w="972"/>
        <w:gridCol w:w="972"/>
        <w:gridCol w:w="972"/>
        <w:gridCol w:w="972"/>
        <w:gridCol w:w="972"/>
        <w:gridCol w:w="972"/>
        <w:gridCol w:w="972"/>
      </w:tblGrid>
      <w:tr>
        <w:tblPrEx>
          <w:tblW w:w="9229" w:type="dxa"/>
          <w:tblInd w:w="55" w:type="dxa"/>
          <w:tblLayout w:type="fixed"/>
          <w:tblCellMar>
            <w:left w:w="70" w:type="dxa"/>
            <w:right w:w="70" w:type="dxa"/>
          </w:tblCellMar>
          <w:tblLook w:val="04A0"/>
        </w:tblPrEx>
        <w:trPr>
          <w:trHeight w:val="259"/>
        </w:trPr>
        <w:tc>
          <w:tcPr>
            <w:tcW w:w="2425"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bCs/>
                <w:color w:val="000000"/>
                <w:sz w:val="14"/>
                <w:szCs w:val="14"/>
              </w:rPr>
            </w:pPr>
            <w:r w:rsidRPr="005A6E2D">
              <w:rPr>
                <w:rFonts w:ascii="Times New Roman" w:hAnsi="Times New Roman" w:cs="Times New Roman"/>
                <w:color w:val="000000"/>
                <w:sz w:val="14"/>
                <w:szCs w:val="14"/>
              </w:rPr>
              <w:br w:type="page"/>
            </w:r>
            <w:r w:rsidRPr="005A6E2D">
              <w:rPr>
                <w:rFonts w:ascii="Times New Roman" w:hAnsi="Times New Roman" w:cs="Times New Roman"/>
                <w:b/>
                <w:bCs/>
                <w:color w:val="000000"/>
                <w:sz w:val="14"/>
                <w:szCs w:val="14"/>
              </w:rPr>
              <w:t> v eurách</w:t>
            </w:r>
          </w:p>
        </w:tc>
        <w:tc>
          <w:tcPr>
            <w:tcW w:w="972"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2009 S</w:t>
            </w:r>
          </w:p>
        </w:tc>
        <w:tc>
          <w:tcPr>
            <w:tcW w:w="972"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2010S</w:t>
            </w:r>
          </w:p>
        </w:tc>
        <w:tc>
          <w:tcPr>
            <w:tcW w:w="972"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2011 R</w:t>
            </w:r>
          </w:p>
        </w:tc>
        <w:tc>
          <w:tcPr>
            <w:tcW w:w="972"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2011 OS</w:t>
            </w:r>
          </w:p>
        </w:tc>
        <w:tc>
          <w:tcPr>
            <w:tcW w:w="972"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2012 N</w:t>
            </w:r>
          </w:p>
        </w:tc>
        <w:tc>
          <w:tcPr>
            <w:tcW w:w="972"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2013 N</w:t>
            </w:r>
          </w:p>
        </w:tc>
        <w:tc>
          <w:tcPr>
            <w:tcW w:w="972"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2014 N</w:t>
            </w:r>
          </w:p>
        </w:tc>
      </w:tr>
      <w:tr>
        <w:tblPrEx>
          <w:tblW w:w="9229" w:type="dxa"/>
          <w:tblInd w:w="55" w:type="dxa"/>
          <w:tblLayout w:type="fixed"/>
          <w:tblCellMar>
            <w:left w:w="70" w:type="dxa"/>
            <w:right w:w="70" w:type="dxa"/>
          </w:tblCellMar>
          <w:tblLook w:val="04A0"/>
        </w:tblPrEx>
        <w:trPr>
          <w:trHeight w:val="259"/>
        </w:trPr>
        <w:tc>
          <w:tcPr>
            <w:tcW w:w="2425"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Zdroje príslušnej kapitoly</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color w:val="000000"/>
                <w:sz w:val="14"/>
                <w:szCs w:val="14"/>
              </w:rPr>
            </w:pPr>
            <w:r w:rsidRPr="005A6E2D">
              <w:rPr>
                <w:rFonts w:ascii="Times New Roman" w:hAnsi="Times New Roman" w:cs="Times New Roman"/>
                <w:b/>
                <w:color w:val="000000"/>
                <w:sz w:val="14"/>
                <w:szCs w:val="14"/>
              </w:rPr>
              <w:t>43 237 716</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color w:val="000000"/>
                <w:sz w:val="14"/>
                <w:szCs w:val="14"/>
              </w:rPr>
            </w:pPr>
            <w:r w:rsidRPr="005A6E2D">
              <w:rPr>
                <w:rFonts w:ascii="Times New Roman" w:hAnsi="Times New Roman" w:cs="Times New Roman"/>
                <w:b/>
                <w:color w:val="000000"/>
                <w:sz w:val="14"/>
                <w:szCs w:val="14"/>
              </w:rPr>
              <w:t>71 763 710</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color w:val="000000"/>
                <w:sz w:val="14"/>
                <w:szCs w:val="14"/>
              </w:rPr>
            </w:pPr>
            <w:r w:rsidRPr="005A6E2D">
              <w:rPr>
                <w:rFonts w:ascii="Times New Roman" w:hAnsi="Times New Roman" w:cs="Times New Roman"/>
                <w:b/>
                <w:color w:val="000000"/>
                <w:sz w:val="14"/>
                <w:szCs w:val="14"/>
              </w:rPr>
              <w:t>57 172 496</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color w:val="000000"/>
                <w:sz w:val="14"/>
                <w:szCs w:val="14"/>
              </w:rPr>
            </w:pPr>
            <w:r w:rsidRPr="005A6E2D">
              <w:rPr>
                <w:rFonts w:ascii="Times New Roman" w:hAnsi="Times New Roman" w:cs="Times New Roman"/>
                <w:b/>
                <w:color w:val="000000"/>
                <w:sz w:val="14"/>
                <w:szCs w:val="14"/>
              </w:rPr>
              <w:t>58 479 721</w:t>
            </w:r>
          </w:p>
        </w:tc>
        <w:tc>
          <w:tcPr>
            <w:tcW w:w="972" w:type="dxa"/>
            <w:tcBorders>
              <w:top w:val="nil"/>
              <w:left w:val="nil"/>
              <w:bottom w:val="single" w:sz="4" w:space="0" w:color="auto"/>
              <w:right w:val="single" w:sz="4" w:space="0" w:color="auto"/>
            </w:tcBorders>
            <w:noWrap/>
            <w:textDirection w:val="lrTb"/>
            <w:vAlign w:val="bottom"/>
            <w:hideMark/>
          </w:tcPr>
          <w:p w:rsidR="00CB350B" w:rsidRPr="00B32251" w:rsidP="00257E12">
            <w:pPr>
              <w:bidi w:val="0"/>
              <w:jc w:val="right"/>
              <w:rPr>
                <w:rFonts w:ascii="Times New Roman" w:hAnsi="Times New Roman" w:cs="Times New Roman"/>
                <w:b/>
                <w:color w:val="000000"/>
                <w:sz w:val="14"/>
                <w:szCs w:val="14"/>
              </w:rPr>
            </w:pPr>
            <w:r w:rsidRPr="00B32251">
              <w:rPr>
                <w:rFonts w:ascii="Times New Roman" w:hAnsi="Times New Roman" w:cs="Times New Roman"/>
                <w:b/>
                <w:color w:val="000000"/>
                <w:sz w:val="14"/>
                <w:szCs w:val="14"/>
              </w:rPr>
              <w:t>39 760 331</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color w:val="000000"/>
                <w:sz w:val="14"/>
                <w:szCs w:val="14"/>
              </w:rPr>
            </w:pPr>
            <w:r>
              <w:rPr>
                <w:rFonts w:ascii="Times New Roman" w:hAnsi="Times New Roman" w:cs="Times New Roman"/>
                <w:b/>
                <w:color w:val="000000"/>
                <w:sz w:val="14"/>
                <w:szCs w:val="14"/>
              </w:rPr>
              <w:t>29</w:t>
            </w:r>
            <w:r w:rsidRPr="005A6E2D">
              <w:rPr>
                <w:rFonts w:ascii="Times New Roman" w:hAnsi="Times New Roman" w:cs="Times New Roman"/>
                <w:b/>
                <w:color w:val="000000"/>
                <w:sz w:val="14"/>
                <w:szCs w:val="14"/>
              </w:rPr>
              <w:t xml:space="preserve"> 287 638</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color w:val="000000"/>
                <w:sz w:val="14"/>
                <w:szCs w:val="14"/>
              </w:rPr>
            </w:pPr>
            <w:r>
              <w:rPr>
                <w:rFonts w:ascii="Times New Roman" w:hAnsi="Times New Roman" w:cs="Times New Roman"/>
                <w:b/>
                <w:color w:val="000000"/>
                <w:sz w:val="14"/>
                <w:szCs w:val="14"/>
              </w:rPr>
              <w:t>29</w:t>
            </w:r>
            <w:r w:rsidRPr="005A6E2D">
              <w:rPr>
                <w:rFonts w:ascii="Times New Roman" w:hAnsi="Times New Roman" w:cs="Times New Roman"/>
                <w:b/>
                <w:color w:val="000000"/>
                <w:sz w:val="14"/>
                <w:szCs w:val="14"/>
              </w:rPr>
              <w:t xml:space="preserve"> 296 827</w:t>
            </w:r>
          </w:p>
        </w:tc>
      </w:tr>
      <w:tr>
        <w:tblPrEx>
          <w:tblW w:w="9229" w:type="dxa"/>
          <w:tblInd w:w="55" w:type="dxa"/>
          <w:tblLayout w:type="fixed"/>
          <w:tblCellMar>
            <w:left w:w="70" w:type="dxa"/>
            <w:right w:w="70" w:type="dxa"/>
          </w:tblCellMar>
          <w:tblLook w:val="04A0"/>
        </w:tblPrEx>
        <w:trPr>
          <w:trHeight w:val="259"/>
        </w:trPr>
        <w:tc>
          <w:tcPr>
            <w:tcW w:w="2425"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z toho:</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w:t>
            </w:r>
          </w:p>
        </w:tc>
        <w:tc>
          <w:tcPr>
            <w:tcW w:w="972" w:type="dxa"/>
            <w:tcBorders>
              <w:top w:val="nil"/>
              <w:left w:val="nil"/>
              <w:bottom w:val="single" w:sz="4" w:space="0" w:color="auto"/>
              <w:right w:val="single" w:sz="4" w:space="0" w:color="auto"/>
            </w:tcBorders>
            <w:noWrap/>
            <w:textDirection w:val="lrTb"/>
            <w:vAlign w:val="bottom"/>
            <w:hideMark/>
          </w:tcPr>
          <w:p w:rsidR="00CB350B" w:rsidRPr="001739FA" w:rsidP="00257E12">
            <w:pPr>
              <w:bidi w:val="0"/>
              <w:rPr>
                <w:rFonts w:ascii="Times New Roman" w:hAnsi="Times New Roman" w:cs="Times New Roman"/>
                <w:color w:val="000000"/>
                <w:sz w:val="14"/>
                <w:szCs w:val="14"/>
              </w:rPr>
            </w:pPr>
            <w:r w:rsidRPr="001739FA">
              <w:rPr>
                <w:rFonts w:ascii="Times New Roman" w:hAnsi="Times New Roman" w:cs="Times New Roman"/>
                <w:color w:val="000000"/>
                <w:sz w:val="14"/>
                <w:szCs w:val="14"/>
              </w:rPr>
              <w:t> </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w:t>
            </w:r>
          </w:p>
        </w:tc>
      </w:tr>
      <w:tr>
        <w:tblPrEx>
          <w:tblW w:w="9229" w:type="dxa"/>
          <w:tblInd w:w="55" w:type="dxa"/>
          <w:tblLayout w:type="fixed"/>
          <w:tblCellMar>
            <w:left w:w="70" w:type="dxa"/>
            <w:right w:w="70" w:type="dxa"/>
          </w:tblCellMar>
          <w:tblLook w:val="04A0"/>
        </w:tblPrEx>
        <w:trPr>
          <w:trHeight w:val="259"/>
        </w:trPr>
        <w:tc>
          <w:tcPr>
            <w:tcW w:w="2425"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rozpočtové zdroje kapitoly</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38 201 090</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67 008 418</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57 070 014</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56 444 110</w:t>
            </w:r>
          </w:p>
        </w:tc>
        <w:tc>
          <w:tcPr>
            <w:tcW w:w="972" w:type="dxa"/>
            <w:tcBorders>
              <w:top w:val="nil"/>
              <w:left w:val="nil"/>
              <w:bottom w:val="single" w:sz="4" w:space="0" w:color="auto"/>
              <w:right w:val="single" w:sz="4" w:space="0" w:color="auto"/>
            </w:tcBorders>
            <w:noWrap/>
            <w:textDirection w:val="lrTb"/>
            <w:vAlign w:val="bottom"/>
            <w:hideMark/>
          </w:tcPr>
          <w:p w:rsidR="00CB350B" w:rsidRPr="00B32251" w:rsidP="00257E12">
            <w:pPr>
              <w:bidi w:val="0"/>
              <w:jc w:val="right"/>
              <w:rPr>
                <w:rFonts w:ascii="Times New Roman" w:hAnsi="Times New Roman" w:cs="Times New Roman"/>
                <w:color w:val="000000"/>
                <w:sz w:val="14"/>
                <w:szCs w:val="14"/>
              </w:rPr>
            </w:pPr>
            <w:r w:rsidRPr="00B32251">
              <w:rPr>
                <w:rFonts w:ascii="Times New Roman" w:hAnsi="Times New Roman" w:cs="Times New Roman"/>
                <w:color w:val="000000"/>
                <w:sz w:val="14"/>
                <w:szCs w:val="14"/>
              </w:rPr>
              <w:t>39 760</w:t>
            </w:r>
            <w:r>
              <w:rPr>
                <w:rFonts w:ascii="Times New Roman" w:hAnsi="Times New Roman" w:cs="Times New Roman"/>
                <w:color w:val="000000"/>
                <w:sz w:val="14"/>
                <w:szCs w:val="14"/>
              </w:rPr>
              <w:t> </w:t>
            </w:r>
            <w:r w:rsidRPr="00B32251">
              <w:rPr>
                <w:rFonts w:ascii="Times New Roman" w:hAnsi="Times New Roman" w:cs="Times New Roman"/>
                <w:color w:val="000000"/>
                <w:sz w:val="14"/>
                <w:szCs w:val="14"/>
              </w:rPr>
              <w:t>331</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2</w:t>
            </w:r>
            <w:r>
              <w:rPr>
                <w:rFonts w:ascii="Times New Roman" w:hAnsi="Times New Roman" w:cs="Times New Roman"/>
                <w:color w:val="000000"/>
                <w:sz w:val="14"/>
                <w:szCs w:val="14"/>
              </w:rPr>
              <w:t>9</w:t>
            </w:r>
            <w:r w:rsidRPr="005A6E2D">
              <w:rPr>
                <w:rFonts w:ascii="Times New Roman" w:hAnsi="Times New Roman" w:cs="Times New Roman"/>
                <w:color w:val="000000"/>
                <w:sz w:val="14"/>
                <w:szCs w:val="14"/>
              </w:rPr>
              <w:t xml:space="preserve"> 287 638</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29</w:t>
            </w:r>
            <w:r w:rsidRPr="005A6E2D">
              <w:rPr>
                <w:rFonts w:ascii="Times New Roman" w:hAnsi="Times New Roman" w:cs="Times New Roman"/>
                <w:color w:val="000000"/>
                <w:sz w:val="14"/>
                <w:szCs w:val="14"/>
              </w:rPr>
              <w:t xml:space="preserve"> 296 827</w:t>
            </w:r>
          </w:p>
        </w:tc>
      </w:tr>
      <w:tr>
        <w:tblPrEx>
          <w:tblW w:w="9229" w:type="dxa"/>
          <w:tblInd w:w="55" w:type="dxa"/>
          <w:tblLayout w:type="fixed"/>
          <w:tblCellMar>
            <w:left w:w="70" w:type="dxa"/>
            <w:right w:w="70" w:type="dxa"/>
          </w:tblCellMar>
          <w:tblLook w:val="04A0"/>
        </w:tblPrEx>
        <w:trPr>
          <w:trHeight w:val="259"/>
        </w:trPr>
        <w:tc>
          <w:tcPr>
            <w:tcW w:w="2425"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xml:space="preserve">    v tom: bežné výdavky  600</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27 341 964</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56 836 314</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56 046 939</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55 721 035</w:t>
            </w:r>
          </w:p>
        </w:tc>
        <w:tc>
          <w:tcPr>
            <w:tcW w:w="972" w:type="dxa"/>
            <w:tcBorders>
              <w:top w:val="nil"/>
              <w:left w:val="nil"/>
              <w:bottom w:val="single" w:sz="4" w:space="0" w:color="auto"/>
              <w:right w:val="single" w:sz="4" w:space="0" w:color="auto"/>
            </w:tcBorders>
            <w:noWrap/>
            <w:textDirection w:val="lrTb"/>
            <w:vAlign w:val="bottom"/>
            <w:hideMark/>
          </w:tcPr>
          <w:p w:rsidR="00CB350B" w:rsidRPr="00B32251" w:rsidP="00257E12">
            <w:pPr>
              <w:bidi w:val="0"/>
              <w:jc w:val="right"/>
              <w:rPr>
                <w:rFonts w:ascii="Times New Roman" w:hAnsi="Times New Roman" w:cs="Times New Roman"/>
                <w:color w:val="000000"/>
                <w:sz w:val="14"/>
                <w:szCs w:val="14"/>
              </w:rPr>
            </w:pPr>
            <w:r w:rsidRPr="00B32251">
              <w:rPr>
                <w:rFonts w:ascii="Times New Roman" w:hAnsi="Times New Roman" w:cs="Times New Roman"/>
                <w:color w:val="000000"/>
                <w:sz w:val="14"/>
                <w:szCs w:val="14"/>
              </w:rPr>
              <w:t>38 737 256</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28</w:t>
            </w:r>
            <w:r w:rsidRPr="005A6E2D">
              <w:rPr>
                <w:rFonts w:ascii="Times New Roman" w:hAnsi="Times New Roman" w:cs="Times New Roman"/>
                <w:color w:val="000000"/>
                <w:sz w:val="14"/>
                <w:szCs w:val="14"/>
              </w:rPr>
              <w:t xml:space="preserve"> 264 563</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2</w:t>
            </w:r>
            <w:r>
              <w:rPr>
                <w:rFonts w:ascii="Times New Roman" w:hAnsi="Times New Roman" w:cs="Times New Roman"/>
                <w:color w:val="000000"/>
                <w:sz w:val="14"/>
                <w:szCs w:val="14"/>
              </w:rPr>
              <w:t>8</w:t>
            </w:r>
            <w:r w:rsidRPr="005A6E2D">
              <w:rPr>
                <w:rFonts w:ascii="Times New Roman" w:hAnsi="Times New Roman" w:cs="Times New Roman"/>
                <w:color w:val="000000"/>
                <w:sz w:val="14"/>
                <w:szCs w:val="14"/>
              </w:rPr>
              <w:t xml:space="preserve"> 273 752</w:t>
            </w:r>
          </w:p>
        </w:tc>
      </w:tr>
      <w:tr>
        <w:tblPrEx>
          <w:tblW w:w="9229" w:type="dxa"/>
          <w:tblInd w:w="55" w:type="dxa"/>
          <w:tblLayout w:type="fixed"/>
          <w:tblCellMar>
            <w:left w:w="70" w:type="dxa"/>
            <w:right w:w="70" w:type="dxa"/>
          </w:tblCellMar>
          <w:tblLook w:val="04A0"/>
        </w:tblPrEx>
        <w:trPr>
          <w:trHeight w:val="259"/>
        </w:trPr>
        <w:tc>
          <w:tcPr>
            <w:tcW w:w="2425"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xml:space="preserve">                              610 mzdy</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5 774 466</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6 351 961</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5 212 585</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5 019 197</w:t>
            </w:r>
          </w:p>
        </w:tc>
        <w:tc>
          <w:tcPr>
            <w:tcW w:w="972" w:type="dxa"/>
            <w:tcBorders>
              <w:top w:val="nil"/>
              <w:left w:val="nil"/>
              <w:bottom w:val="single" w:sz="4" w:space="0" w:color="auto"/>
              <w:right w:val="single" w:sz="4" w:space="0" w:color="auto"/>
            </w:tcBorders>
            <w:noWrap/>
            <w:textDirection w:val="lrTb"/>
            <w:vAlign w:val="bottom"/>
            <w:hideMark/>
          </w:tcPr>
          <w:p w:rsidR="00CB350B" w:rsidRPr="001739FA" w:rsidP="00257E12">
            <w:pPr>
              <w:bidi w:val="0"/>
              <w:jc w:val="right"/>
              <w:rPr>
                <w:rFonts w:ascii="Times New Roman" w:hAnsi="Times New Roman" w:cs="Times New Roman"/>
                <w:color w:val="000000"/>
                <w:sz w:val="14"/>
                <w:szCs w:val="14"/>
              </w:rPr>
            </w:pPr>
            <w:r w:rsidRPr="001739FA">
              <w:rPr>
                <w:rFonts w:ascii="Times New Roman" w:hAnsi="Times New Roman" w:cs="Times New Roman"/>
                <w:color w:val="000000"/>
                <w:sz w:val="14"/>
                <w:szCs w:val="14"/>
              </w:rPr>
              <w:t>5 125 999</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5 146 495</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5 153 536</w:t>
            </w:r>
          </w:p>
        </w:tc>
      </w:tr>
      <w:tr>
        <w:tblPrEx>
          <w:tblW w:w="9229" w:type="dxa"/>
          <w:tblInd w:w="55" w:type="dxa"/>
          <w:tblLayout w:type="fixed"/>
          <w:tblCellMar>
            <w:left w:w="70" w:type="dxa"/>
            <w:right w:w="70" w:type="dxa"/>
          </w:tblCellMar>
          <w:tblLook w:val="04A0"/>
        </w:tblPrEx>
        <w:trPr>
          <w:trHeight w:val="259"/>
        </w:trPr>
        <w:tc>
          <w:tcPr>
            <w:tcW w:w="2425"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xml:space="preserve">                              620 odvody</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1 950 490</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2 354 442</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1 827 196</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1 818 718</w:t>
            </w:r>
          </w:p>
        </w:tc>
        <w:tc>
          <w:tcPr>
            <w:tcW w:w="972" w:type="dxa"/>
            <w:tcBorders>
              <w:top w:val="nil"/>
              <w:left w:val="nil"/>
              <w:bottom w:val="single" w:sz="4" w:space="0" w:color="auto"/>
              <w:right w:val="single" w:sz="4" w:space="0" w:color="auto"/>
            </w:tcBorders>
            <w:noWrap/>
            <w:textDirection w:val="lrTb"/>
            <w:vAlign w:val="bottom"/>
            <w:hideMark/>
          </w:tcPr>
          <w:p w:rsidR="00CB350B" w:rsidRPr="001739FA" w:rsidP="00257E12">
            <w:pPr>
              <w:bidi w:val="0"/>
              <w:jc w:val="right"/>
              <w:rPr>
                <w:rFonts w:ascii="Times New Roman" w:hAnsi="Times New Roman" w:cs="Times New Roman"/>
                <w:color w:val="000000"/>
                <w:sz w:val="14"/>
                <w:szCs w:val="14"/>
              </w:rPr>
            </w:pPr>
            <w:r w:rsidRPr="001739FA">
              <w:rPr>
                <w:rFonts w:ascii="Times New Roman" w:hAnsi="Times New Roman" w:cs="Times New Roman"/>
                <w:color w:val="000000"/>
                <w:sz w:val="14"/>
                <w:szCs w:val="14"/>
              </w:rPr>
              <w:t>1 856 626</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1 863 437</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1 865 585</w:t>
            </w:r>
          </w:p>
        </w:tc>
      </w:tr>
      <w:tr>
        <w:tblPrEx>
          <w:tblW w:w="9229" w:type="dxa"/>
          <w:tblInd w:w="55" w:type="dxa"/>
          <w:tblLayout w:type="fixed"/>
          <w:tblCellMar>
            <w:left w:w="70" w:type="dxa"/>
            <w:right w:w="70" w:type="dxa"/>
          </w:tblCellMar>
          <w:tblLook w:val="04A0"/>
        </w:tblPrEx>
        <w:trPr>
          <w:trHeight w:val="259"/>
        </w:trPr>
        <w:tc>
          <w:tcPr>
            <w:tcW w:w="2425"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xml:space="preserve">                              630 tovary a služby</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8 083 087</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10 124 940</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7 502 741</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7 785 828</w:t>
            </w:r>
          </w:p>
        </w:tc>
        <w:tc>
          <w:tcPr>
            <w:tcW w:w="972" w:type="dxa"/>
            <w:tcBorders>
              <w:top w:val="nil"/>
              <w:left w:val="nil"/>
              <w:bottom w:val="single" w:sz="4" w:space="0" w:color="auto"/>
              <w:right w:val="single" w:sz="4" w:space="0" w:color="auto"/>
            </w:tcBorders>
            <w:noWrap/>
            <w:textDirection w:val="lrTb"/>
            <w:vAlign w:val="bottom"/>
            <w:hideMark/>
          </w:tcPr>
          <w:p w:rsidR="00CB350B" w:rsidRPr="001739FA" w:rsidP="00257E12">
            <w:pPr>
              <w:bidi w:val="0"/>
              <w:jc w:val="right"/>
              <w:rPr>
                <w:rFonts w:ascii="Times New Roman" w:hAnsi="Times New Roman" w:cs="Times New Roman"/>
                <w:color w:val="000000"/>
                <w:sz w:val="14"/>
                <w:szCs w:val="14"/>
              </w:rPr>
            </w:pPr>
            <w:r w:rsidRPr="001739FA">
              <w:rPr>
                <w:rFonts w:ascii="Times New Roman" w:hAnsi="Times New Roman" w:cs="Times New Roman"/>
                <w:color w:val="000000"/>
                <w:sz w:val="14"/>
                <w:szCs w:val="14"/>
              </w:rPr>
              <w:t>6 126 214</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6</w:t>
            </w:r>
            <w:r w:rsidRPr="005A6E2D">
              <w:rPr>
                <w:rFonts w:ascii="Times New Roman" w:hAnsi="Times New Roman" w:cs="Times New Roman"/>
                <w:color w:val="000000"/>
                <w:sz w:val="14"/>
                <w:szCs w:val="14"/>
              </w:rPr>
              <w:t xml:space="preserve"> 126 214</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6</w:t>
            </w:r>
            <w:r w:rsidRPr="005A6E2D">
              <w:rPr>
                <w:rFonts w:ascii="Times New Roman" w:hAnsi="Times New Roman" w:cs="Times New Roman"/>
                <w:color w:val="000000"/>
                <w:sz w:val="14"/>
                <w:szCs w:val="14"/>
              </w:rPr>
              <w:t xml:space="preserve"> 126 214</w:t>
            </w:r>
          </w:p>
        </w:tc>
      </w:tr>
      <w:tr>
        <w:tblPrEx>
          <w:tblW w:w="9229" w:type="dxa"/>
          <w:tblInd w:w="55" w:type="dxa"/>
          <w:tblLayout w:type="fixed"/>
          <w:tblCellMar>
            <w:left w:w="70" w:type="dxa"/>
            <w:right w:w="70" w:type="dxa"/>
          </w:tblCellMar>
          <w:tblLook w:val="04A0"/>
        </w:tblPrEx>
        <w:trPr>
          <w:trHeight w:val="259"/>
        </w:trPr>
        <w:tc>
          <w:tcPr>
            <w:tcW w:w="2425"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xml:space="preserve">                              640 bežné transfery</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11 533 921</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38 004 971</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41 504 417</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41 097 292</w:t>
            </w:r>
          </w:p>
        </w:tc>
        <w:tc>
          <w:tcPr>
            <w:tcW w:w="972" w:type="dxa"/>
            <w:tcBorders>
              <w:top w:val="nil"/>
              <w:left w:val="nil"/>
              <w:bottom w:val="single" w:sz="4" w:space="0" w:color="auto"/>
              <w:right w:val="single" w:sz="4" w:space="0" w:color="auto"/>
            </w:tcBorders>
            <w:noWrap/>
            <w:textDirection w:val="lrTb"/>
            <w:vAlign w:val="bottom"/>
            <w:hideMark/>
          </w:tcPr>
          <w:p w:rsidR="00CB350B" w:rsidRPr="00B32251" w:rsidP="00257E12">
            <w:pPr>
              <w:bidi w:val="0"/>
              <w:jc w:val="right"/>
              <w:rPr>
                <w:rFonts w:ascii="Times New Roman" w:hAnsi="Times New Roman" w:cs="Times New Roman"/>
                <w:color w:val="000000"/>
                <w:sz w:val="14"/>
                <w:szCs w:val="14"/>
              </w:rPr>
            </w:pPr>
            <w:r w:rsidRPr="00B32251">
              <w:rPr>
                <w:rFonts w:ascii="Times New Roman" w:hAnsi="Times New Roman" w:cs="Times New Roman"/>
                <w:color w:val="000000"/>
                <w:sz w:val="14"/>
                <w:szCs w:val="14"/>
              </w:rPr>
              <w:t>25 628 417</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15 128 417</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15 128 417</w:t>
            </w:r>
          </w:p>
        </w:tc>
      </w:tr>
      <w:tr>
        <w:tblPrEx>
          <w:tblW w:w="9229" w:type="dxa"/>
          <w:tblInd w:w="55" w:type="dxa"/>
          <w:tblLayout w:type="fixed"/>
          <w:tblCellMar>
            <w:left w:w="70" w:type="dxa"/>
            <w:right w:w="70" w:type="dxa"/>
          </w:tblCellMar>
          <w:tblLook w:val="04A0"/>
        </w:tblPrEx>
        <w:trPr>
          <w:trHeight w:val="259"/>
        </w:trPr>
        <w:tc>
          <w:tcPr>
            <w:tcW w:w="2425"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xml:space="preserve">               kapitálové výdavky 700</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10 859 126</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10 172 104</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1 023 075</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723 075</w:t>
            </w:r>
          </w:p>
        </w:tc>
        <w:tc>
          <w:tcPr>
            <w:tcW w:w="972" w:type="dxa"/>
            <w:tcBorders>
              <w:top w:val="nil"/>
              <w:left w:val="nil"/>
              <w:bottom w:val="single" w:sz="4" w:space="0" w:color="auto"/>
              <w:right w:val="single" w:sz="4" w:space="0" w:color="auto"/>
            </w:tcBorders>
            <w:noWrap/>
            <w:textDirection w:val="lrTb"/>
            <w:vAlign w:val="bottom"/>
            <w:hideMark/>
          </w:tcPr>
          <w:p w:rsidR="00CB350B" w:rsidRPr="001739FA" w:rsidP="00257E12">
            <w:pPr>
              <w:bidi w:val="0"/>
              <w:jc w:val="right"/>
              <w:rPr>
                <w:rFonts w:ascii="Times New Roman" w:hAnsi="Times New Roman" w:cs="Times New Roman"/>
                <w:color w:val="000000"/>
                <w:sz w:val="14"/>
                <w:szCs w:val="14"/>
              </w:rPr>
            </w:pPr>
            <w:r w:rsidRPr="001739FA">
              <w:rPr>
                <w:rFonts w:ascii="Times New Roman" w:hAnsi="Times New Roman" w:cs="Times New Roman"/>
                <w:color w:val="000000"/>
                <w:sz w:val="14"/>
                <w:szCs w:val="14"/>
              </w:rPr>
              <w:t>1 023 075</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1 023 075</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1 023 075</w:t>
            </w:r>
          </w:p>
        </w:tc>
      </w:tr>
      <w:tr>
        <w:tblPrEx>
          <w:tblW w:w="9229" w:type="dxa"/>
          <w:tblInd w:w="55" w:type="dxa"/>
          <w:tblLayout w:type="fixed"/>
          <w:tblCellMar>
            <w:left w:w="70" w:type="dxa"/>
            <w:right w:w="70" w:type="dxa"/>
          </w:tblCellMar>
          <w:tblLook w:val="04A0"/>
        </w:tblPrEx>
        <w:trPr>
          <w:trHeight w:val="259"/>
        </w:trPr>
        <w:tc>
          <w:tcPr>
            <w:tcW w:w="2425"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xml:space="preserve">zdroje EÚ vrátane spolufinancovania: </w:t>
            </w:r>
          </w:p>
        </w:tc>
        <w:tc>
          <w:tcPr>
            <w:tcW w:w="97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188 226</w:t>
            </w:r>
          </w:p>
        </w:tc>
        <w:tc>
          <w:tcPr>
            <w:tcW w:w="97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1 115 717</w:t>
            </w:r>
          </w:p>
        </w:tc>
        <w:tc>
          <w:tcPr>
            <w:tcW w:w="97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97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461 855</w:t>
            </w:r>
          </w:p>
        </w:tc>
        <w:tc>
          <w:tcPr>
            <w:tcW w:w="97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97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97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r>
      <w:tr>
        <w:tblPrEx>
          <w:tblW w:w="9229" w:type="dxa"/>
          <w:tblInd w:w="55" w:type="dxa"/>
          <w:tblLayout w:type="fixed"/>
          <w:tblCellMar>
            <w:left w:w="70" w:type="dxa"/>
            <w:right w:w="70" w:type="dxa"/>
          </w:tblCellMar>
          <w:tblLook w:val="04A0"/>
        </w:tblPrEx>
        <w:trPr>
          <w:trHeight w:val="259"/>
        </w:trPr>
        <w:tc>
          <w:tcPr>
            <w:tcW w:w="2425"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presun z minulých rokov</w:t>
            </w:r>
          </w:p>
        </w:tc>
        <w:tc>
          <w:tcPr>
            <w:tcW w:w="972"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4 649 951</w:t>
            </w:r>
          </w:p>
        </w:tc>
        <w:tc>
          <w:tcPr>
            <w:tcW w:w="972"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3 437 623</w:t>
            </w:r>
          </w:p>
        </w:tc>
        <w:tc>
          <w:tcPr>
            <w:tcW w:w="972"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972"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1 442 254</w:t>
            </w:r>
          </w:p>
        </w:tc>
        <w:tc>
          <w:tcPr>
            <w:tcW w:w="972"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972"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972"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r>
      <w:tr>
        <w:tblPrEx>
          <w:tblW w:w="9229" w:type="dxa"/>
          <w:tblInd w:w="55" w:type="dxa"/>
          <w:tblLayout w:type="fixed"/>
          <w:tblCellMar>
            <w:left w:w="70" w:type="dxa"/>
            <w:right w:w="70" w:type="dxa"/>
          </w:tblCellMar>
          <w:tblLook w:val="04A0"/>
        </w:tblPrEx>
        <w:trPr>
          <w:trHeight w:val="259"/>
        </w:trPr>
        <w:tc>
          <w:tcPr>
            <w:tcW w:w="2425"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iné zdroje*</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198 449</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201 953</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102 482</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131 502</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r>
    </w:tbl>
    <w:p w:rsidR="00CB350B" w:rsidRPr="00E167C4" w:rsidP="00CB350B">
      <w:pPr>
        <w:bidi w:val="0"/>
        <w:jc w:val="both"/>
        <w:rPr>
          <w:rFonts w:ascii="Times New Roman" w:hAnsi="Times New Roman" w:cs="Times New Roman"/>
          <w:sz w:val="14"/>
          <w:szCs w:val="14"/>
        </w:rPr>
      </w:pPr>
      <w:r w:rsidRPr="00E167C4">
        <w:rPr>
          <w:rFonts w:ascii="Times New Roman" w:hAnsi="Times New Roman" w:cs="Times New Roman"/>
          <w:sz w:val="14"/>
          <w:szCs w:val="14"/>
        </w:rPr>
        <w:t>* iné zdroje zo zahraničia a mimorozpočtové prostriedky (finančný mechanizmus EHP a Nórsky finančný mechanizmus)</w:t>
      </w:r>
    </w:p>
    <w:p w:rsidR="00CB350B" w:rsidP="00CB350B">
      <w:pPr>
        <w:bidi w:val="0"/>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 xml:space="preserve">Výdavky kapitoly v roku 2012 sú rozpočtované v hodnote </w:t>
      </w:r>
      <w:r>
        <w:rPr>
          <w:rFonts w:ascii="Times New Roman" w:hAnsi="Times New Roman" w:cs="Times New Roman"/>
        </w:rPr>
        <w:t>39,8</w:t>
      </w:r>
      <w:r w:rsidRPr="0004638E">
        <w:rPr>
          <w:rFonts w:ascii="Times New Roman" w:hAnsi="Times New Roman" w:cs="Times New Roman"/>
        </w:rPr>
        <w:t xml:space="preserve"> mil. eur, čo je v porovnaní so schváleným rozpočtom roku 2011 menej o</w:t>
      </w:r>
      <w:r>
        <w:rPr>
          <w:rFonts w:ascii="Times New Roman" w:hAnsi="Times New Roman" w:cs="Times New Roman"/>
        </w:rPr>
        <w:t> 17,4 mil. eur, t.j. o 30,5</w:t>
      </w:r>
      <w:r w:rsidRPr="0004638E">
        <w:rPr>
          <w:rFonts w:ascii="Times New Roman" w:hAnsi="Times New Roman" w:cs="Times New Roman"/>
        </w:rPr>
        <w:t xml:space="preserve"> %. Medziročný pokles je spôsobený najmä </w:t>
      </w:r>
      <w:r>
        <w:rPr>
          <w:rFonts w:ascii="Times New Roman" w:hAnsi="Times New Roman" w:cs="Times New Roman"/>
        </w:rPr>
        <w:t xml:space="preserve">znížením objemu </w:t>
      </w:r>
      <w:r w:rsidRPr="0004638E">
        <w:rPr>
          <w:rFonts w:ascii="Times New Roman" w:hAnsi="Times New Roman" w:cs="Times New Roman"/>
        </w:rPr>
        <w:t xml:space="preserve">prostriedkov </w:t>
      </w:r>
      <w:r>
        <w:rPr>
          <w:rFonts w:ascii="Times New Roman" w:hAnsi="Times New Roman" w:cs="Times New Roman"/>
        </w:rPr>
        <w:t>určených na protipovodňovú ochranu</w:t>
      </w:r>
      <w:r w:rsidRPr="0004638E">
        <w:rPr>
          <w:rFonts w:ascii="Times New Roman" w:hAnsi="Times New Roman" w:cs="Times New Roman"/>
        </w:rPr>
        <w:t>.</w:t>
      </w:r>
    </w:p>
    <w:p w:rsidR="00CB350B" w:rsidRPr="0004638E" w:rsidP="00CB350B">
      <w:pPr>
        <w:bidi w:val="0"/>
        <w:ind w:firstLine="708"/>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 xml:space="preserve">Objem osobných výdavkov sa </w:t>
      </w:r>
      <w:r>
        <w:rPr>
          <w:rFonts w:ascii="Times New Roman" w:hAnsi="Times New Roman" w:cs="Times New Roman"/>
        </w:rPr>
        <w:t>na</w:t>
      </w:r>
      <w:r w:rsidRPr="0004638E">
        <w:rPr>
          <w:rFonts w:ascii="Times New Roman" w:hAnsi="Times New Roman" w:cs="Times New Roman"/>
        </w:rPr>
        <w:t xml:space="preserve"> rok 2012 rozpočtuje na úrovni 6,98 mil. eur, čo v porovnaní so schváleným </w:t>
      </w:r>
      <w:r>
        <w:rPr>
          <w:rFonts w:ascii="Times New Roman" w:hAnsi="Times New Roman" w:cs="Times New Roman"/>
        </w:rPr>
        <w:t xml:space="preserve">rozpočtom </w:t>
      </w:r>
      <w:r w:rsidRPr="0004638E">
        <w:rPr>
          <w:rFonts w:ascii="Times New Roman" w:hAnsi="Times New Roman" w:cs="Times New Roman"/>
        </w:rPr>
        <w:t>rok</w:t>
      </w:r>
      <w:r>
        <w:rPr>
          <w:rFonts w:ascii="Times New Roman" w:hAnsi="Times New Roman" w:cs="Times New Roman"/>
        </w:rPr>
        <w:t>u</w:t>
      </w:r>
      <w:r w:rsidRPr="0004638E">
        <w:rPr>
          <w:rFonts w:ascii="Times New Roman" w:hAnsi="Times New Roman" w:cs="Times New Roman"/>
        </w:rPr>
        <w:t xml:space="preserve"> 2011 predstavuje pokles o 57,2 tis. eur (0,81 %). Medziročný pokles mzdových výdavkov vyplýva najmä z vykonaných delimitácií zamestnancov v nadväznosti na zmeny v kompetenčnom zákone. </w:t>
      </w:r>
    </w:p>
    <w:p w:rsidR="00CB350B" w:rsidRPr="0004638E" w:rsidP="00CB350B">
      <w:pPr>
        <w:bidi w:val="0"/>
        <w:jc w:val="both"/>
        <w:rPr>
          <w:rFonts w:ascii="Times New Roman" w:hAnsi="Times New Roman" w:cs="Times New Roman"/>
        </w:rPr>
      </w:pPr>
    </w:p>
    <w:p w:rsidR="00CB350B" w:rsidP="00CB350B">
      <w:pPr>
        <w:bidi w:val="0"/>
        <w:ind w:firstLine="708"/>
        <w:jc w:val="both"/>
        <w:rPr>
          <w:rFonts w:ascii="Times New Roman" w:hAnsi="Times New Roman" w:cs="Times New Roman"/>
        </w:rPr>
      </w:pPr>
      <w:r w:rsidRPr="0004638E">
        <w:rPr>
          <w:rFonts w:ascii="Times New Roman" w:hAnsi="Times New Roman" w:cs="Times New Roman"/>
        </w:rPr>
        <w:t xml:space="preserve">Vo výdavkoch na tovary a služby v sume </w:t>
      </w:r>
      <w:r>
        <w:rPr>
          <w:rFonts w:ascii="Times New Roman" w:hAnsi="Times New Roman" w:cs="Times New Roman"/>
        </w:rPr>
        <w:t>6</w:t>
      </w:r>
      <w:r w:rsidRPr="0004638E">
        <w:rPr>
          <w:rFonts w:ascii="Times New Roman" w:hAnsi="Times New Roman" w:cs="Times New Roman"/>
        </w:rPr>
        <w:t>,13 mil. eur na rok 2012 je pokles oproti schválenému rozpočtu 2011 o </w:t>
      </w:r>
      <w:r>
        <w:rPr>
          <w:rFonts w:ascii="Times New Roman" w:hAnsi="Times New Roman" w:cs="Times New Roman"/>
        </w:rPr>
        <w:t>18</w:t>
      </w:r>
      <w:r w:rsidRPr="0004638E">
        <w:rPr>
          <w:rFonts w:ascii="Times New Roman" w:hAnsi="Times New Roman" w:cs="Times New Roman"/>
        </w:rPr>
        <w:t>,</w:t>
      </w:r>
      <w:r>
        <w:rPr>
          <w:rFonts w:ascii="Times New Roman" w:hAnsi="Times New Roman" w:cs="Times New Roman"/>
        </w:rPr>
        <w:t>3</w:t>
      </w:r>
      <w:r w:rsidRPr="0004638E">
        <w:rPr>
          <w:rFonts w:ascii="Times New Roman" w:hAnsi="Times New Roman" w:cs="Times New Roman"/>
        </w:rPr>
        <w:t xml:space="preserve"> %, </w:t>
      </w:r>
      <w:r w:rsidRPr="007C5F32">
        <w:rPr>
          <w:rFonts w:ascii="Times New Roman" w:hAnsi="Times New Roman" w:cs="Times New Roman"/>
        </w:rPr>
        <w:t>pričom najväčší pokles zaznamenávajú služby</w:t>
      </w:r>
      <w:r>
        <w:rPr>
          <w:rFonts w:ascii="Times New Roman" w:hAnsi="Times New Roman" w:cs="Times New Roman"/>
        </w:rPr>
        <w:t>,</w:t>
      </w:r>
      <w:r w:rsidRPr="007C5F32">
        <w:rPr>
          <w:rFonts w:ascii="Times New Roman" w:hAnsi="Times New Roman" w:cs="Times New Roman"/>
        </w:rPr>
        <w:t xml:space="preserve"> a to najmä na reprezentačné výdavky, štúdie, expertízy, posudky, školenia a semináre. Výrazný pokles je zaznamenaný aj vo výdavkoch na energie, všeobecný materiál a nájomné.</w:t>
      </w:r>
      <w:r w:rsidRPr="0004638E">
        <w:rPr>
          <w:rFonts w:ascii="Times New Roman" w:hAnsi="Times New Roman" w:cs="Times New Roman"/>
        </w:rPr>
        <w:t xml:space="preserve"> </w:t>
      </w:r>
      <w:r w:rsidRPr="007569A1">
        <w:rPr>
          <w:rFonts w:ascii="Times New Roman" w:hAnsi="Times New Roman" w:cs="Times New Roman"/>
        </w:rPr>
        <w:t>Znižovanie výdavkov na tovary a služby bolo realizované na úkor zabezpečenia výdavkov na politiky v oblasti ľudských práv a národnostných menšín.</w:t>
      </w:r>
    </w:p>
    <w:p w:rsidR="00CB350B" w:rsidRPr="0004638E" w:rsidP="00CB350B">
      <w:pPr>
        <w:bidi w:val="0"/>
        <w:ind w:firstLine="708"/>
        <w:jc w:val="both"/>
        <w:rPr>
          <w:rFonts w:ascii="Times New Roman" w:hAnsi="Times New Roman" w:cs="Times New Roman"/>
          <w:color w:val="0070C0"/>
        </w:rPr>
      </w:pPr>
    </w:p>
    <w:p w:rsidR="00CB350B" w:rsidP="00CB350B">
      <w:pPr>
        <w:bidi w:val="0"/>
        <w:ind w:firstLine="708"/>
        <w:jc w:val="both"/>
        <w:rPr>
          <w:rFonts w:ascii="Times New Roman" w:hAnsi="Times New Roman" w:cs="Times New Roman"/>
        </w:rPr>
      </w:pPr>
      <w:r w:rsidRPr="0004638E">
        <w:rPr>
          <w:rFonts w:ascii="Times New Roman" w:hAnsi="Times New Roman" w:cs="Times New Roman"/>
        </w:rPr>
        <w:t>Bežné transfery medziročne klesajú o</w:t>
      </w:r>
      <w:r>
        <w:rPr>
          <w:rFonts w:ascii="Times New Roman" w:hAnsi="Times New Roman" w:cs="Times New Roman"/>
        </w:rPr>
        <w:t> 15,9</w:t>
      </w:r>
      <w:r w:rsidRPr="0004638E">
        <w:rPr>
          <w:rFonts w:ascii="Times New Roman" w:hAnsi="Times New Roman" w:cs="Times New Roman"/>
        </w:rPr>
        <w:t xml:space="preserve"> mil. eur (</w:t>
      </w:r>
      <w:r>
        <w:rPr>
          <w:rFonts w:ascii="Times New Roman" w:hAnsi="Times New Roman" w:cs="Times New Roman"/>
        </w:rPr>
        <w:t>38,3</w:t>
      </w:r>
      <w:r w:rsidRPr="0004638E">
        <w:rPr>
          <w:rFonts w:ascii="Times New Roman" w:hAnsi="Times New Roman" w:cs="Times New Roman"/>
        </w:rPr>
        <w:t xml:space="preserve"> %), a to predovšetkým </w:t>
      </w:r>
      <w:r>
        <w:rPr>
          <w:rFonts w:ascii="Times New Roman" w:hAnsi="Times New Roman" w:cs="Times New Roman"/>
        </w:rPr>
        <w:t xml:space="preserve">zníženým </w:t>
      </w:r>
      <w:r w:rsidRPr="0004638E">
        <w:rPr>
          <w:rFonts w:ascii="Times New Roman" w:hAnsi="Times New Roman" w:cs="Times New Roman"/>
        </w:rPr>
        <w:t>rozpočtovaním prostriedkov na protipovodňovú ochranu</w:t>
      </w:r>
      <w:r w:rsidRPr="00327958">
        <w:rPr>
          <w:rFonts w:ascii="Times New Roman" w:hAnsi="Times New Roman" w:cs="Times New Roman"/>
        </w:rPr>
        <w:t>.</w:t>
      </w:r>
      <w:r w:rsidRPr="0004638E">
        <w:rPr>
          <w:rFonts w:ascii="Times New Roman" w:hAnsi="Times New Roman" w:cs="Times New Roman"/>
        </w:rPr>
        <w:t xml:space="preserve"> Ostatné výdavky na bežných transferoch zostávajú približne na úrovni schváleného rozpočtu roku 2011, rezerva predsedníčky vlády je rozpísaná v sume 1,66 mil. eur, </w:t>
      </w:r>
      <w:r w:rsidRPr="00327958">
        <w:rPr>
          <w:rFonts w:ascii="Times New Roman" w:hAnsi="Times New Roman" w:cs="Times New Roman"/>
        </w:rPr>
        <w:t>prostriedky v oblasti ľudských práv a národnostných menšín sú zabezpečené v sume 6,</w:t>
      </w:r>
      <w:r>
        <w:rPr>
          <w:rFonts w:ascii="Times New Roman" w:hAnsi="Times New Roman" w:cs="Times New Roman"/>
        </w:rPr>
        <w:t>9</w:t>
      </w:r>
      <w:r w:rsidRPr="00327958">
        <w:rPr>
          <w:rFonts w:ascii="Times New Roman" w:hAnsi="Times New Roman" w:cs="Times New Roman"/>
        </w:rPr>
        <w:t>8 mil. eur, transfer príspevkovej organizácii Národná agentúra pre sieťové a elektronické služby</w:t>
      </w:r>
      <w:r w:rsidRPr="0004638E">
        <w:rPr>
          <w:rFonts w:ascii="Times New Roman" w:hAnsi="Times New Roman" w:cs="Times New Roman"/>
        </w:rPr>
        <w:t xml:space="preserve"> v sume 4 mil. eur a príspevkovej organizácii tanečné divadlo Ifjú Szivek v sume 490 tis. eur.  </w:t>
      </w:r>
    </w:p>
    <w:p w:rsidR="00257E12" w:rsidRPr="0004638E" w:rsidP="00CB350B">
      <w:pPr>
        <w:bidi w:val="0"/>
        <w:ind w:firstLine="708"/>
        <w:jc w:val="both"/>
        <w:rPr>
          <w:rFonts w:ascii="Times New Roman" w:hAnsi="Times New Roman" w:cs="Times New Roman"/>
          <w:color w:val="0070C0"/>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 xml:space="preserve">Kapitálové výdavky sú rozpísané na úrovni schváleného rozpočtu </w:t>
      </w:r>
      <w:r>
        <w:rPr>
          <w:rFonts w:ascii="Times New Roman" w:hAnsi="Times New Roman" w:cs="Times New Roman"/>
        </w:rPr>
        <w:t>na</w:t>
      </w:r>
      <w:r w:rsidRPr="0004638E">
        <w:rPr>
          <w:rFonts w:ascii="Times New Roman" w:hAnsi="Times New Roman" w:cs="Times New Roman"/>
        </w:rPr>
        <w:t xml:space="preserve"> rok 2011 a kapitola ich použije na nákup hmotného a nehmotného investičného majetku (softvér, kancelárske vybavenie) a rekonštrukciu spojovacej chodby Úradu vlády SR. Kapitálové transfery vo výške 166 tis. eur sa plánujú pre potreby rómskej komunity. </w:t>
      </w:r>
    </w:p>
    <w:p w:rsidR="00CB350B" w:rsidP="00CB350B">
      <w:pPr>
        <w:bidi w:val="0"/>
        <w:jc w:val="both"/>
        <w:rPr>
          <w:rFonts w:ascii="Times New Roman" w:hAnsi="Times New Roman" w:cs="Times New Roman"/>
          <w:color w:val="0070C0"/>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Rozpočt</w:t>
      </w:r>
      <w:r>
        <w:rPr>
          <w:rFonts w:ascii="Times New Roman" w:hAnsi="Times New Roman" w:cs="Times New Roman"/>
        </w:rPr>
        <w:t>ové zdroje</w:t>
      </w:r>
      <w:r w:rsidRPr="0004638E">
        <w:rPr>
          <w:rFonts w:ascii="Times New Roman" w:hAnsi="Times New Roman" w:cs="Times New Roman"/>
        </w:rPr>
        <w:t xml:space="preserve"> Úradu vlády SR </w:t>
      </w:r>
      <w:r>
        <w:rPr>
          <w:rFonts w:ascii="Times New Roman" w:hAnsi="Times New Roman" w:cs="Times New Roman"/>
        </w:rPr>
        <w:t>sú smerované do nasledovných oblastí.</w:t>
      </w:r>
    </w:p>
    <w:p w:rsidR="00CB350B" w:rsidP="00CB350B">
      <w:pPr>
        <w:bidi w:val="0"/>
        <w:jc w:val="both"/>
        <w:rPr>
          <w:rFonts w:ascii="Times New Roman" w:hAnsi="Times New Roman" w:cs="Times New Roman"/>
          <w:b/>
          <w:highlight w:val="yellow"/>
          <w:u w:val="single"/>
        </w:rPr>
      </w:pPr>
    </w:p>
    <w:p w:rsidR="00CB350B" w:rsidP="00CB350B">
      <w:pPr>
        <w:bidi w:val="0"/>
        <w:jc w:val="both"/>
        <w:rPr>
          <w:rFonts w:ascii="Times New Roman" w:hAnsi="Times New Roman" w:cs="Times New Roman"/>
          <w:b/>
        </w:rPr>
      </w:pPr>
    </w:p>
    <w:p w:rsidR="00CB350B" w:rsidRPr="0004638E" w:rsidP="00CB350B">
      <w:pPr>
        <w:bidi w:val="0"/>
        <w:jc w:val="both"/>
        <w:rPr>
          <w:rFonts w:ascii="Times New Roman" w:hAnsi="Times New Roman" w:cs="Times New Roman"/>
          <w:b/>
        </w:rPr>
      </w:pPr>
      <w:r w:rsidRPr="0004638E">
        <w:rPr>
          <w:rFonts w:ascii="Times New Roman" w:hAnsi="Times New Roman" w:cs="Times New Roman"/>
          <w:b/>
        </w:rPr>
        <w:t>Komunikačné aktivity o EÚ</w:t>
      </w:r>
    </w:p>
    <w:p w:rsidR="00CB350B" w:rsidRPr="0004638E" w:rsidP="00CB350B">
      <w:pPr>
        <w:bidi w:val="0"/>
        <w:jc w:val="both"/>
        <w:rPr>
          <w:rFonts w:ascii="Times New Roman" w:hAnsi="Times New Roman" w:cs="Times New Roman"/>
          <w:i/>
        </w:rPr>
      </w:pPr>
    </w:p>
    <w:tbl>
      <w:tblPr>
        <w:tblStyle w:val="TableNormal"/>
        <w:tblW w:w="0" w:type="auto"/>
        <w:tblInd w:w="55" w:type="dxa"/>
        <w:tblLayout w:type="fixed"/>
        <w:tblCellMar>
          <w:left w:w="70" w:type="dxa"/>
          <w:right w:w="70" w:type="dxa"/>
        </w:tblCellMar>
        <w:tblLook w:val="04A0"/>
      </w:tblPr>
      <w:tblGrid>
        <w:gridCol w:w="2709"/>
        <w:gridCol w:w="911"/>
        <w:gridCol w:w="911"/>
        <w:gridCol w:w="911"/>
        <w:gridCol w:w="911"/>
        <w:gridCol w:w="911"/>
        <w:gridCol w:w="911"/>
        <w:gridCol w:w="912"/>
      </w:tblGrid>
      <w:tr>
        <w:tblPrEx>
          <w:tblW w:w="0" w:type="auto"/>
          <w:tblInd w:w="55" w:type="dxa"/>
          <w:tblLayout w:type="fixed"/>
          <w:tblCellMar>
            <w:left w:w="70" w:type="dxa"/>
            <w:right w:w="70" w:type="dxa"/>
          </w:tblCellMar>
          <w:tblLook w:val="04A0"/>
        </w:tblPrEx>
        <w:trPr>
          <w:trHeight w:val="261"/>
        </w:trPr>
        <w:tc>
          <w:tcPr>
            <w:tcW w:w="2709"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bCs/>
                <w:sz w:val="14"/>
                <w:szCs w:val="14"/>
              </w:rPr>
            </w:pPr>
            <w:r w:rsidRPr="005A6E2D">
              <w:rPr>
                <w:rFonts w:ascii="Times New Roman" w:hAnsi="Times New Roman" w:cs="Times New Roman"/>
                <w:b/>
                <w:bCs/>
                <w:color w:val="000000"/>
                <w:sz w:val="14"/>
                <w:szCs w:val="14"/>
              </w:rPr>
              <w:t> v eurách</w:t>
            </w:r>
          </w:p>
        </w:tc>
        <w:tc>
          <w:tcPr>
            <w:tcW w:w="911" w:type="dxa"/>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2009 S</w:t>
            </w:r>
          </w:p>
        </w:tc>
        <w:tc>
          <w:tcPr>
            <w:tcW w:w="911"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2010 S</w:t>
            </w:r>
          </w:p>
        </w:tc>
        <w:tc>
          <w:tcPr>
            <w:tcW w:w="911"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2011 R</w:t>
            </w:r>
          </w:p>
        </w:tc>
        <w:tc>
          <w:tcPr>
            <w:tcW w:w="911"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 xml:space="preserve">2011 OS </w:t>
            </w:r>
          </w:p>
        </w:tc>
        <w:tc>
          <w:tcPr>
            <w:tcW w:w="911" w:type="dxa"/>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2012 N</w:t>
            </w:r>
          </w:p>
        </w:tc>
        <w:tc>
          <w:tcPr>
            <w:tcW w:w="911" w:type="dxa"/>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2013 N</w:t>
            </w:r>
          </w:p>
        </w:tc>
        <w:tc>
          <w:tcPr>
            <w:tcW w:w="912"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2014 N</w:t>
            </w:r>
          </w:p>
        </w:tc>
      </w:tr>
      <w:tr>
        <w:tblPrEx>
          <w:tblW w:w="0" w:type="auto"/>
          <w:tblInd w:w="55" w:type="dxa"/>
          <w:tblLayout w:type="fixed"/>
          <w:tblCellMar>
            <w:left w:w="70" w:type="dxa"/>
            <w:right w:w="70" w:type="dxa"/>
          </w:tblCellMar>
          <w:tblLook w:val="04A0"/>
        </w:tblPrEx>
        <w:trPr>
          <w:trHeight w:val="261"/>
        </w:trPr>
        <w:tc>
          <w:tcPr>
            <w:tcW w:w="2709" w:type="dxa"/>
            <w:tcBorders>
              <w:top w:val="nil"/>
              <w:left w:val="single" w:sz="4" w:space="0" w:color="auto"/>
              <w:bottom w:val="single" w:sz="4" w:space="0" w:color="auto"/>
              <w:right w:val="single" w:sz="4" w:space="0" w:color="auto"/>
            </w:tcBorders>
            <w:textDirection w:val="lrTb"/>
            <w:vAlign w:val="bottom"/>
            <w:hideMark/>
          </w:tcPr>
          <w:p w:rsidR="00CB350B" w:rsidRPr="005A6E2D" w:rsidP="00257E12">
            <w:pPr>
              <w:bidi w:val="0"/>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 xml:space="preserve">Komunikačné aktivity o EÚ </w:t>
            </w:r>
          </w:p>
        </w:tc>
        <w:tc>
          <w:tcPr>
            <w:tcW w:w="91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588 909</w:t>
            </w:r>
          </w:p>
        </w:tc>
        <w:tc>
          <w:tcPr>
            <w:tcW w:w="91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439 190</w:t>
            </w:r>
          </w:p>
        </w:tc>
        <w:tc>
          <w:tcPr>
            <w:tcW w:w="91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380 066</w:t>
            </w:r>
          </w:p>
        </w:tc>
        <w:tc>
          <w:tcPr>
            <w:tcW w:w="91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330 066</w:t>
            </w:r>
          </w:p>
        </w:tc>
        <w:tc>
          <w:tcPr>
            <w:tcW w:w="91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422 296</w:t>
            </w:r>
          </w:p>
        </w:tc>
        <w:tc>
          <w:tcPr>
            <w:tcW w:w="91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422 296</w:t>
            </w:r>
          </w:p>
        </w:tc>
        <w:tc>
          <w:tcPr>
            <w:tcW w:w="91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422 296</w:t>
            </w:r>
          </w:p>
        </w:tc>
      </w:tr>
      <w:tr>
        <w:tblPrEx>
          <w:tblW w:w="0" w:type="auto"/>
          <w:tblInd w:w="55" w:type="dxa"/>
          <w:tblLayout w:type="fixed"/>
          <w:tblCellMar>
            <w:left w:w="70" w:type="dxa"/>
            <w:right w:w="70" w:type="dxa"/>
          </w:tblCellMar>
          <w:tblLook w:val="04A0"/>
        </w:tblPrEx>
        <w:trPr>
          <w:trHeight w:val="261"/>
        </w:trPr>
        <w:tc>
          <w:tcPr>
            <w:tcW w:w="2709" w:type="dxa"/>
            <w:tcBorders>
              <w:top w:val="nil"/>
              <w:left w:val="single" w:sz="4" w:space="0" w:color="auto"/>
              <w:bottom w:val="single" w:sz="4" w:space="0" w:color="auto"/>
              <w:right w:val="single" w:sz="4" w:space="0" w:color="auto"/>
            </w:tcBorders>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Informačné centrum Úradu vlády SR</w:t>
            </w:r>
          </w:p>
        </w:tc>
        <w:tc>
          <w:tcPr>
            <w:tcW w:w="91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489 930</w:t>
            </w:r>
          </w:p>
        </w:tc>
        <w:tc>
          <w:tcPr>
            <w:tcW w:w="91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331 939</w:t>
            </w:r>
          </w:p>
        </w:tc>
        <w:tc>
          <w:tcPr>
            <w:tcW w:w="91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271 745</w:t>
            </w:r>
          </w:p>
        </w:tc>
        <w:tc>
          <w:tcPr>
            <w:tcW w:w="91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271 745</w:t>
            </w:r>
          </w:p>
        </w:tc>
        <w:tc>
          <w:tcPr>
            <w:tcW w:w="91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301 939</w:t>
            </w:r>
          </w:p>
        </w:tc>
        <w:tc>
          <w:tcPr>
            <w:tcW w:w="91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301 939</w:t>
            </w:r>
          </w:p>
        </w:tc>
        <w:tc>
          <w:tcPr>
            <w:tcW w:w="91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301 939</w:t>
            </w:r>
          </w:p>
        </w:tc>
      </w:tr>
      <w:tr>
        <w:tblPrEx>
          <w:tblW w:w="0" w:type="auto"/>
          <w:tblInd w:w="55" w:type="dxa"/>
          <w:tblLayout w:type="fixed"/>
          <w:tblCellMar>
            <w:left w:w="70" w:type="dxa"/>
            <w:right w:w="70" w:type="dxa"/>
          </w:tblCellMar>
          <w:tblLook w:val="04A0"/>
        </w:tblPrEx>
        <w:trPr>
          <w:trHeight w:val="261"/>
        </w:trPr>
        <w:tc>
          <w:tcPr>
            <w:tcW w:w="2709" w:type="dxa"/>
            <w:tcBorders>
              <w:top w:val="nil"/>
              <w:left w:val="single" w:sz="4" w:space="0" w:color="auto"/>
              <w:bottom w:val="single" w:sz="4" w:space="0" w:color="auto"/>
              <w:right w:val="single" w:sz="4" w:space="0" w:color="auto"/>
            </w:tcBorders>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Národné monitorovacie centrum pre drogy</w:t>
            </w:r>
          </w:p>
        </w:tc>
        <w:tc>
          <w:tcPr>
            <w:tcW w:w="91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98 979</w:t>
            </w:r>
          </w:p>
        </w:tc>
        <w:tc>
          <w:tcPr>
            <w:tcW w:w="91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107 251</w:t>
            </w:r>
          </w:p>
        </w:tc>
        <w:tc>
          <w:tcPr>
            <w:tcW w:w="91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108 321</w:t>
            </w:r>
          </w:p>
        </w:tc>
        <w:tc>
          <w:tcPr>
            <w:tcW w:w="91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58 321</w:t>
            </w:r>
          </w:p>
        </w:tc>
        <w:tc>
          <w:tcPr>
            <w:tcW w:w="91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120 357</w:t>
            </w:r>
          </w:p>
        </w:tc>
        <w:tc>
          <w:tcPr>
            <w:tcW w:w="91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120 357</w:t>
            </w:r>
          </w:p>
        </w:tc>
        <w:tc>
          <w:tcPr>
            <w:tcW w:w="91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120 357</w:t>
            </w:r>
          </w:p>
        </w:tc>
      </w:tr>
    </w:tbl>
    <w:p w:rsidR="00CB350B" w:rsidRPr="0004638E" w:rsidP="00CB350B">
      <w:pPr>
        <w:bidi w:val="0"/>
        <w:jc w:val="both"/>
        <w:rPr>
          <w:rFonts w:ascii="Times New Roman" w:hAnsi="Times New Roman" w:cs="Times New Roman"/>
          <w:i/>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 xml:space="preserve">V oblasti Komunikačných aktivít o EÚ sa rozpisujú prostriedky na Informačné centrum Úradu vlády SR na výdavkoch na tovary a služby sume 302 tis. eur na realizáciu informačného servisu pre verejnosť a prostriedky určené pre Národné monitorovacie centrum pre drogy v sume 120 tis. eur. Prostriedky rozpísané pre túto oblasť medziročne rastú </w:t>
      </w:r>
      <w:r>
        <w:rPr>
          <w:rFonts w:ascii="Times New Roman" w:hAnsi="Times New Roman" w:cs="Times New Roman"/>
        </w:rPr>
        <w:br/>
      </w:r>
      <w:r w:rsidRPr="0004638E">
        <w:rPr>
          <w:rFonts w:ascii="Times New Roman" w:hAnsi="Times New Roman" w:cs="Times New Roman"/>
        </w:rPr>
        <w:t>o 11,1</w:t>
      </w:r>
      <w:r>
        <w:rPr>
          <w:rFonts w:ascii="Times New Roman" w:hAnsi="Times New Roman" w:cs="Times New Roman"/>
        </w:rPr>
        <w:t xml:space="preserve"> </w:t>
      </w:r>
      <w:r w:rsidRPr="0004638E">
        <w:rPr>
          <w:rFonts w:ascii="Times New Roman" w:hAnsi="Times New Roman" w:cs="Times New Roman"/>
        </w:rPr>
        <w:t>%.</w:t>
      </w:r>
    </w:p>
    <w:p w:rsidR="00CB350B" w:rsidRPr="0004638E" w:rsidP="00CB350B">
      <w:pPr>
        <w:bidi w:val="0"/>
        <w:jc w:val="both"/>
        <w:rPr>
          <w:rFonts w:ascii="Times New Roman" w:hAnsi="Times New Roman" w:cs="Times New Roman"/>
        </w:rPr>
      </w:pPr>
    </w:p>
    <w:p w:rsidR="00CB350B" w:rsidRPr="0004638E" w:rsidP="00CB350B">
      <w:pPr>
        <w:bidi w:val="0"/>
        <w:jc w:val="both"/>
        <w:rPr>
          <w:rFonts w:ascii="Times New Roman" w:hAnsi="Times New Roman" w:cs="Times New Roman"/>
          <w:b/>
        </w:rPr>
      </w:pPr>
      <w:r w:rsidRPr="0004638E">
        <w:rPr>
          <w:rFonts w:ascii="Times New Roman" w:hAnsi="Times New Roman" w:cs="Times New Roman"/>
          <w:b/>
        </w:rPr>
        <w:t>Činnosti ÚV SR</w:t>
      </w:r>
    </w:p>
    <w:p w:rsidR="00CB350B" w:rsidRPr="0004638E" w:rsidP="00CB350B">
      <w:pPr>
        <w:bidi w:val="0"/>
        <w:jc w:val="both"/>
        <w:rPr>
          <w:rFonts w:ascii="Times New Roman" w:hAnsi="Times New Roman" w:cs="Times New Roman"/>
          <w:i/>
        </w:rPr>
      </w:pPr>
    </w:p>
    <w:tbl>
      <w:tblPr>
        <w:tblStyle w:val="TableNormal"/>
        <w:tblW w:w="0" w:type="auto"/>
        <w:tblInd w:w="55" w:type="dxa"/>
        <w:tblLayout w:type="fixed"/>
        <w:tblCellMar>
          <w:left w:w="70" w:type="dxa"/>
          <w:right w:w="70" w:type="dxa"/>
        </w:tblCellMar>
        <w:tblLook w:val="04A0"/>
      </w:tblPr>
      <w:tblGrid>
        <w:gridCol w:w="3276"/>
        <w:gridCol w:w="840"/>
        <w:gridCol w:w="840"/>
        <w:gridCol w:w="840"/>
        <w:gridCol w:w="840"/>
        <w:gridCol w:w="840"/>
        <w:gridCol w:w="840"/>
        <w:gridCol w:w="841"/>
      </w:tblGrid>
      <w:tr>
        <w:tblPrEx>
          <w:tblW w:w="0" w:type="auto"/>
          <w:tblInd w:w="55" w:type="dxa"/>
          <w:tblLayout w:type="fixed"/>
          <w:tblCellMar>
            <w:left w:w="70" w:type="dxa"/>
            <w:right w:w="70" w:type="dxa"/>
          </w:tblCellMar>
          <w:tblLook w:val="04A0"/>
        </w:tblPrEx>
        <w:trPr>
          <w:trHeight w:val="261"/>
        </w:trPr>
        <w:tc>
          <w:tcPr>
            <w:tcW w:w="3276"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bCs/>
                <w:sz w:val="14"/>
                <w:szCs w:val="14"/>
              </w:rPr>
            </w:pPr>
            <w:r w:rsidRPr="005A6E2D">
              <w:rPr>
                <w:rFonts w:ascii="Times New Roman" w:hAnsi="Times New Roman" w:cs="Times New Roman"/>
                <w:b/>
                <w:bCs/>
                <w:color w:val="000000"/>
                <w:sz w:val="14"/>
                <w:szCs w:val="14"/>
              </w:rPr>
              <w:t> v eurách</w:t>
            </w:r>
          </w:p>
        </w:tc>
        <w:tc>
          <w:tcPr>
            <w:tcW w:w="840" w:type="dxa"/>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2009 S</w:t>
            </w:r>
          </w:p>
        </w:tc>
        <w:tc>
          <w:tcPr>
            <w:tcW w:w="840"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2010 S</w:t>
            </w:r>
          </w:p>
        </w:tc>
        <w:tc>
          <w:tcPr>
            <w:tcW w:w="840"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2011 R</w:t>
            </w:r>
          </w:p>
        </w:tc>
        <w:tc>
          <w:tcPr>
            <w:tcW w:w="840"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 xml:space="preserve">2011 OS </w:t>
            </w:r>
          </w:p>
        </w:tc>
        <w:tc>
          <w:tcPr>
            <w:tcW w:w="840" w:type="dxa"/>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2012 N</w:t>
            </w:r>
          </w:p>
        </w:tc>
        <w:tc>
          <w:tcPr>
            <w:tcW w:w="840" w:type="dxa"/>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2013 N</w:t>
            </w:r>
          </w:p>
        </w:tc>
        <w:tc>
          <w:tcPr>
            <w:tcW w:w="841"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2014 N</w:t>
            </w:r>
          </w:p>
        </w:tc>
      </w:tr>
      <w:tr>
        <w:tblPrEx>
          <w:tblW w:w="0" w:type="auto"/>
          <w:tblInd w:w="55" w:type="dxa"/>
          <w:tblLayout w:type="fixed"/>
          <w:tblCellMar>
            <w:left w:w="70" w:type="dxa"/>
            <w:right w:w="70" w:type="dxa"/>
          </w:tblCellMar>
          <w:tblLook w:val="04A0"/>
        </w:tblPrEx>
        <w:trPr>
          <w:trHeight w:val="261"/>
        </w:trPr>
        <w:tc>
          <w:tcPr>
            <w:tcW w:w="3276" w:type="dxa"/>
            <w:tcBorders>
              <w:top w:val="nil"/>
              <w:left w:val="single" w:sz="4" w:space="0" w:color="auto"/>
              <w:bottom w:val="single" w:sz="4" w:space="0" w:color="auto"/>
              <w:right w:val="single" w:sz="4" w:space="0" w:color="auto"/>
            </w:tcBorders>
            <w:textDirection w:val="lrTb"/>
            <w:vAlign w:val="bottom"/>
            <w:hideMark/>
          </w:tcPr>
          <w:p w:rsidR="00CB350B" w:rsidRPr="00DB1943" w:rsidP="00257E12">
            <w:pPr>
              <w:bidi w:val="0"/>
              <w:rPr>
                <w:rFonts w:ascii="Times New Roman" w:hAnsi="Times New Roman" w:cs="Times New Roman"/>
                <w:b/>
                <w:bCs/>
                <w:color w:val="000000"/>
                <w:sz w:val="14"/>
                <w:szCs w:val="14"/>
              </w:rPr>
            </w:pPr>
            <w:r w:rsidRPr="00DB1943">
              <w:rPr>
                <w:rFonts w:ascii="Times New Roman" w:hAnsi="Times New Roman" w:cs="Times New Roman"/>
                <w:b/>
                <w:bCs/>
                <w:color w:val="000000"/>
                <w:sz w:val="14"/>
                <w:szCs w:val="14"/>
              </w:rPr>
              <w:t>Činnosti ÚV SR</w:t>
            </w:r>
          </w:p>
        </w:tc>
        <w:tc>
          <w:tcPr>
            <w:tcW w:w="840" w:type="dxa"/>
            <w:tcBorders>
              <w:top w:val="nil"/>
              <w:left w:val="nil"/>
              <w:bottom w:val="single" w:sz="4" w:space="0" w:color="auto"/>
              <w:right w:val="single" w:sz="4" w:space="0" w:color="auto"/>
            </w:tcBorders>
            <w:textDirection w:val="lrTb"/>
            <w:vAlign w:val="bottom"/>
            <w:hideMark/>
          </w:tcPr>
          <w:p w:rsidR="00CB350B" w:rsidRPr="00DB1943" w:rsidP="00257E12">
            <w:pPr>
              <w:bidi w:val="0"/>
              <w:jc w:val="right"/>
              <w:rPr>
                <w:rFonts w:ascii="Times New Roman" w:hAnsi="Times New Roman" w:cs="Times New Roman"/>
                <w:b/>
                <w:bCs/>
                <w:sz w:val="14"/>
                <w:szCs w:val="14"/>
              </w:rPr>
            </w:pPr>
            <w:r w:rsidRPr="00DB1943">
              <w:rPr>
                <w:rFonts w:ascii="Times New Roman" w:hAnsi="Times New Roman" w:cs="Times New Roman"/>
                <w:b/>
                <w:bCs/>
                <w:sz w:val="14"/>
                <w:szCs w:val="14"/>
              </w:rPr>
              <w:t>24 803 968</w:t>
            </w:r>
          </w:p>
        </w:tc>
        <w:tc>
          <w:tcPr>
            <w:tcW w:w="840" w:type="dxa"/>
            <w:tcBorders>
              <w:top w:val="nil"/>
              <w:left w:val="nil"/>
              <w:bottom w:val="single" w:sz="4" w:space="0" w:color="auto"/>
              <w:right w:val="single" w:sz="4" w:space="0" w:color="auto"/>
            </w:tcBorders>
            <w:textDirection w:val="lrTb"/>
            <w:vAlign w:val="bottom"/>
            <w:hideMark/>
          </w:tcPr>
          <w:p w:rsidR="00CB350B" w:rsidRPr="00DB1943" w:rsidP="00257E12">
            <w:pPr>
              <w:bidi w:val="0"/>
              <w:jc w:val="right"/>
              <w:rPr>
                <w:rFonts w:ascii="Times New Roman" w:hAnsi="Times New Roman" w:cs="Times New Roman"/>
                <w:b/>
                <w:bCs/>
                <w:sz w:val="14"/>
                <w:szCs w:val="14"/>
              </w:rPr>
            </w:pPr>
            <w:r w:rsidRPr="00DB1943">
              <w:rPr>
                <w:rFonts w:ascii="Times New Roman" w:hAnsi="Times New Roman" w:cs="Times New Roman"/>
                <w:b/>
                <w:bCs/>
                <w:sz w:val="14"/>
                <w:szCs w:val="14"/>
              </w:rPr>
              <w:t>52 461 381</w:t>
            </w:r>
          </w:p>
        </w:tc>
        <w:tc>
          <w:tcPr>
            <w:tcW w:w="840" w:type="dxa"/>
            <w:tcBorders>
              <w:top w:val="nil"/>
              <w:left w:val="nil"/>
              <w:bottom w:val="single" w:sz="4" w:space="0" w:color="auto"/>
              <w:right w:val="single" w:sz="4" w:space="0" w:color="auto"/>
            </w:tcBorders>
            <w:textDirection w:val="lrTb"/>
            <w:vAlign w:val="bottom"/>
            <w:hideMark/>
          </w:tcPr>
          <w:p w:rsidR="00CB350B" w:rsidRPr="00DB1943" w:rsidP="00257E12">
            <w:pPr>
              <w:bidi w:val="0"/>
              <w:jc w:val="right"/>
              <w:rPr>
                <w:rFonts w:ascii="Times New Roman" w:hAnsi="Times New Roman" w:cs="Times New Roman"/>
                <w:b/>
                <w:bCs/>
                <w:sz w:val="14"/>
                <w:szCs w:val="14"/>
              </w:rPr>
            </w:pPr>
            <w:r w:rsidRPr="00DB1943">
              <w:rPr>
                <w:rFonts w:ascii="Times New Roman" w:hAnsi="Times New Roman" w:cs="Times New Roman"/>
                <w:b/>
                <w:bCs/>
                <w:sz w:val="14"/>
                <w:szCs w:val="14"/>
              </w:rPr>
              <w:t>38 934 976</w:t>
            </w:r>
          </w:p>
        </w:tc>
        <w:tc>
          <w:tcPr>
            <w:tcW w:w="840" w:type="dxa"/>
            <w:tcBorders>
              <w:top w:val="nil"/>
              <w:left w:val="nil"/>
              <w:bottom w:val="single" w:sz="4" w:space="0" w:color="auto"/>
              <w:right w:val="single" w:sz="4" w:space="0" w:color="auto"/>
            </w:tcBorders>
            <w:textDirection w:val="lrTb"/>
            <w:vAlign w:val="bottom"/>
            <w:hideMark/>
          </w:tcPr>
          <w:p w:rsidR="00CB350B" w:rsidRPr="00DB1943" w:rsidP="00257E12">
            <w:pPr>
              <w:bidi w:val="0"/>
              <w:jc w:val="right"/>
              <w:rPr>
                <w:rFonts w:ascii="Times New Roman" w:hAnsi="Times New Roman" w:cs="Times New Roman"/>
                <w:b/>
                <w:bCs/>
                <w:sz w:val="14"/>
                <w:szCs w:val="14"/>
              </w:rPr>
            </w:pPr>
            <w:r w:rsidRPr="00DB1943">
              <w:rPr>
                <w:rFonts w:ascii="Times New Roman" w:hAnsi="Times New Roman" w:cs="Times New Roman"/>
                <w:b/>
                <w:bCs/>
                <w:sz w:val="14"/>
                <w:szCs w:val="14"/>
              </w:rPr>
              <w:t>37 943 272</w:t>
            </w:r>
          </w:p>
        </w:tc>
        <w:tc>
          <w:tcPr>
            <w:tcW w:w="840" w:type="dxa"/>
            <w:tcBorders>
              <w:top w:val="nil"/>
              <w:left w:val="nil"/>
              <w:bottom w:val="single" w:sz="4" w:space="0" w:color="auto"/>
              <w:right w:val="single" w:sz="4" w:space="0" w:color="auto"/>
            </w:tcBorders>
            <w:textDirection w:val="lrTb"/>
            <w:vAlign w:val="bottom"/>
            <w:hideMark/>
          </w:tcPr>
          <w:p w:rsidR="00CB350B" w:rsidRPr="00B32251" w:rsidP="00257E12">
            <w:pPr>
              <w:bidi w:val="0"/>
              <w:jc w:val="right"/>
              <w:rPr>
                <w:rFonts w:ascii="Times New Roman" w:hAnsi="Times New Roman" w:cs="Times New Roman"/>
                <w:b/>
                <w:bCs/>
                <w:sz w:val="14"/>
                <w:szCs w:val="14"/>
              </w:rPr>
            </w:pPr>
            <w:r w:rsidRPr="00B32251">
              <w:rPr>
                <w:rFonts w:ascii="Times New Roman" w:hAnsi="Times New Roman" w:cs="Times New Roman"/>
                <w:b/>
                <w:bCs/>
                <w:sz w:val="14"/>
                <w:szCs w:val="14"/>
              </w:rPr>
              <w:t>21 111 359</w:t>
            </w:r>
          </w:p>
        </w:tc>
        <w:tc>
          <w:tcPr>
            <w:tcW w:w="840" w:type="dxa"/>
            <w:tcBorders>
              <w:top w:val="nil"/>
              <w:left w:val="nil"/>
              <w:bottom w:val="single" w:sz="4" w:space="0" w:color="auto"/>
              <w:right w:val="single" w:sz="4" w:space="0" w:color="auto"/>
            </w:tcBorders>
            <w:textDirection w:val="lrTb"/>
            <w:vAlign w:val="bottom"/>
            <w:hideMark/>
          </w:tcPr>
          <w:p w:rsidR="00CB350B" w:rsidRPr="00DB1943" w:rsidP="00257E12">
            <w:pPr>
              <w:bidi w:val="0"/>
              <w:jc w:val="right"/>
              <w:rPr>
                <w:rFonts w:ascii="Times New Roman" w:hAnsi="Times New Roman" w:cs="Times New Roman"/>
                <w:b/>
                <w:bCs/>
                <w:sz w:val="14"/>
                <w:szCs w:val="14"/>
              </w:rPr>
            </w:pPr>
            <w:r>
              <w:rPr>
                <w:rFonts w:ascii="Times New Roman" w:hAnsi="Times New Roman" w:cs="Times New Roman"/>
                <w:b/>
                <w:bCs/>
                <w:sz w:val="14"/>
                <w:szCs w:val="14"/>
              </w:rPr>
              <w:t>11</w:t>
            </w:r>
            <w:r w:rsidRPr="00DB1943">
              <w:rPr>
                <w:rFonts w:ascii="Times New Roman" w:hAnsi="Times New Roman" w:cs="Times New Roman"/>
                <w:b/>
                <w:bCs/>
                <w:sz w:val="14"/>
                <w:szCs w:val="14"/>
              </w:rPr>
              <w:t xml:space="preserve"> 138 666</w:t>
            </w:r>
          </w:p>
        </w:tc>
        <w:tc>
          <w:tcPr>
            <w:tcW w:w="841" w:type="dxa"/>
            <w:tcBorders>
              <w:top w:val="nil"/>
              <w:left w:val="nil"/>
              <w:bottom w:val="single" w:sz="4" w:space="0" w:color="auto"/>
              <w:right w:val="single" w:sz="4" w:space="0" w:color="auto"/>
            </w:tcBorders>
            <w:textDirection w:val="lrTb"/>
            <w:vAlign w:val="bottom"/>
            <w:hideMark/>
          </w:tcPr>
          <w:p w:rsidR="00CB350B" w:rsidRPr="00DB1943" w:rsidP="00257E12">
            <w:pPr>
              <w:bidi w:val="0"/>
              <w:jc w:val="right"/>
              <w:rPr>
                <w:rFonts w:ascii="Times New Roman" w:hAnsi="Times New Roman" w:cs="Times New Roman"/>
                <w:b/>
                <w:bCs/>
                <w:sz w:val="14"/>
                <w:szCs w:val="14"/>
              </w:rPr>
            </w:pPr>
            <w:r>
              <w:rPr>
                <w:rFonts w:ascii="Times New Roman" w:hAnsi="Times New Roman" w:cs="Times New Roman"/>
                <w:b/>
                <w:bCs/>
                <w:sz w:val="14"/>
                <w:szCs w:val="14"/>
              </w:rPr>
              <w:t>11</w:t>
            </w:r>
            <w:r w:rsidRPr="00DB1943">
              <w:rPr>
                <w:rFonts w:ascii="Times New Roman" w:hAnsi="Times New Roman" w:cs="Times New Roman"/>
                <w:b/>
                <w:bCs/>
                <w:sz w:val="14"/>
                <w:szCs w:val="14"/>
              </w:rPr>
              <w:t xml:space="preserve"> 147 855</w:t>
            </w:r>
          </w:p>
        </w:tc>
      </w:tr>
      <w:tr>
        <w:tblPrEx>
          <w:tblW w:w="0" w:type="auto"/>
          <w:tblInd w:w="55" w:type="dxa"/>
          <w:tblLayout w:type="fixed"/>
          <w:tblCellMar>
            <w:left w:w="70" w:type="dxa"/>
            <w:right w:w="70" w:type="dxa"/>
          </w:tblCellMar>
          <w:tblLook w:val="04A0"/>
        </w:tblPrEx>
        <w:trPr>
          <w:trHeight w:val="261"/>
        </w:trPr>
        <w:tc>
          <w:tcPr>
            <w:tcW w:w="3276" w:type="dxa"/>
            <w:tcBorders>
              <w:top w:val="nil"/>
              <w:left w:val="single" w:sz="4" w:space="0" w:color="auto"/>
              <w:bottom w:val="single" w:sz="4" w:space="0" w:color="auto"/>
              <w:right w:val="single" w:sz="4" w:space="0" w:color="auto"/>
            </w:tcBorders>
            <w:textDirection w:val="lrTb"/>
            <w:vAlign w:val="bottom"/>
            <w:hideMark/>
          </w:tcPr>
          <w:p w:rsidR="00CB350B" w:rsidRPr="00DB1943" w:rsidP="00257E12">
            <w:pPr>
              <w:bidi w:val="0"/>
              <w:rPr>
                <w:rFonts w:ascii="Times New Roman" w:hAnsi="Times New Roman" w:cs="Times New Roman"/>
                <w:color w:val="000000"/>
                <w:sz w:val="14"/>
                <w:szCs w:val="14"/>
              </w:rPr>
            </w:pPr>
            <w:r>
              <w:rPr>
                <w:rFonts w:ascii="Times New Roman" w:hAnsi="Times New Roman" w:cs="Times New Roman"/>
                <w:color w:val="000000"/>
                <w:sz w:val="14"/>
                <w:szCs w:val="14"/>
              </w:rPr>
              <w:t>P</w:t>
            </w:r>
            <w:r w:rsidRPr="00DB1943">
              <w:rPr>
                <w:rFonts w:ascii="Times New Roman" w:hAnsi="Times New Roman" w:cs="Times New Roman"/>
                <w:color w:val="000000"/>
                <w:sz w:val="14"/>
                <w:szCs w:val="14"/>
              </w:rPr>
              <w:t>odporné činnosti</w:t>
            </w:r>
          </w:p>
        </w:tc>
        <w:tc>
          <w:tcPr>
            <w:tcW w:w="840" w:type="dxa"/>
            <w:tcBorders>
              <w:top w:val="nil"/>
              <w:left w:val="nil"/>
              <w:bottom w:val="single" w:sz="4" w:space="0" w:color="auto"/>
              <w:right w:val="single" w:sz="4" w:space="0" w:color="auto"/>
            </w:tcBorders>
            <w:textDirection w:val="lrTb"/>
            <w:vAlign w:val="center"/>
            <w:hideMark/>
          </w:tcPr>
          <w:p w:rsidR="00CB350B" w:rsidRPr="00835217" w:rsidP="00257E12">
            <w:pPr>
              <w:bidi w:val="0"/>
              <w:jc w:val="right"/>
              <w:rPr>
                <w:rFonts w:ascii="Times New Roman" w:hAnsi="Times New Roman" w:cs="Times New Roman"/>
                <w:sz w:val="14"/>
                <w:szCs w:val="14"/>
              </w:rPr>
            </w:pPr>
            <w:r w:rsidRPr="00835217">
              <w:rPr>
                <w:rFonts w:ascii="Times New Roman" w:hAnsi="Times New Roman" w:cs="Times New Roman"/>
                <w:sz w:val="14"/>
                <w:szCs w:val="14"/>
              </w:rPr>
              <w:t>13 353 160</w:t>
            </w:r>
          </w:p>
        </w:tc>
        <w:tc>
          <w:tcPr>
            <w:tcW w:w="840" w:type="dxa"/>
            <w:tcBorders>
              <w:top w:val="nil"/>
              <w:left w:val="nil"/>
              <w:bottom w:val="single" w:sz="4" w:space="0" w:color="auto"/>
              <w:right w:val="single" w:sz="4" w:space="0" w:color="auto"/>
            </w:tcBorders>
            <w:textDirection w:val="lrTb"/>
            <w:vAlign w:val="center"/>
            <w:hideMark/>
          </w:tcPr>
          <w:p w:rsidR="00CB350B" w:rsidRPr="00835217" w:rsidP="00257E12">
            <w:pPr>
              <w:bidi w:val="0"/>
              <w:jc w:val="right"/>
              <w:rPr>
                <w:rFonts w:ascii="Times New Roman" w:hAnsi="Times New Roman" w:cs="Times New Roman"/>
                <w:sz w:val="14"/>
                <w:szCs w:val="14"/>
              </w:rPr>
            </w:pPr>
            <w:r w:rsidRPr="00835217">
              <w:rPr>
                <w:rFonts w:ascii="Times New Roman" w:hAnsi="Times New Roman" w:cs="Times New Roman"/>
                <w:sz w:val="14"/>
                <w:szCs w:val="14"/>
              </w:rPr>
              <w:t>42 401 927</w:t>
            </w:r>
          </w:p>
        </w:tc>
        <w:tc>
          <w:tcPr>
            <w:tcW w:w="840" w:type="dxa"/>
            <w:tcBorders>
              <w:top w:val="nil"/>
              <w:left w:val="nil"/>
              <w:bottom w:val="single" w:sz="4" w:space="0" w:color="auto"/>
              <w:right w:val="single" w:sz="4" w:space="0" w:color="auto"/>
            </w:tcBorders>
            <w:textDirection w:val="lrTb"/>
            <w:vAlign w:val="center"/>
            <w:hideMark/>
          </w:tcPr>
          <w:p w:rsidR="00CB350B" w:rsidRPr="00835217" w:rsidP="00257E12">
            <w:pPr>
              <w:bidi w:val="0"/>
              <w:jc w:val="right"/>
              <w:rPr>
                <w:rFonts w:ascii="Times New Roman" w:hAnsi="Times New Roman" w:cs="Times New Roman"/>
                <w:sz w:val="14"/>
                <w:szCs w:val="14"/>
              </w:rPr>
            </w:pPr>
            <w:r w:rsidRPr="00835217">
              <w:rPr>
                <w:rFonts w:ascii="Times New Roman" w:hAnsi="Times New Roman" w:cs="Times New Roman"/>
                <w:sz w:val="14"/>
                <w:szCs w:val="14"/>
              </w:rPr>
              <w:t>37 601 098</w:t>
            </w:r>
          </w:p>
        </w:tc>
        <w:tc>
          <w:tcPr>
            <w:tcW w:w="840" w:type="dxa"/>
            <w:tcBorders>
              <w:top w:val="nil"/>
              <w:left w:val="nil"/>
              <w:bottom w:val="single" w:sz="4" w:space="0" w:color="auto"/>
              <w:right w:val="single" w:sz="4" w:space="0" w:color="auto"/>
            </w:tcBorders>
            <w:textDirection w:val="lrTb"/>
            <w:vAlign w:val="center"/>
            <w:hideMark/>
          </w:tcPr>
          <w:p w:rsidR="00CB350B" w:rsidRPr="00835217" w:rsidP="00257E12">
            <w:pPr>
              <w:bidi w:val="0"/>
              <w:jc w:val="right"/>
              <w:rPr>
                <w:rFonts w:ascii="Times New Roman" w:hAnsi="Times New Roman" w:cs="Times New Roman"/>
                <w:sz w:val="14"/>
                <w:szCs w:val="14"/>
              </w:rPr>
            </w:pPr>
            <w:r w:rsidRPr="00835217">
              <w:rPr>
                <w:rFonts w:ascii="Times New Roman" w:hAnsi="Times New Roman" w:cs="Times New Roman"/>
                <w:sz w:val="14"/>
                <w:szCs w:val="14"/>
              </w:rPr>
              <w:t>10 794 394</w:t>
            </w:r>
          </w:p>
        </w:tc>
        <w:tc>
          <w:tcPr>
            <w:tcW w:w="840" w:type="dxa"/>
            <w:tcBorders>
              <w:top w:val="single" w:sz="4" w:space="0" w:color="auto"/>
              <w:left w:val="nil"/>
              <w:bottom w:val="single" w:sz="4" w:space="0" w:color="auto"/>
              <w:right w:val="single" w:sz="4" w:space="0" w:color="auto"/>
            </w:tcBorders>
            <w:textDirection w:val="lrTb"/>
            <w:vAlign w:val="center"/>
            <w:hideMark/>
          </w:tcPr>
          <w:p w:rsidR="00CB350B" w:rsidRPr="00835217" w:rsidP="00257E12">
            <w:pPr>
              <w:bidi w:val="0"/>
              <w:jc w:val="right"/>
              <w:rPr>
                <w:rFonts w:ascii="Times New Roman" w:hAnsi="Times New Roman" w:cs="Times New Roman"/>
                <w:sz w:val="14"/>
                <w:szCs w:val="14"/>
              </w:rPr>
            </w:pPr>
            <w:r w:rsidRPr="00835217">
              <w:rPr>
                <w:rFonts w:ascii="Times New Roman" w:hAnsi="Times New Roman" w:cs="Times New Roman"/>
                <w:sz w:val="14"/>
                <w:szCs w:val="14"/>
              </w:rPr>
              <w:t>9 762 481</w:t>
            </w:r>
          </w:p>
        </w:tc>
        <w:tc>
          <w:tcPr>
            <w:tcW w:w="840" w:type="dxa"/>
            <w:tcBorders>
              <w:top w:val="single" w:sz="4" w:space="0" w:color="auto"/>
              <w:left w:val="nil"/>
              <w:bottom w:val="single" w:sz="4" w:space="0" w:color="auto"/>
              <w:right w:val="single" w:sz="4" w:space="0" w:color="auto"/>
            </w:tcBorders>
            <w:textDirection w:val="lrTb"/>
            <w:vAlign w:val="center"/>
            <w:hideMark/>
          </w:tcPr>
          <w:p w:rsidR="00CB350B" w:rsidRPr="00835217" w:rsidP="00257E12">
            <w:pPr>
              <w:bidi w:val="0"/>
              <w:jc w:val="right"/>
              <w:rPr>
                <w:rFonts w:ascii="Times New Roman" w:hAnsi="Times New Roman" w:cs="Times New Roman"/>
                <w:sz w:val="14"/>
                <w:szCs w:val="14"/>
              </w:rPr>
            </w:pPr>
            <w:r>
              <w:rPr>
                <w:rFonts w:ascii="Times New Roman" w:hAnsi="Times New Roman" w:cs="Times New Roman"/>
                <w:sz w:val="14"/>
                <w:szCs w:val="14"/>
              </w:rPr>
              <w:t>9</w:t>
            </w:r>
            <w:r w:rsidRPr="00835217">
              <w:rPr>
                <w:rFonts w:ascii="Times New Roman" w:hAnsi="Times New Roman" w:cs="Times New Roman"/>
                <w:sz w:val="14"/>
                <w:szCs w:val="14"/>
              </w:rPr>
              <w:t xml:space="preserve"> 789 788</w:t>
            </w:r>
          </w:p>
        </w:tc>
        <w:tc>
          <w:tcPr>
            <w:tcW w:w="841" w:type="dxa"/>
            <w:tcBorders>
              <w:top w:val="single" w:sz="4" w:space="0" w:color="auto"/>
              <w:left w:val="nil"/>
              <w:bottom w:val="single" w:sz="4" w:space="0" w:color="auto"/>
              <w:right w:val="single" w:sz="4" w:space="0" w:color="auto"/>
            </w:tcBorders>
            <w:textDirection w:val="lrTb"/>
            <w:vAlign w:val="center"/>
            <w:hideMark/>
          </w:tcPr>
          <w:p w:rsidR="00CB350B" w:rsidRPr="00835217" w:rsidP="00257E12">
            <w:pPr>
              <w:bidi w:val="0"/>
              <w:jc w:val="right"/>
              <w:rPr>
                <w:rFonts w:ascii="Times New Roman" w:hAnsi="Times New Roman" w:cs="Times New Roman"/>
                <w:sz w:val="14"/>
                <w:szCs w:val="14"/>
              </w:rPr>
            </w:pPr>
            <w:r>
              <w:rPr>
                <w:rFonts w:ascii="Times New Roman" w:hAnsi="Times New Roman" w:cs="Times New Roman"/>
                <w:sz w:val="14"/>
                <w:szCs w:val="14"/>
              </w:rPr>
              <w:t>9</w:t>
            </w:r>
            <w:r w:rsidRPr="00835217">
              <w:rPr>
                <w:rFonts w:ascii="Times New Roman" w:hAnsi="Times New Roman" w:cs="Times New Roman"/>
                <w:sz w:val="14"/>
                <w:szCs w:val="14"/>
              </w:rPr>
              <w:t xml:space="preserve"> 798 977</w:t>
            </w:r>
          </w:p>
        </w:tc>
      </w:tr>
      <w:tr>
        <w:tblPrEx>
          <w:tblW w:w="0" w:type="auto"/>
          <w:tblInd w:w="55" w:type="dxa"/>
          <w:tblLayout w:type="fixed"/>
          <w:tblCellMar>
            <w:left w:w="70" w:type="dxa"/>
            <w:right w:w="70" w:type="dxa"/>
          </w:tblCellMar>
          <w:tblLook w:val="04A0"/>
        </w:tblPrEx>
        <w:trPr>
          <w:trHeight w:val="261"/>
        </w:trPr>
        <w:tc>
          <w:tcPr>
            <w:tcW w:w="3276" w:type="dxa"/>
            <w:tcBorders>
              <w:top w:val="nil"/>
              <w:left w:val="single" w:sz="4" w:space="0" w:color="auto"/>
              <w:bottom w:val="single" w:sz="4" w:space="0" w:color="auto"/>
              <w:right w:val="single" w:sz="4" w:space="0" w:color="auto"/>
            </w:tcBorders>
            <w:textDirection w:val="lrTb"/>
            <w:vAlign w:val="bottom"/>
            <w:hideMark/>
          </w:tcPr>
          <w:p w:rsidR="00CB350B" w:rsidRPr="00DB1943" w:rsidP="00257E12">
            <w:pPr>
              <w:bidi w:val="0"/>
              <w:rPr>
                <w:rFonts w:ascii="Times New Roman" w:hAnsi="Times New Roman" w:cs="Times New Roman"/>
                <w:i/>
                <w:iCs/>
                <w:color w:val="000000"/>
                <w:sz w:val="14"/>
                <w:szCs w:val="14"/>
              </w:rPr>
            </w:pPr>
            <w:r w:rsidRPr="00DB1943">
              <w:rPr>
                <w:rFonts w:ascii="Times New Roman" w:hAnsi="Times New Roman" w:cs="Times New Roman"/>
                <w:i/>
                <w:iCs/>
                <w:color w:val="000000"/>
                <w:sz w:val="14"/>
                <w:szCs w:val="14"/>
              </w:rPr>
              <w:t xml:space="preserve">        z toho: rezerva predsedu vlády</w:t>
            </w:r>
          </w:p>
        </w:tc>
        <w:tc>
          <w:tcPr>
            <w:tcW w:w="840" w:type="dxa"/>
            <w:tcBorders>
              <w:top w:val="nil"/>
              <w:left w:val="nil"/>
              <w:bottom w:val="single" w:sz="4" w:space="0" w:color="auto"/>
              <w:right w:val="single" w:sz="4" w:space="0" w:color="auto"/>
            </w:tcBorders>
            <w:noWrap/>
            <w:textDirection w:val="lrTb"/>
            <w:vAlign w:val="center"/>
            <w:hideMark/>
          </w:tcPr>
          <w:p w:rsidR="00CB350B" w:rsidRPr="00DB1943" w:rsidP="00257E12">
            <w:pPr>
              <w:bidi w:val="0"/>
              <w:jc w:val="right"/>
              <w:rPr>
                <w:rFonts w:ascii="Times New Roman" w:hAnsi="Times New Roman" w:cs="Times New Roman"/>
                <w:i/>
                <w:iCs/>
                <w:color w:val="000000"/>
                <w:sz w:val="14"/>
                <w:szCs w:val="14"/>
              </w:rPr>
            </w:pPr>
            <w:r w:rsidRPr="00DB1943">
              <w:rPr>
                <w:rFonts w:ascii="Times New Roman" w:hAnsi="Times New Roman" w:cs="Times New Roman"/>
                <w:i/>
                <w:iCs/>
                <w:color w:val="000000"/>
                <w:sz w:val="14"/>
                <w:szCs w:val="14"/>
              </w:rPr>
              <w:t>5 161 588</w:t>
            </w:r>
          </w:p>
        </w:tc>
        <w:tc>
          <w:tcPr>
            <w:tcW w:w="840" w:type="dxa"/>
            <w:tcBorders>
              <w:top w:val="nil"/>
              <w:left w:val="nil"/>
              <w:bottom w:val="single" w:sz="4" w:space="0" w:color="auto"/>
              <w:right w:val="single" w:sz="4" w:space="0" w:color="auto"/>
            </w:tcBorders>
            <w:textDirection w:val="lrTb"/>
            <w:vAlign w:val="center"/>
            <w:hideMark/>
          </w:tcPr>
          <w:p w:rsidR="00CB350B" w:rsidRPr="00DB1943" w:rsidP="00257E12">
            <w:pPr>
              <w:bidi w:val="0"/>
              <w:jc w:val="right"/>
              <w:rPr>
                <w:rFonts w:ascii="Times New Roman" w:hAnsi="Times New Roman" w:cs="Times New Roman"/>
                <w:i/>
                <w:iCs/>
                <w:sz w:val="14"/>
                <w:szCs w:val="14"/>
              </w:rPr>
            </w:pPr>
            <w:r w:rsidRPr="00DB1943">
              <w:rPr>
                <w:rFonts w:ascii="Times New Roman" w:hAnsi="Times New Roman" w:cs="Times New Roman"/>
                <w:i/>
                <w:iCs/>
                <w:sz w:val="14"/>
                <w:szCs w:val="14"/>
              </w:rPr>
              <w:t>27 901 627</w:t>
            </w:r>
          </w:p>
        </w:tc>
        <w:tc>
          <w:tcPr>
            <w:tcW w:w="840" w:type="dxa"/>
            <w:tcBorders>
              <w:top w:val="nil"/>
              <w:left w:val="nil"/>
              <w:bottom w:val="single" w:sz="4" w:space="0" w:color="auto"/>
              <w:right w:val="single" w:sz="4" w:space="0" w:color="auto"/>
            </w:tcBorders>
            <w:noWrap/>
            <w:textDirection w:val="lrTb"/>
            <w:vAlign w:val="center"/>
            <w:hideMark/>
          </w:tcPr>
          <w:p w:rsidR="00CB350B" w:rsidRPr="00DB1943" w:rsidP="00257E12">
            <w:pPr>
              <w:bidi w:val="0"/>
              <w:jc w:val="right"/>
              <w:rPr>
                <w:rFonts w:ascii="Times New Roman" w:hAnsi="Times New Roman" w:cs="Times New Roman"/>
                <w:i/>
                <w:iCs/>
                <w:color w:val="000000"/>
                <w:sz w:val="14"/>
                <w:szCs w:val="14"/>
              </w:rPr>
            </w:pPr>
            <w:r w:rsidRPr="00DB1943">
              <w:rPr>
                <w:rFonts w:ascii="Times New Roman" w:hAnsi="Times New Roman" w:cs="Times New Roman"/>
                <w:i/>
                <w:iCs/>
                <w:color w:val="000000"/>
                <w:sz w:val="14"/>
                <w:szCs w:val="14"/>
              </w:rPr>
              <w:t>1 659 696</w:t>
            </w:r>
          </w:p>
        </w:tc>
        <w:tc>
          <w:tcPr>
            <w:tcW w:w="840" w:type="dxa"/>
            <w:tcBorders>
              <w:top w:val="nil"/>
              <w:left w:val="nil"/>
              <w:bottom w:val="single" w:sz="4" w:space="0" w:color="auto"/>
              <w:right w:val="single" w:sz="4" w:space="0" w:color="auto"/>
            </w:tcBorders>
            <w:noWrap/>
            <w:textDirection w:val="lrTb"/>
            <w:vAlign w:val="center"/>
            <w:hideMark/>
          </w:tcPr>
          <w:p w:rsidR="00CB350B" w:rsidRPr="00DB1943" w:rsidP="00257E12">
            <w:pPr>
              <w:bidi w:val="0"/>
              <w:jc w:val="right"/>
              <w:rPr>
                <w:rFonts w:ascii="Times New Roman" w:hAnsi="Times New Roman" w:cs="Times New Roman"/>
                <w:i/>
                <w:iCs/>
                <w:color w:val="000000"/>
                <w:sz w:val="14"/>
                <w:szCs w:val="14"/>
              </w:rPr>
            </w:pPr>
            <w:r w:rsidRPr="00DB1943">
              <w:rPr>
                <w:rFonts w:ascii="Times New Roman" w:hAnsi="Times New Roman" w:cs="Times New Roman"/>
                <w:i/>
                <w:iCs/>
                <w:color w:val="000000"/>
                <w:sz w:val="14"/>
                <w:szCs w:val="14"/>
              </w:rPr>
              <w:t>1 659 696</w:t>
            </w:r>
          </w:p>
        </w:tc>
        <w:tc>
          <w:tcPr>
            <w:tcW w:w="840" w:type="dxa"/>
            <w:tcBorders>
              <w:top w:val="nil"/>
              <w:left w:val="nil"/>
              <w:bottom w:val="single" w:sz="4" w:space="0" w:color="auto"/>
              <w:right w:val="single" w:sz="4" w:space="0" w:color="auto"/>
            </w:tcBorders>
            <w:noWrap/>
            <w:textDirection w:val="lrTb"/>
            <w:vAlign w:val="center"/>
            <w:hideMark/>
          </w:tcPr>
          <w:p w:rsidR="00CB350B" w:rsidRPr="00DB1943" w:rsidP="00257E12">
            <w:pPr>
              <w:bidi w:val="0"/>
              <w:jc w:val="right"/>
              <w:rPr>
                <w:rFonts w:ascii="Times New Roman" w:hAnsi="Times New Roman" w:cs="Times New Roman"/>
                <w:i/>
                <w:iCs/>
                <w:color w:val="000000"/>
                <w:sz w:val="14"/>
                <w:szCs w:val="14"/>
              </w:rPr>
            </w:pPr>
            <w:r w:rsidRPr="00DB1943">
              <w:rPr>
                <w:rFonts w:ascii="Times New Roman" w:hAnsi="Times New Roman" w:cs="Times New Roman"/>
                <w:i/>
                <w:iCs/>
                <w:color w:val="000000"/>
                <w:sz w:val="14"/>
                <w:szCs w:val="14"/>
              </w:rPr>
              <w:t>1 659 696</w:t>
            </w:r>
          </w:p>
        </w:tc>
        <w:tc>
          <w:tcPr>
            <w:tcW w:w="840" w:type="dxa"/>
            <w:tcBorders>
              <w:top w:val="nil"/>
              <w:left w:val="nil"/>
              <w:bottom w:val="single" w:sz="4" w:space="0" w:color="auto"/>
              <w:right w:val="single" w:sz="4" w:space="0" w:color="auto"/>
            </w:tcBorders>
            <w:noWrap/>
            <w:textDirection w:val="lrTb"/>
            <w:vAlign w:val="center"/>
            <w:hideMark/>
          </w:tcPr>
          <w:p w:rsidR="00CB350B" w:rsidRPr="00DB1943" w:rsidP="00257E12">
            <w:pPr>
              <w:bidi w:val="0"/>
              <w:jc w:val="right"/>
              <w:rPr>
                <w:rFonts w:ascii="Times New Roman" w:hAnsi="Times New Roman" w:cs="Times New Roman"/>
                <w:i/>
                <w:iCs/>
                <w:color w:val="000000"/>
                <w:sz w:val="14"/>
                <w:szCs w:val="14"/>
              </w:rPr>
            </w:pPr>
            <w:r w:rsidRPr="00DB1943">
              <w:rPr>
                <w:rFonts w:ascii="Times New Roman" w:hAnsi="Times New Roman" w:cs="Times New Roman"/>
                <w:i/>
                <w:iCs/>
                <w:color w:val="000000"/>
                <w:sz w:val="14"/>
                <w:szCs w:val="14"/>
              </w:rPr>
              <w:t>1 659 696</w:t>
            </w:r>
          </w:p>
        </w:tc>
        <w:tc>
          <w:tcPr>
            <w:tcW w:w="841" w:type="dxa"/>
            <w:tcBorders>
              <w:top w:val="nil"/>
              <w:left w:val="nil"/>
              <w:bottom w:val="single" w:sz="4" w:space="0" w:color="auto"/>
              <w:right w:val="single" w:sz="4" w:space="0" w:color="auto"/>
            </w:tcBorders>
            <w:noWrap/>
            <w:textDirection w:val="lrTb"/>
            <w:vAlign w:val="center"/>
            <w:hideMark/>
          </w:tcPr>
          <w:p w:rsidR="00CB350B" w:rsidRPr="00DB1943" w:rsidP="00257E12">
            <w:pPr>
              <w:bidi w:val="0"/>
              <w:jc w:val="right"/>
              <w:rPr>
                <w:rFonts w:ascii="Times New Roman" w:hAnsi="Times New Roman" w:cs="Times New Roman"/>
                <w:i/>
                <w:iCs/>
                <w:color w:val="000000"/>
                <w:sz w:val="14"/>
                <w:szCs w:val="14"/>
              </w:rPr>
            </w:pPr>
            <w:r w:rsidRPr="00DB1943">
              <w:rPr>
                <w:rFonts w:ascii="Times New Roman" w:hAnsi="Times New Roman" w:cs="Times New Roman"/>
                <w:i/>
                <w:iCs/>
                <w:color w:val="000000"/>
                <w:sz w:val="14"/>
                <w:szCs w:val="14"/>
              </w:rPr>
              <w:t>1 659 696</w:t>
            </w:r>
          </w:p>
        </w:tc>
      </w:tr>
      <w:tr>
        <w:tblPrEx>
          <w:tblW w:w="0" w:type="auto"/>
          <w:tblInd w:w="55" w:type="dxa"/>
          <w:tblLayout w:type="fixed"/>
          <w:tblCellMar>
            <w:left w:w="70" w:type="dxa"/>
            <w:right w:w="70" w:type="dxa"/>
          </w:tblCellMar>
          <w:tblLook w:val="04A0"/>
        </w:tblPrEx>
        <w:trPr>
          <w:trHeight w:val="261"/>
        </w:trPr>
        <w:tc>
          <w:tcPr>
            <w:tcW w:w="3276" w:type="dxa"/>
            <w:tcBorders>
              <w:top w:val="nil"/>
              <w:left w:val="single" w:sz="4" w:space="0" w:color="auto"/>
              <w:bottom w:val="single" w:sz="4" w:space="0" w:color="auto"/>
              <w:right w:val="single" w:sz="4" w:space="0" w:color="auto"/>
            </w:tcBorders>
            <w:textDirection w:val="lrTb"/>
            <w:vAlign w:val="bottom"/>
            <w:hideMark/>
          </w:tcPr>
          <w:p w:rsidR="00CB350B" w:rsidRPr="00835217" w:rsidP="00257E12">
            <w:pPr>
              <w:bidi w:val="0"/>
              <w:rPr>
                <w:rFonts w:ascii="Times New Roman" w:hAnsi="Times New Roman" w:cs="Times New Roman"/>
                <w:color w:val="000000"/>
                <w:sz w:val="14"/>
                <w:szCs w:val="14"/>
              </w:rPr>
            </w:pPr>
            <w:r>
              <w:rPr>
                <w:rFonts w:ascii="Times New Roman" w:hAnsi="Times New Roman" w:cs="Times New Roman"/>
                <w:color w:val="000000"/>
                <w:sz w:val="14"/>
                <w:szCs w:val="14"/>
              </w:rPr>
              <w:t>D</w:t>
            </w:r>
            <w:r w:rsidRPr="00835217">
              <w:rPr>
                <w:rFonts w:ascii="Times New Roman" w:hAnsi="Times New Roman" w:cs="Times New Roman"/>
                <w:color w:val="000000"/>
                <w:sz w:val="14"/>
                <w:szCs w:val="14"/>
              </w:rPr>
              <w:t>otácie na  rómsk</w:t>
            </w:r>
            <w:r>
              <w:rPr>
                <w:rFonts w:ascii="Times New Roman" w:hAnsi="Times New Roman" w:cs="Times New Roman"/>
                <w:color w:val="000000"/>
                <w:sz w:val="14"/>
                <w:szCs w:val="14"/>
              </w:rPr>
              <w:t>u</w:t>
            </w:r>
            <w:r w:rsidRPr="00835217">
              <w:rPr>
                <w:rFonts w:ascii="Times New Roman" w:hAnsi="Times New Roman" w:cs="Times New Roman"/>
                <w:color w:val="000000"/>
                <w:sz w:val="14"/>
                <w:szCs w:val="14"/>
              </w:rPr>
              <w:t xml:space="preserve"> komunit</w:t>
            </w:r>
            <w:r>
              <w:rPr>
                <w:rFonts w:ascii="Times New Roman" w:hAnsi="Times New Roman" w:cs="Times New Roman"/>
                <w:color w:val="000000"/>
                <w:sz w:val="14"/>
                <w:szCs w:val="14"/>
              </w:rPr>
              <w:t>u</w:t>
            </w:r>
            <w:r w:rsidRPr="00835217">
              <w:rPr>
                <w:rFonts w:ascii="Times New Roman" w:hAnsi="Times New Roman" w:cs="Times New Roman"/>
                <w:color w:val="000000"/>
                <w:sz w:val="14"/>
                <w:szCs w:val="14"/>
              </w:rPr>
              <w:t xml:space="preserve"> a protidrogovú politiku</w:t>
            </w:r>
          </w:p>
        </w:tc>
        <w:tc>
          <w:tcPr>
            <w:tcW w:w="840" w:type="dxa"/>
            <w:tcBorders>
              <w:top w:val="nil"/>
              <w:left w:val="nil"/>
              <w:bottom w:val="single" w:sz="4" w:space="0" w:color="auto"/>
              <w:right w:val="single" w:sz="4" w:space="0" w:color="auto"/>
            </w:tcBorders>
            <w:textDirection w:val="lrTb"/>
            <w:vAlign w:val="center"/>
            <w:hideMark/>
          </w:tcPr>
          <w:p w:rsidR="00CB350B" w:rsidRPr="00835217" w:rsidP="00257E12">
            <w:pPr>
              <w:bidi w:val="0"/>
              <w:jc w:val="right"/>
              <w:rPr>
                <w:rFonts w:ascii="Times New Roman" w:hAnsi="Times New Roman" w:cs="Times New Roman"/>
                <w:sz w:val="14"/>
                <w:szCs w:val="14"/>
              </w:rPr>
            </w:pPr>
            <w:r w:rsidRPr="00835217">
              <w:rPr>
                <w:rFonts w:ascii="Times New Roman" w:hAnsi="Times New Roman" w:cs="Times New Roman"/>
                <w:sz w:val="14"/>
                <w:szCs w:val="14"/>
              </w:rPr>
              <w:t>1 266 382</w:t>
            </w:r>
          </w:p>
        </w:tc>
        <w:tc>
          <w:tcPr>
            <w:tcW w:w="840" w:type="dxa"/>
            <w:tcBorders>
              <w:top w:val="nil"/>
              <w:left w:val="nil"/>
              <w:bottom w:val="single" w:sz="4" w:space="0" w:color="auto"/>
              <w:right w:val="single" w:sz="4" w:space="0" w:color="auto"/>
            </w:tcBorders>
            <w:textDirection w:val="lrTb"/>
            <w:vAlign w:val="center"/>
            <w:hideMark/>
          </w:tcPr>
          <w:p w:rsidR="00CB350B" w:rsidRPr="00835217" w:rsidP="00257E12">
            <w:pPr>
              <w:bidi w:val="0"/>
              <w:jc w:val="right"/>
              <w:rPr>
                <w:rFonts w:ascii="Times New Roman" w:hAnsi="Times New Roman" w:cs="Times New Roman"/>
                <w:sz w:val="14"/>
                <w:szCs w:val="14"/>
              </w:rPr>
            </w:pPr>
            <w:r w:rsidRPr="00835217">
              <w:rPr>
                <w:rFonts w:ascii="Times New Roman" w:hAnsi="Times New Roman" w:cs="Times New Roman"/>
                <w:sz w:val="14"/>
                <w:szCs w:val="14"/>
              </w:rPr>
              <w:t>1 589 770</w:t>
            </w:r>
          </w:p>
        </w:tc>
        <w:tc>
          <w:tcPr>
            <w:tcW w:w="840" w:type="dxa"/>
            <w:tcBorders>
              <w:top w:val="nil"/>
              <w:left w:val="nil"/>
              <w:bottom w:val="single" w:sz="4" w:space="0" w:color="auto"/>
              <w:right w:val="single" w:sz="4" w:space="0" w:color="auto"/>
            </w:tcBorders>
            <w:textDirection w:val="lrTb"/>
            <w:vAlign w:val="center"/>
            <w:hideMark/>
          </w:tcPr>
          <w:p w:rsidR="00CB350B" w:rsidRPr="00835217" w:rsidP="00257E12">
            <w:pPr>
              <w:bidi w:val="0"/>
              <w:jc w:val="right"/>
              <w:rPr>
                <w:rFonts w:ascii="Times New Roman" w:hAnsi="Times New Roman" w:cs="Times New Roman"/>
                <w:sz w:val="14"/>
                <w:szCs w:val="14"/>
              </w:rPr>
            </w:pPr>
            <w:r w:rsidRPr="00835217">
              <w:rPr>
                <w:rFonts w:ascii="Times New Roman" w:hAnsi="Times New Roman" w:cs="Times New Roman"/>
                <w:sz w:val="14"/>
                <w:szCs w:val="14"/>
              </w:rPr>
              <w:t>1 333 878</w:t>
            </w:r>
          </w:p>
        </w:tc>
        <w:tc>
          <w:tcPr>
            <w:tcW w:w="840" w:type="dxa"/>
            <w:tcBorders>
              <w:top w:val="nil"/>
              <w:left w:val="nil"/>
              <w:bottom w:val="single" w:sz="4" w:space="0" w:color="auto"/>
              <w:right w:val="single" w:sz="4" w:space="0" w:color="auto"/>
            </w:tcBorders>
            <w:textDirection w:val="lrTb"/>
            <w:vAlign w:val="center"/>
            <w:hideMark/>
          </w:tcPr>
          <w:p w:rsidR="00CB350B" w:rsidRPr="00835217" w:rsidP="00257E12">
            <w:pPr>
              <w:bidi w:val="0"/>
              <w:jc w:val="right"/>
              <w:rPr>
                <w:rFonts w:ascii="Times New Roman" w:hAnsi="Times New Roman" w:cs="Times New Roman"/>
                <w:sz w:val="14"/>
                <w:szCs w:val="14"/>
              </w:rPr>
            </w:pPr>
            <w:r w:rsidRPr="00835217">
              <w:rPr>
                <w:rFonts w:ascii="Times New Roman" w:hAnsi="Times New Roman" w:cs="Times New Roman"/>
                <w:sz w:val="14"/>
                <w:szCs w:val="14"/>
              </w:rPr>
              <w:t>1 333 878</w:t>
            </w:r>
          </w:p>
        </w:tc>
        <w:tc>
          <w:tcPr>
            <w:tcW w:w="840" w:type="dxa"/>
            <w:tcBorders>
              <w:top w:val="nil"/>
              <w:left w:val="nil"/>
              <w:bottom w:val="single" w:sz="4" w:space="0" w:color="auto"/>
              <w:right w:val="single" w:sz="4" w:space="0" w:color="auto"/>
            </w:tcBorders>
            <w:textDirection w:val="lrTb"/>
            <w:vAlign w:val="center"/>
            <w:hideMark/>
          </w:tcPr>
          <w:p w:rsidR="00CB350B" w:rsidRPr="00835217" w:rsidP="00257E12">
            <w:pPr>
              <w:bidi w:val="0"/>
              <w:jc w:val="right"/>
              <w:rPr>
                <w:rFonts w:ascii="Times New Roman" w:hAnsi="Times New Roman" w:cs="Times New Roman"/>
                <w:sz w:val="14"/>
                <w:szCs w:val="14"/>
              </w:rPr>
            </w:pPr>
            <w:r w:rsidRPr="00835217">
              <w:rPr>
                <w:rFonts w:ascii="Times New Roman" w:hAnsi="Times New Roman" w:cs="Times New Roman"/>
                <w:sz w:val="14"/>
                <w:szCs w:val="14"/>
              </w:rPr>
              <w:t>1 348 878</w:t>
            </w:r>
          </w:p>
        </w:tc>
        <w:tc>
          <w:tcPr>
            <w:tcW w:w="840" w:type="dxa"/>
            <w:tcBorders>
              <w:top w:val="nil"/>
              <w:left w:val="nil"/>
              <w:bottom w:val="single" w:sz="4" w:space="0" w:color="auto"/>
              <w:right w:val="single" w:sz="4" w:space="0" w:color="auto"/>
            </w:tcBorders>
            <w:textDirection w:val="lrTb"/>
            <w:vAlign w:val="center"/>
            <w:hideMark/>
          </w:tcPr>
          <w:p w:rsidR="00CB350B" w:rsidRPr="00835217" w:rsidP="00257E12">
            <w:pPr>
              <w:bidi w:val="0"/>
              <w:jc w:val="right"/>
              <w:rPr>
                <w:rFonts w:ascii="Times New Roman" w:hAnsi="Times New Roman" w:cs="Times New Roman"/>
                <w:sz w:val="14"/>
                <w:szCs w:val="14"/>
              </w:rPr>
            </w:pPr>
            <w:r w:rsidRPr="00835217">
              <w:rPr>
                <w:rFonts w:ascii="Times New Roman" w:hAnsi="Times New Roman" w:cs="Times New Roman"/>
                <w:sz w:val="14"/>
                <w:szCs w:val="14"/>
              </w:rPr>
              <w:t>1 348 878</w:t>
            </w:r>
          </w:p>
        </w:tc>
        <w:tc>
          <w:tcPr>
            <w:tcW w:w="841" w:type="dxa"/>
            <w:tcBorders>
              <w:top w:val="nil"/>
              <w:left w:val="nil"/>
              <w:bottom w:val="single" w:sz="4" w:space="0" w:color="auto"/>
              <w:right w:val="single" w:sz="4" w:space="0" w:color="auto"/>
            </w:tcBorders>
            <w:textDirection w:val="lrTb"/>
            <w:vAlign w:val="center"/>
            <w:hideMark/>
          </w:tcPr>
          <w:p w:rsidR="00CB350B" w:rsidRPr="00835217" w:rsidP="00257E12">
            <w:pPr>
              <w:bidi w:val="0"/>
              <w:jc w:val="right"/>
              <w:rPr>
                <w:rFonts w:ascii="Times New Roman" w:hAnsi="Times New Roman" w:cs="Times New Roman"/>
                <w:sz w:val="14"/>
                <w:szCs w:val="14"/>
              </w:rPr>
            </w:pPr>
            <w:r w:rsidRPr="00835217">
              <w:rPr>
                <w:rFonts w:ascii="Times New Roman" w:hAnsi="Times New Roman" w:cs="Times New Roman"/>
                <w:sz w:val="14"/>
                <w:szCs w:val="14"/>
              </w:rPr>
              <w:t>1 348 878</w:t>
            </w:r>
          </w:p>
        </w:tc>
      </w:tr>
      <w:tr>
        <w:tblPrEx>
          <w:tblW w:w="0" w:type="auto"/>
          <w:tblInd w:w="55" w:type="dxa"/>
          <w:tblLayout w:type="fixed"/>
          <w:tblCellMar>
            <w:left w:w="70" w:type="dxa"/>
            <w:right w:w="70" w:type="dxa"/>
          </w:tblCellMar>
          <w:tblLook w:val="04A0"/>
        </w:tblPrEx>
        <w:trPr>
          <w:trHeight w:val="261"/>
        </w:trPr>
        <w:tc>
          <w:tcPr>
            <w:tcW w:w="3276" w:type="dxa"/>
            <w:tcBorders>
              <w:top w:val="nil"/>
              <w:left w:val="single" w:sz="4" w:space="0" w:color="auto"/>
              <w:bottom w:val="single" w:sz="4" w:space="0" w:color="auto"/>
              <w:right w:val="single" w:sz="4" w:space="0" w:color="auto"/>
            </w:tcBorders>
            <w:textDirection w:val="lrTb"/>
            <w:vAlign w:val="bottom"/>
            <w:hideMark/>
          </w:tcPr>
          <w:p w:rsidR="00CB350B" w:rsidRPr="00DB1943" w:rsidP="00257E12">
            <w:pPr>
              <w:bidi w:val="0"/>
              <w:rPr>
                <w:rFonts w:ascii="Times New Roman" w:hAnsi="Times New Roman" w:cs="Times New Roman"/>
                <w:color w:val="000000"/>
                <w:sz w:val="14"/>
                <w:szCs w:val="14"/>
              </w:rPr>
            </w:pPr>
            <w:r>
              <w:rPr>
                <w:rFonts w:ascii="Times New Roman" w:hAnsi="Times New Roman" w:cs="Times New Roman"/>
                <w:color w:val="000000"/>
                <w:sz w:val="14"/>
                <w:szCs w:val="14"/>
              </w:rPr>
              <w:t>P</w:t>
            </w:r>
            <w:r w:rsidRPr="00DB1943">
              <w:rPr>
                <w:rFonts w:ascii="Times New Roman" w:hAnsi="Times New Roman" w:cs="Times New Roman"/>
                <w:color w:val="000000"/>
                <w:sz w:val="14"/>
                <w:szCs w:val="14"/>
              </w:rPr>
              <w:t>odpora športu a mládeže</w:t>
            </w:r>
          </w:p>
        </w:tc>
        <w:tc>
          <w:tcPr>
            <w:tcW w:w="840" w:type="dxa"/>
            <w:tcBorders>
              <w:top w:val="nil"/>
              <w:left w:val="nil"/>
              <w:bottom w:val="single" w:sz="4" w:space="0" w:color="auto"/>
              <w:right w:val="single" w:sz="4" w:space="0" w:color="auto"/>
            </w:tcBorders>
            <w:textDirection w:val="lrTb"/>
            <w:vAlign w:val="center"/>
            <w:hideMark/>
          </w:tcPr>
          <w:p w:rsidR="00CB350B" w:rsidRPr="00DB1943" w:rsidP="00257E12">
            <w:pPr>
              <w:bidi w:val="0"/>
              <w:jc w:val="right"/>
              <w:rPr>
                <w:rFonts w:ascii="Times New Roman" w:hAnsi="Times New Roman" w:cs="Times New Roman"/>
                <w:sz w:val="14"/>
                <w:szCs w:val="14"/>
              </w:rPr>
            </w:pPr>
            <w:r w:rsidRPr="00DB1943">
              <w:rPr>
                <w:rFonts w:ascii="Times New Roman" w:hAnsi="Times New Roman" w:cs="Times New Roman"/>
                <w:sz w:val="14"/>
                <w:szCs w:val="14"/>
              </w:rPr>
              <w:t>10 078 797</w:t>
            </w:r>
          </w:p>
        </w:tc>
        <w:tc>
          <w:tcPr>
            <w:tcW w:w="840" w:type="dxa"/>
            <w:tcBorders>
              <w:top w:val="nil"/>
              <w:left w:val="nil"/>
              <w:bottom w:val="single" w:sz="4" w:space="0" w:color="auto"/>
              <w:right w:val="single" w:sz="4" w:space="0" w:color="auto"/>
            </w:tcBorders>
            <w:textDirection w:val="lrTb"/>
            <w:vAlign w:val="center"/>
            <w:hideMark/>
          </w:tcPr>
          <w:p w:rsidR="00CB350B" w:rsidRPr="00DB1943" w:rsidP="00257E12">
            <w:pPr>
              <w:bidi w:val="0"/>
              <w:jc w:val="right"/>
              <w:rPr>
                <w:rFonts w:ascii="Times New Roman" w:hAnsi="Times New Roman" w:cs="Times New Roman"/>
                <w:sz w:val="14"/>
                <w:szCs w:val="14"/>
              </w:rPr>
            </w:pPr>
            <w:r w:rsidRPr="00DB1943">
              <w:rPr>
                <w:rFonts w:ascii="Times New Roman" w:hAnsi="Times New Roman" w:cs="Times New Roman"/>
                <w:sz w:val="14"/>
                <w:szCs w:val="14"/>
              </w:rPr>
              <w:t>8 371 256</w:t>
            </w:r>
          </w:p>
        </w:tc>
        <w:tc>
          <w:tcPr>
            <w:tcW w:w="840" w:type="dxa"/>
            <w:tcBorders>
              <w:top w:val="nil"/>
              <w:left w:val="nil"/>
              <w:bottom w:val="single" w:sz="4" w:space="0" w:color="auto"/>
              <w:right w:val="single" w:sz="4" w:space="0" w:color="auto"/>
            </w:tcBorders>
            <w:textDirection w:val="lrTb"/>
            <w:vAlign w:val="center"/>
            <w:hideMark/>
          </w:tcPr>
          <w:p w:rsidR="00CB350B" w:rsidRPr="00DB1943" w:rsidP="00257E12">
            <w:pPr>
              <w:bidi w:val="0"/>
              <w:jc w:val="right"/>
              <w:rPr>
                <w:rFonts w:ascii="Times New Roman" w:hAnsi="Times New Roman" w:cs="Times New Roman"/>
                <w:sz w:val="14"/>
                <w:szCs w:val="14"/>
              </w:rPr>
            </w:pPr>
            <w:r w:rsidRPr="00DB1943">
              <w:rPr>
                <w:rFonts w:ascii="Times New Roman" w:hAnsi="Times New Roman" w:cs="Times New Roman"/>
                <w:sz w:val="14"/>
                <w:szCs w:val="14"/>
              </w:rPr>
              <w:t>0</w:t>
            </w:r>
          </w:p>
        </w:tc>
        <w:tc>
          <w:tcPr>
            <w:tcW w:w="840" w:type="dxa"/>
            <w:tcBorders>
              <w:top w:val="nil"/>
              <w:left w:val="nil"/>
              <w:bottom w:val="single" w:sz="4" w:space="0" w:color="auto"/>
              <w:right w:val="single" w:sz="4" w:space="0" w:color="auto"/>
            </w:tcBorders>
            <w:textDirection w:val="lrTb"/>
            <w:vAlign w:val="center"/>
            <w:hideMark/>
          </w:tcPr>
          <w:p w:rsidR="00CB350B" w:rsidRPr="00DB1943" w:rsidP="00257E12">
            <w:pPr>
              <w:bidi w:val="0"/>
              <w:jc w:val="right"/>
              <w:rPr>
                <w:rFonts w:ascii="Times New Roman" w:hAnsi="Times New Roman" w:cs="Times New Roman"/>
                <w:sz w:val="14"/>
                <w:szCs w:val="14"/>
              </w:rPr>
            </w:pPr>
            <w:r w:rsidRPr="00DB1943">
              <w:rPr>
                <w:rFonts w:ascii="Times New Roman" w:hAnsi="Times New Roman" w:cs="Times New Roman"/>
                <w:sz w:val="14"/>
                <w:szCs w:val="14"/>
              </w:rPr>
              <w:t>0</w:t>
            </w:r>
          </w:p>
        </w:tc>
        <w:tc>
          <w:tcPr>
            <w:tcW w:w="840" w:type="dxa"/>
            <w:tcBorders>
              <w:top w:val="nil"/>
              <w:left w:val="nil"/>
              <w:bottom w:val="single" w:sz="4" w:space="0" w:color="auto"/>
              <w:right w:val="single" w:sz="4" w:space="0" w:color="auto"/>
            </w:tcBorders>
            <w:textDirection w:val="lrTb"/>
            <w:vAlign w:val="center"/>
            <w:hideMark/>
          </w:tcPr>
          <w:p w:rsidR="00CB350B" w:rsidRPr="00DB1943" w:rsidP="00257E12">
            <w:pPr>
              <w:bidi w:val="0"/>
              <w:jc w:val="right"/>
              <w:rPr>
                <w:rFonts w:ascii="Times New Roman" w:hAnsi="Times New Roman" w:cs="Times New Roman"/>
                <w:sz w:val="14"/>
                <w:szCs w:val="14"/>
              </w:rPr>
            </w:pPr>
            <w:r w:rsidRPr="00DB1943">
              <w:rPr>
                <w:rFonts w:ascii="Times New Roman" w:hAnsi="Times New Roman" w:cs="Times New Roman"/>
                <w:sz w:val="14"/>
                <w:szCs w:val="14"/>
              </w:rPr>
              <w:t>0</w:t>
            </w:r>
          </w:p>
        </w:tc>
        <w:tc>
          <w:tcPr>
            <w:tcW w:w="840" w:type="dxa"/>
            <w:tcBorders>
              <w:top w:val="nil"/>
              <w:left w:val="nil"/>
              <w:bottom w:val="single" w:sz="4" w:space="0" w:color="auto"/>
              <w:right w:val="single" w:sz="4" w:space="0" w:color="auto"/>
            </w:tcBorders>
            <w:textDirection w:val="lrTb"/>
            <w:vAlign w:val="center"/>
            <w:hideMark/>
          </w:tcPr>
          <w:p w:rsidR="00CB350B" w:rsidRPr="00DB1943" w:rsidP="00257E12">
            <w:pPr>
              <w:bidi w:val="0"/>
              <w:jc w:val="right"/>
              <w:rPr>
                <w:rFonts w:ascii="Times New Roman" w:hAnsi="Times New Roman" w:cs="Times New Roman"/>
                <w:sz w:val="14"/>
                <w:szCs w:val="14"/>
              </w:rPr>
            </w:pPr>
            <w:r w:rsidRPr="00DB1943">
              <w:rPr>
                <w:rFonts w:ascii="Times New Roman" w:hAnsi="Times New Roman" w:cs="Times New Roman"/>
                <w:sz w:val="14"/>
                <w:szCs w:val="14"/>
              </w:rPr>
              <w:t>0</w:t>
            </w:r>
          </w:p>
        </w:tc>
        <w:tc>
          <w:tcPr>
            <w:tcW w:w="841" w:type="dxa"/>
            <w:tcBorders>
              <w:top w:val="nil"/>
              <w:left w:val="nil"/>
              <w:bottom w:val="single" w:sz="4" w:space="0" w:color="auto"/>
              <w:right w:val="single" w:sz="4" w:space="0" w:color="auto"/>
            </w:tcBorders>
            <w:textDirection w:val="lrTb"/>
            <w:vAlign w:val="center"/>
            <w:hideMark/>
          </w:tcPr>
          <w:p w:rsidR="00CB350B" w:rsidRPr="00DB1943" w:rsidP="00257E12">
            <w:pPr>
              <w:bidi w:val="0"/>
              <w:jc w:val="right"/>
              <w:rPr>
                <w:rFonts w:ascii="Times New Roman" w:hAnsi="Times New Roman" w:cs="Times New Roman"/>
                <w:sz w:val="14"/>
                <w:szCs w:val="14"/>
              </w:rPr>
            </w:pPr>
            <w:r w:rsidRPr="00DB1943">
              <w:rPr>
                <w:rFonts w:ascii="Times New Roman" w:hAnsi="Times New Roman" w:cs="Times New Roman"/>
                <w:sz w:val="14"/>
                <w:szCs w:val="14"/>
              </w:rPr>
              <w:t>0</w:t>
            </w:r>
          </w:p>
        </w:tc>
      </w:tr>
      <w:tr>
        <w:tblPrEx>
          <w:tblW w:w="0" w:type="auto"/>
          <w:tblInd w:w="55" w:type="dxa"/>
          <w:tblLayout w:type="fixed"/>
          <w:tblCellMar>
            <w:left w:w="70" w:type="dxa"/>
            <w:right w:w="70" w:type="dxa"/>
          </w:tblCellMar>
          <w:tblLook w:val="04A0"/>
        </w:tblPrEx>
        <w:trPr>
          <w:trHeight w:val="261"/>
        </w:trPr>
        <w:tc>
          <w:tcPr>
            <w:tcW w:w="3276" w:type="dxa"/>
            <w:tcBorders>
              <w:top w:val="nil"/>
              <w:left w:val="single" w:sz="4" w:space="0" w:color="auto"/>
              <w:bottom w:val="single" w:sz="4" w:space="0" w:color="auto"/>
              <w:right w:val="single" w:sz="4" w:space="0" w:color="auto"/>
            </w:tcBorders>
            <w:textDirection w:val="lrTb"/>
            <w:vAlign w:val="bottom"/>
            <w:hideMark/>
          </w:tcPr>
          <w:p w:rsidR="00CB350B" w:rsidRPr="00DB1943" w:rsidP="00257E12">
            <w:pPr>
              <w:bidi w:val="0"/>
              <w:rPr>
                <w:rFonts w:ascii="Times New Roman" w:hAnsi="Times New Roman" w:cs="Times New Roman"/>
                <w:color w:val="000000"/>
                <w:sz w:val="14"/>
                <w:szCs w:val="14"/>
              </w:rPr>
            </w:pPr>
            <w:r>
              <w:rPr>
                <w:rFonts w:ascii="Times New Roman" w:hAnsi="Times New Roman" w:cs="Times New Roman"/>
                <w:color w:val="000000"/>
                <w:sz w:val="14"/>
                <w:szCs w:val="14"/>
              </w:rPr>
              <w:t>V</w:t>
            </w:r>
            <w:r w:rsidRPr="00DB1943">
              <w:rPr>
                <w:rFonts w:ascii="Times New Roman" w:hAnsi="Times New Roman" w:cs="Times New Roman"/>
                <w:color w:val="000000"/>
                <w:sz w:val="14"/>
                <w:szCs w:val="14"/>
              </w:rPr>
              <w:t>edomostná spoločnosť</w:t>
            </w:r>
          </w:p>
        </w:tc>
        <w:tc>
          <w:tcPr>
            <w:tcW w:w="840" w:type="dxa"/>
            <w:tcBorders>
              <w:top w:val="nil"/>
              <w:left w:val="nil"/>
              <w:bottom w:val="single" w:sz="4" w:space="0" w:color="auto"/>
              <w:right w:val="single" w:sz="4" w:space="0" w:color="auto"/>
            </w:tcBorders>
            <w:noWrap/>
            <w:textDirection w:val="lrTb"/>
            <w:vAlign w:val="center"/>
            <w:hideMark/>
          </w:tcPr>
          <w:p w:rsidR="00CB350B" w:rsidRPr="00DB1943" w:rsidP="00257E12">
            <w:pPr>
              <w:bidi w:val="0"/>
              <w:jc w:val="right"/>
              <w:rPr>
                <w:rFonts w:ascii="Times New Roman" w:hAnsi="Times New Roman" w:cs="Times New Roman"/>
                <w:sz w:val="14"/>
                <w:szCs w:val="14"/>
              </w:rPr>
            </w:pPr>
            <w:r w:rsidRPr="00DB1943">
              <w:rPr>
                <w:rFonts w:ascii="Times New Roman" w:hAnsi="Times New Roman" w:cs="Times New Roman"/>
                <w:sz w:val="14"/>
                <w:szCs w:val="14"/>
              </w:rPr>
              <w:t>105 629</w:t>
            </w:r>
          </w:p>
        </w:tc>
        <w:tc>
          <w:tcPr>
            <w:tcW w:w="840" w:type="dxa"/>
            <w:tcBorders>
              <w:top w:val="nil"/>
              <w:left w:val="nil"/>
              <w:bottom w:val="single" w:sz="4" w:space="0" w:color="auto"/>
              <w:right w:val="single" w:sz="4" w:space="0" w:color="auto"/>
            </w:tcBorders>
            <w:noWrap/>
            <w:textDirection w:val="lrTb"/>
            <w:vAlign w:val="center"/>
            <w:hideMark/>
          </w:tcPr>
          <w:p w:rsidR="00CB350B" w:rsidRPr="00DB1943" w:rsidP="00257E12">
            <w:pPr>
              <w:bidi w:val="0"/>
              <w:jc w:val="right"/>
              <w:rPr>
                <w:rFonts w:ascii="Times New Roman" w:hAnsi="Times New Roman" w:cs="Times New Roman"/>
                <w:sz w:val="14"/>
                <w:szCs w:val="14"/>
              </w:rPr>
            </w:pPr>
            <w:r w:rsidRPr="00DB1943">
              <w:rPr>
                <w:rFonts w:ascii="Times New Roman" w:hAnsi="Times New Roman" w:cs="Times New Roman"/>
                <w:sz w:val="14"/>
                <w:szCs w:val="14"/>
              </w:rPr>
              <w:t>98 427</w:t>
            </w:r>
          </w:p>
        </w:tc>
        <w:tc>
          <w:tcPr>
            <w:tcW w:w="840" w:type="dxa"/>
            <w:tcBorders>
              <w:top w:val="nil"/>
              <w:left w:val="nil"/>
              <w:bottom w:val="single" w:sz="4" w:space="0" w:color="auto"/>
              <w:right w:val="single" w:sz="4" w:space="0" w:color="auto"/>
            </w:tcBorders>
            <w:noWrap/>
            <w:textDirection w:val="lrTb"/>
            <w:vAlign w:val="center"/>
            <w:hideMark/>
          </w:tcPr>
          <w:p w:rsidR="00CB350B" w:rsidRPr="00DB1943" w:rsidP="00257E12">
            <w:pPr>
              <w:bidi w:val="0"/>
              <w:jc w:val="right"/>
              <w:rPr>
                <w:rFonts w:ascii="Times New Roman" w:hAnsi="Times New Roman" w:cs="Times New Roman"/>
                <w:sz w:val="14"/>
                <w:szCs w:val="14"/>
              </w:rPr>
            </w:pPr>
            <w:r w:rsidRPr="00DB1943">
              <w:rPr>
                <w:rFonts w:ascii="Times New Roman" w:hAnsi="Times New Roman" w:cs="Times New Roman"/>
                <w:sz w:val="14"/>
                <w:szCs w:val="14"/>
              </w:rPr>
              <w:t>0</w:t>
            </w:r>
          </w:p>
        </w:tc>
        <w:tc>
          <w:tcPr>
            <w:tcW w:w="840" w:type="dxa"/>
            <w:tcBorders>
              <w:top w:val="nil"/>
              <w:left w:val="nil"/>
              <w:bottom w:val="single" w:sz="4" w:space="0" w:color="auto"/>
              <w:right w:val="single" w:sz="4" w:space="0" w:color="auto"/>
            </w:tcBorders>
            <w:noWrap/>
            <w:textDirection w:val="lrTb"/>
            <w:vAlign w:val="center"/>
            <w:hideMark/>
          </w:tcPr>
          <w:p w:rsidR="00CB350B" w:rsidRPr="00DB1943" w:rsidP="00257E12">
            <w:pPr>
              <w:bidi w:val="0"/>
              <w:jc w:val="right"/>
              <w:rPr>
                <w:rFonts w:ascii="Times New Roman" w:hAnsi="Times New Roman" w:cs="Times New Roman"/>
                <w:sz w:val="14"/>
                <w:szCs w:val="14"/>
              </w:rPr>
            </w:pPr>
            <w:r w:rsidRPr="00DB1943">
              <w:rPr>
                <w:rFonts w:ascii="Times New Roman" w:hAnsi="Times New Roman" w:cs="Times New Roman"/>
                <w:sz w:val="14"/>
                <w:szCs w:val="14"/>
              </w:rPr>
              <w:t>0</w:t>
            </w:r>
          </w:p>
        </w:tc>
        <w:tc>
          <w:tcPr>
            <w:tcW w:w="840" w:type="dxa"/>
            <w:tcBorders>
              <w:top w:val="nil"/>
              <w:left w:val="nil"/>
              <w:bottom w:val="single" w:sz="4" w:space="0" w:color="auto"/>
              <w:right w:val="single" w:sz="4" w:space="0" w:color="auto"/>
            </w:tcBorders>
            <w:noWrap/>
            <w:textDirection w:val="lrTb"/>
            <w:vAlign w:val="center"/>
            <w:hideMark/>
          </w:tcPr>
          <w:p w:rsidR="00CB350B" w:rsidRPr="00DB1943" w:rsidP="00257E12">
            <w:pPr>
              <w:bidi w:val="0"/>
              <w:jc w:val="right"/>
              <w:rPr>
                <w:rFonts w:ascii="Times New Roman" w:hAnsi="Times New Roman" w:cs="Times New Roman"/>
                <w:sz w:val="14"/>
                <w:szCs w:val="14"/>
              </w:rPr>
            </w:pPr>
            <w:r w:rsidRPr="00DB1943">
              <w:rPr>
                <w:rFonts w:ascii="Times New Roman" w:hAnsi="Times New Roman" w:cs="Times New Roman"/>
                <w:sz w:val="14"/>
                <w:szCs w:val="14"/>
              </w:rPr>
              <w:t>0</w:t>
            </w:r>
          </w:p>
        </w:tc>
        <w:tc>
          <w:tcPr>
            <w:tcW w:w="840" w:type="dxa"/>
            <w:tcBorders>
              <w:top w:val="nil"/>
              <w:left w:val="nil"/>
              <w:bottom w:val="single" w:sz="4" w:space="0" w:color="auto"/>
              <w:right w:val="single" w:sz="4" w:space="0" w:color="auto"/>
            </w:tcBorders>
            <w:noWrap/>
            <w:textDirection w:val="lrTb"/>
            <w:vAlign w:val="center"/>
            <w:hideMark/>
          </w:tcPr>
          <w:p w:rsidR="00CB350B" w:rsidRPr="00DB1943" w:rsidP="00257E12">
            <w:pPr>
              <w:bidi w:val="0"/>
              <w:jc w:val="right"/>
              <w:rPr>
                <w:rFonts w:ascii="Times New Roman" w:hAnsi="Times New Roman" w:cs="Times New Roman"/>
                <w:sz w:val="14"/>
                <w:szCs w:val="14"/>
              </w:rPr>
            </w:pPr>
            <w:r w:rsidRPr="00DB1943">
              <w:rPr>
                <w:rFonts w:ascii="Times New Roman" w:hAnsi="Times New Roman" w:cs="Times New Roman"/>
                <w:sz w:val="14"/>
                <w:szCs w:val="14"/>
              </w:rPr>
              <w:t>0</w:t>
            </w:r>
          </w:p>
        </w:tc>
        <w:tc>
          <w:tcPr>
            <w:tcW w:w="841" w:type="dxa"/>
            <w:tcBorders>
              <w:top w:val="nil"/>
              <w:left w:val="nil"/>
              <w:bottom w:val="single" w:sz="4" w:space="0" w:color="auto"/>
              <w:right w:val="single" w:sz="4" w:space="0" w:color="auto"/>
            </w:tcBorders>
            <w:noWrap/>
            <w:textDirection w:val="lrTb"/>
            <w:vAlign w:val="center"/>
            <w:hideMark/>
          </w:tcPr>
          <w:p w:rsidR="00CB350B" w:rsidRPr="00DB1943" w:rsidP="00257E12">
            <w:pPr>
              <w:bidi w:val="0"/>
              <w:jc w:val="right"/>
              <w:rPr>
                <w:rFonts w:ascii="Times New Roman" w:hAnsi="Times New Roman" w:cs="Times New Roman"/>
                <w:sz w:val="14"/>
                <w:szCs w:val="14"/>
              </w:rPr>
            </w:pPr>
            <w:r w:rsidRPr="00DB1943">
              <w:rPr>
                <w:rFonts w:ascii="Times New Roman" w:hAnsi="Times New Roman" w:cs="Times New Roman"/>
                <w:sz w:val="14"/>
                <w:szCs w:val="14"/>
              </w:rPr>
              <w:t>0</w:t>
            </w:r>
          </w:p>
        </w:tc>
      </w:tr>
      <w:tr>
        <w:tblPrEx>
          <w:tblW w:w="0" w:type="auto"/>
          <w:tblInd w:w="55" w:type="dxa"/>
          <w:tblLayout w:type="fixed"/>
          <w:tblCellMar>
            <w:left w:w="70" w:type="dxa"/>
            <w:right w:w="70" w:type="dxa"/>
          </w:tblCellMar>
          <w:tblLook w:val="04A0"/>
        </w:tblPrEx>
        <w:trPr>
          <w:trHeight w:val="261"/>
        </w:trPr>
        <w:tc>
          <w:tcPr>
            <w:tcW w:w="3276" w:type="dxa"/>
            <w:tcBorders>
              <w:top w:val="nil"/>
              <w:left w:val="single" w:sz="4" w:space="0" w:color="auto"/>
              <w:bottom w:val="single" w:sz="4" w:space="0" w:color="auto"/>
              <w:right w:val="single" w:sz="4" w:space="0" w:color="auto"/>
            </w:tcBorders>
            <w:textDirection w:val="lrTb"/>
            <w:vAlign w:val="bottom"/>
            <w:hideMark/>
          </w:tcPr>
          <w:p w:rsidR="00CB350B" w:rsidRPr="00DB1943" w:rsidP="00257E12">
            <w:pPr>
              <w:bidi w:val="0"/>
              <w:rPr>
                <w:rFonts w:ascii="Times New Roman" w:hAnsi="Times New Roman" w:cs="Times New Roman"/>
                <w:sz w:val="14"/>
                <w:szCs w:val="14"/>
              </w:rPr>
            </w:pPr>
            <w:r>
              <w:rPr>
                <w:rFonts w:ascii="Times New Roman" w:hAnsi="Times New Roman" w:cs="Times New Roman"/>
                <w:sz w:val="14"/>
                <w:szCs w:val="14"/>
              </w:rPr>
              <w:t>R</w:t>
            </w:r>
            <w:r w:rsidRPr="00DB1943">
              <w:rPr>
                <w:rFonts w:ascii="Times New Roman" w:hAnsi="Times New Roman" w:cs="Times New Roman"/>
                <w:sz w:val="14"/>
                <w:szCs w:val="14"/>
              </w:rPr>
              <w:t>evitalizácia krajiny</w:t>
            </w:r>
          </w:p>
        </w:tc>
        <w:tc>
          <w:tcPr>
            <w:tcW w:w="840" w:type="dxa"/>
            <w:tcBorders>
              <w:top w:val="nil"/>
              <w:left w:val="nil"/>
              <w:bottom w:val="single" w:sz="4" w:space="0" w:color="auto"/>
              <w:right w:val="single" w:sz="4" w:space="0" w:color="auto"/>
            </w:tcBorders>
            <w:noWrap/>
            <w:textDirection w:val="lrTb"/>
            <w:vAlign w:val="center"/>
            <w:hideMark/>
          </w:tcPr>
          <w:p w:rsidR="00CB350B" w:rsidRPr="00DB1943" w:rsidP="00257E12">
            <w:pPr>
              <w:bidi w:val="0"/>
              <w:jc w:val="right"/>
              <w:rPr>
                <w:rFonts w:ascii="Times New Roman" w:hAnsi="Times New Roman" w:cs="Times New Roman"/>
                <w:sz w:val="14"/>
                <w:szCs w:val="14"/>
              </w:rPr>
            </w:pPr>
            <w:r w:rsidRPr="00DB1943">
              <w:rPr>
                <w:rFonts w:ascii="Times New Roman" w:hAnsi="Times New Roman" w:cs="Times New Roman"/>
                <w:sz w:val="14"/>
                <w:szCs w:val="14"/>
              </w:rPr>
              <w:t>0</w:t>
            </w:r>
          </w:p>
        </w:tc>
        <w:tc>
          <w:tcPr>
            <w:tcW w:w="840" w:type="dxa"/>
            <w:tcBorders>
              <w:top w:val="nil"/>
              <w:left w:val="nil"/>
              <w:bottom w:val="single" w:sz="4" w:space="0" w:color="auto"/>
              <w:right w:val="single" w:sz="4" w:space="0" w:color="auto"/>
            </w:tcBorders>
            <w:noWrap/>
            <w:textDirection w:val="lrTb"/>
            <w:vAlign w:val="center"/>
            <w:hideMark/>
          </w:tcPr>
          <w:p w:rsidR="00CB350B" w:rsidRPr="00DB1943" w:rsidP="00257E12">
            <w:pPr>
              <w:bidi w:val="0"/>
              <w:jc w:val="right"/>
              <w:rPr>
                <w:rFonts w:ascii="Times New Roman" w:hAnsi="Times New Roman" w:cs="Times New Roman"/>
                <w:sz w:val="14"/>
                <w:szCs w:val="14"/>
              </w:rPr>
            </w:pPr>
            <w:r w:rsidRPr="00DB1943">
              <w:rPr>
                <w:rFonts w:ascii="Times New Roman" w:hAnsi="Times New Roman" w:cs="Times New Roman"/>
                <w:sz w:val="14"/>
                <w:szCs w:val="14"/>
              </w:rPr>
              <w:t>0</w:t>
            </w:r>
          </w:p>
        </w:tc>
        <w:tc>
          <w:tcPr>
            <w:tcW w:w="840" w:type="dxa"/>
            <w:tcBorders>
              <w:top w:val="nil"/>
              <w:left w:val="nil"/>
              <w:bottom w:val="single" w:sz="4" w:space="0" w:color="auto"/>
              <w:right w:val="single" w:sz="4" w:space="0" w:color="auto"/>
            </w:tcBorders>
            <w:noWrap/>
            <w:textDirection w:val="lrTb"/>
            <w:vAlign w:val="center"/>
            <w:hideMark/>
          </w:tcPr>
          <w:p w:rsidR="00CB350B" w:rsidRPr="00DB1943" w:rsidP="00257E12">
            <w:pPr>
              <w:bidi w:val="0"/>
              <w:jc w:val="right"/>
              <w:rPr>
                <w:rFonts w:ascii="Times New Roman" w:hAnsi="Times New Roman" w:cs="Times New Roman"/>
                <w:sz w:val="14"/>
                <w:szCs w:val="14"/>
              </w:rPr>
            </w:pPr>
            <w:r w:rsidRPr="00DB1943">
              <w:rPr>
                <w:rFonts w:ascii="Times New Roman" w:hAnsi="Times New Roman" w:cs="Times New Roman"/>
                <w:sz w:val="14"/>
                <w:szCs w:val="14"/>
              </w:rPr>
              <w:t>0</w:t>
            </w:r>
          </w:p>
        </w:tc>
        <w:tc>
          <w:tcPr>
            <w:tcW w:w="840" w:type="dxa"/>
            <w:tcBorders>
              <w:top w:val="nil"/>
              <w:left w:val="nil"/>
              <w:bottom w:val="single" w:sz="4" w:space="0" w:color="auto"/>
              <w:right w:val="single" w:sz="4" w:space="0" w:color="auto"/>
            </w:tcBorders>
            <w:noWrap/>
            <w:textDirection w:val="lrTb"/>
            <w:vAlign w:val="center"/>
            <w:hideMark/>
          </w:tcPr>
          <w:p w:rsidR="00CB350B" w:rsidRPr="00DB1943" w:rsidP="00257E12">
            <w:pPr>
              <w:bidi w:val="0"/>
              <w:jc w:val="right"/>
              <w:rPr>
                <w:rFonts w:ascii="Times New Roman" w:hAnsi="Times New Roman" w:cs="Times New Roman"/>
                <w:sz w:val="14"/>
                <w:szCs w:val="14"/>
              </w:rPr>
            </w:pPr>
            <w:r w:rsidRPr="00DB1943">
              <w:rPr>
                <w:rFonts w:ascii="Times New Roman" w:hAnsi="Times New Roman" w:cs="Times New Roman"/>
                <w:sz w:val="14"/>
                <w:szCs w:val="14"/>
              </w:rPr>
              <w:t>25 815 000</w:t>
            </w:r>
          </w:p>
        </w:tc>
        <w:tc>
          <w:tcPr>
            <w:tcW w:w="840" w:type="dxa"/>
            <w:tcBorders>
              <w:top w:val="nil"/>
              <w:left w:val="nil"/>
              <w:bottom w:val="single" w:sz="4" w:space="0" w:color="auto"/>
              <w:right w:val="single" w:sz="4" w:space="0" w:color="auto"/>
            </w:tcBorders>
            <w:noWrap/>
            <w:textDirection w:val="lrTb"/>
            <w:vAlign w:val="center"/>
            <w:hideMark/>
          </w:tcPr>
          <w:p w:rsidR="00CB350B" w:rsidRPr="001739FA" w:rsidP="00257E12">
            <w:pPr>
              <w:bidi w:val="0"/>
              <w:jc w:val="right"/>
              <w:rPr>
                <w:rFonts w:ascii="Times New Roman" w:hAnsi="Times New Roman" w:cs="Times New Roman"/>
                <w:sz w:val="14"/>
                <w:szCs w:val="14"/>
              </w:rPr>
            </w:pPr>
            <w:r w:rsidRPr="001739FA">
              <w:rPr>
                <w:rFonts w:ascii="Times New Roman" w:hAnsi="Times New Roman" w:cs="Times New Roman"/>
                <w:sz w:val="14"/>
                <w:szCs w:val="14"/>
              </w:rPr>
              <w:t>1</w:t>
            </w:r>
            <w:r>
              <w:rPr>
                <w:rFonts w:ascii="Times New Roman" w:hAnsi="Times New Roman" w:cs="Times New Roman"/>
                <w:sz w:val="14"/>
                <w:szCs w:val="14"/>
              </w:rPr>
              <w:t>0</w:t>
            </w:r>
            <w:r w:rsidRPr="001739FA">
              <w:rPr>
                <w:rFonts w:ascii="Times New Roman" w:hAnsi="Times New Roman" w:cs="Times New Roman"/>
                <w:sz w:val="14"/>
                <w:szCs w:val="14"/>
              </w:rPr>
              <w:t xml:space="preserve"> </w:t>
            </w:r>
            <w:r>
              <w:rPr>
                <w:rFonts w:ascii="Times New Roman" w:hAnsi="Times New Roman" w:cs="Times New Roman"/>
                <w:sz w:val="14"/>
                <w:szCs w:val="14"/>
              </w:rPr>
              <w:t>0</w:t>
            </w:r>
            <w:r w:rsidRPr="001739FA">
              <w:rPr>
                <w:rFonts w:ascii="Times New Roman" w:hAnsi="Times New Roman" w:cs="Times New Roman"/>
                <w:sz w:val="14"/>
                <w:szCs w:val="14"/>
              </w:rPr>
              <w:t>00 000</w:t>
            </w:r>
          </w:p>
        </w:tc>
        <w:tc>
          <w:tcPr>
            <w:tcW w:w="840" w:type="dxa"/>
            <w:tcBorders>
              <w:top w:val="nil"/>
              <w:left w:val="nil"/>
              <w:bottom w:val="single" w:sz="4" w:space="0" w:color="auto"/>
              <w:right w:val="single" w:sz="4" w:space="0" w:color="auto"/>
            </w:tcBorders>
            <w:noWrap/>
            <w:textDirection w:val="lrTb"/>
            <w:vAlign w:val="center"/>
            <w:hideMark/>
          </w:tcPr>
          <w:p w:rsidR="00CB350B" w:rsidRPr="00DB1943" w:rsidP="00257E12">
            <w:pPr>
              <w:bidi w:val="0"/>
              <w:jc w:val="right"/>
              <w:rPr>
                <w:rFonts w:ascii="Times New Roman" w:hAnsi="Times New Roman" w:cs="Times New Roman"/>
                <w:sz w:val="14"/>
                <w:szCs w:val="14"/>
              </w:rPr>
            </w:pPr>
            <w:r w:rsidRPr="00DB1943">
              <w:rPr>
                <w:rFonts w:ascii="Times New Roman" w:hAnsi="Times New Roman" w:cs="Times New Roman"/>
                <w:sz w:val="14"/>
                <w:szCs w:val="14"/>
              </w:rPr>
              <w:t>0</w:t>
            </w:r>
          </w:p>
        </w:tc>
        <w:tc>
          <w:tcPr>
            <w:tcW w:w="841" w:type="dxa"/>
            <w:tcBorders>
              <w:top w:val="nil"/>
              <w:left w:val="nil"/>
              <w:bottom w:val="single" w:sz="4" w:space="0" w:color="auto"/>
              <w:right w:val="single" w:sz="4" w:space="0" w:color="auto"/>
            </w:tcBorders>
            <w:noWrap/>
            <w:textDirection w:val="lrTb"/>
            <w:vAlign w:val="center"/>
            <w:hideMark/>
          </w:tcPr>
          <w:p w:rsidR="00CB350B" w:rsidRPr="00DB1943" w:rsidP="00257E12">
            <w:pPr>
              <w:bidi w:val="0"/>
              <w:jc w:val="right"/>
              <w:rPr>
                <w:rFonts w:ascii="Times New Roman" w:hAnsi="Times New Roman" w:cs="Times New Roman"/>
                <w:sz w:val="14"/>
                <w:szCs w:val="14"/>
              </w:rPr>
            </w:pPr>
            <w:r w:rsidRPr="00DB1943">
              <w:rPr>
                <w:rFonts w:ascii="Times New Roman" w:hAnsi="Times New Roman" w:cs="Times New Roman"/>
                <w:sz w:val="14"/>
                <w:szCs w:val="14"/>
              </w:rPr>
              <w:t>0</w:t>
            </w:r>
          </w:p>
        </w:tc>
      </w:tr>
    </w:tbl>
    <w:p w:rsidR="00CB350B" w:rsidP="00CB350B">
      <w:pPr>
        <w:bidi w:val="0"/>
        <w:ind w:firstLine="708"/>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Pr>
          <w:rFonts w:ascii="Times New Roman" w:hAnsi="Times New Roman" w:cs="Times New Roman"/>
        </w:rPr>
        <w:t>Zdroje v oblasti činnosti</w:t>
      </w:r>
      <w:r w:rsidRPr="0004638E">
        <w:rPr>
          <w:rFonts w:ascii="Times New Roman" w:hAnsi="Times New Roman" w:cs="Times New Roman"/>
        </w:rPr>
        <w:t xml:space="preserve"> ÚV SR </w:t>
      </w:r>
      <w:r>
        <w:rPr>
          <w:rFonts w:ascii="Times New Roman" w:hAnsi="Times New Roman" w:cs="Times New Roman"/>
        </w:rPr>
        <w:t>na rok</w:t>
      </w:r>
      <w:r w:rsidRPr="0004638E">
        <w:rPr>
          <w:rFonts w:ascii="Times New Roman" w:hAnsi="Times New Roman" w:cs="Times New Roman"/>
        </w:rPr>
        <w:t xml:space="preserve"> 201</w:t>
      </w:r>
      <w:r>
        <w:rPr>
          <w:rFonts w:ascii="Times New Roman" w:hAnsi="Times New Roman" w:cs="Times New Roman"/>
        </w:rPr>
        <w:t>2</w:t>
      </w:r>
      <w:r w:rsidRPr="0004638E">
        <w:rPr>
          <w:rFonts w:ascii="Times New Roman" w:hAnsi="Times New Roman" w:cs="Times New Roman"/>
        </w:rPr>
        <w:t xml:space="preserve"> klesajú o</w:t>
      </w:r>
      <w:r>
        <w:rPr>
          <w:rFonts w:ascii="Times New Roman" w:hAnsi="Times New Roman" w:cs="Times New Roman"/>
        </w:rPr>
        <w:t> 17,8</w:t>
      </w:r>
      <w:r w:rsidRPr="0004638E">
        <w:rPr>
          <w:rFonts w:ascii="Times New Roman" w:hAnsi="Times New Roman" w:cs="Times New Roman"/>
        </w:rPr>
        <w:t xml:space="preserve"> mil. eur (</w:t>
      </w:r>
      <w:r>
        <w:rPr>
          <w:rFonts w:ascii="Times New Roman" w:hAnsi="Times New Roman" w:cs="Times New Roman"/>
        </w:rPr>
        <w:t>45,8</w:t>
      </w:r>
      <w:r w:rsidRPr="0004638E">
        <w:rPr>
          <w:rFonts w:ascii="Times New Roman" w:hAnsi="Times New Roman" w:cs="Times New Roman"/>
        </w:rPr>
        <w:t xml:space="preserve"> %)</w:t>
      </w:r>
      <w:r>
        <w:rPr>
          <w:rFonts w:ascii="Times New Roman" w:hAnsi="Times New Roman" w:cs="Times New Roman"/>
        </w:rPr>
        <w:t>,</w:t>
      </w:r>
      <w:r w:rsidRPr="0004638E">
        <w:rPr>
          <w:rFonts w:ascii="Times New Roman" w:hAnsi="Times New Roman" w:cs="Times New Roman"/>
        </w:rPr>
        <w:t xml:space="preserve"> a to najmä </w:t>
      </w:r>
      <w:r>
        <w:rPr>
          <w:rFonts w:ascii="Times New Roman" w:hAnsi="Times New Roman" w:cs="Times New Roman"/>
        </w:rPr>
        <w:t xml:space="preserve">poklesom </w:t>
      </w:r>
      <w:r w:rsidRPr="0004638E">
        <w:rPr>
          <w:rFonts w:ascii="Times New Roman" w:hAnsi="Times New Roman" w:cs="Times New Roman"/>
        </w:rPr>
        <w:t xml:space="preserve">prostriedkov </w:t>
      </w:r>
      <w:r>
        <w:rPr>
          <w:rFonts w:ascii="Times New Roman" w:hAnsi="Times New Roman" w:cs="Times New Roman"/>
        </w:rPr>
        <w:t>na protipovodňové aktivity, pričom ich medziročné zníženie</w:t>
      </w:r>
      <w:r w:rsidRPr="0004638E">
        <w:rPr>
          <w:rFonts w:ascii="Times New Roman" w:hAnsi="Times New Roman" w:cs="Times New Roman"/>
        </w:rPr>
        <w:t xml:space="preserve"> </w:t>
      </w:r>
      <w:r>
        <w:rPr>
          <w:rFonts w:ascii="Times New Roman" w:hAnsi="Times New Roman" w:cs="Times New Roman"/>
        </w:rPr>
        <w:t>predstavuje 15,8</w:t>
      </w:r>
      <w:r w:rsidRPr="0004638E">
        <w:rPr>
          <w:rFonts w:ascii="Times New Roman" w:hAnsi="Times New Roman" w:cs="Times New Roman"/>
        </w:rPr>
        <w:t xml:space="preserve"> mil. eur</w:t>
      </w:r>
      <w:r>
        <w:rPr>
          <w:rFonts w:ascii="Times New Roman" w:hAnsi="Times New Roman" w:cs="Times New Roman"/>
        </w:rPr>
        <w:t>.</w:t>
      </w:r>
      <w:r w:rsidRPr="0004638E">
        <w:rPr>
          <w:rFonts w:ascii="Times New Roman" w:hAnsi="Times New Roman" w:cs="Times New Roman"/>
        </w:rPr>
        <w:t xml:space="preserve"> Prostriedky v danej oblasti budú použité na činnosť vlády a jej poradných orgánov, činnosť zmiešaných medzivládnych komisií, Kancelárie Bezpečnostnej rady SR, Úradu splnomocnenca vlády pre rómske komunity, </w:t>
      </w:r>
      <w:r w:rsidRPr="0004638E">
        <w:rPr>
          <w:rFonts w:ascii="Times New Roman" w:hAnsi="Times New Roman" w:cs="Times New Roman"/>
          <w:color w:val="000000"/>
        </w:rPr>
        <w:t>splnomocnenca vlády pre informačnú spoločnosť a na protidrogovú politiku. V</w:t>
      </w:r>
      <w:r>
        <w:rPr>
          <w:rFonts w:ascii="Times New Roman" w:hAnsi="Times New Roman" w:cs="Times New Roman"/>
          <w:color w:val="000000"/>
        </w:rPr>
        <w:t xml:space="preserve"> tejto </w:t>
      </w:r>
      <w:r w:rsidRPr="0004638E">
        <w:rPr>
          <w:rFonts w:ascii="Times New Roman" w:hAnsi="Times New Roman" w:cs="Times New Roman"/>
          <w:color w:val="000000"/>
        </w:rPr>
        <w:t xml:space="preserve">oblasti sú rozpísané finančné prostriedky na rezervu predsedníčky vlády na úrovni schváleného rozpočtu </w:t>
      </w:r>
      <w:r>
        <w:rPr>
          <w:rFonts w:ascii="Times New Roman" w:hAnsi="Times New Roman" w:cs="Times New Roman"/>
          <w:color w:val="000000"/>
        </w:rPr>
        <w:t>na rok</w:t>
      </w:r>
      <w:r w:rsidRPr="0004638E">
        <w:rPr>
          <w:rFonts w:ascii="Times New Roman" w:hAnsi="Times New Roman" w:cs="Times New Roman"/>
          <w:color w:val="000000"/>
        </w:rPr>
        <w:t xml:space="preserve"> 2011 v sume 1,66 mil. eur. </w:t>
      </w:r>
    </w:p>
    <w:p w:rsidR="00CB350B" w:rsidRPr="0004638E" w:rsidP="00CB350B">
      <w:pPr>
        <w:bidi w:val="0"/>
        <w:jc w:val="both"/>
        <w:rPr>
          <w:rFonts w:ascii="Times New Roman" w:hAnsi="Times New Roman" w:cs="Times New Roman"/>
        </w:rPr>
      </w:pPr>
    </w:p>
    <w:p w:rsidR="00CB350B" w:rsidRPr="0004638E" w:rsidP="00CB350B">
      <w:pPr>
        <w:bidi w:val="0"/>
        <w:jc w:val="both"/>
        <w:rPr>
          <w:rFonts w:ascii="Times New Roman" w:hAnsi="Times New Roman" w:cs="Times New Roman"/>
          <w:b/>
        </w:rPr>
      </w:pPr>
      <w:r w:rsidRPr="0004638E">
        <w:rPr>
          <w:rFonts w:ascii="Times New Roman" w:hAnsi="Times New Roman" w:cs="Times New Roman"/>
          <w:b/>
        </w:rPr>
        <w:t>Správa zariadení Úradu vlády SR</w:t>
      </w:r>
    </w:p>
    <w:p w:rsidR="00CB350B" w:rsidRPr="0004638E" w:rsidP="00CB350B">
      <w:pPr>
        <w:bidi w:val="0"/>
        <w:jc w:val="both"/>
        <w:rPr>
          <w:rFonts w:ascii="Times New Roman" w:hAnsi="Times New Roman" w:cs="Times New Roman"/>
          <w:i/>
        </w:rPr>
      </w:pPr>
    </w:p>
    <w:tbl>
      <w:tblPr>
        <w:tblStyle w:val="TableNormal"/>
        <w:tblW w:w="5000" w:type="pct"/>
        <w:tblCellMar>
          <w:left w:w="70" w:type="dxa"/>
          <w:right w:w="70" w:type="dxa"/>
        </w:tblCellMar>
        <w:tblLook w:val="04A0"/>
      </w:tblPr>
      <w:tblGrid>
        <w:gridCol w:w="2954"/>
        <w:gridCol w:w="894"/>
        <w:gridCol w:w="894"/>
        <w:gridCol w:w="894"/>
        <w:gridCol w:w="894"/>
        <w:gridCol w:w="894"/>
        <w:gridCol w:w="894"/>
        <w:gridCol w:w="894"/>
      </w:tblGrid>
      <w:tr>
        <w:tblPrEx>
          <w:tblW w:w="5000" w:type="pct"/>
          <w:tblCellMar>
            <w:left w:w="70" w:type="dxa"/>
            <w:right w:w="70" w:type="dxa"/>
          </w:tblCellMar>
          <w:tblLook w:val="04A0"/>
        </w:tblPrEx>
        <w:trPr>
          <w:trHeight w:val="261"/>
        </w:trPr>
        <w:tc>
          <w:tcPr>
            <w:tcW w:w="1603"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bCs/>
                <w:sz w:val="14"/>
                <w:szCs w:val="14"/>
              </w:rPr>
            </w:pPr>
            <w:r w:rsidRPr="005A6E2D">
              <w:rPr>
                <w:rFonts w:ascii="Times New Roman" w:hAnsi="Times New Roman" w:cs="Times New Roman"/>
                <w:b/>
                <w:bCs/>
                <w:color w:val="000000"/>
                <w:sz w:val="14"/>
                <w:szCs w:val="14"/>
              </w:rPr>
              <w:t> v eurách</w:t>
            </w:r>
          </w:p>
        </w:tc>
        <w:tc>
          <w:tcPr>
            <w:tcW w:w="485" w:type="pct"/>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2009 S</w:t>
            </w:r>
          </w:p>
        </w:tc>
        <w:tc>
          <w:tcPr>
            <w:tcW w:w="485"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2010 S</w:t>
            </w:r>
          </w:p>
        </w:tc>
        <w:tc>
          <w:tcPr>
            <w:tcW w:w="485"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2011 R</w:t>
            </w:r>
          </w:p>
        </w:tc>
        <w:tc>
          <w:tcPr>
            <w:tcW w:w="485"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 xml:space="preserve">2011 OS </w:t>
            </w:r>
          </w:p>
        </w:tc>
        <w:tc>
          <w:tcPr>
            <w:tcW w:w="485" w:type="pct"/>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2012 N</w:t>
            </w:r>
          </w:p>
        </w:tc>
        <w:tc>
          <w:tcPr>
            <w:tcW w:w="485" w:type="pct"/>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2013 N</w:t>
            </w:r>
          </w:p>
        </w:tc>
        <w:tc>
          <w:tcPr>
            <w:tcW w:w="485"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2014 N</w:t>
            </w:r>
          </w:p>
        </w:tc>
      </w:tr>
      <w:tr>
        <w:tblPrEx>
          <w:tblW w:w="5000" w:type="pct"/>
          <w:tblCellMar>
            <w:left w:w="70" w:type="dxa"/>
            <w:right w:w="70" w:type="dxa"/>
          </w:tblCellMar>
          <w:tblLook w:val="04A0"/>
        </w:tblPrEx>
        <w:trPr>
          <w:trHeight w:val="261"/>
        </w:trPr>
        <w:tc>
          <w:tcPr>
            <w:tcW w:w="1603" w:type="pct"/>
            <w:tcBorders>
              <w:top w:val="nil"/>
              <w:left w:val="single" w:sz="4" w:space="0" w:color="auto"/>
              <w:bottom w:val="single" w:sz="4" w:space="0" w:color="auto"/>
              <w:right w:val="single" w:sz="4" w:space="0" w:color="auto"/>
            </w:tcBorders>
            <w:textDirection w:val="lrTb"/>
            <w:vAlign w:val="bottom"/>
            <w:hideMark/>
          </w:tcPr>
          <w:p w:rsidR="00CB350B" w:rsidRPr="005A6E2D" w:rsidP="00257E12">
            <w:pPr>
              <w:bidi w:val="0"/>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Správa zariadení úradu vlády</w:t>
            </w:r>
          </w:p>
        </w:tc>
        <w:tc>
          <w:tcPr>
            <w:tcW w:w="485"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5 758 548</w:t>
            </w:r>
          </w:p>
        </w:tc>
        <w:tc>
          <w:tcPr>
            <w:tcW w:w="485"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6 170 282</w:t>
            </w:r>
          </w:p>
        </w:tc>
        <w:tc>
          <w:tcPr>
            <w:tcW w:w="485"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4 789 995</w:t>
            </w:r>
          </w:p>
        </w:tc>
        <w:tc>
          <w:tcPr>
            <w:tcW w:w="485"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5 039 995</w:t>
            </w:r>
          </w:p>
        </w:tc>
        <w:tc>
          <w:tcPr>
            <w:tcW w:w="485"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4 843 328</w:t>
            </w:r>
          </w:p>
        </w:tc>
        <w:tc>
          <w:tcPr>
            <w:tcW w:w="485"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4 843 328</w:t>
            </w:r>
          </w:p>
        </w:tc>
        <w:tc>
          <w:tcPr>
            <w:tcW w:w="485"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4 843 328</w:t>
            </w:r>
          </w:p>
        </w:tc>
      </w:tr>
      <w:tr>
        <w:tblPrEx>
          <w:tblW w:w="5000" w:type="pct"/>
          <w:tblCellMar>
            <w:left w:w="70" w:type="dxa"/>
            <w:right w:w="70" w:type="dxa"/>
          </w:tblCellMar>
          <w:tblLook w:val="04A0"/>
        </w:tblPrEx>
        <w:trPr>
          <w:trHeight w:val="261"/>
        </w:trPr>
        <w:tc>
          <w:tcPr>
            <w:tcW w:w="1603" w:type="pct"/>
            <w:tcBorders>
              <w:top w:val="nil"/>
              <w:left w:val="single" w:sz="4" w:space="0" w:color="auto"/>
              <w:bottom w:val="single" w:sz="4" w:space="0" w:color="auto"/>
              <w:right w:val="single" w:sz="4" w:space="0" w:color="auto"/>
            </w:tcBorders>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xml:space="preserve"> Technické zabezpečenie úradu vlády</w:t>
            </w:r>
          </w:p>
        </w:tc>
        <w:tc>
          <w:tcPr>
            <w:tcW w:w="485"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5 758 548</w:t>
            </w:r>
          </w:p>
        </w:tc>
        <w:tc>
          <w:tcPr>
            <w:tcW w:w="485"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6 170 282</w:t>
            </w:r>
          </w:p>
        </w:tc>
        <w:tc>
          <w:tcPr>
            <w:tcW w:w="485"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4 789 995</w:t>
            </w:r>
          </w:p>
        </w:tc>
        <w:tc>
          <w:tcPr>
            <w:tcW w:w="485"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5 039 995</w:t>
            </w:r>
          </w:p>
        </w:tc>
        <w:tc>
          <w:tcPr>
            <w:tcW w:w="485"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4 843 328</w:t>
            </w:r>
          </w:p>
        </w:tc>
        <w:tc>
          <w:tcPr>
            <w:tcW w:w="485"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4 843 328</w:t>
            </w:r>
          </w:p>
        </w:tc>
        <w:tc>
          <w:tcPr>
            <w:tcW w:w="485"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4 843 328</w:t>
            </w:r>
          </w:p>
        </w:tc>
      </w:tr>
    </w:tbl>
    <w:p w:rsidR="00CB350B" w:rsidP="00CB350B">
      <w:pPr>
        <w:bidi w:val="0"/>
        <w:ind w:firstLine="708"/>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K 30.</w:t>
      </w:r>
      <w:r>
        <w:rPr>
          <w:rFonts w:ascii="Times New Roman" w:hAnsi="Times New Roman" w:cs="Times New Roman"/>
        </w:rPr>
        <w:t xml:space="preserve"> </w:t>
      </w:r>
      <w:r w:rsidRPr="0004638E">
        <w:rPr>
          <w:rFonts w:ascii="Times New Roman" w:hAnsi="Times New Roman" w:cs="Times New Roman"/>
        </w:rPr>
        <w:t>6.</w:t>
      </w:r>
      <w:r>
        <w:rPr>
          <w:rFonts w:ascii="Times New Roman" w:hAnsi="Times New Roman" w:cs="Times New Roman"/>
        </w:rPr>
        <w:t xml:space="preserve"> </w:t>
      </w:r>
      <w:r w:rsidRPr="0004638E">
        <w:rPr>
          <w:rFonts w:ascii="Times New Roman" w:hAnsi="Times New Roman" w:cs="Times New Roman"/>
        </w:rPr>
        <w:t xml:space="preserve">2011 bola rozpočtová organizácia Správa zariadení Úradu vlády SR zrušená a jej kompetencie prešli na Úrad vlády SR. Prostriedky na technické zabezpečenie úradu vlády medziročne rastú o 1,11 % a zabezpečujú prevádzku a chod Úradu vlády SR a účelových zariadení v oblasti poskytovania služieb. Úrad vlády v rámci úsporných opatrení prehodnotí efektívnosť jednotlivých záväzkov vyplývajúcich z uzavretých zmlúv a tiež význam a efektivitu prevádzky, resp. prenájmu účelových zariadení Úradu vlády SR alebo ich predaj. V správe ÚV SR je 7 účelových zariadení: </w:t>
      </w:r>
      <w:r w:rsidRPr="0004638E">
        <w:rPr>
          <w:rFonts w:ascii="Times New Roman" w:hAnsi="Times New Roman" w:cs="Times New Roman"/>
          <w:color w:val="000000"/>
        </w:rPr>
        <w:t>ÚZ Hotel Bôrik, BA, ÚZ Miestodržiteľský palác, BA, ÚZ Bystrica, Banská Bystrica, ÚZ Dom hostí, Košice, ÚZ Kamzík, Starý Smokovec, ÚZ Agra, Trenčianske Teplice, ÚZ Rusovce, BA-Rusovce.</w:t>
      </w:r>
    </w:p>
    <w:p w:rsidR="00CB350B" w:rsidRPr="0004638E" w:rsidP="00CB350B">
      <w:pPr>
        <w:bidi w:val="0"/>
        <w:jc w:val="both"/>
        <w:rPr>
          <w:rFonts w:ascii="Times New Roman" w:hAnsi="Times New Roman" w:cs="Times New Roman"/>
        </w:rPr>
      </w:pPr>
    </w:p>
    <w:p w:rsidR="00CB350B" w:rsidP="00CB350B">
      <w:pPr>
        <w:bidi w:val="0"/>
        <w:jc w:val="both"/>
        <w:rPr>
          <w:rFonts w:ascii="Times New Roman" w:hAnsi="Times New Roman" w:cs="Times New Roman"/>
          <w:b/>
        </w:rPr>
      </w:pPr>
    </w:p>
    <w:p w:rsidR="00CB350B" w:rsidRPr="0004638E" w:rsidP="00CB350B">
      <w:pPr>
        <w:bidi w:val="0"/>
        <w:jc w:val="both"/>
        <w:rPr>
          <w:rFonts w:ascii="Times New Roman" w:hAnsi="Times New Roman" w:cs="Times New Roman"/>
          <w:b/>
        </w:rPr>
      </w:pPr>
      <w:r w:rsidRPr="0004638E">
        <w:rPr>
          <w:rFonts w:ascii="Times New Roman" w:hAnsi="Times New Roman" w:cs="Times New Roman"/>
          <w:b/>
        </w:rPr>
        <w:t>Úrad pre Slovákov žijúcich v zahraničí</w:t>
      </w:r>
    </w:p>
    <w:p w:rsidR="00CB350B" w:rsidRPr="0004638E" w:rsidP="00CB350B">
      <w:pPr>
        <w:bidi w:val="0"/>
        <w:jc w:val="both"/>
        <w:rPr>
          <w:rFonts w:ascii="Times New Roman" w:hAnsi="Times New Roman" w:cs="Times New Roman"/>
          <w:i/>
        </w:rPr>
      </w:pPr>
    </w:p>
    <w:tbl>
      <w:tblPr>
        <w:tblStyle w:val="TableNormal"/>
        <w:tblW w:w="5000" w:type="pct"/>
        <w:tblCellMar>
          <w:left w:w="70" w:type="dxa"/>
          <w:right w:w="70" w:type="dxa"/>
        </w:tblCellMar>
        <w:tblLook w:val="04A0"/>
      </w:tblPr>
      <w:tblGrid>
        <w:gridCol w:w="2905"/>
        <w:gridCol w:w="901"/>
        <w:gridCol w:w="901"/>
        <w:gridCol w:w="901"/>
        <w:gridCol w:w="901"/>
        <w:gridCol w:w="901"/>
        <w:gridCol w:w="901"/>
        <w:gridCol w:w="901"/>
      </w:tblGrid>
      <w:tr>
        <w:tblPrEx>
          <w:tblW w:w="5000" w:type="pct"/>
          <w:tblCellMar>
            <w:left w:w="70" w:type="dxa"/>
            <w:right w:w="70" w:type="dxa"/>
          </w:tblCellMar>
          <w:tblLook w:val="04A0"/>
        </w:tblPrEx>
        <w:trPr>
          <w:trHeight w:val="261"/>
        </w:trPr>
        <w:tc>
          <w:tcPr>
            <w:tcW w:w="1577"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bCs/>
                <w:sz w:val="14"/>
                <w:szCs w:val="14"/>
              </w:rPr>
            </w:pPr>
            <w:r w:rsidRPr="005A6E2D">
              <w:rPr>
                <w:rFonts w:ascii="Times New Roman" w:hAnsi="Times New Roman" w:cs="Times New Roman"/>
                <w:b/>
                <w:bCs/>
                <w:color w:val="000000"/>
                <w:sz w:val="14"/>
                <w:szCs w:val="14"/>
              </w:rPr>
              <w:t> v eurách</w:t>
            </w:r>
          </w:p>
        </w:tc>
        <w:tc>
          <w:tcPr>
            <w:tcW w:w="489" w:type="pct"/>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2009 S</w:t>
            </w:r>
          </w:p>
        </w:tc>
        <w:tc>
          <w:tcPr>
            <w:tcW w:w="489"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2010 S</w:t>
            </w:r>
          </w:p>
        </w:tc>
        <w:tc>
          <w:tcPr>
            <w:tcW w:w="489"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2011 R</w:t>
            </w:r>
          </w:p>
        </w:tc>
        <w:tc>
          <w:tcPr>
            <w:tcW w:w="489"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 xml:space="preserve">2011 OS </w:t>
            </w:r>
          </w:p>
        </w:tc>
        <w:tc>
          <w:tcPr>
            <w:tcW w:w="489" w:type="pct"/>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2012 N</w:t>
            </w:r>
          </w:p>
        </w:tc>
        <w:tc>
          <w:tcPr>
            <w:tcW w:w="489" w:type="pct"/>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2013 N</w:t>
            </w:r>
          </w:p>
        </w:tc>
        <w:tc>
          <w:tcPr>
            <w:tcW w:w="489"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2014 N</w:t>
            </w:r>
          </w:p>
        </w:tc>
      </w:tr>
      <w:tr>
        <w:tblPrEx>
          <w:tblW w:w="5000" w:type="pct"/>
          <w:tblCellMar>
            <w:left w:w="70" w:type="dxa"/>
            <w:right w:w="70" w:type="dxa"/>
          </w:tblCellMar>
          <w:tblLook w:val="04A0"/>
        </w:tblPrEx>
        <w:trPr>
          <w:trHeight w:val="261"/>
        </w:trPr>
        <w:tc>
          <w:tcPr>
            <w:tcW w:w="1577" w:type="pct"/>
            <w:tcBorders>
              <w:top w:val="nil"/>
              <w:left w:val="single" w:sz="4" w:space="0" w:color="auto"/>
              <w:bottom w:val="single" w:sz="4" w:space="0" w:color="auto"/>
              <w:right w:val="single" w:sz="4" w:space="0" w:color="auto"/>
            </w:tcBorders>
            <w:textDirection w:val="lrTb"/>
            <w:vAlign w:val="bottom"/>
            <w:hideMark/>
          </w:tcPr>
          <w:p w:rsidR="00CB350B" w:rsidRPr="005A6E2D" w:rsidP="00257E12">
            <w:pPr>
              <w:bidi w:val="0"/>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Úrad Slovákov žijúcich v zahraničí</w:t>
            </w:r>
          </w:p>
        </w:tc>
        <w:tc>
          <w:tcPr>
            <w:tcW w:w="489"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2 473 407</w:t>
            </w:r>
          </w:p>
        </w:tc>
        <w:tc>
          <w:tcPr>
            <w:tcW w:w="489"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2 203 497</w:t>
            </w:r>
          </w:p>
        </w:tc>
        <w:tc>
          <w:tcPr>
            <w:tcW w:w="489"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1 918 721</w:t>
            </w:r>
          </w:p>
        </w:tc>
        <w:tc>
          <w:tcPr>
            <w:tcW w:w="489"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2 084 521</w:t>
            </w:r>
          </w:p>
        </w:tc>
        <w:tc>
          <w:tcPr>
            <w:tcW w:w="489"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1 912 092</w:t>
            </w:r>
          </w:p>
        </w:tc>
        <w:tc>
          <w:tcPr>
            <w:tcW w:w="489"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1 912 092</w:t>
            </w:r>
          </w:p>
        </w:tc>
        <w:tc>
          <w:tcPr>
            <w:tcW w:w="489"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1 912 092</w:t>
            </w:r>
          </w:p>
        </w:tc>
      </w:tr>
      <w:tr>
        <w:tblPrEx>
          <w:tblW w:w="5000" w:type="pct"/>
          <w:tblCellMar>
            <w:left w:w="70" w:type="dxa"/>
            <w:right w:w="70" w:type="dxa"/>
          </w:tblCellMar>
          <w:tblLook w:val="04A0"/>
        </w:tblPrEx>
        <w:trPr>
          <w:trHeight w:val="261"/>
        </w:trPr>
        <w:tc>
          <w:tcPr>
            <w:tcW w:w="1577" w:type="pct"/>
            <w:tcBorders>
              <w:top w:val="nil"/>
              <w:left w:val="single" w:sz="4" w:space="0" w:color="auto"/>
              <w:bottom w:val="single" w:sz="4" w:space="0" w:color="auto"/>
              <w:right w:val="single" w:sz="4" w:space="0" w:color="auto"/>
            </w:tcBorders>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Pomoc krajanom v zahraničí</w:t>
            </w:r>
          </w:p>
        </w:tc>
        <w:tc>
          <w:tcPr>
            <w:tcW w:w="489"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2 473 407</w:t>
            </w:r>
          </w:p>
        </w:tc>
        <w:tc>
          <w:tcPr>
            <w:tcW w:w="489"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2 203 497</w:t>
            </w:r>
          </w:p>
        </w:tc>
        <w:tc>
          <w:tcPr>
            <w:tcW w:w="489"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1 918 721</w:t>
            </w:r>
          </w:p>
        </w:tc>
        <w:tc>
          <w:tcPr>
            <w:tcW w:w="489"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2 084 521</w:t>
            </w:r>
          </w:p>
        </w:tc>
        <w:tc>
          <w:tcPr>
            <w:tcW w:w="489"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1 912 092</w:t>
            </w:r>
          </w:p>
        </w:tc>
        <w:tc>
          <w:tcPr>
            <w:tcW w:w="489"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1 912 092</w:t>
            </w:r>
          </w:p>
        </w:tc>
        <w:tc>
          <w:tcPr>
            <w:tcW w:w="489"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1 912 092</w:t>
            </w:r>
          </w:p>
        </w:tc>
      </w:tr>
    </w:tbl>
    <w:p w:rsidR="00CB350B" w:rsidRPr="0004638E" w:rsidP="00CB350B">
      <w:pPr>
        <w:bidi w:val="0"/>
        <w:jc w:val="both"/>
        <w:rPr>
          <w:rFonts w:ascii="Times New Roman" w:hAnsi="Times New Roman" w:cs="Times New Roman"/>
          <w:b/>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 xml:space="preserve">Prostriedky určené na pomoc krajanom v zahraničí klesajú oproti schválenému rozpočtu </w:t>
      </w:r>
      <w:r>
        <w:rPr>
          <w:rFonts w:ascii="Times New Roman" w:hAnsi="Times New Roman" w:cs="Times New Roman"/>
        </w:rPr>
        <w:t>na</w:t>
      </w:r>
      <w:r w:rsidRPr="0004638E">
        <w:rPr>
          <w:rFonts w:ascii="Times New Roman" w:hAnsi="Times New Roman" w:cs="Times New Roman"/>
        </w:rPr>
        <w:t xml:space="preserve"> rok 2011 o 0,35 %</w:t>
      </w:r>
      <w:r>
        <w:rPr>
          <w:rFonts w:ascii="Times New Roman" w:hAnsi="Times New Roman" w:cs="Times New Roman"/>
        </w:rPr>
        <w:t>,</w:t>
      </w:r>
      <w:r w:rsidRPr="0004638E">
        <w:rPr>
          <w:rFonts w:ascii="Times New Roman" w:hAnsi="Times New Roman" w:cs="Times New Roman"/>
        </w:rPr>
        <w:t xml:space="preserve"> a to v osobných výdavkoch a vo výdavkoch na tovary a služby. V návrhu rozpočtu na rok 2012 sú pre tento úrad rozpísané bežné výdavky na chod úradu, najmä na poistné a príspevok do poisťovní, domáce a zahraničné pracovné cesty, nákup kníh, odborných časopisov a novín, výdavky na energie, vodu, kancelársky materiál, nájomné kancelárskych priestorov vrátane prevádzkových nákladov, dopravné (nákup PHM, servis a údržba vozidiel, nákup náhradných dielov a pod.), školenia a semináre, telefónne poplatky a iné. </w:t>
      </w:r>
      <w:r w:rsidRPr="00B91070">
        <w:rPr>
          <w:rFonts w:ascii="Times New Roman" w:hAnsi="Times New Roman" w:cs="Times New Roman"/>
        </w:rPr>
        <w:t xml:space="preserve">V rámci bežných výdavkov sú v návrhu rozpočtu v zmysle § 6 zákona </w:t>
      </w:r>
      <w:r>
        <w:rPr>
          <w:rFonts w:ascii="Times New Roman" w:hAnsi="Times New Roman" w:cs="Times New Roman"/>
        </w:rPr>
        <w:br/>
      </w:r>
      <w:r w:rsidRPr="00B91070">
        <w:rPr>
          <w:rFonts w:ascii="Times New Roman" w:hAnsi="Times New Roman" w:cs="Times New Roman"/>
        </w:rPr>
        <w:t xml:space="preserve">č. 474/2005 Z. z. o Slovákoch žijúcich v zahraničí a o zmene a doplnení niektorých zákonov zabezpečené finančné prostriedky na účely financovania aktivít zameraných na podporu Slovákov žijúcich v zahraničí a tiež 100 tis. </w:t>
      </w:r>
      <w:r>
        <w:rPr>
          <w:rFonts w:ascii="Times New Roman" w:hAnsi="Times New Roman" w:cs="Times New Roman"/>
        </w:rPr>
        <w:t>eur</w:t>
      </w:r>
      <w:r w:rsidRPr="00B91070">
        <w:rPr>
          <w:rFonts w:ascii="Times New Roman" w:hAnsi="Times New Roman" w:cs="Times New Roman"/>
        </w:rPr>
        <w:t xml:space="preserve"> na realizáciu Dohody medzi vládou SR a vládou Maďarskej republiky o vzájomnej podpore národnostných menšín v oblasti vzdelávania a kultúry (uznesenie vlády č</w:t>
      </w:r>
      <w:r>
        <w:rPr>
          <w:rFonts w:ascii="Times New Roman" w:hAnsi="Times New Roman" w:cs="Times New Roman"/>
        </w:rPr>
        <w:t>.</w:t>
      </w:r>
      <w:r w:rsidRPr="00B91070">
        <w:rPr>
          <w:rFonts w:ascii="Times New Roman" w:hAnsi="Times New Roman" w:cs="Times New Roman"/>
        </w:rPr>
        <w:t xml:space="preserve"> 625/2008).</w:t>
      </w:r>
      <w:r>
        <w:rPr>
          <w:rFonts w:ascii="Times New Roman" w:hAnsi="Times New Roman" w:cs="Times New Roman"/>
        </w:rPr>
        <w:t xml:space="preserve"> </w:t>
      </w:r>
    </w:p>
    <w:p w:rsidR="00CB350B" w:rsidRPr="0004638E" w:rsidP="00CB350B">
      <w:pPr>
        <w:bidi w:val="0"/>
        <w:jc w:val="both"/>
        <w:rPr>
          <w:rFonts w:ascii="Times New Roman" w:hAnsi="Times New Roman" w:cs="Times New Roman"/>
          <w:b/>
        </w:rPr>
      </w:pPr>
    </w:p>
    <w:p w:rsidR="00CB350B" w:rsidRPr="0004638E" w:rsidP="00CB350B">
      <w:pPr>
        <w:bidi w:val="0"/>
        <w:jc w:val="both"/>
        <w:rPr>
          <w:rFonts w:ascii="Times New Roman" w:hAnsi="Times New Roman" w:cs="Times New Roman"/>
          <w:b/>
        </w:rPr>
      </w:pPr>
      <w:r w:rsidRPr="0004638E">
        <w:rPr>
          <w:rFonts w:ascii="Times New Roman" w:hAnsi="Times New Roman" w:cs="Times New Roman"/>
          <w:b/>
        </w:rPr>
        <w:t>Príspevkové organizácie Úradu vlády SR</w:t>
      </w:r>
    </w:p>
    <w:p w:rsidR="00CB350B" w:rsidRPr="0004638E" w:rsidP="00CB350B">
      <w:pPr>
        <w:bidi w:val="0"/>
        <w:jc w:val="both"/>
        <w:rPr>
          <w:rFonts w:ascii="Times New Roman" w:hAnsi="Times New Roman" w:cs="Times New Roman"/>
          <w:i/>
        </w:rPr>
      </w:pPr>
    </w:p>
    <w:tbl>
      <w:tblPr>
        <w:tblStyle w:val="TableNormal"/>
        <w:tblW w:w="5000" w:type="pct"/>
        <w:tblLayout w:type="fixed"/>
        <w:tblCellMar>
          <w:left w:w="70" w:type="dxa"/>
          <w:right w:w="70" w:type="dxa"/>
        </w:tblCellMar>
        <w:tblLook w:val="04A0"/>
      </w:tblPr>
      <w:tblGrid>
        <w:gridCol w:w="3292"/>
        <w:gridCol w:w="846"/>
        <w:gridCol w:w="846"/>
        <w:gridCol w:w="846"/>
        <w:gridCol w:w="846"/>
        <w:gridCol w:w="846"/>
        <w:gridCol w:w="846"/>
        <w:gridCol w:w="844"/>
      </w:tblGrid>
      <w:tr>
        <w:tblPrEx>
          <w:tblW w:w="5000" w:type="pct"/>
          <w:tblLayout w:type="fixed"/>
          <w:tblCellMar>
            <w:left w:w="70" w:type="dxa"/>
            <w:right w:w="70" w:type="dxa"/>
          </w:tblCellMar>
          <w:tblLook w:val="04A0"/>
        </w:tblPrEx>
        <w:trPr>
          <w:trHeight w:val="261"/>
        </w:trPr>
        <w:tc>
          <w:tcPr>
            <w:tcW w:w="1787"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bCs/>
                <w:sz w:val="14"/>
                <w:szCs w:val="14"/>
              </w:rPr>
            </w:pPr>
            <w:r w:rsidRPr="005A6E2D">
              <w:rPr>
                <w:rFonts w:ascii="Times New Roman" w:hAnsi="Times New Roman" w:cs="Times New Roman"/>
                <w:b/>
                <w:bCs/>
                <w:sz w:val="14"/>
                <w:szCs w:val="14"/>
              </w:rPr>
              <w:t> </w:t>
            </w:r>
            <w:r w:rsidRPr="005A6E2D">
              <w:rPr>
                <w:rFonts w:ascii="Times New Roman" w:hAnsi="Times New Roman" w:cs="Times New Roman"/>
                <w:b/>
                <w:bCs/>
                <w:color w:val="000000"/>
                <w:sz w:val="14"/>
                <w:szCs w:val="14"/>
              </w:rPr>
              <w:t> v eurách</w:t>
            </w:r>
          </w:p>
        </w:tc>
        <w:tc>
          <w:tcPr>
            <w:tcW w:w="459" w:type="pct"/>
            <w:tcBorders>
              <w:top w:val="single" w:sz="4" w:space="0" w:color="auto"/>
              <w:left w:val="nil"/>
              <w:bottom w:val="single" w:sz="4" w:space="0" w:color="auto"/>
              <w:right w:val="single" w:sz="4" w:space="0" w:color="auto"/>
            </w:tcBorders>
            <w:textDirection w:val="lrTb"/>
            <w:vAlign w:val="center"/>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2009 S</w:t>
            </w:r>
          </w:p>
        </w:tc>
        <w:tc>
          <w:tcPr>
            <w:tcW w:w="459" w:type="pct"/>
            <w:tcBorders>
              <w:top w:val="single" w:sz="4" w:space="0" w:color="auto"/>
              <w:left w:val="nil"/>
              <w:bottom w:val="single" w:sz="4" w:space="0" w:color="auto"/>
              <w:right w:val="single" w:sz="4" w:space="0" w:color="auto"/>
            </w:tcBorders>
            <w:noWrap/>
            <w:textDirection w:val="lrTb"/>
            <w:vAlign w:val="center"/>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2010 S</w:t>
            </w:r>
          </w:p>
        </w:tc>
        <w:tc>
          <w:tcPr>
            <w:tcW w:w="459" w:type="pct"/>
            <w:tcBorders>
              <w:top w:val="single" w:sz="4" w:space="0" w:color="auto"/>
              <w:left w:val="nil"/>
              <w:bottom w:val="single" w:sz="4" w:space="0" w:color="auto"/>
              <w:right w:val="single" w:sz="4" w:space="0" w:color="auto"/>
            </w:tcBorders>
            <w:noWrap/>
            <w:textDirection w:val="lrTb"/>
            <w:vAlign w:val="center"/>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2011 R</w:t>
            </w:r>
          </w:p>
        </w:tc>
        <w:tc>
          <w:tcPr>
            <w:tcW w:w="459" w:type="pct"/>
            <w:tcBorders>
              <w:top w:val="single" w:sz="4" w:space="0" w:color="auto"/>
              <w:left w:val="nil"/>
              <w:bottom w:val="single" w:sz="4" w:space="0" w:color="auto"/>
              <w:right w:val="single" w:sz="4" w:space="0" w:color="auto"/>
            </w:tcBorders>
            <w:noWrap/>
            <w:textDirection w:val="lrTb"/>
            <w:vAlign w:val="center"/>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 xml:space="preserve">2011 OS </w:t>
            </w:r>
          </w:p>
        </w:tc>
        <w:tc>
          <w:tcPr>
            <w:tcW w:w="459" w:type="pct"/>
            <w:tcBorders>
              <w:top w:val="single" w:sz="4" w:space="0" w:color="auto"/>
              <w:left w:val="nil"/>
              <w:bottom w:val="single" w:sz="4" w:space="0" w:color="auto"/>
              <w:right w:val="single" w:sz="4" w:space="0" w:color="auto"/>
            </w:tcBorders>
            <w:textDirection w:val="lrTb"/>
            <w:vAlign w:val="center"/>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2012 N</w:t>
            </w:r>
          </w:p>
        </w:tc>
        <w:tc>
          <w:tcPr>
            <w:tcW w:w="459" w:type="pct"/>
            <w:tcBorders>
              <w:top w:val="single" w:sz="4" w:space="0" w:color="auto"/>
              <w:left w:val="nil"/>
              <w:bottom w:val="single" w:sz="4" w:space="0" w:color="auto"/>
              <w:right w:val="single" w:sz="4" w:space="0" w:color="auto"/>
            </w:tcBorders>
            <w:textDirection w:val="lrTb"/>
            <w:vAlign w:val="center"/>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2013 N</w:t>
            </w:r>
          </w:p>
        </w:tc>
        <w:tc>
          <w:tcPr>
            <w:tcW w:w="458" w:type="pct"/>
            <w:tcBorders>
              <w:top w:val="single" w:sz="4" w:space="0" w:color="auto"/>
              <w:left w:val="nil"/>
              <w:bottom w:val="single" w:sz="4" w:space="0" w:color="auto"/>
              <w:right w:val="single" w:sz="4" w:space="0" w:color="auto"/>
            </w:tcBorders>
            <w:noWrap/>
            <w:textDirection w:val="lrTb"/>
            <w:vAlign w:val="center"/>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2014 N</w:t>
            </w:r>
          </w:p>
        </w:tc>
      </w:tr>
      <w:tr>
        <w:tblPrEx>
          <w:tblW w:w="5000" w:type="pct"/>
          <w:tblLayout w:type="fixed"/>
          <w:tblCellMar>
            <w:left w:w="70" w:type="dxa"/>
            <w:right w:w="70" w:type="dxa"/>
          </w:tblCellMar>
          <w:tblLook w:val="04A0"/>
        </w:tblPrEx>
        <w:trPr>
          <w:trHeight w:val="261"/>
        </w:trPr>
        <w:tc>
          <w:tcPr>
            <w:tcW w:w="1787"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bCs/>
                <w:sz w:val="14"/>
                <w:szCs w:val="14"/>
              </w:rPr>
            </w:pPr>
            <w:r w:rsidRPr="005A6E2D">
              <w:rPr>
                <w:rFonts w:ascii="Times New Roman" w:hAnsi="Times New Roman" w:cs="Times New Roman"/>
                <w:b/>
                <w:bCs/>
                <w:sz w:val="14"/>
                <w:szCs w:val="14"/>
              </w:rPr>
              <w:t>Príspevkové organizácie</w:t>
            </w:r>
          </w:p>
        </w:tc>
        <w:tc>
          <w:tcPr>
            <w:tcW w:w="459"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3 951 622</w:t>
            </w:r>
          </w:p>
        </w:tc>
        <w:tc>
          <w:tcPr>
            <w:tcW w:w="459"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4 776 726</w:t>
            </w:r>
          </w:p>
        </w:tc>
        <w:tc>
          <w:tcPr>
            <w:tcW w:w="459"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4 490 000</w:t>
            </w:r>
          </w:p>
        </w:tc>
        <w:tc>
          <w:tcPr>
            <w:tcW w:w="459"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4 490 000</w:t>
            </w:r>
          </w:p>
        </w:tc>
        <w:tc>
          <w:tcPr>
            <w:tcW w:w="459"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4 490 000</w:t>
            </w:r>
          </w:p>
        </w:tc>
        <w:tc>
          <w:tcPr>
            <w:tcW w:w="459"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4 490 000</w:t>
            </w:r>
          </w:p>
        </w:tc>
        <w:tc>
          <w:tcPr>
            <w:tcW w:w="458"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4 490 000</w:t>
            </w:r>
          </w:p>
        </w:tc>
      </w:tr>
      <w:tr>
        <w:tblPrEx>
          <w:tblW w:w="5000" w:type="pct"/>
          <w:tblLayout w:type="fixed"/>
          <w:tblCellMar>
            <w:left w:w="70" w:type="dxa"/>
            <w:right w:w="70" w:type="dxa"/>
          </w:tblCellMar>
          <w:tblLook w:val="04A0"/>
        </w:tblPrEx>
        <w:trPr>
          <w:trHeight w:val="261"/>
        </w:trPr>
        <w:tc>
          <w:tcPr>
            <w:tcW w:w="1787" w:type="pct"/>
            <w:tcBorders>
              <w:top w:val="nil"/>
              <w:left w:val="single" w:sz="4" w:space="0" w:color="auto"/>
              <w:bottom w:val="single" w:sz="4" w:space="0" w:color="auto"/>
              <w:right w:val="single" w:sz="4" w:space="0" w:color="auto"/>
            </w:tcBorders>
            <w:noWrap/>
            <w:textDirection w:val="lrTb"/>
            <w:vAlign w:val="center"/>
            <w:hideMark/>
          </w:tcPr>
          <w:p w:rsidR="00CB350B" w:rsidRPr="005A6E2D" w:rsidP="00257E12">
            <w:pPr>
              <w:bidi w:val="0"/>
              <w:rPr>
                <w:rFonts w:ascii="Times New Roman" w:hAnsi="Times New Roman" w:cs="Times New Roman"/>
                <w:sz w:val="14"/>
                <w:szCs w:val="14"/>
              </w:rPr>
            </w:pPr>
            <w:r w:rsidRPr="005A6E2D">
              <w:rPr>
                <w:rFonts w:ascii="Times New Roman" w:hAnsi="Times New Roman" w:cs="Times New Roman"/>
                <w:sz w:val="14"/>
                <w:szCs w:val="14"/>
              </w:rPr>
              <w:t>Národná agentúra pre sieťové a elektronické služby</w:t>
            </w:r>
          </w:p>
        </w:tc>
        <w:tc>
          <w:tcPr>
            <w:tcW w:w="459"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3 951 622</w:t>
            </w:r>
          </w:p>
        </w:tc>
        <w:tc>
          <w:tcPr>
            <w:tcW w:w="459"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4 776 726</w:t>
            </w:r>
          </w:p>
        </w:tc>
        <w:tc>
          <w:tcPr>
            <w:tcW w:w="459"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4 000 000</w:t>
            </w:r>
          </w:p>
        </w:tc>
        <w:tc>
          <w:tcPr>
            <w:tcW w:w="459"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4 000 000</w:t>
            </w:r>
          </w:p>
        </w:tc>
        <w:tc>
          <w:tcPr>
            <w:tcW w:w="459"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4 000 000</w:t>
            </w:r>
          </w:p>
        </w:tc>
        <w:tc>
          <w:tcPr>
            <w:tcW w:w="459"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4 000 000</w:t>
            </w:r>
          </w:p>
        </w:tc>
        <w:tc>
          <w:tcPr>
            <w:tcW w:w="458"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4 000 000</w:t>
            </w:r>
          </w:p>
        </w:tc>
      </w:tr>
      <w:tr>
        <w:tblPrEx>
          <w:tblW w:w="5000" w:type="pct"/>
          <w:tblLayout w:type="fixed"/>
          <w:tblCellMar>
            <w:left w:w="70" w:type="dxa"/>
            <w:right w:w="70" w:type="dxa"/>
          </w:tblCellMar>
          <w:tblLook w:val="04A0"/>
        </w:tblPrEx>
        <w:trPr>
          <w:trHeight w:val="261"/>
        </w:trPr>
        <w:tc>
          <w:tcPr>
            <w:tcW w:w="1787" w:type="pct"/>
            <w:tcBorders>
              <w:top w:val="nil"/>
              <w:left w:val="single" w:sz="4" w:space="0" w:color="auto"/>
              <w:bottom w:val="single" w:sz="4" w:space="0" w:color="auto"/>
              <w:right w:val="single" w:sz="4" w:space="0" w:color="auto"/>
            </w:tcBorders>
            <w:noWrap/>
            <w:textDirection w:val="lrTb"/>
            <w:vAlign w:val="center"/>
            <w:hideMark/>
          </w:tcPr>
          <w:p w:rsidR="00CB350B" w:rsidRPr="005A6E2D" w:rsidP="00257E12">
            <w:pPr>
              <w:bidi w:val="0"/>
              <w:rPr>
                <w:rFonts w:ascii="Times New Roman" w:hAnsi="Times New Roman" w:cs="Times New Roman"/>
                <w:sz w:val="14"/>
                <w:szCs w:val="14"/>
              </w:rPr>
            </w:pPr>
            <w:r w:rsidRPr="005A6E2D">
              <w:rPr>
                <w:rFonts w:ascii="Times New Roman" w:hAnsi="Times New Roman" w:cs="Times New Roman"/>
                <w:sz w:val="14"/>
                <w:szCs w:val="14"/>
              </w:rPr>
              <w:t xml:space="preserve">Tanečné divadlo -  Ifjú Szivek* </w:t>
            </w:r>
          </w:p>
        </w:tc>
        <w:tc>
          <w:tcPr>
            <w:tcW w:w="459"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w:t>
            </w:r>
          </w:p>
        </w:tc>
        <w:tc>
          <w:tcPr>
            <w:tcW w:w="459"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w:t>
            </w:r>
          </w:p>
        </w:tc>
        <w:tc>
          <w:tcPr>
            <w:tcW w:w="459"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490 000</w:t>
            </w:r>
          </w:p>
        </w:tc>
        <w:tc>
          <w:tcPr>
            <w:tcW w:w="459"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490 000</w:t>
            </w:r>
          </w:p>
        </w:tc>
        <w:tc>
          <w:tcPr>
            <w:tcW w:w="459"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490 000</w:t>
            </w:r>
          </w:p>
        </w:tc>
        <w:tc>
          <w:tcPr>
            <w:tcW w:w="459"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490 000</w:t>
            </w:r>
          </w:p>
        </w:tc>
        <w:tc>
          <w:tcPr>
            <w:tcW w:w="458"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490 000</w:t>
            </w:r>
          </w:p>
        </w:tc>
      </w:tr>
    </w:tbl>
    <w:p w:rsidR="00CB350B" w:rsidRPr="00575C66" w:rsidP="00CB350B">
      <w:pPr>
        <w:bidi w:val="0"/>
        <w:jc w:val="both"/>
        <w:rPr>
          <w:rFonts w:ascii="Times New Roman" w:hAnsi="Times New Roman" w:cs="Times New Roman"/>
          <w:sz w:val="14"/>
          <w:szCs w:val="14"/>
        </w:rPr>
      </w:pPr>
      <w:r w:rsidRPr="00575C66">
        <w:rPr>
          <w:rFonts w:ascii="Times New Roman" w:hAnsi="Times New Roman" w:cs="Times New Roman"/>
          <w:sz w:val="14"/>
          <w:szCs w:val="14"/>
        </w:rPr>
        <w:t>*delimitovaná na Úrad vlády SR k 1.11.2010 z Ministerstva kultúry SR</w:t>
      </w:r>
    </w:p>
    <w:p w:rsidR="00CB350B" w:rsidRPr="00575C66" w:rsidP="00CB350B">
      <w:pPr>
        <w:bidi w:val="0"/>
        <w:jc w:val="both"/>
        <w:rPr>
          <w:rFonts w:ascii="Times New Roman" w:hAnsi="Times New Roman" w:cs="Times New Roman"/>
          <w:sz w:val="14"/>
          <w:szCs w:val="14"/>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 xml:space="preserve">Úrad vlády má vo svojej pôsobnosti 2 príspevkové organizácie. Hlavnou úlohou a predmetom činnosti príspevkovej organizácie Národná agentúra pre sieťové a elektronické služby je správa, prevádzka a rozvoj vládnej dátovej siete GOVNET a prevádzka a rozvoj služieb Ústredného portálu verejnej správy na Slovensku. Návrh rozpočtu </w:t>
      </w:r>
      <w:r>
        <w:rPr>
          <w:rFonts w:ascii="Times New Roman" w:hAnsi="Times New Roman" w:cs="Times New Roman"/>
        </w:rPr>
        <w:t>na</w:t>
      </w:r>
      <w:r w:rsidRPr="0004638E">
        <w:rPr>
          <w:rFonts w:ascii="Times New Roman" w:hAnsi="Times New Roman" w:cs="Times New Roman"/>
        </w:rPr>
        <w:t xml:space="preserve"> rok 2012 ostáva na úrovni schváleného rozpočtu roka 2011. Tanečné divadlo Mladé srdcia – Ifjú Szivek je štátna umelecká inštitúcia s celoslovenskou pôsobnosťou v oblasti umeleckého spracovania a interpretácie folklóru na Slovensku. Novelou zákona č. 575/2001 Z. z. o organizácii činnosti vlády a organizácii ústrednej štátnej správy</w:t>
      </w:r>
      <w:r>
        <w:rPr>
          <w:rFonts w:ascii="Times New Roman" w:hAnsi="Times New Roman" w:cs="Times New Roman"/>
        </w:rPr>
        <w:t>,</w:t>
      </w:r>
      <w:r w:rsidRPr="0004638E">
        <w:rPr>
          <w:rFonts w:ascii="Times New Roman" w:hAnsi="Times New Roman" w:cs="Times New Roman"/>
        </w:rPr>
        <w:t xml:space="preserve"> zriaďovateľská pôsobnosť TD Ifjú Szivek prešla od roku 2011 z Ministerstva kultúry SR na ÚV SR. Návrh rozpočtu </w:t>
      </w:r>
      <w:r>
        <w:rPr>
          <w:rFonts w:ascii="Times New Roman" w:hAnsi="Times New Roman" w:cs="Times New Roman"/>
        </w:rPr>
        <w:t>na</w:t>
      </w:r>
      <w:r w:rsidRPr="0004638E">
        <w:rPr>
          <w:rFonts w:ascii="Times New Roman" w:hAnsi="Times New Roman" w:cs="Times New Roman"/>
        </w:rPr>
        <w:t xml:space="preserve"> rok 2012 ostáva na úrovni schváleného rozpočtu roka 2011.</w:t>
      </w:r>
    </w:p>
    <w:p w:rsidR="00CB350B" w:rsidRPr="0004638E" w:rsidP="00CB350B">
      <w:pPr>
        <w:bidi w:val="0"/>
        <w:jc w:val="both"/>
        <w:rPr>
          <w:rFonts w:ascii="Times New Roman" w:hAnsi="Times New Roman" w:cs="Times New Roman"/>
        </w:rPr>
      </w:pPr>
    </w:p>
    <w:p w:rsidR="00CB350B" w:rsidRPr="0004638E" w:rsidP="00CB350B">
      <w:pPr>
        <w:bidi w:val="0"/>
        <w:jc w:val="both"/>
        <w:rPr>
          <w:rFonts w:ascii="Times New Roman" w:hAnsi="Times New Roman" w:cs="Times New Roman"/>
          <w:b/>
        </w:rPr>
      </w:pPr>
      <w:r w:rsidRPr="0004638E">
        <w:rPr>
          <w:rFonts w:ascii="Times New Roman" w:hAnsi="Times New Roman" w:cs="Times New Roman"/>
          <w:b/>
        </w:rPr>
        <w:t>Politiky v oblasti ľudských práv a národnostných menšín</w:t>
      </w:r>
    </w:p>
    <w:p w:rsidR="00CB350B" w:rsidRPr="0004638E" w:rsidP="00CB350B">
      <w:pPr>
        <w:bidi w:val="0"/>
        <w:jc w:val="both"/>
        <w:rPr>
          <w:rFonts w:ascii="Times New Roman" w:hAnsi="Times New Roman" w:cs="Times New Roman"/>
          <w:i/>
        </w:rPr>
      </w:pPr>
    </w:p>
    <w:tbl>
      <w:tblPr>
        <w:tblStyle w:val="TableNormal"/>
        <w:tblW w:w="5000" w:type="pct"/>
        <w:tblCellMar>
          <w:left w:w="70" w:type="dxa"/>
          <w:right w:w="70" w:type="dxa"/>
        </w:tblCellMar>
        <w:tblLook w:val="04A0"/>
      </w:tblPr>
      <w:tblGrid>
        <w:gridCol w:w="3363"/>
        <w:gridCol w:w="835"/>
        <w:gridCol w:w="836"/>
        <w:gridCol w:w="836"/>
        <w:gridCol w:w="835"/>
        <w:gridCol w:w="836"/>
        <w:gridCol w:w="836"/>
        <w:gridCol w:w="835"/>
      </w:tblGrid>
      <w:tr>
        <w:tblPrEx>
          <w:tblW w:w="5000" w:type="pct"/>
          <w:tblCellMar>
            <w:left w:w="70" w:type="dxa"/>
            <w:right w:w="70" w:type="dxa"/>
          </w:tblCellMar>
          <w:tblLook w:val="04A0"/>
        </w:tblPrEx>
        <w:trPr>
          <w:trHeight w:val="261"/>
        </w:trPr>
        <w:tc>
          <w:tcPr>
            <w:tcW w:w="1825"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bCs/>
                <w:sz w:val="14"/>
                <w:szCs w:val="14"/>
              </w:rPr>
            </w:pPr>
            <w:r w:rsidRPr="005A6E2D">
              <w:rPr>
                <w:rFonts w:ascii="Times New Roman" w:hAnsi="Times New Roman" w:cs="Times New Roman"/>
                <w:b/>
                <w:bCs/>
                <w:sz w:val="14"/>
                <w:szCs w:val="14"/>
              </w:rPr>
              <w:t> </w:t>
            </w:r>
            <w:r w:rsidRPr="005A6E2D">
              <w:rPr>
                <w:rFonts w:ascii="Times New Roman" w:hAnsi="Times New Roman" w:cs="Times New Roman"/>
                <w:b/>
                <w:bCs/>
                <w:color w:val="000000"/>
                <w:sz w:val="14"/>
                <w:szCs w:val="14"/>
              </w:rPr>
              <w:t> v eurách</w:t>
            </w:r>
          </w:p>
        </w:tc>
        <w:tc>
          <w:tcPr>
            <w:tcW w:w="453" w:type="pct"/>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2009 S*</w:t>
            </w:r>
          </w:p>
        </w:tc>
        <w:tc>
          <w:tcPr>
            <w:tcW w:w="454"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2010 S*</w:t>
            </w:r>
          </w:p>
        </w:tc>
        <w:tc>
          <w:tcPr>
            <w:tcW w:w="454"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2011 R*</w:t>
            </w:r>
          </w:p>
        </w:tc>
        <w:tc>
          <w:tcPr>
            <w:tcW w:w="453"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 xml:space="preserve">2011 OS </w:t>
            </w:r>
          </w:p>
        </w:tc>
        <w:tc>
          <w:tcPr>
            <w:tcW w:w="454" w:type="pct"/>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2012 N</w:t>
            </w:r>
          </w:p>
        </w:tc>
        <w:tc>
          <w:tcPr>
            <w:tcW w:w="454" w:type="pct"/>
            <w:tcBorders>
              <w:top w:val="single" w:sz="4" w:space="0" w:color="auto"/>
              <w:left w:val="nil"/>
              <w:bottom w:val="single" w:sz="4" w:space="0" w:color="auto"/>
              <w:right w:val="single" w:sz="4" w:space="0" w:color="auto"/>
            </w:tcBorders>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2013 N</w:t>
            </w:r>
          </w:p>
        </w:tc>
        <w:tc>
          <w:tcPr>
            <w:tcW w:w="453"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sz w:val="14"/>
                <w:szCs w:val="14"/>
              </w:rPr>
            </w:pPr>
            <w:r w:rsidRPr="005A6E2D">
              <w:rPr>
                <w:rFonts w:ascii="Times New Roman" w:hAnsi="Times New Roman" w:cs="Times New Roman"/>
                <w:b/>
                <w:bCs/>
                <w:sz w:val="14"/>
                <w:szCs w:val="14"/>
              </w:rPr>
              <w:t>2014 N</w:t>
            </w:r>
          </w:p>
        </w:tc>
      </w:tr>
      <w:tr>
        <w:tblPrEx>
          <w:tblW w:w="5000" w:type="pct"/>
          <w:tblCellMar>
            <w:left w:w="70" w:type="dxa"/>
            <w:right w:w="70" w:type="dxa"/>
          </w:tblCellMar>
          <w:tblLook w:val="04A0"/>
        </w:tblPrEx>
        <w:trPr>
          <w:trHeight w:val="261"/>
        </w:trPr>
        <w:tc>
          <w:tcPr>
            <w:tcW w:w="1825"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bCs/>
                <w:sz w:val="14"/>
                <w:szCs w:val="14"/>
              </w:rPr>
            </w:pPr>
            <w:r w:rsidRPr="005A6E2D">
              <w:rPr>
                <w:rFonts w:ascii="Times New Roman" w:hAnsi="Times New Roman" w:cs="Times New Roman"/>
                <w:b/>
                <w:bCs/>
                <w:sz w:val="14"/>
                <w:szCs w:val="14"/>
              </w:rPr>
              <w:t>Politiky v oblasti ĽP a národnostných menšín*</w:t>
            </w:r>
          </w:p>
        </w:tc>
        <w:tc>
          <w:tcPr>
            <w:tcW w:w="453"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624 636</w:t>
            </w:r>
          </w:p>
        </w:tc>
        <w:tc>
          <w:tcPr>
            <w:tcW w:w="45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957 343</w:t>
            </w:r>
          </w:p>
        </w:tc>
        <w:tc>
          <w:tcPr>
            <w:tcW w:w="45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6 556 256</w:t>
            </w:r>
          </w:p>
        </w:tc>
        <w:tc>
          <w:tcPr>
            <w:tcW w:w="453"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6 556 256</w:t>
            </w:r>
          </w:p>
        </w:tc>
        <w:tc>
          <w:tcPr>
            <w:tcW w:w="454" w:type="pct"/>
            <w:tcBorders>
              <w:top w:val="nil"/>
              <w:left w:val="nil"/>
              <w:bottom w:val="single" w:sz="4" w:space="0" w:color="auto"/>
              <w:right w:val="single" w:sz="4" w:space="0" w:color="auto"/>
            </w:tcBorders>
            <w:textDirection w:val="lrTb"/>
            <w:vAlign w:val="bottom"/>
            <w:hideMark/>
          </w:tcPr>
          <w:p w:rsidR="00CB350B" w:rsidRPr="005A70E6" w:rsidP="00257E12">
            <w:pPr>
              <w:bidi w:val="0"/>
              <w:jc w:val="right"/>
              <w:rPr>
                <w:rFonts w:ascii="Times New Roman" w:hAnsi="Times New Roman" w:cs="Times New Roman"/>
                <w:b/>
                <w:bCs/>
                <w:sz w:val="14"/>
                <w:szCs w:val="14"/>
              </w:rPr>
            </w:pPr>
            <w:r>
              <w:rPr>
                <w:rFonts w:ascii="Times New Roman" w:hAnsi="Times New Roman" w:cs="Times New Roman"/>
                <w:b/>
                <w:bCs/>
                <w:sz w:val="14"/>
                <w:szCs w:val="14"/>
              </w:rPr>
              <w:t>6</w:t>
            </w:r>
            <w:r w:rsidRPr="005A70E6">
              <w:rPr>
                <w:rFonts w:ascii="Times New Roman" w:hAnsi="Times New Roman" w:cs="Times New Roman"/>
                <w:b/>
                <w:bCs/>
                <w:sz w:val="14"/>
                <w:szCs w:val="14"/>
              </w:rPr>
              <w:t xml:space="preserve"> </w:t>
            </w:r>
            <w:r>
              <w:rPr>
                <w:rFonts w:ascii="Times New Roman" w:hAnsi="Times New Roman" w:cs="Times New Roman"/>
                <w:b/>
                <w:bCs/>
                <w:sz w:val="14"/>
                <w:szCs w:val="14"/>
              </w:rPr>
              <w:t>9</w:t>
            </w:r>
            <w:r w:rsidRPr="005A70E6">
              <w:rPr>
                <w:rFonts w:ascii="Times New Roman" w:hAnsi="Times New Roman" w:cs="Times New Roman"/>
                <w:b/>
                <w:bCs/>
                <w:sz w:val="14"/>
                <w:szCs w:val="14"/>
              </w:rPr>
              <w:t>81 256</w:t>
            </w:r>
          </w:p>
        </w:tc>
        <w:tc>
          <w:tcPr>
            <w:tcW w:w="45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6 481 256</w:t>
            </w:r>
          </w:p>
        </w:tc>
        <w:tc>
          <w:tcPr>
            <w:tcW w:w="453"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sz w:val="14"/>
                <w:szCs w:val="14"/>
              </w:rPr>
            </w:pPr>
            <w:r w:rsidRPr="005A6E2D">
              <w:rPr>
                <w:rFonts w:ascii="Times New Roman" w:hAnsi="Times New Roman" w:cs="Times New Roman"/>
                <w:b/>
                <w:bCs/>
                <w:sz w:val="14"/>
                <w:szCs w:val="14"/>
              </w:rPr>
              <w:t>6 481 256</w:t>
            </w:r>
          </w:p>
        </w:tc>
      </w:tr>
      <w:tr>
        <w:tblPrEx>
          <w:tblW w:w="5000" w:type="pct"/>
          <w:tblCellMar>
            <w:left w:w="70" w:type="dxa"/>
            <w:right w:w="70" w:type="dxa"/>
          </w:tblCellMar>
          <w:tblLook w:val="04A0"/>
        </w:tblPrEx>
        <w:trPr>
          <w:trHeight w:val="261"/>
        </w:trPr>
        <w:tc>
          <w:tcPr>
            <w:tcW w:w="1825"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sz w:val="14"/>
                <w:szCs w:val="14"/>
              </w:rPr>
            </w:pPr>
            <w:r w:rsidRPr="005A6E2D">
              <w:rPr>
                <w:rFonts w:ascii="Times New Roman" w:hAnsi="Times New Roman" w:cs="Times New Roman"/>
                <w:sz w:val="14"/>
                <w:szCs w:val="14"/>
              </w:rPr>
              <w:t>Ľudské práva, boj proti diskr. a interet.dialóg</w:t>
            </w:r>
          </w:p>
        </w:tc>
        <w:tc>
          <w:tcPr>
            <w:tcW w:w="453"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231 630</w:t>
            </w:r>
          </w:p>
        </w:tc>
        <w:tc>
          <w:tcPr>
            <w:tcW w:w="45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305 994</w:t>
            </w:r>
          </w:p>
        </w:tc>
        <w:tc>
          <w:tcPr>
            <w:tcW w:w="45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2 481 256</w:t>
            </w:r>
          </w:p>
        </w:tc>
        <w:tc>
          <w:tcPr>
            <w:tcW w:w="453"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2 481 256</w:t>
            </w:r>
          </w:p>
        </w:tc>
        <w:tc>
          <w:tcPr>
            <w:tcW w:w="454" w:type="pct"/>
            <w:tcBorders>
              <w:top w:val="nil"/>
              <w:left w:val="nil"/>
              <w:bottom w:val="single" w:sz="4" w:space="0" w:color="auto"/>
              <w:right w:val="single" w:sz="4" w:space="0" w:color="auto"/>
            </w:tcBorders>
            <w:textDirection w:val="lrTb"/>
            <w:vAlign w:val="bottom"/>
            <w:hideMark/>
          </w:tcPr>
          <w:p w:rsidR="00CB350B" w:rsidRPr="005A70E6" w:rsidP="00257E12">
            <w:pPr>
              <w:bidi w:val="0"/>
              <w:jc w:val="right"/>
              <w:rPr>
                <w:rFonts w:ascii="Times New Roman" w:hAnsi="Times New Roman" w:cs="Times New Roman"/>
                <w:sz w:val="14"/>
                <w:szCs w:val="14"/>
              </w:rPr>
            </w:pPr>
            <w:r w:rsidRPr="005A70E6">
              <w:rPr>
                <w:rFonts w:ascii="Times New Roman" w:hAnsi="Times New Roman" w:cs="Times New Roman"/>
                <w:sz w:val="14"/>
                <w:szCs w:val="14"/>
              </w:rPr>
              <w:t>2 481 256</w:t>
            </w:r>
          </w:p>
        </w:tc>
        <w:tc>
          <w:tcPr>
            <w:tcW w:w="45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2 481 256</w:t>
            </w:r>
          </w:p>
        </w:tc>
        <w:tc>
          <w:tcPr>
            <w:tcW w:w="453"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2 481 256</w:t>
            </w:r>
          </w:p>
        </w:tc>
      </w:tr>
      <w:tr>
        <w:tblPrEx>
          <w:tblW w:w="5000" w:type="pct"/>
          <w:tblCellMar>
            <w:left w:w="70" w:type="dxa"/>
            <w:right w:w="70" w:type="dxa"/>
          </w:tblCellMar>
          <w:tblLook w:val="04A0"/>
        </w:tblPrEx>
        <w:trPr>
          <w:trHeight w:val="261"/>
        </w:trPr>
        <w:tc>
          <w:tcPr>
            <w:tcW w:w="1825"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sz w:val="14"/>
                <w:szCs w:val="14"/>
              </w:rPr>
            </w:pPr>
            <w:r w:rsidRPr="005A6E2D">
              <w:rPr>
                <w:rFonts w:ascii="Times New Roman" w:hAnsi="Times New Roman" w:cs="Times New Roman"/>
                <w:sz w:val="14"/>
                <w:szCs w:val="14"/>
              </w:rPr>
              <w:t>Progress</w:t>
            </w:r>
          </w:p>
        </w:tc>
        <w:tc>
          <w:tcPr>
            <w:tcW w:w="453"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0</w:t>
            </w:r>
          </w:p>
        </w:tc>
        <w:tc>
          <w:tcPr>
            <w:tcW w:w="45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0</w:t>
            </w:r>
          </w:p>
        </w:tc>
        <w:tc>
          <w:tcPr>
            <w:tcW w:w="45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75 000</w:t>
            </w:r>
          </w:p>
        </w:tc>
        <w:tc>
          <w:tcPr>
            <w:tcW w:w="453"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75 000</w:t>
            </w:r>
          </w:p>
        </w:tc>
        <w:tc>
          <w:tcPr>
            <w:tcW w:w="454" w:type="pct"/>
            <w:tcBorders>
              <w:top w:val="nil"/>
              <w:left w:val="nil"/>
              <w:bottom w:val="single" w:sz="4" w:space="0" w:color="auto"/>
              <w:right w:val="single" w:sz="4" w:space="0" w:color="auto"/>
            </w:tcBorders>
            <w:noWrap/>
            <w:textDirection w:val="lrTb"/>
            <w:vAlign w:val="bottom"/>
            <w:hideMark/>
          </w:tcPr>
          <w:p w:rsidR="00CB350B" w:rsidRPr="005A70E6" w:rsidP="00257E12">
            <w:pPr>
              <w:bidi w:val="0"/>
              <w:jc w:val="right"/>
              <w:rPr>
                <w:rFonts w:ascii="Times New Roman" w:hAnsi="Times New Roman" w:cs="Times New Roman"/>
                <w:sz w:val="14"/>
                <w:szCs w:val="14"/>
              </w:rPr>
            </w:pPr>
            <w:r w:rsidRPr="005A70E6">
              <w:rPr>
                <w:rFonts w:ascii="Times New Roman" w:hAnsi="Times New Roman" w:cs="Times New Roman"/>
                <w:sz w:val="14"/>
                <w:szCs w:val="14"/>
              </w:rPr>
              <w:t>0</w:t>
            </w:r>
          </w:p>
        </w:tc>
        <w:tc>
          <w:tcPr>
            <w:tcW w:w="45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0</w:t>
            </w:r>
          </w:p>
        </w:tc>
        <w:tc>
          <w:tcPr>
            <w:tcW w:w="453"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0</w:t>
            </w:r>
          </w:p>
        </w:tc>
      </w:tr>
      <w:tr>
        <w:tblPrEx>
          <w:tblW w:w="5000" w:type="pct"/>
          <w:tblCellMar>
            <w:left w:w="70" w:type="dxa"/>
            <w:right w:w="70" w:type="dxa"/>
          </w:tblCellMar>
          <w:tblLook w:val="04A0"/>
        </w:tblPrEx>
        <w:trPr>
          <w:trHeight w:val="261"/>
        </w:trPr>
        <w:tc>
          <w:tcPr>
            <w:tcW w:w="1825"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sz w:val="14"/>
                <w:szCs w:val="14"/>
              </w:rPr>
            </w:pPr>
            <w:r w:rsidRPr="005A6E2D">
              <w:rPr>
                <w:rFonts w:ascii="Times New Roman" w:hAnsi="Times New Roman" w:cs="Times New Roman"/>
                <w:sz w:val="14"/>
                <w:szCs w:val="14"/>
              </w:rPr>
              <w:t>Menšinová kultúrna politika</w:t>
            </w:r>
          </w:p>
        </w:tc>
        <w:tc>
          <w:tcPr>
            <w:tcW w:w="453"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393 006</w:t>
            </w:r>
          </w:p>
        </w:tc>
        <w:tc>
          <w:tcPr>
            <w:tcW w:w="45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651 349</w:t>
            </w:r>
          </w:p>
        </w:tc>
        <w:tc>
          <w:tcPr>
            <w:tcW w:w="454" w:type="pct"/>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4 000 000</w:t>
            </w:r>
          </w:p>
        </w:tc>
        <w:tc>
          <w:tcPr>
            <w:tcW w:w="453"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4 000 000</w:t>
            </w:r>
          </w:p>
        </w:tc>
        <w:tc>
          <w:tcPr>
            <w:tcW w:w="454" w:type="pct"/>
            <w:tcBorders>
              <w:top w:val="nil"/>
              <w:left w:val="nil"/>
              <w:bottom w:val="single" w:sz="4" w:space="0" w:color="auto"/>
              <w:right w:val="single" w:sz="4" w:space="0" w:color="auto"/>
            </w:tcBorders>
            <w:noWrap/>
            <w:textDirection w:val="lrTb"/>
            <w:vAlign w:val="bottom"/>
            <w:hideMark/>
          </w:tcPr>
          <w:p w:rsidR="00CB350B" w:rsidRPr="005A70E6" w:rsidP="00257E12">
            <w:pPr>
              <w:bidi w:val="0"/>
              <w:jc w:val="right"/>
              <w:rPr>
                <w:rFonts w:ascii="Times New Roman" w:hAnsi="Times New Roman" w:cs="Times New Roman"/>
                <w:sz w:val="14"/>
                <w:szCs w:val="14"/>
              </w:rPr>
            </w:pPr>
            <w:r>
              <w:rPr>
                <w:rFonts w:ascii="Times New Roman" w:hAnsi="Times New Roman" w:cs="Times New Roman"/>
                <w:sz w:val="14"/>
                <w:szCs w:val="14"/>
              </w:rPr>
              <w:t>4</w:t>
            </w:r>
            <w:r w:rsidRPr="005A70E6">
              <w:rPr>
                <w:rFonts w:ascii="Times New Roman" w:hAnsi="Times New Roman" w:cs="Times New Roman"/>
                <w:sz w:val="14"/>
                <w:szCs w:val="14"/>
              </w:rPr>
              <w:t xml:space="preserve"> </w:t>
            </w:r>
            <w:r>
              <w:rPr>
                <w:rFonts w:ascii="Times New Roman" w:hAnsi="Times New Roman" w:cs="Times New Roman"/>
                <w:sz w:val="14"/>
                <w:szCs w:val="14"/>
              </w:rPr>
              <w:t>5</w:t>
            </w:r>
            <w:r w:rsidRPr="005A70E6">
              <w:rPr>
                <w:rFonts w:ascii="Times New Roman" w:hAnsi="Times New Roman" w:cs="Times New Roman"/>
                <w:sz w:val="14"/>
                <w:szCs w:val="14"/>
              </w:rPr>
              <w:t>00 000</w:t>
            </w:r>
          </w:p>
        </w:tc>
        <w:tc>
          <w:tcPr>
            <w:tcW w:w="454"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4 000 000</w:t>
            </w:r>
          </w:p>
        </w:tc>
        <w:tc>
          <w:tcPr>
            <w:tcW w:w="453"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sz w:val="14"/>
                <w:szCs w:val="14"/>
              </w:rPr>
            </w:pPr>
            <w:r w:rsidRPr="005A6E2D">
              <w:rPr>
                <w:rFonts w:ascii="Times New Roman" w:hAnsi="Times New Roman" w:cs="Times New Roman"/>
                <w:sz w:val="14"/>
                <w:szCs w:val="14"/>
              </w:rPr>
              <w:t>4 000 000</w:t>
            </w:r>
          </w:p>
        </w:tc>
      </w:tr>
    </w:tbl>
    <w:p w:rsidR="00CB350B" w:rsidRPr="00575C66" w:rsidP="00CB350B">
      <w:pPr>
        <w:bidi w:val="0"/>
        <w:jc w:val="both"/>
        <w:rPr>
          <w:rFonts w:ascii="Times New Roman" w:hAnsi="Times New Roman" w:cs="Times New Roman"/>
          <w:sz w:val="14"/>
          <w:szCs w:val="14"/>
        </w:rPr>
      </w:pPr>
      <w:r w:rsidRPr="00575C66">
        <w:rPr>
          <w:rFonts w:ascii="Times New Roman" w:hAnsi="Times New Roman" w:cs="Times New Roman"/>
          <w:sz w:val="14"/>
          <w:szCs w:val="14"/>
        </w:rPr>
        <w:t>* samostatne od roku 2011, výdavky do roku 2011 ešte rozpočtované v podprograme Činnosti Úradu vlády SR</w:t>
      </w:r>
    </w:p>
    <w:p w:rsidR="00CB350B" w:rsidRPr="00575C66" w:rsidP="00CB350B">
      <w:pPr>
        <w:bidi w:val="0"/>
        <w:jc w:val="both"/>
        <w:rPr>
          <w:rFonts w:ascii="Times New Roman" w:hAnsi="Times New Roman" w:cs="Times New Roman"/>
          <w:color w:val="00B0F0"/>
          <w:sz w:val="14"/>
          <w:szCs w:val="14"/>
        </w:rPr>
      </w:pPr>
    </w:p>
    <w:p w:rsidR="00CB350B" w:rsidRPr="0004638E" w:rsidP="00CB350B">
      <w:pPr>
        <w:bidi w:val="0"/>
        <w:ind w:firstLine="708"/>
        <w:jc w:val="both"/>
        <w:rPr>
          <w:rFonts w:ascii="Times New Roman" w:hAnsi="Times New Roman" w:cs="Times New Roman"/>
          <w:color w:val="0070C0"/>
        </w:rPr>
      </w:pPr>
      <w:r w:rsidRPr="0004638E">
        <w:rPr>
          <w:rFonts w:ascii="Times New Roman" w:hAnsi="Times New Roman" w:cs="Times New Roman"/>
        </w:rPr>
        <w:t xml:space="preserve">Oblasť ľudských práv a národnostných menšín je od roku 2011 zastrešená samostatným podprogramom v rámci programovej štruktúry ÚV SR. Celkové výdavky oblasti </w:t>
      </w:r>
      <w:r>
        <w:rPr>
          <w:rFonts w:ascii="Times New Roman" w:hAnsi="Times New Roman" w:cs="Times New Roman"/>
        </w:rPr>
        <w:t xml:space="preserve">rastú </w:t>
      </w:r>
      <w:r w:rsidRPr="0004638E">
        <w:rPr>
          <w:rFonts w:ascii="Times New Roman" w:hAnsi="Times New Roman" w:cs="Times New Roman"/>
        </w:rPr>
        <w:t>medziročne o</w:t>
      </w:r>
      <w:r>
        <w:rPr>
          <w:rFonts w:ascii="Times New Roman" w:hAnsi="Times New Roman" w:cs="Times New Roman"/>
        </w:rPr>
        <w:t> 6,48</w:t>
      </w:r>
      <w:r w:rsidRPr="0004638E">
        <w:rPr>
          <w:rFonts w:ascii="Times New Roman" w:hAnsi="Times New Roman" w:cs="Times New Roman"/>
        </w:rPr>
        <w:t xml:space="preserve"> </w:t>
      </w:r>
      <w:r>
        <w:rPr>
          <w:rFonts w:ascii="Times New Roman" w:hAnsi="Times New Roman" w:cs="Times New Roman"/>
        </w:rPr>
        <w:t>%</w:t>
      </w:r>
      <w:r w:rsidRPr="005A70E6">
        <w:rPr>
          <w:rFonts w:ascii="Times New Roman" w:hAnsi="Times New Roman" w:cs="Times New Roman"/>
        </w:rPr>
        <w:t xml:space="preserve"> v dôsledku </w:t>
      </w:r>
      <w:r>
        <w:rPr>
          <w:rFonts w:ascii="Times New Roman" w:hAnsi="Times New Roman" w:cs="Times New Roman"/>
        </w:rPr>
        <w:t>zvýšenia</w:t>
      </w:r>
      <w:r w:rsidRPr="0004638E">
        <w:rPr>
          <w:rFonts w:ascii="Times New Roman" w:hAnsi="Times New Roman" w:cs="Times New Roman"/>
        </w:rPr>
        <w:t xml:space="preserve"> prostriedkov </w:t>
      </w:r>
      <w:r>
        <w:rPr>
          <w:rFonts w:ascii="Times New Roman" w:hAnsi="Times New Roman" w:cs="Times New Roman"/>
        </w:rPr>
        <w:t xml:space="preserve">na menšinovú kultúrnu politiku. </w:t>
      </w:r>
      <w:r w:rsidRPr="0004638E">
        <w:rPr>
          <w:rFonts w:ascii="Times New Roman" w:hAnsi="Times New Roman" w:cs="Times New Roman"/>
        </w:rPr>
        <w:t xml:space="preserve">Prostriedky na boj proti diskriminácii (predtým </w:t>
      </w:r>
      <w:r w:rsidRPr="0004638E">
        <w:rPr>
          <w:rFonts w:ascii="Times New Roman" w:hAnsi="Times New Roman" w:cs="Times New Roman"/>
          <w:color w:val="000000"/>
        </w:rPr>
        <w:t xml:space="preserve">akčný plán predchádzania všetkým formám diskriminácie, rasizmu, xenofóbie, antisemitizmu) sa </w:t>
      </w:r>
      <w:r>
        <w:rPr>
          <w:rFonts w:ascii="Times New Roman" w:hAnsi="Times New Roman" w:cs="Times New Roman"/>
          <w:color w:val="000000"/>
        </w:rPr>
        <w:t>na</w:t>
      </w:r>
      <w:r w:rsidRPr="0004638E">
        <w:rPr>
          <w:rFonts w:ascii="Times New Roman" w:hAnsi="Times New Roman" w:cs="Times New Roman"/>
          <w:color w:val="000000"/>
        </w:rPr>
        <w:t xml:space="preserve"> rok 2012 rozpočtujú na úrovni schváleného rozpočtu </w:t>
      </w:r>
      <w:r>
        <w:rPr>
          <w:rFonts w:ascii="Times New Roman" w:hAnsi="Times New Roman" w:cs="Times New Roman"/>
          <w:color w:val="000000"/>
        </w:rPr>
        <w:t>v</w:t>
      </w:r>
      <w:r w:rsidRPr="0004638E">
        <w:rPr>
          <w:rFonts w:ascii="Times New Roman" w:hAnsi="Times New Roman" w:cs="Times New Roman"/>
          <w:color w:val="000000"/>
        </w:rPr>
        <w:t xml:space="preserve"> rok</w:t>
      </w:r>
      <w:r>
        <w:rPr>
          <w:rFonts w:ascii="Times New Roman" w:hAnsi="Times New Roman" w:cs="Times New Roman"/>
          <w:color w:val="000000"/>
        </w:rPr>
        <w:t>u</w:t>
      </w:r>
      <w:r w:rsidRPr="0004638E">
        <w:rPr>
          <w:rFonts w:ascii="Times New Roman" w:hAnsi="Times New Roman" w:cs="Times New Roman"/>
          <w:color w:val="000000"/>
        </w:rPr>
        <w:t xml:space="preserve"> 2011.</w:t>
      </w:r>
      <w:r w:rsidRPr="00BD4039">
        <w:rPr>
          <w:rFonts w:ascii="Times New Roman" w:hAnsi="Times New Roman" w:cs="Times New Roman"/>
        </w:rPr>
        <w:t xml:space="preserve"> </w:t>
      </w:r>
      <w:r>
        <w:rPr>
          <w:rFonts w:ascii="Times New Roman" w:hAnsi="Times New Roman" w:cs="Times New Roman"/>
        </w:rPr>
        <w:t>P</w:t>
      </w:r>
      <w:r w:rsidRPr="0004638E">
        <w:rPr>
          <w:rFonts w:ascii="Times New Roman" w:hAnsi="Times New Roman" w:cs="Times New Roman"/>
        </w:rPr>
        <w:t>re komunitárny program EÚ pre ľudské práva – Progress</w:t>
      </w:r>
      <w:r>
        <w:rPr>
          <w:rFonts w:ascii="Times New Roman" w:hAnsi="Times New Roman" w:cs="Times New Roman"/>
        </w:rPr>
        <w:t xml:space="preserve"> sa na rok 2012 finančné prostriedky nerozpočtujú</w:t>
      </w:r>
      <w:r w:rsidRPr="0004638E">
        <w:rPr>
          <w:rFonts w:ascii="Times New Roman" w:hAnsi="Times New Roman" w:cs="Times New Roman"/>
        </w:rPr>
        <w:t>.</w:t>
      </w:r>
    </w:p>
    <w:p w:rsidR="00CB350B" w:rsidP="00CB350B">
      <w:pPr>
        <w:bidi w:val="0"/>
      </w:pPr>
    </w:p>
    <w:p w:rsidR="00CB350B" w:rsidRPr="0004638E" w:rsidP="00CB350B">
      <w:pPr>
        <w:pBdr>
          <w:bottom w:val="single" w:sz="4" w:space="1" w:color="auto"/>
        </w:pBdr>
        <w:bidi w:val="0"/>
        <w:jc w:val="both"/>
        <w:rPr>
          <w:rFonts w:ascii="Times New Roman" w:hAnsi="Times New Roman" w:cs="Times New Roman"/>
          <w:b/>
          <w:bCs/>
        </w:rPr>
      </w:pPr>
      <w:r w:rsidRPr="0004638E">
        <w:rPr>
          <w:rFonts w:ascii="Times New Roman" w:hAnsi="Times New Roman" w:cs="Times New Roman"/>
          <w:b/>
          <w:bCs/>
        </w:rPr>
        <w:t>Kancelária Ústavného súdu SR</w:t>
      </w:r>
    </w:p>
    <w:p w:rsidR="00CB350B" w:rsidRPr="0004638E" w:rsidP="00CB350B">
      <w:pPr>
        <w:bidi w:val="0"/>
        <w:rPr>
          <w:rFonts w:ascii="Times New Roman" w:hAnsi="Times New Roman" w:cs="Times New Roman"/>
        </w:rPr>
      </w:pPr>
    </w:p>
    <w:tbl>
      <w:tblPr>
        <w:tblStyle w:val="TableNormal"/>
        <w:tblW w:w="9087" w:type="dxa"/>
        <w:tblInd w:w="55" w:type="dxa"/>
        <w:tblLayout w:type="fixed"/>
        <w:tblCellMar>
          <w:left w:w="70" w:type="dxa"/>
          <w:right w:w="70" w:type="dxa"/>
        </w:tblCellMar>
        <w:tblLook w:val="04A0"/>
      </w:tblPr>
      <w:tblGrid>
        <w:gridCol w:w="2567"/>
        <w:gridCol w:w="931"/>
        <w:gridCol w:w="931"/>
        <w:gridCol w:w="932"/>
        <w:gridCol w:w="931"/>
        <w:gridCol w:w="932"/>
        <w:gridCol w:w="931"/>
        <w:gridCol w:w="932"/>
      </w:tblGrid>
      <w:tr>
        <w:tblPrEx>
          <w:tblW w:w="9087" w:type="dxa"/>
          <w:tblInd w:w="55" w:type="dxa"/>
          <w:tblLayout w:type="fixed"/>
          <w:tblCellMar>
            <w:left w:w="70" w:type="dxa"/>
            <w:right w:w="70" w:type="dxa"/>
          </w:tblCellMar>
          <w:tblLook w:val="04A0"/>
        </w:tblPrEx>
        <w:trPr>
          <w:trHeight w:val="266"/>
        </w:trPr>
        <w:tc>
          <w:tcPr>
            <w:tcW w:w="2567"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 </w:t>
            </w:r>
            <w:r>
              <w:rPr>
                <w:rFonts w:ascii="Times New Roman" w:hAnsi="Times New Roman" w:cs="Times New Roman"/>
                <w:b/>
                <w:bCs/>
                <w:color w:val="000000"/>
                <w:sz w:val="14"/>
                <w:szCs w:val="14"/>
                <w:lang w:eastAsia="sk-SK"/>
              </w:rPr>
              <w:t>v eurách</w:t>
            </w:r>
          </w:p>
        </w:tc>
        <w:tc>
          <w:tcPr>
            <w:tcW w:w="931"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2009 S</w:t>
            </w:r>
          </w:p>
        </w:tc>
        <w:tc>
          <w:tcPr>
            <w:tcW w:w="931"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2010</w:t>
            </w:r>
            <w:r>
              <w:rPr>
                <w:rFonts w:ascii="Times New Roman" w:hAnsi="Times New Roman" w:cs="Times New Roman"/>
                <w:b/>
                <w:bCs/>
                <w:color w:val="000000"/>
                <w:sz w:val="14"/>
                <w:szCs w:val="14"/>
                <w:lang w:eastAsia="sk-SK"/>
              </w:rPr>
              <w:t xml:space="preserve"> </w:t>
            </w:r>
            <w:r w:rsidRPr="005A6E2D">
              <w:rPr>
                <w:rFonts w:ascii="Times New Roman" w:hAnsi="Times New Roman" w:cs="Times New Roman"/>
                <w:b/>
                <w:bCs/>
                <w:color w:val="000000"/>
                <w:sz w:val="14"/>
                <w:szCs w:val="14"/>
                <w:lang w:eastAsia="sk-SK"/>
              </w:rPr>
              <w:t>S</w:t>
            </w:r>
          </w:p>
        </w:tc>
        <w:tc>
          <w:tcPr>
            <w:tcW w:w="932"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2011 R</w:t>
            </w:r>
          </w:p>
        </w:tc>
        <w:tc>
          <w:tcPr>
            <w:tcW w:w="931"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2011 OS</w:t>
            </w:r>
          </w:p>
        </w:tc>
        <w:tc>
          <w:tcPr>
            <w:tcW w:w="932"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2012 N</w:t>
            </w:r>
          </w:p>
        </w:tc>
        <w:tc>
          <w:tcPr>
            <w:tcW w:w="931"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2013 N</w:t>
            </w:r>
          </w:p>
        </w:tc>
        <w:tc>
          <w:tcPr>
            <w:tcW w:w="932"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2014 N</w:t>
            </w:r>
          </w:p>
        </w:tc>
      </w:tr>
      <w:tr>
        <w:tblPrEx>
          <w:tblW w:w="9087" w:type="dxa"/>
          <w:tblInd w:w="55" w:type="dxa"/>
          <w:tblLayout w:type="fixed"/>
          <w:tblCellMar>
            <w:left w:w="70" w:type="dxa"/>
            <w:right w:w="70" w:type="dxa"/>
          </w:tblCellMar>
          <w:tblLook w:val="04A0"/>
        </w:tblPrEx>
        <w:trPr>
          <w:trHeight w:val="266"/>
        </w:trPr>
        <w:tc>
          <w:tcPr>
            <w:tcW w:w="2567"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Zdroje príslušnej kapitoly</w:t>
            </w:r>
          </w:p>
        </w:tc>
        <w:tc>
          <w:tcPr>
            <w:tcW w:w="93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4 438 412</w:t>
            </w:r>
          </w:p>
        </w:tc>
        <w:tc>
          <w:tcPr>
            <w:tcW w:w="93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4 527 436</w:t>
            </w:r>
          </w:p>
        </w:tc>
        <w:tc>
          <w:tcPr>
            <w:tcW w:w="93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3 198 1</w:t>
            </w:r>
            <w:r>
              <w:rPr>
                <w:rFonts w:ascii="Times New Roman" w:hAnsi="Times New Roman" w:cs="Times New Roman"/>
                <w:b/>
                <w:bCs/>
                <w:color w:val="000000"/>
                <w:sz w:val="14"/>
                <w:szCs w:val="14"/>
                <w:lang w:eastAsia="sk-SK"/>
              </w:rPr>
              <w:t>61</w:t>
            </w:r>
          </w:p>
        </w:tc>
        <w:tc>
          <w:tcPr>
            <w:tcW w:w="93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3 409 763</w:t>
            </w:r>
          </w:p>
        </w:tc>
        <w:tc>
          <w:tcPr>
            <w:tcW w:w="93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3 287 894</w:t>
            </w:r>
          </w:p>
        </w:tc>
        <w:tc>
          <w:tcPr>
            <w:tcW w:w="93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3 392 747</w:t>
            </w:r>
          </w:p>
        </w:tc>
        <w:tc>
          <w:tcPr>
            <w:tcW w:w="93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3 455 179</w:t>
            </w:r>
          </w:p>
        </w:tc>
      </w:tr>
      <w:tr>
        <w:tblPrEx>
          <w:tblW w:w="9087" w:type="dxa"/>
          <w:tblInd w:w="55" w:type="dxa"/>
          <w:tblLayout w:type="fixed"/>
          <w:tblCellMar>
            <w:left w:w="70" w:type="dxa"/>
            <w:right w:w="70" w:type="dxa"/>
          </w:tblCellMar>
          <w:tblLook w:val="04A0"/>
        </w:tblPrEx>
        <w:trPr>
          <w:trHeight w:val="266"/>
        </w:trPr>
        <w:tc>
          <w:tcPr>
            <w:tcW w:w="2567"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rozpočtové zdroje kapitoly</w:t>
            </w:r>
          </w:p>
        </w:tc>
        <w:tc>
          <w:tcPr>
            <w:tcW w:w="93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4 438 412</w:t>
            </w:r>
          </w:p>
        </w:tc>
        <w:tc>
          <w:tcPr>
            <w:tcW w:w="93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3 322 541</w:t>
            </w:r>
          </w:p>
        </w:tc>
        <w:tc>
          <w:tcPr>
            <w:tcW w:w="93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3 097 338</w:t>
            </w:r>
          </w:p>
        </w:tc>
        <w:tc>
          <w:tcPr>
            <w:tcW w:w="93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3 409 763</w:t>
            </w:r>
          </w:p>
        </w:tc>
        <w:tc>
          <w:tcPr>
            <w:tcW w:w="93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3 287 894</w:t>
            </w:r>
          </w:p>
        </w:tc>
        <w:tc>
          <w:tcPr>
            <w:tcW w:w="931"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3 392 747</w:t>
            </w:r>
          </w:p>
        </w:tc>
        <w:tc>
          <w:tcPr>
            <w:tcW w:w="93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3 455 179</w:t>
            </w:r>
          </w:p>
        </w:tc>
      </w:tr>
      <w:tr>
        <w:tblPrEx>
          <w:tblW w:w="9087" w:type="dxa"/>
          <w:tblInd w:w="55" w:type="dxa"/>
          <w:tblLayout w:type="fixed"/>
          <w:tblCellMar>
            <w:left w:w="70" w:type="dxa"/>
            <w:right w:w="70" w:type="dxa"/>
          </w:tblCellMar>
          <w:tblLook w:val="04A0"/>
        </w:tblPrEx>
        <w:trPr>
          <w:trHeight w:val="266"/>
        </w:trPr>
        <w:tc>
          <w:tcPr>
            <w:tcW w:w="2567"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xml:space="preserve">    v tom: bežné výdavky  600</w:t>
            </w:r>
          </w:p>
        </w:tc>
        <w:tc>
          <w:tcPr>
            <w:tcW w:w="93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3 392 449</w:t>
            </w:r>
          </w:p>
        </w:tc>
        <w:tc>
          <w:tcPr>
            <w:tcW w:w="93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3 233 098</w:t>
            </w:r>
          </w:p>
        </w:tc>
        <w:tc>
          <w:tcPr>
            <w:tcW w:w="93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3 076 824</w:t>
            </w:r>
          </w:p>
        </w:tc>
        <w:tc>
          <w:tcPr>
            <w:tcW w:w="93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3 288 426</w:t>
            </w:r>
          </w:p>
        </w:tc>
        <w:tc>
          <w:tcPr>
            <w:tcW w:w="93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3 267 380</w:t>
            </w:r>
          </w:p>
        </w:tc>
        <w:tc>
          <w:tcPr>
            <w:tcW w:w="93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3 372 233</w:t>
            </w:r>
          </w:p>
        </w:tc>
        <w:tc>
          <w:tcPr>
            <w:tcW w:w="93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3 434 665</w:t>
            </w:r>
          </w:p>
        </w:tc>
      </w:tr>
      <w:tr>
        <w:tblPrEx>
          <w:tblW w:w="9087" w:type="dxa"/>
          <w:tblInd w:w="55" w:type="dxa"/>
          <w:tblLayout w:type="fixed"/>
          <w:tblCellMar>
            <w:left w:w="70" w:type="dxa"/>
            <w:right w:w="70" w:type="dxa"/>
          </w:tblCellMar>
          <w:tblLook w:val="04A0"/>
        </w:tblPrEx>
        <w:trPr>
          <w:trHeight w:val="266"/>
        </w:trPr>
        <w:tc>
          <w:tcPr>
            <w:tcW w:w="2567"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xml:space="preserve">                          610 mzdy</w:t>
            </w:r>
          </w:p>
        </w:tc>
        <w:tc>
          <w:tcPr>
            <w:tcW w:w="93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1 845 710</w:t>
            </w:r>
          </w:p>
        </w:tc>
        <w:tc>
          <w:tcPr>
            <w:tcW w:w="93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1 894 589</w:t>
            </w:r>
          </w:p>
        </w:tc>
        <w:tc>
          <w:tcPr>
            <w:tcW w:w="93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1 761 070</w:t>
            </w:r>
          </w:p>
        </w:tc>
        <w:tc>
          <w:tcPr>
            <w:tcW w:w="93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1 911 070</w:t>
            </w:r>
          </w:p>
        </w:tc>
        <w:tc>
          <w:tcPr>
            <w:tcW w:w="93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1 933 883</w:t>
            </w:r>
          </w:p>
        </w:tc>
        <w:tc>
          <w:tcPr>
            <w:tcW w:w="93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2 023 857</w:t>
            </w:r>
          </w:p>
        </w:tc>
        <w:tc>
          <w:tcPr>
            <w:tcW w:w="93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2 077 430</w:t>
            </w:r>
          </w:p>
        </w:tc>
      </w:tr>
      <w:tr>
        <w:tblPrEx>
          <w:tblW w:w="9087" w:type="dxa"/>
          <w:tblInd w:w="55" w:type="dxa"/>
          <w:tblLayout w:type="fixed"/>
          <w:tblCellMar>
            <w:left w:w="70" w:type="dxa"/>
            <w:right w:w="70" w:type="dxa"/>
          </w:tblCellMar>
          <w:tblLook w:val="04A0"/>
        </w:tblPrEx>
        <w:trPr>
          <w:trHeight w:val="266"/>
        </w:trPr>
        <w:tc>
          <w:tcPr>
            <w:tcW w:w="2567"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xml:space="preserve">                          620 odvody</w:t>
            </w:r>
          </w:p>
        </w:tc>
        <w:tc>
          <w:tcPr>
            <w:tcW w:w="93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436 165</w:t>
            </w:r>
          </w:p>
        </w:tc>
        <w:tc>
          <w:tcPr>
            <w:tcW w:w="93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456 121</w:t>
            </w:r>
          </w:p>
        </w:tc>
        <w:tc>
          <w:tcPr>
            <w:tcW w:w="93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445 955</w:t>
            </w:r>
          </w:p>
        </w:tc>
        <w:tc>
          <w:tcPr>
            <w:tcW w:w="93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462 201</w:t>
            </w:r>
          </w:p>
        </w:tc>
        <w:tc>
          <w:tcPr>
            <w:tcW w:w="93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502 338</w:t>
            </w:r>
          </w:p>
        </w:tc>
        <w:tc>
          <w:tcPr>
            <w:tcW w:w="93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517 217</w:t>
            </w:r>
          </w:p>
        </w:tc>
        <w:tc>
          <w:tcPr>
            <w:tcW w:w="93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526 076</w:t>
            </w:r>
          </w:p>
        </w:tc>
      </w:tr>
      <w:tr>
        <w:tblPrEx>
          <w:tblW w:w="9087" w:type="dxa"/>
          <w:tblInd w:w="55" w:type="dxa"/>
          <w:tblLayout w:type="fixed"/>
          <w:tblCellMar>
            <w:left w:w="70" w:type="dxa"/>
            <w:right w:w="70" w:type="dxa"/>
          </w:tblCellMar>
          <w:tblLook w:val="04A0"/>
        </w:tblPrEx>
        <w:trPr>
          <w:trHeight w:val="266"/>
        </w:trPr>
        <w:tc>
          <w:tcPr>
            <w:tcW w:w="2567"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xml:space="preserve">                          630 tovary a služby</w:t>
            </w:r>
          </w:p>
        </w:tc>
        <w:tc>
          <w:tcPr>
            <w:tcW w:w="93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1 015 576</w:t>
            </w:r>
          </w:p>
        </w:tc>
        <w:tc>
          <w:tcPr>
            <w:tcW w:w="93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767 973</w:t>
            </w:r>
          </w:p>
        </w:tc>
        <w:tc>
          <w:tcPr>
            <w:tcW w:w="93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772 799</w:t>
            </w:r>
          </w:p>
        </w:tc>
        <w:tc>
          <w:tcPr>
            <w:tcW w:w="93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828 155</w:t>
            </w:r>
          </w:p>
        </w:tc>
        <w:tc>
          <w:tcPr>
            <w:tcW w:w="93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744 559</w:t>
            </w:r>
          </w:p>
        </w:tc>
        <w:tc>
          <w:tcPr>
            <w:tcW w:w="93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744 559</w:t>
            </w:r>
          </w:p>
        </w:tc>
        <w:tc>
          <w:tcPr>
            <w:tcW w:w="93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744 559</w:t>
            </w:r>
          </w:p>
        </w:tc>
      </w:tr>
      <w:tr>
        <w:tblPrEx>
          <w:tblW w:w="9087" w:type="dxa"/>
          <w:tblInd w:w="55" w:type="dxa"/>
          <w:tblLayout w:type="fixed"/>
          <w:tblCellMar>
            <w:left w:w="70" w:type="dxa"/>
            <w:right w:w="70" w:type="dxa"/>
          </w:tblCellMar>
          <w:tblLook w:val="04A0"/>
        </w:tblPrEx>
        <w:trPr>
          <w:trHeight w:val="266"/>
        </w:trPr>
        <w:tc>
          <w:tcPr>
            <w:tcW w:w="2567"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xml:space="preserve">                          640 bežné transfery</w:t>
            </w:r>
          </w:p>
        </w:tc>
        <w:tc>
          <w:tcPr>
            <w:tcW w:w="93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94 998</w:t>
            </w:r>
          </w:p>
        </w:tc>
        <w:tc>
          <w:tcPr>
            <w:tcW w:w="93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114 415</w:t>
            </w:r>
          </w:p>
        </w:tc>
        <w:tc>
          <w:tcPr>
            <w:tcW w:w="93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97 000</w:t>
            </w:r>
          </w:p>
        </w:tc>
        <w:tc>
          <w:tcPr>
            <w:tcW w:w="93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87 000</w:t>
            </w:r>
          </w:p>
        </w:tc>
        <w:tc>
          <w:tcPr>
            <w:tcW w:w="93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86 600</w:t>
            </w:r>
          </w:p>
        </w:tc>
        <w:tc>
          <w:tcPr>
            <w:tcW w:w="93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86 600</w:t>
            </w:r>
          </w:p>
        </w:tc>
        <w:tc>
          <w:tcPr>
            <w:tcW w:w="93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86 600</w:t>
            </w:r>
          </w:p>
        </w:tc>
      </w:tr>
      <w:tr>
        <w:tblPrEx>
          <w:tblW w:w="9087" w:type="dxa"/>
          <w:tblInd w:w="55" w:type="dxa"/>
          <w:tblLayout w:type="fixed"/>
          <w:tblCellMar>
            <w:left w:w="70" w:type="dxa"/>
            <w:right w:w="70" w:type="dxa"/>
          </w:tblCellMar>
          <w:tblLook w:val="04A0"/>
        </w:tblPrEx>
        <w:trPr>
          <w:trHeight w:val="266"/>
        </w:trPr>
        <w:tc>
          <w:tcPr>
            <w:tcW w:w="2567"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xml:space="preserve">                         kapitálové výdavky 700</w:t>
            </w:r>
          </w:p>
        </w:tc>
        <w:tc>
          <w:tcPr>
            <w:tcW w:w="93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1 045 963</w:t>
            </w:r>
          </w:p>
        </w:tc>
        <w:tc>
          <w:tcPr>
            <w:tcW w:w="93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89 443</w:t>
            </w:r>
          </w:p>
        </w:tc>
        <w:tc>
          <w:tcPr>
            <w:tcW w:w="93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20 514</w:t>
            </w:r>
          </w:p>
        </w:tc>
        <w:tc>
          <w:tcPr>
            <w:tcW w:w="93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121 337</w:t>
            </w:r>
          </w:p>
        </w:tc>
        <w:tc>
          <w:tcPr>
            <w:tcW w:w="93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20 514</w:t>
            </w:r>
          </w:p>
        </w:tc>
        <w:tc>
          <w:tcPr>
            <w:tcW w:w="93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20 514</w:t>
            </w:r>
          </w:p>
        </w:tc>
        <w:tc>
          <w:tcPr>
            <w:tcW w:w="93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20 514</w:t>
            </w:r>
          </w:p>
        </w:tc>
      </w:tr>
      <w:tr>
        <w:tblPrEx>
          <w:tblW w:w="9087" w:type="dxa"/>
          <w:tblInd w:w="55" w:type="dxa"/>
          <w:tblLayout w:type="fixed"/>
          <w:tblCellMar>
            <w:left w:w="70" w:type="dxa"/>
            <w:right w:w="70" w:type="dxa"/>
          </w:tblCellMar>
          <w:tblLook w:val="04A0"/>
        </w:tblPrEx>
        <w:trPr>
          <w:trHeight w:val="266"/>
        </w:trPr>
        <w:tc>
          <w:tcPr>
            <w:tcW w:w="2567"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z toho: presun z minulých rokov</w:t>
            </w:r>
          </w:p>
        </w:tc>
        <w:tc>
          <w:tcPr>
            <w:tcW w:w="93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w:t>
            </w:r>
          </w:p>
        </w:tc>
        <w:tc>
          <w:tcPr>
            <w:tcW w:w="93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1 197 830</w:t>
            </w:r>
          </w:p>
        </w:tc>
        <w:tc>
          <w:tcPr>
            <w:tcW w:w="93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100 8</w:t>
            </w:r>
            <w:r>
              <w:rPr>
                <w:rFonts w:ascii="Times New Roman" w:hAnsi="Times New Roman" w:cs="Times New Roman"/>
                <w:color w:val="000000"/>
                <w:sz w:val="14"/>
                <w:szCs w:val="14"/>
                <w:lang w:eastAsia="sk-SK"/>
              </w:rPr>
              <w:t>23</w:t>
            </w:r>
          </w:p>
        </w:tc>
        <w:tc>
          <w:tcPr>
            <w:tcW w:w="93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w:t>
            </w:r>
          </w:p>
        </w:tc>
        <w:tc>
          <w:tcPr>
            <w:tcW w:w="93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w:t>
            </w:r>
          </w:p>
        </w:tc>
        <w:tc>
          <w:tcPr>
            <w:tcW w:w="93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w:t>
            </w:r>
          </w:p>
        </w:tc>
        <w:tc>
          <w:tcPr>
            <w:tcW w:w="93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w:t>
            </w:r>
          </w:p>
        </w:tc>
      </w:tr>
      <w:tr>
        <w:tblPrEx>
          <w:tblW w:w="9087" w:type="dxa"/>
          <w:tblInd w:w="55" w:type="dxa"/>
          <w:tblLayout w:type="fixed"/>
          <w:tblCellMar>
            <w:left w:w="70" w:type="dxa"/>
            <w:right w:w="70" w:type="dxa"/>
          </w:tblCellMar>
          <w:tblLook w:val="04A0"/>
        </w:tblPrEx>
        <w:trPr>
          <w:trHeight w:val="266"/>
        </w:trPr>
        <w:tc>
          <w:tcPr>
            <w:tcW w:w="2567"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iné zdroje</w:t>
            </w:r>
          </w:p>
        </w:tc>
        <w:tc>
          <w:tcPr>
            <w:tcW w:w="93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w:t>
            </w:r>
          </w:p>
        </w:tc>
        <w:tc>
          <w:tcPr>
            <w:tcW w:w="93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7 065</w:t>
            </w:r>
          </w:p>
        </w:tc>
        <w:tc>
          <w:tcPr>
            <w:tcW w:w="93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w:t>
            </w:r>
          </w:p>
        </w:tc>
        <w:tc>
          <w:tcPr>
            <w:tcW w:w="93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w:t>
            </w:r>
          </w:p>
        </w:tc>
        <w:tc>
          <w:tcPr>
            <w:tcW w:w="93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w:t>
            </w:r>
          </w:p>
        </w:tc>
        <w:tc>
          <w:tcPr>
            <w:tcW w:w="93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w:t>
            </w:r>
          </w:p>
        </w:tc>
        <w:tc>
          <w:tcPr>
            <w:tcW w:w="93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w:t>
            </w:r>
          </w:p>
        </w:tc>
      </w:tr>
    </w:tbl>
    <w:p w:rsidR="00CB350B" w:rsidRPr="00677849" w:rsidP="00CB350B">
      <w:pPr>
        <w:bidi w:val="0"/>
        <w:jc w:val="both"/>
        <w:rPr>
          <w:rFonts w:ascii="Times New Roman" w:hAnsi="Times New Roman" w:cs="Times New Roman"/>
        </w:rPr>
      </w:pPr>
    </w:p>
    <w:p w:rsidR="00CB350B" w:rsidRPr="00677849" w:rsidP="00CB350B">
      <w:pPr>
        <w:bidi w:val="0"/>
        <w:ind w:firstLine="708"/>
        <w:jc w:val="both"/>
        <w:rPr>
          <w:rFonts w:ascii="Times New Roman" w:hAnsi="Times New Roman" w:cs="Times New Roman"/>
        </w:rPr>
      </w:pPr>
      <w:r w:rsidRPr="00677849">
        <w:rPr>
          <w:rFonts w:ascii="Times New Roman" w:hAnsi="Times New Roman" w:cs="Times New Roman"/>
        </w:rPr>
        <w:t>Celkové výdavky kapitoly na rok 2012 sa rozpočtujú v sume 3,29 mil. eur a medziročne rastú o 6,15 %.</w:t>
      </w:r>
    </w:p>
    <w:p w:rsidR="00CB350B" w:rsidRPr="00677849" w:rsidP="00CB350B">
      <w:pPr>
        <w:bidi w:val="0"/>
        <w:jc w:val="both"/>
        <w:rPr>
          <w:rFonts w:ascii="Times New Roman" w:hAnsi="Times New Roman" w:cs="Times New Roman"/>
          <w:highlight w:val="yellow"/>
        </w:rPr>
      </w:pPr>
    </w:p>
    <w:p w:rsidR="00CB350B" w:rsidRPr="00677849" w:rsidP="00CB350B">
      <w:pPr>
        <w:bidi w:val="0"/>
        <w:ind w:firstLine="708"/>
        <w:jc w:val="both"/>
        <w:rPr>
          <w:rFonts w:ascii="Times New Roman" w:hAnsi="Times New Roman" w:cs="Times New Roman"/>
        </w:rPr>
      </w:pPr>
      <w:r w:rsidRPr="00677849">
        <w:rPr>
          <w:rFonts w:ascii="Times New Roman" w:hAnsi="Times New Roman" w:cs="Times New Roman"/>
        </w:rPr>
        <w:t>Bežné výdavky sa navrhujú v sume 3,27 mil. eur a oproti schválenému rozpočtu roku 2011 rastú o 6,19 %.</w:t>
      </w:r>
    </w:p>
    <w:p w:rsidR="00CB350B" w:rsidRPr="00677849" w:rsidP="00CB350B">
      <w:pPr>
        <w:bidi w:val="0"/>
        <w:jc w:val="both"/>
        <w:rPr>
          <w:rFonts w:ascii="Times New Roman" w:hAnsi="Times New Roman" w:cs="Times New Roman"/>
        </w:rPr>
      </w:pPr>
      <w:r w:rsidRPr="00677849">
        <w:rPr>
          <w:rFonts w:ascii="Times New Roman" w:hAnsi="Times New Roman" w:cs="Times New Roman"/>
        </w:rPr>
        <w:t xml:space="preserve"> </w:t>
      </w:r>
    </w:p>
    <w:p w:rsidR="00CB350B" w:rsidRPr="00677849" w:rsidP="00CB350B">
      <w:pPr>
        <w:bidi w:val="0"/>
        <w:ind w:firstLine="708"/>
        <w:jc w:val="both"/>
        <w:rPr>
          <w:rFonts w:ascii="Times New Roman" w:hAnsi="Times New Roman" w:cs="Times New Roman"/>
        </w:rPr>
      </w:pPr>
      <w:r w:rsidRPr="00677849">
        <w:rPr>
          <w:rFonts w:ascii="Times New Roman" w:hAnsi="Times New Roman" w:cs="Times New Roman"/>
        </w:rPr>
        <w:t>Osobné výdavky sa rozpočtujú v sume 2,44 mil. eur, čo predstavuje oproti schválenému rozpočtu roku 2011 zvýšenie o 10,4 %.</w:t>
      </w:r>
    </w:p>
    <w:p w:rsidR="00CB350B" w:rsidRPr="00677849" w:rsidP="00CB350B">
      <w:pPr>
        <w:bidi w:val="0"/>
        <w:jc w:val="both"/>
        <w:rPr>
          <w:rFonts w:ascii="Times New Roman" w:hAnsi="Times New Roman" w:cs="Times New Roman"/>
        </w:rPr>
      </w:pPr>
    </w:p>
    <w:p w:rsidR="00CB350B" w:rsidRPr="00677849" w:rsidP="00CB350B">
      <w:pPr>
        <w:bidi w:val="0"/>
        <w:ind w:firstLine="708"/>
        <w:jc w:val="both"/>
        <w:rPr>
          <w:rFonts w:ascii="Times New Roman" w:hAnsi="Times New Roman" w:cs="Times New Roman"/>
          <w:bCs/>
        </w:rPr>
      </w:pPr>
      <w:r w:rsidRPr="00677849">
        <w:rPr>
          <w:rFonts w:ascii="Times New Roman" w:hAnsi="Times New Roman" w:cs="Times New Roman"/>
          <w:bCs/>
        </w:rPr>
        <w:t>V osobných výdavkoch kapitoly na rok 2012 sú pre sudcov Ústavného súdu Slovenskej republiky zabezpečené finančné prostriedky na úrovni ich reálne vyplácaných platových náležitostí v roku 2011 v zmysle</w:t>
      </w:r>
      <w:r>
        <w:rPr>
          <w:rFonts w:ascii="Times New Roman" w:hAnsi="Times New Roman" w:cs="Times New Roman"/>
          <w:bCs/>
        </w:rPr>
        <w:t xml:space="preserve"> zákona č. 120/1993 Z. z.</w:t>
      </w:r>
      <w:r w:rsidRPr="00677849">
        <w:rPr>
          <w:rFonts w:ascii="Times New Roman" w:hAnsi="Times New Roman" w:cs="Times New Roman"/>
          <w:bCs/>
        </w:rPr>
        <w:t xml:space="preserve"> </w:t>
      </w:r>
    </w:p>
    <w:p w:rsidR="00CB350B" w:rsidRPr="00677849" w:rsidP="00CB350B">
      <w:pPr>
        <w:bidi w:val="0"/>
        <w:jc w:val="both"/>
        <w:rPr>
          <w:rFonts w:ascii="Times New Roman" w:hAnsi="Times New Roman" w:cs="Times New Roman"/>
        </w:rPr>
      </w:pPr>
    </w:p>
    <w:p w:rsidR="00CB350B" w:rsidRPr="00677849" w:rsidP="00CB350B">
      <w:pPr>
        <w:bidi w:val="0"/>
        <w:ind w:firstLine="708"/>
        <w:jc w:val="both"/>
        <w:rPr>
          <w:rFonts w:ascii="Times New Roman" w:hAnsi="Times New Roman" w:cs="Times New Roman"/>
        </w:rPr>
      </w:pPr>
      <w:r w:rsidRPr="00677849">
        <w:rPr>
          <w:rFonts w:ascii="Times New Roman" w:hAnsi="Times New Roman" w:cs="Times New Roman"/>
        </w:rPr>
        <w:t xml:space="preserve">Tovary a služby sa rozpočtujú v sume 745 tis. eur, čo predstavuje oproti schválenému rozpočtu roku 2011 pokles o 3,65 %. Nižší pokles je spôsobený presunom z bežných transferov do tovarov a služieb.  </w:t>
      </w:r>
    </w:p>
    <w:p w:rsidR="00CB350B" w:rsidRPr="00677849" w:rsidP="00CB350B">
      <w:pPr>
        <w:bidi w:val="0"/>
        <w:jc w:val="both"/>
        <w:rPr>
          <w:rFonts w:ascii="Times New Roman" w:hAnsi="Times New Roman" w:cs="Times New Roman"/>
        </w:rPr>
      </w:pPr>
    </w:p>
    <w:p w:rsidR="00CB350B" w:rsidRPr="00677849" w:rsidP="00CB350B">
      <w:pPr>
        <w:bidi w:val="0"/>
        <w:ind w:firstLine="708"/>
        <w:jc w:val="both"/>
        <w:rPr>
          <w:rFonts w:ascii="Times New Roman" w:hAnsi="Times New Roman" w:cs="Times New Roman"/>
        </w:rPr>
      </w:pPr>
      <w:r w:rsidRPr="00677849">
        <w:rPr>
          <w:rFonts w:ascii="Times New Roman" w:hAnsi="Times New Roman" w:cs="Times New Roman"/>
        </w:rPr>
        <w:t>Bežné transfery sa rozpočtujú v sume 86,6 tis. eur, čo predstavuje oproti schválenému rozpočtu roku 2011 pokles o 10,7 %. Vyšší pokles je sp</w:t>
      </w:r>
      <w:r>
        <w:rPr>
          <w:rFonts w:ascii="Times New Roman" w:hAnsi="Times New Roman" w:cs="Times New Roman"/>
        </w:rPr>
        <w:t>ôsobený z dôvodu presunu 10,4 </w:t>
      </w:r>
      <w:r w:rsidRPr="00677849">
        <w:rPr>
          <w:rFonts w:ascii="Times New Roman" w:hAnsi="Times New Roman" w:cs="Times New Roman"/>
        </w:rPr>
        <w:t>tis.</w:t>
      </w:r>
      <w:r>
        <w:rPr>
          <w:rFonts w:ascii="Times New Roman" w:hAnsi="Times New Roman" w:cs="Times New Roman"/>
        </w:rPr>
        <w:t> </w:t>
      </w:r>
      <w:r w:rsidRPr="00677849">
        <w:rPr>
          <w:rFonts w:ascii="Times New Roman" w:hAnsi="Times New Roman" w:cs="Times New Roman"/>
        </w:rPr>
        <w:t xml:space="preserve">eur z bežných transferov do tovarov a služieb na zabezpečenie chodu a činnosti prevádzky Kancelárie Ústavného súdu Slovenskej republiky. </w:t>
      </w:r>
    </w:p>
    <w:p w:rsidR="00CB350B" w:rsidP="00CB350B">
      <w:pPr>
        <w:bidi w:val="0"/>
        <w:ind w:firstLine="708"/>
        <w:jc w:val="both"/>
        <w:rPr>
          <w:rFonts w:ascii="Times New Roman" w:hAnsi="Times New Roman" w:cs="Times New Roman"/>
        </w:rPr>
      </w:pPr>
    </w:p>
    <w:p w:rsidR="00CB350B" w:rsidRPr="00677849" w:rsidP="00CB350B">
      <w:pPr>
        <w:bidi w:val="0"/>
        <w:ind w:firstLine="708"/>
        <w:jc w:val="both"/>
        <w:rPr>
          <w:rFonts w:ascii="Times New Roman" w:hAnsi="Times New Roman" w:cs="Times New Roman"/>
        </w:rPr>
      </w:pPr>
      <w:r w:rsidRPr="00677849">
        <w:rPr>
          <w:rFonts w:ascii="Times New Roman" w:hAnsi="Times New Roman" w:cs="Times New Roman"/>
        </w:rPr>
        <w:t>Kapitálové výdavky sa rozpočtujú v sume 20,5 tis. eur, čo predstavuje úroveň schváleného rozpočtu roku 2011.</w:t>
      </w:r>
    </w:p>
    <w:p w:rsidR="00CB350B" w:rsidP="00CB350B">
      <w:pPr>
        <w:bidi w:val="0"/>
      </w:pPr>
    </w:p>
    <w:p w:rsidR="00257E12" w:rsidP="00CB350B">
      <w:pPr>
        <w:bidi w:val="0"/>
      </w:pPr>
    </w:p>
    <w:p w:rsidR="00257E12" w:rsidP="00CB350B">
      <w:pPr>
        <w:bidi w:val="0"/>
      </w:pPr>
    </w:p>
    <w:p w:rsidR="00257E12" w:rsidP="00CB350B">
      <w:pPr>
        <w:bidi w:val="0"/>
      </w:pPr>
    </w:p>
    <w:p w:rsidR="00257E12" w:rsidP="00CB350B">
      <w:pPr>
        <w:bidi w:val="0"/>
      </w:pPr>
    </w:p>
    <w:p w:rsidR="00257E12" w:rsidP="00CB350B">
      <w:pPr>
        <w:bidi w:val="0"/>
      </w:pPr>
    </w:p>
    <w:p w:rsidR="00257E12" w:rsidP="00CB350B">
      <w:pPr>
        <w:bidi w:val="0"/>
      </w:pPr>
    </w:p>
    <w:p w:rsidR="00257E12" w:rsidP="00CB350B">
      <w:pPr>
        <w:bidi w:val="0"/>
      </w:pPr>
    </w:p>
    <w:p w:rsidR="00CB350B" w:rsidRPr="0004638E" w:rsidP="00CB350B">
      <w:pPr>
        <w:pBdr>
          <w:bottom w:val="single" w:sz="4" w:space="1" w:color="auto"/>
        </w:pBdr>
        <w:bidi w:val="0"/>
        <w:jc w:val="both"/>
        <w:rPr>
          <w:rFonts w:ascii="Times New Roman" w:hAnsi="Times New Roman" w:cs="Times New Roman"/>
          <w:b/>
          <w:bCs/>
        </w:rPr>
      </w:pPr>
      <w:r w:rsidRPr="0004638E">
        <w:rPr>
          <w:rFonts w:ascii="Times New Roman" w:hAnsi="Times New Roman" w:cs="Times New Roman"/>
          <w:b/>
          <w:bCs/>
        </w:rPr>
        <w:t>Najvyšší súd SR</w:t>
      </w:r>
    </w:p>
    <w:p w:rsidR="00CB350B" w:rsidRPr="0004638E" w:rsidP="00CB350B">
      <w:pPr>
        <w:bidi w:val="0"/>
        <w:rPr>
          <w:rFonts w:ascii="Times New Roman" w:hAnsi="Times New Roman" w:cs="Times New Roman"/>
        </w:rPr>
      </w:pPr>
    </w:p>
    <w:tbl>
      <w:tblPr>
        <w:tblStyle w:val="TableNormal"/>
        <w:tblW w:w="9229" w:type="dxa"/>
        <w:tblInd w:w="55" w:type="dxa"/>
        <w:tblLayout w:type="fixed"/>
        <w:tblCellMar>
          <w:left w:w="70" w:type="dxa"/>
          <w:right w:w="70" w:type="dxa"/>
        </w:tblCellMar>
        <w:tblLook w:val="04A0"/>
      </w:tblPr>
      <w:tblGrid>
        <w:gridCol w:w="2425"/>
        <w:gridCol w:w="972"/>
        <w:gridCol w:w="972"/>
        <w:gridCol w:w="972"/>
        <w:gridCol w:w="972"/>
        <w:gridCol w:w="972"/>
        <w:gridCol w:w="972"/>
        <w:gridCol w:w="972"/>
      </w:tblGrid>
      <w:tr>
        <w:tblPrEx>
          <w:tblW w:w="9229" w:type="dxa"/>
          <w:tblInd w:w="55" w:type="dxa"/>
          <w:tblLayout w:type="fixed"/>
          <w:tblCellMar>
            <w:left w:w="70" w:type="dxa"/>
            <w:right w:w="70" w:type="dxa"/>
          </w:tblCellMar>
          <w:tblLook w:val="04A0"/>
        </w:tblPrEx>
        <w:trPr>
          <w:trHeight w:val="279"/>
        </w:trPr>
        <w:tc>
          <w:tcPr>
            <w:tcW w:w="2425"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FA43DF" w:rsidP="00257E12">
            <w:pPr>
              <w:bidi w:val="0"/>
              <w:rPr>
                <w:rFonts w:ascii="Times New Roman" w:hAnsi="Times New Roman" w:cs="Times New Roman"/>
                <w:b/>
                <w:color w:val="000000"/>
                <w:sz w:val="14"/>
                <w:szCs w:val="14"/>
                <w:lang w:eastAsia="sk-SK"/>
              </w:rPr>
            </w:pPr>
            <w:r w:rsidRPr="00FA43DF">
              <w:rPr>
                <w:rFonts w:ascii="Times New Roman" w:hAnsi="Times New Roman" w:cs="Times New Roman"/>
                <w:b/>
                <w:color w:val="000000"/>
                <w:sz w:val="14"/>
                <w:szCs w:val="14"/>
                <w:lang w:eastAsia="sk-SK"/>
              </w:rPr>
              <w:t>v eurách</w:t>
            </w:r>
          </w:p>
        </w:tc>
        <w:tc>
          <w:tcPr>
            <w:tcW w:w="972" w:type="dxa"/>
            <w:tcBorders>
              <w:top w:val="single" w:sz="4" w:space="0" w:color="auto"/>
              <w:left w:val="nil"/>
              <w:bottom w:val="single" w:sz="4" w:space="0" w:color="auto"/>
              <w:right w:val="single" w:sz="4" w:space="0" w:color="auto"/>
            </w:tcBorders>
            <w:noWrap/>
            <w:textDirection w:val="lrTb"/>
            <w:vAlign w:val="bottom"/>
            <w:hideMark/>
          </w:tcPr>
          <w:p w:rsidR="00CB350B" w:rsidRPr="00FA43DF" w:rsidP="00257E12">
            <w:pPr>
              <w:bidi w:val="0"/>
              <w:jc w:val="center"/>
              <w:rPr>
                <w:rFonts w:ascii="Times New Roman" w:hAnsi="Times New Roman" w:cs="Times New Roman"/>
                <w:b/>
                <w:color w:val="000000"/>
                <w:sz w:val="14"/>
                <w:szCs w:val="14"/>
                <w:lang w:eastAsia="sk-SK"/>
              </w:rPr>
            </w:pPr>
            <w:r w:rsidRPr="00FA43DF">
              <w:rPr>
                <w:rFonts w:ascii="Times New Roman" w:hAnsi="Times New Roman" w:cs="Times New Roman"/>
                <w:b/>
                <w:color w:val="000000"/>
                <w:sz w:val="14"/>
                <w:szCs w:val="14"/>
                <w:lang w:eastAsia="sk-SK"/>
              </w:rPr>
              <w:t>2009 S</w:t>
            </w:r>
          </w:p>
        </w:tc>
        <w:tc>
          <w:tcPr>
            <w:tcW w:w="972" w:type="dxa"/>
            <w:tcBorders>
              <w:top w:val="single" w:sz="4" w:space="0" w:color="auto"/>
              <w:left w:val="nil"/>
              <w:bottom w:val="single" w:sz="4" w:space="0" w:color="auto"/>
              <w:right w:val="single" w:sz="4" w:space="0" w:color="auto"/>
            </w:tcBorders>
            <w:noWrap/>
            <w:textDirection w:val="lrTb"/>
            <w:vAlign w:val="bottom"/>
            <w:hideMark/>
          </w:tcPr>
          <w:p w:rsidR="00CB350B" w:rsidRPr="00FA43DF" w:rsidP="00257E12">
            <w:pPr>
              <w:bidi w:val="0"/>
              <w:jc w:val="center"/>
              <w:rPr>
                <w:rFonts w:ascii="Times New Roman" w:hAnsi="Times New Roman" w:cs="Times New Roman"/>
                <w:b/>
                <w:color w:val="000000"/>
                <w:sz w:val="14"/>
                <w:szCs w:val="14"/>
                <w:lang w:eastAsia="sk-SK"/>
              </w:rPr>
            </w:pPr>
            <w:r w:rsidRPr="00FA43DF">
              <w:rPr>
                <w:rFonts w:ascii="Times New Roman" w:hAnsi="Times New Roman" w:cs="Times New Roman"/>
                <w:b/>
                <w:color w:val="000000"/>
                <w:sz w:val="14"/>
                <w:szCs w:val="14"/>
                <w:lang w:eastAsia="sk-SK"/>
              </w:rPr>
              <w:t>2010</w:t>
            </w:r>
            <w:r>
              <w:rPr>
                <w:rFonts w:ascii="Times New Roman" w:hAnsi="Times New Roman" w:cs="Times New Roman"/>
                <w:b/>
                <w:color w:val="000000"/>
                <w:sz w:val="14"/>
                <w:szCs w:val="14"/>
                <w:lang w:eastAsia="sk-SK"/>
              </w:rPr>
              <w:t xml:space="preserve"> </w:t>
            </w:r>
            <w:r w:rsidRPr="00FA43DF">
              <w:rPr>
                <w:rFonts w:ascii="Times New Roman" w:hAnsi="Times New Roman" w:cs="Times New Roman"/>
                <w:b/>
                <w:color w:val="000000"/>
                <w:sz w:val="14"/>
                <w:szCs w:val="14"/>
                <w:lang w:eastAsia="sk-SK"/>
              </w:rPr>
              <w:t>S</w:t>
            </w:r>
          </w:p>
        </w:tc>
        <w:tc>
          <w:tcPr>
            <w:tcW w:w="972" w:type="dxa"/>
            <w:tcBorders>
              <w:top w:val="single" w:sz="4" w:space="0" w:color="auto"/>
              <w:left w:val="nil"/>
              <w:bottom w:val="single" w:sz="4" w:space="0" w:color="auto"/>
              <w:right w:val="single" w:sz="4" w:space="0" w:color="auto"/>
            </w:tcBorders>
            <w:noWrap/>
            <w:textDirection w:val="lrTb"/>
            <w:vAlign w:val="bottom"/>
            <w:hideMark/>
          </w:tcPr>
          <w:p w:rsidR="00CB350B" w:rsidRPr="00FA43DF" w:rsidP="00257E12">
            <w:pPr>
              <w:bidi w:val="0"/>
              <w:jc w:val="center"/>
              <w:rPr>
                <w:rFonts w:ascii="Times New Roman" w:hAnsi="Times New Roman" w:cs="Times New Roman"/>
                <w:b/>
                <w:color w:val="000000"/>
                <w:sz w:val="14"/>
                <w:szCs w:val="14"/>
                <w:lang w:eastAsia="sk-SK"/>
              </w:rPr>
            </w:pPr>
            <w:r w:rsidRPr="00FA43DF">
              <w:rPr>
                <w:rFonts w:ascii="Times New Roman" w:hAnsi="Times New Roman" w:cs="Times New Roman"/>
                <w:b/>
                <w:color w:val="000000"/>
                <w:sz w:val="14"/>
                <w:szCs w:val="14"/>
                <w:lang w:eastAsia="sk-SK"/>
              </w:rPr>
              <w:t>2011 R</w:t>
            </w:r>
          </w:p>
        </w:tc>
        <w:tc>
          <w:tcPr>
            <w:tcW w:w="972" w:type="dxa"/>
            <w:tcBorders>
              <w:top w:val="single" w:sz="4" w:space="0" w:color="auto"/>
              <w:left w:val="nil"/>
              <w:bottom w:val="single" w:sz="4" w:space="0" w:color="auto"/>
              <w:right w:val="single" w:sz="4" w:space="0" w:color="auto"/>
            </w:tcBorders>
            <w:noWrap/>
            <w:textDirection w:val="lrTb"/>
            <w:vAlign w:val="bottom"/>
            <w:hideMark/>
          </w:tcPr>
          <w:p w:rsidR="00CB350B" w:rsidRPr="00FA43DF" w:rsidP="00257E12">
            <w:pPr>
              <w:bidi w:val="0"/>
              <w:jc w:val="center"/>
              <w:rPr>
                <w:rFonts w:ascii="Times New Roman" w:hAnsi="Times New Roman" w:cs="Times New Roman"/>
                <w:b/>
                <w:color w:val="000000"/>
                <w:sz w:val="14"/>
                <w:szCs w:val="14"/>
                <w:lang w:eastAsia="sk-SK"/>
              </w:rPr>
            </w:pPr>
            <w:r w:rsidRPr="00FA43DF">
              <w:rPr>
                <w:rFonts w:ascii="Times New Roman" w:hAnsi="Times New Roman" w:cs="Times New Roman"/>
                <w:b/>
                <w:color w:val="000000"/>
                <w:sz w:val="14"/>
                <w:szCs w:val="14"/>
                <w:lang w:eastAsia="sk-SK"/>
              </w:rPr>
              <w:t>2011 OS</w:t>
            </w:r>
          </w:p>
        </w:tc>
        <w:tc>
          <w:tcPr>
            <w:tcW w:w="972" w:type="dxa"/>
            <w:tcBorders>
              <w:top w:val="single" w:sz="4" w:space="0" w:color="auto"/>
              <w:left w:val="nil"/>
              <w:bottom w:val="single" w:sz="4" w:space="0" w:color="auto"/>
              <w:right w:val="single" w:sz="4" w:space="0" w:color="auto"/>
            </w:tcBorders>
            <w:noWrap/>
            <w:textDirection w:val="lrTb"/>
            <w:vAlign w:val="bottom"/>
            <w:hideMark/>
          </w:tcPr>
          <w:p w:rsidR="00CB350B" w:rsidRPr="00FA43DF" w:rsidP="00257E12">
            <w:pPr>
              <w:bidi w:val="0"/>
              <w:jc w:val="center"/>
              <w:rPr>
                <w:rFonts w:ascii="Times New Roman" w:hAnsi="Times New Roman" w:cs="Times New Roman"/>
                <w:b/>
                <w:color w:val="000000"/>
                <w:sz w:val="14"/>
                <w:szCs w:val="14"/>
                <w:lang w:eastAsia="sk-SK"/>
              </w:rPr>
            </w:pPr>
            <w:r w:rsidRPr="00FA43DF">
              <w:rPr>
                <w:rFonts w:ascii="Times New Roman" w:hAnsi="Times New Roman" w:cs="Times New Roman"/>
                <w:b/>
                <w:color w:val="000000"/>
                <w:sz w:val="14"/>
                <w:szCs w:val="14"/>
                <w:lang w:eastAsia="sk-SK"/>
              </w:rPr>
              <w:t>2012 N</w:t>
            </w:r>
          </w:p>
        </w:tc>
        <w:tc>
          <w:tcPr>
            <w:tcW w:w="972" w:type="dxa"/>
            <w:tcBorders>
              <w:top w:val="single" w:sz="4" w:space="0" w:color="auto"/>
              <w:left w:val="nil"/>
              <w:bottom w:val="single" w:sz="4" w:space="0" w:color="auto"/>
              <w:right w:val="single" w:sz="4" w:space="0" w:color="auto"/>
            </w:tcBorders>
            <w:noWrap/>
            <w:textDirection w:val="lrTb"/>
            <w:vAlign w:val="bottom"/>
            <w:hideMark/>
          </w:tcPr>
          <w:p w:rsidR="00CB350B" w:rsidRPr="00FA43DF" w:rsidP="00257E12">
            <w:pPr>
              <w:bidi w:val="0"/>
              <w:jc w:val="center"/>
              <w:rPr>
                <w:rFonts w:ascii="Times New Roman" w:hAnsi="Times New Roman" w:cs="Times New Roman"/>
                <w:b/>
                <w:color w:val="000000"/>
                <w:sz w:val="14"/>
                <w:szCs w:val="14"/>
                <w:lang w:eastAsia="sk-SK"/>
              </w:rPr>
            </w:pPr>
            <w:r w:rsidRPr="00FA43DF">
              <w:rPr>
                <w:rFonts w:ascii="Times New Roman" w:hAnsi="Times New Roman" w:cs="Times New Roman"/>
                <w:b/>
                <w:color w:val="000000"/>
                <w:sz w:val="14"/>
                <w:szCs w:val="14"/>
                <w:lang w:eastAsia="sk-SK"/>
              </w:rPr>
              <w:t>2013 N</w:t>
            </w:r>
          </w:p>
        </w:tc>
        <w:tc>
          <w:tcPr>
            <w:tcW w:w="972" w:type="dxa"/>
            <w:tcBorders>
              <w:top w:val="single" w:sz="4" w:space="0" w:color="auto"/>
              <w:left w:val="nil"/>
              <w:bottom w:val="single" w:sz="4" w:space="0" w:color="auto"/>
              <w:right w:val="single" w:sz="4" w:space="0" w:color="auto"/>
            </w:tcBorders>
            <w:noWrap/>
            <w:textDirection w:val="lrTb"/>
            <w:vAlign w:val="bottom"/>
            <w:hideMark/>
          </w:tcPr>
          <w:p w:rsidR="00CB350B" w:rsidRPr="00FA43DF" w:rsidP="00257E12">
            <w:pPr>
              <w:bidi w:val="0"/>
              <w:jc w:val="center"/>
              <w:rPr>
                <w:rFonts w:ascii="Times New Roman" w:hAnsi="Times New Roman" w:cs="Times New Roman"/>
                <w:b/>
                <w:color w:val="000000"/>
                <w:sz w:val="14"/>
                <w:szCs w:val="14"/>
                <w:lang w:eastAsia="sk-SK"/>
              </w:rPr>
            </w:pPr>
            <w:r w:rsidRPr="00FA43DF">
              <w:rPr>
                <w:rFonts w:ascii="Times New Roman" w:hAnsi="Times New Roman" w:cs="Times New Roman"/>
                <w:b/>
                <w:color w:val="000000"/>
                <w:sz w:val="14"/>
                <w:szCs w:val="14"/>
                <w:lang w:eastAsia="sk-SK"/>
              </w:rPr>
              <w:t>2014 N</w:t>
            </w:r>
          </w:p>
        </w:tc>
      </w:tr>
      <w:tr>
        <w:tblPrEx>
          <w:tblW w:w="9229" w:type="dxa"/>
          <w:tblInd w:w="55" w:type="dxa"/>
          <w:tblLayout w:type="fixed"/>
          <w:tblCellMar>
            <w:left w:w="70" w:type="dxa"/>
            <w:right w:w="70" w:type="dxa"/>
          </w:tblCellMar>
          <w:tblLook w:val="04A0"/>
        </w:tblPrEx>
        <w:trPr>
          <w:trHeight w:val="279"/>
        </w:trPr>
        <w:tc>
          <w:tcPr>
            <w:tcW w:w="2425"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Zdroje príslušnej kapitoly</w:t>
            </w:r>
          </w:p>
        </w:tc>
        <w:tc>
          <w:tcPr>
            <w:tcW w:w="97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7 905 223</w:t>
            </w:r>
          </w:p>
        </w:tc>
        <w:tc>
          <w:tcPr>
            <w:tcW w:w="97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9 096 883</w:t>
            </w:r>
          </w:p>
        </w:tc>
        <w:tc>
          <w:tcPr>
            <w:tcW w:w="97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8 032 705</w:t>
            </w:r>
          </w:p>
        </w:tc>
        <w:tc>
          <w:tcPr>
            <w:tcW w:w="97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8 036 091</w:t>
            </w:r>
          </w:p>
        </w:tc>
        <w:tc>
          <w:tcPr>
            <w:tcW w:w="97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8 169 283</w:t>
            </w:r>
          </w:p>
        </w:tc>
        <w:tc>
          <w:tcPr>
            <w:tcW w:w="97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8 678 247</w:t>
            </w:r>
          </w:p>
        </w:tc>
        <w:tc>
          <w:tcPr>
            <w:tcW w:w="97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8 988 791</w:t>
            </w:r>
          </w:p>
        </w:tc>
      </w:tr>
      <w:tr>
        <w:tblPrEx>
          <w:tblW w:w="9229" w:type="dxa"/>
          <w:tblInd w:w="55" w:type="dxa"/>
          <w:tblLayout w:type="fixed"/>
          <w:tblCellMar>
            <w:left w:w="70" w:type="dxa"/>
            <w:right w:w="70" w:type="dxa"/>
          </w:tblCellMar>
          <w:tblLook w:val="04A0"/>
        </w:tblPrEx>
        <w:trPr>
          <w:trHeight w:val="279"/>
        </w:trPr>
        <w:tc>
          <w:tcPr>
            <w:tcW w:w="2425"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xml:space="preserve">rozpočtové zdroje kapitoly </w:t>
            </w:r>
          </w:p>
        </w:tc>
        <w:tc>
          <w:tcPr>
            <w:tcW w:w="97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7 905 223</w:t>
            </w:r>
          </w:p>
        </w:tc>
        <w:tc>
          <w:tcPr>
            <w:tcW w:w="97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9 045 371</w:t>
            </w:r>
          </w:p>
        </w:tc>
        <w:tc>
          <w:tcPr>
            <w:tcW w:w="97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8 032 705</w:t>
            </w:r>
          </w:p>
        </w:tc>
        <w:tc>
          <w:tcPr>
            <w:tcW w:w="97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8 032 705</w:t>
            </w:r>
          </w:p>
        </w:tc>
        <w:tc>
          <w:tcPr>
            <w:tcW w:w="97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8 169 283</w:t>
            </w:r>
          </w:p>
        </w:tc>
        <w:tc>
          <w:tcPr>
            <w:tcW w:w="97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8 678 247</w:t>
            </w:r>
          </w:p>
        </w:tc>
        <w:tc>
          <w:tcPr>
            <w:tcW w:w="97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8 988 791</w:t>
            </w:r>
          </w:p>
        </w:tc>
      </w:tr>
      <w:tr>
        <w:tblPrEx>
          <w:tblW w:w="9229" w:type="dxa"/>
          <w:tblInd w:w="55" w:type="dxa"/>
          <w:tblLayout w:type="fixed"/>
          <w:tblCellMar>
            <w:left w:w="70" w:type="dxa"/>
            <w:right w:w="70" w:type="dxa"/>
          </w:tblCellMar>
          <w:tblLook w:val="04A0"/>
        </w:tblPrEx>
        <w:trPr>
          <w:trHeight w:val="279"/>
        </w:trPr>
        <w:tc>
          <w:tcPr>
            <w:tcW w:w="2425"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xml:space="preserve">    v tom: bežné výdavky  600</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7 846 665</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8 779 510</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7 926 438</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7 926 438</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8 068 991</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8 577 955</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8 888 499</w:t>
            </w:r>
          </w:p>
        </w:tc>
      </w:tr>
      <w:tr>
        <w:tblPrEx>
          <w:tblW w:w="9229" w:type="dxa"/>
          <w:tblInd w:w="55" w:type="dxa"/>
          <w:tblLayout w:type="fixed"/>
          <w:tblCellMar>
            <w:left w:w="70" w:type="dxa"/>
            <w:right w:w="70" w:type="dxa"/>
          </w:tblCellMar>
          <w:tblLook w:val="04A0"/>
        </w:tblPrEx>
        <w:trPr>
          <w:trHeight w:val="279"/>
        </w:trPr>
        <w:tc>
          <w:tcPr>
            <w:tcW w:w="2425"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xml:space="preserve">                          610 mzdy</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5 436 053</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5 901 517</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5 455 363</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5 455 363</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5 588 566</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5 982 981</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6 223 633</w:t>
            </w:r>
          </w:p>
        </w:tc>
      </w:tr>
      <w:tr>
        <w:tblPrEx>
          <w:tblW w:w="9229" w:type="dxa"/>
          <w:tblInd w:w="55" w:type="dxa"/>
          <w:tblLayout w:type="fixed"/>
          <w:tblCellMar>
            <w:left w:w="70" w:type="dxa"/>
            <w:right w:w="70" w:type="dxa"/>
          </w:tblCellMar>
          <w:tblLook w:val="04A0"/>
        </w:tblPrEx>
        <w:trPr>
          <w:trHeight w:val="279"/>
        </w:trPr>
        <w:tc>
          <w:tcPr>
            <w:tcW w:w="2425"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xml:space="preserve">                          620 odvody</w:t>
            </w:r>
          </w:p>
        </w:tc>
        <w:tc>
          <w:tcPr>
            <w:tcW w:w="97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1 040 299</w:t>
            </w:r>
          </w:p>
        </w:tc>
        <w:tc>
          <w:tcPr>
            <w:tcW w:w="97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1 249 574</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1 675 460</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1 525 460</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1 718 031</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1 832 580</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1 902 472</w:t>
            </w:r>
          </w:p>
        </w:tc>
      </w:tr>
      <w:tr>
        <w:tblPrEx>
          <w:tblW w:w="9229" w:type="dxa"/>
          <w:tblInd w:w="55" w:type="dxa"/>
          <w:tblLayout w:type="fixed"/>
          <w:tblCellMar>
            <w:left w:w="70" w:type="dxa"/>
            <w:right w:w="70" w:type="dxa"/>
          </w:tblCellMar>
          <w:tblLook w:val="04A0"/>
        </w:tblPrEx>
        <w:trPr>
          <w:trHeight w:val="279"/>
        </w:trPr>
        <w:tc>
          <w:tcPr>
            <w:tcW w:w="2425"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xml:space="preserve">                          630 tovary a služby</w:t>
            </w:r>
          </w:p>
        </w:tc>
        <w:tc>
          <w:tcPr>
            <w:tcW w:w="97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1 172 049</w:t>
            </w:r>
          </w:p>
        </w:tc>
        <w:tc>
          <w:tcPr>
            <w:tcW w:w="97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1 510 305</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720 981</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860 984</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690 063</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690 063</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690 063</w:t>
            </w:r>
          </w:p>
        </w:tc>
      </w:tr>
      <w:tr>
        <w:tblPrEx>
          <w:tblW w:w="9229" w:type="dxa"/>
          <w:tblInd w:w="55" w:type="dxa"/>
          <w:tblLayout w:type="fixed"/>
          <w:tblCellMar>
            <w:left w:w="70" w:type="dxa"/>
            <w:right w:w="70" w:type="dxa"/>
          </w:tblCellMar>
          <w:tblLook w:val="04A0"/>
        </w:tblPrEx>
        <w:trPr>
          <w:trHeight w:val="279"/>
        </w:trPr>
        <w:tc>
          <w:tcPr>
            <w:tcW w:w="2425"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xml:space="preserve">                          640 bežné transfery</w:t>
            </w:r>
          </w:p>
        </w:tc>
        <w:tc>
          <w:tcPr>
            <w:tcW w:w="97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198 264</w:t>
            </w:r>
          </w:p>
        </w:tc>
        <w:tc>
          <w:tcPr>
            <w:tcW w:w="97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118 114</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74 634</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84 631</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72 331</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72 331</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72 331</w:t>
            </w:r>
          </w:p>
        </w:tc>
      </w:tr>
      <w:tr>
        <w:tblPrEx>
          <w:tblW w:w="9229" w:type="dxa"/>
          <w:tblInd w:w="55" w:type="dxa"/>
          <w:tblLayout w:type="fixed"/>
          <w:tblCellMar>
            <w:left w:w="70" w:type="dxa"/>
            <w:right w:w="70" w:type="dxa"/>
          </w:tblCellMar>
          <w:tblLook w:val="04A0"/>
        </w:tblPrEx>
        <w:trPr>
          <w:trHeight w:val="279"/>
        </w:trPr>
        <w:tc>
          <w:tcPr>
            <w:tcW w:w="2425"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xml:space="preserve">                kapitálové výdavky 700</w:t>
            </w:r>
          </w:p>
        </w:tc>
        <w:tc>
          <w:tcPr>
            <w:tcW w:w="97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58 557</w:t>
            </w:r>
          </w:p>
        </w:tc>
        <w:tc>
          <w:tcPr>
            <w:tcW w:w="972" w:type="dxa"/>
            <w:tcBorders>
              <w:top w:val="nil"/>
              <w:left w:val="nil"/>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265 861</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106 267</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106 267</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100 292</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100 292</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100 292</w:t>
            </w:r>
          </w:p>
        </w:tc>
      </w:tr>
      <w:tr>
        <w:tblPrEx>
          <w:tblW w:w="9229" w:type="dxa"/>
          <w:tblInd w:w="55" w:type="dxa"/>
          <w:tblLayout w:type="fixed"/>
          <w:tblCellMar>
            <w:left w:w="70" w:type="dxa"/>
            <w:right w:w="70" w:type="dxa"/>
          </w:tblCellMar>
          <w:tblLook w:val="04A0"/>
        </w:tblPrEx>
        <w:trPr>
          <w:trHeight w:val="279"/>
        </w:trPr>
        <w:tc>
          <w:tcPr>
            <w:tcW w:w="2425"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presun z minulých rokov</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51 512</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3 386</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97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r>
    </w:tbl>
    <w:p w:rsidR="00CB350B" w:rsidRPr="0004638E" w:rsidP="00CB350B">
      <w:pPr>
        <w:bidi w:val="0"/>
        <w:jc w:val="both"/>
        <w:rPr>
          <w:rFonts w:ascii="Times New Roman" w:hAnsi="Times New Roman" w:cs="Times New Roman"/>
          <w:b/>
        </w:rPr>
      </w:pPr>
    </w:p>
    <w:p w:rsidR="00CB350B" w:rsidRPr="00677849" w:rsidP="00CB350B">
      <w:pPr>
        <w:bidi w:val="0"/>
        <w:ind w:firstLine="708"/>
        <w:jc w:val="both"/>
        <w:rPr>
          <w:rFonts w:ascii="Times New Roman" w:hAnsi="Times New Roman" w:cs="Times New Roman"/>
        </w:rPr>
      </w:pPr>
      <w:r w:rsidRPr="00677849">
        <w:rPr>
          <w:rFonts w:ascii="Times New Roman" w:hAnsi="Times New Roman" w:cs="Times New Roman"/>
        </w:rPr>
        <w:t xml:space="preserve">Celkové výdavky kapitoly na rok 2012 sa rozpočtujú v sume 8,17 mil. eur a medziročne rastú o 1,70 %. </w:t>
      </w:r>
    </w:p>
    <w:p w:rsidR="00CB350B" w:rsidRPr="00677849" w:rsidP="00CB350B">
      <w:pPr>
        <w:bidi w:val="0"/>
        <w:jc w:val="both"/>
        <w:rPr>
          <w:rFonts w:ascii="Times New Roman" w:hAnsi="Times New Roman" w:cs="Times New Roman"/>
          <w:highlight w:val="yellow"/>
        </w:rPr>
      </w:pPr>
    </w:p>
    <w:p w:rsidR="00CB350B" w:rsidRPr="00677849" w:rsidP="00CB350B">
      <w:pPr>
        <w:bidi w:val="0"/>
        <w:ind w:firstLine="708"/>
        <w:jc w:val="both"/>
        <w:rPr>
          <w:rFonts w:ascii="Times New Roman" w:hAnsi="Times New Roman" w:cs="Times New Roman"/>
        </w:rPr>
      </w:pPr>
      <w:r w:rsidRPr="00677849">
        <w:rPr>
          <w:rFonts w:ascii="Times New Roman" w:hAnsi="Times New Roman" w:cs="Times New Roman"/>
        </w:rPr>
        <w:t xml:space="preserve">Bežné výdavky sa rozpočtujú v sume 8,07 mil. eur a oproti schválenému rozpočtu roku 2011 rastú o 1,80 %. </w:t>
      </w:r>
    </w:p>
    <w:p w:rsidR="00CB350B" w:rsidRPr="00677849" w:rsidP="00CB350B">
      <w:pPr>
        <w:bidi w:val="0"/>
        <w:jc w:val="both"/>
        <w:rPr>
          <w:rFonts w:ascii="Times New Roman" w:hAnsi="Times New Roman" w:cs="Times New Roman"/>
        </w:rPr>
      </w:pPr>
    </w:p>
    <w:p w:rsidR="00CB350B" w:rsidRPr="00677849" w:rsidP="00CB350B">
      <w:pPr>
        <w:bidi w:val="0"/>
        <w:ind w:firstLine="708"/>
        <w:jc w:val="both"/>
        <w:rPr>
          <w:rFonts w:ascii="Times New Roman" w:hAnsi="Times New Roman" w:cs="Times New Roman"/>
        </w:rPr>
      </w:pPr>
      <w:r>
        <w:rPr>
          <w:rFonts w:ascii="Times New Roman" w:hAnsi="Times New Roman" w:cs="Times New Roman"/>
        </w:rPr>
        <w:t>Na</w:t>
      </w:r>
      <w:r w:rsidRPr="00677849">
        <w:rPr>
          <w:rFonts w:ascii="Times New Roman" w:hAnsi="Times New Roman" w:cs="Times New Roman"/>
        </w:rPr>
        <w:t xml:space="preserve"> rok 2012 sa rozpočtujú osobné výdavky v sume 7,31 mil. eur, čo je o 2,46 % vyššie ako schválený rozpočet osobných výdavkov v roku 2011.</w:t>
      </w:r>
    </w:p>
    <w:p w:rsidR="00CB350B" w:rsidRPr="00677849" w:rsidP="00CB350B">
      <w:pPr>
        <w:bidi w:val="0"/>
        <w:jc w:val="both"/>
        <w:rPr>
          <w:rFonts w:ascii="Times New Roman" w:hAnsi="Times New Roman" w:cs="Times New Roman"/>
        </w:rPr>
      </w:pPr>
    </w:p>
    <w:p w:rsidR="00CB350B" w:rsidRPr="00677849" w:rsidP="00CB350B">
      <w:pPr>
        <w:bidi w:val="0"/>
        <w:ind w:firstLine="708"/>
        <w:jc w:val="both"/>
        <w:rPr>
          <w:rFonts w:ascii="Times New Roman" w:hAnsi="Times New Roman" w:cs="Times New Roman"/>
          <w:color w:val="C00000"/>
        </w:rPr>
      </w:pPr>
      <w:r w:rsidRPr="00677849">
        <w:rPr>
          <w:rFonts w:ascii="Times New Roman" w:hAnsi="Times New Roman" w:cs="Times New Roman"/>
        </w:rPr>
        <w:t xml:space="preserve">V porovnaní so schváleným rozpočtom na rok 2011 rozhodujúcou zmenou v rozpočte osobných výdavkov v roku 2012 je ich zvýšenie súvisiace so zákonom č. 120/1993 Z. </w:t>
      </w:r>
      <w:r>
        <w:rPr>
          <w:rFonts w:ascii="Times New Roman" w:hAnsi="Times New Roman" w:cs="Times New Roman"/>
        </w:rPr>
        <w:t>z.</w:t>
      </w:r>
      <w:r w:rsidRPr="00677849">
        <w:rPr>
          <w:rFonts w:ascii="Times New Roman" w:hAnsi="Times New Roman" w:cs="Times New Roman"/>
        </w:rPr>
        <w:t xml:space="preserve"> Nárast osobných výdavkov ústavných činiteľov, sudcov a štátnych zamestnancov vo verejných funkciách v roku 2012 zohľadňuje v kapitole štátneho rozpočtu dopočet platových náležitostí reálne vyplácaných v roku 2011 v zmysle zákona. </w:t>
      </w:r>
    </w:p>
    <w:p w:rsidR="00CB350B" w:rsidRPr="00677849" w:rsidP="00CB350B">
      <w:pPr>
        <w:bidi w:val="0"/>
        <w:jc w:val="both"/>
        <w:rPr>
          <w:rFonts w:ascii="Times New Roman" w:hAnsi="Times New Roman" w:cs="Times New Roman"/>
        </w:rPr>
      </w:pPr>
    </w:p>
    <w:p w:rsidR="00CB350B" w:rsidRPr="00677849" w:rsidP="00CB350B">
      <w:pPr>
        <w:bidi w:val="0"/>
        <w:ind w:firstLine="708"/>
        <w:jc w:val="both"/>
        <w:rPr>
          <w:rFonts w:ascii="Times New Roman" w:hAnsi="Times New Roman" w:cs="Times New Roman"/>
        </w:rPr>
      </w:pPr>
      <w:r w:rsidRPr="00677849">
        <w:rPr>
          <w:rFonts w:ascii="Times New Roman" w:hAnsi="Times New Roman" w:cs="Times New Roman"/>
        </w:rPr>
        <w:t>Tovary a služby sa rozpočtujú v sume 690 tis. eur, čo predstavuje pokles o 4,29 % oproti schválenému rozpočtu roku 2011, nižší pokles je spôsobený nižším rozpočtovaním kapitálových výdavkov.</w:t>
      </w:r>
    </w:p>
    <w:p w:rsidR="00CB350B" w:rsidRPr="00677849" w:rsidP="00CB350B">
      <w:pPr>
        <w:bidi w:val="0"/>
        <w:jc w:val="both"/>
        <w:rPr>
          <w:rFonts w:ascii="Times New Roman" w:hAnsi="Times New Roman" w:cs="Times New Roman"/>
        </w:rPr>
      </w:pPr>
    </w:p>
    <w:p w:rsidR="00CB350B" w:rsidRPr="00677849" w:rsidP="00CB350B">
      <w:pPr>
        <w:bidi w:val="0"/>
        <w:ind w:firstLine="708"/>
        <w:jc w:val="both"/>
        <w:rPr>
          <w:rFonts w:ascii="Times New Roman" w:hAnsi="Times New Roman" w:cs="Times New Roman"/>
        </w:rPr>
      </w:pPr>
      <w:r w:rsidRPr="00677849">
        <w:rPr>
          <w:rFonts w:ascii="Times New Roman" w:hAnsi="Times New Roman" w:cs="Times New Roman"/>
        </w:rPr>
        <w:t>Bežné transfery sa rozpočtujú v sume 72,3 tis. eur, čo predstavuje pokles o 3,09 % oproti schválenému rozpočtu roku 2011, nižší pokles je spôsobený nižším rozpočtovaním kapitálových výdavkov.</w:t>
      </w:r>
    </w:p>
    <w:p w:rsidR="00CB350B" w:rsidRPr="00677849" w:rsidP="00CB350B">
      <w:pPr>
        <w:bidi w:val="0"/>
        <w:jc w:val="both"/>
        <w:rPr>
          <w:rFonts w:ascii="Times New Roman" w:hAnsi="Times New Roman" w:cs="Times New Roman"/>
        </w:rPr>
      </w:pPr>
    </w:p>
    <w:p w:rsidR="00CB350B" w:rsidRPr="00677849" w:rsidP="00CB350B">
      <w:pPr>
        <w:bidi w:val="0"/>
        <w:ind w:firstLine="708"/>
        <w:jc w:val="both"/>
        <w:rPr>
          <w:rFonts w:ascii="Times New Roman" w:hAnsi="Times New Roman" w:cs="Times New Roman"/>
        </w:rPr>
      </w:pPr>
      <w:r w:rsidRPr="00677849">
        <w:rPr>
          <w:rFonts w:ascii="Times New Roman" w:hAnsi="Times New Roman" w:cs="Times New Roman"/>
        </w:rPr>
        <w:t>Kapitálové výdavky sa rozpočtujú v sume 100 tis. eur, čo predstavuje pokles o 5,62 % oproti schválenému rozpočtu roku 2011.</w:t>
      </w:r>
      <w:r>
        <w:rPr>
          <w:rFonts w:ascii="Times New Roman" w:hAnsi="Times New Roman" w:cs="Times New Roman"/>
        </w:rPr>
        <w:t xml:space="preserve"> Zníženie kapitálových výdavkov o 5,98 tis. eur bolo realizované na úkor menšieho poklesu v tovaroch a službách.</w:t>
      </w:r>
    </w:p>
    <w:p w:rsidR="00CB350B" w:rsidRPr="00677849" w:rsidP="00CB350B">
      <w:pPr>
        <w:bidi w:val="0"/>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Pr>
          <w:rFonts w:ascii="Times New Roman" w:hAnsi="Times New Roman" w:cs="Times New Roman"/>
        </w:rPr>
        <w:t>Výdavky kapitoly sú smerované do nasledovných oblastí.</w:t>
      </w:r>
    </w:p>
    <w:p w:rsidR="00257E12" w:rsidP="00CB350B">
      <w:pPr>
        <w:bidi w:val="0"/>
        <w:jc w:val="both"/>
        <w:rPr>
          <w:rFonts w:ascii="Times New Roman" w:hAnsi="Times New Roman" w:cs="Times New Roman"/>
          <w:b/>
        </w:rPr>
      </w:pPr>
    </w:p>
    <w:p w:rsidR="00257E12" w:rsidP="00CB350B">
      <w:pPr>
        <w:bidi w:val="0"/>
        <w:jc w:val="both"/>
        <w:rPr>
          <w:rFonts w:ascii="Times New Roman" w:hAnsi="Times New Roman" w:cs="Times New Roman"/>
          <w:b/>
        </w:rPr>
      </w:pPr>
    </w:p>
    <w:p w:rsidR="00257E12" w:rsidP="00CB350B">
      <w:pPr>
        <w:bidi w:val="0"/>
        <w:jc w:val="both"/>
        <w:rPr>
          <w:rFonts w:ascii="Times New Roman" w:hAnsi="Times New Roman" w:cs="Times New Roman"/>
          <w:b/>
        </w:rPr>
      </w:pPr>
    </w:p>
    <w:p w:rsidR="00257E12" w:rsidP="00CB350B">
      <w:pPr>
        <w:bidi w:val="0"/>
        <w:jc w:val="both"/>
        <w:rPr>
          <w:rFonts w:ascii="Times New Roman" w:hAnsi="Times New Roman" w:cs="Times New Roman"/>
          <w:b/>
        </w:rPr>
      </w:pPr>
    </w:p>
    <w:p w:rsidR="00257E12" w:rsidP="00CB350B">
      <w:pPr>
        <w:bidi w:val="0"/>
        <w:jc w:val="both"/>
        <w:rPr>
          <w:rFonts w:ascii="Times New Roman" w:hAnsi="Times New Roman" w:cs="Times New Roman"/>
          <w:b/>
        </w:rPr>
      </w:pPr>
    </w:p>
    <w:p w:rsidR="00257E12" w:rsidP="00CB350B">
      <w:pPr>
        <w:bidi w:val="0"/>
        <w:jc w:val="both"/>
        <w:rPr>
          <w:rFonts w:ascii="Times New Roman" w:hAnsi="Times New Roman" w:cs="Times New Roman"/>
          <w:b/>
        </w:rPr>
      </w:pPr>
    </w:p>
    <w:p w:rsidR="00257E12" w:rsidP="00CB350B">
      <w:pPr>
        <w:bidi w:val="0"/>
        <w:jc w:val="both"/>
        <w:rPr>
          <w:rFonts w:ascii="Times New Roman" w:hAnsi="Times New Roman" w:cs="Times New Roman"/>
          <w:b/>
        </w:rPr>
      </w:pPr>
    </w:p>
    <w:p w:rsidR="00257E12" w:rsidP="00CB350B">
      <w:pPr>
        <w:bidi w:val="0"/>
        <w:jc w:val="both"/>
        <w:rPr>
          <w:rFonts w:ascii="Times New Roman" w:hAnsi="Times New Roman" w:cs="Times New Roman"/>
          <w:b/>
        </w:rPr>
      </w:pPr>
    </w:p>
    <w:p w:rsidR="00257E12" w:rsidP="00CB350B">
      <w:pPr>
        <w:bidi w:val="0"/>
        <w:jc w:val="both"/>
        <w:rPr>
          <w:rFonts w:ascii="Times New Roman" w:hAnsi="Times New Roman" w:cs="Times New Roman"/>
          <w:b/>
        </w:rPr>
      </w:pPr>
    </w:p>
    <w:p w:rsidR="00CB350B" w:rsidRPr="00FA43DF" w:rsidP="00CB350B">
      <w:pPr>
        <w:bidi w:val="0"/>
        <w:jc w:val="both"/>
        <w:rPr>
          <w:rFonts w:ascii="Times New Roman" w:hAnsi="Times New Roman" w:cs="Times New Roman"/>
          <w:b/>
        </w:rPr>
      </w:pPr>
      <w:r w:rsidRPr="00FA43DF">
        <w:rPr>
          <w:rFonts w:ascii="Times New Roman" w:hAnsi="Times New Roman" w:cs="Times New Roman"/>
          <w:b/>
        </w:rPr>
        <w:t>Najvyšší súd SR</w:t>
      </w:r>
    </w:p>
    <w:p w:rsidR="00CB350B" w:rsidRPr="0004638E" w:rsidP="00CB350B">
      <w:pPr>
        <w:bidi w:val="0"/>
        <w:jc w:val="both"/>
        <w:rPr>
          <w:rFonts w:ascii="Times New Roman" w:hAnsi="Times New Roman" w:cs="Times New Roman"/>
        </w:rPr>
      </w:pPr>
    </w:p>
    <w:tbl>
      <w:tblPr>
        <w:tblStyle w:val="TableNormal"/>
        <w:tblW w:w="9229" w:type="dxa"/>
        <w:tblInd w:w="55" w:type="dxa"/>
        <w:tblLayout w:type="fixed"/>
        <w:tblCellMar>
          <w:left w:w="70" w:type="dxa"/>
          <w:right w:w="70" w:type="dxa"/>
        </w:tblCellMar>
        <w:tblLook w:val="04A0"/>
      </w:tblPr>
      <w:tblGrid>
        <w:gridCol w:w="2567"/>
        <w:gridCol w:w="951"/>
        <w:gridCol w:w="952"/>
        <w:gridCol w:w="952"/>
        <w:gridCol w:w="951"/>
        <w:gridCol w:w="952"/>
        <w:gridCol w:w="952"/>
        <w:gridCol w:w="952"/>
      </w:tblGrid>
      <w:tr>
        <w:tblPrEx>
          <w:tblW w:w="9229" w:type="dxa"/>
          <w:tblInd w:w="55" w:type="dxa"/>
          <w:tblLayout w:type="fixed"/>
          <w:tblCellMar>
            <w:left w:w="70" w:type="dxa"/>
            <w:right w:w="70" w:type="dxa"/>
          </w:tblCellMar>
          <w:tblLook w:val="04A0"/>
        </w:tblPrEx>
        <w:trPr>
          <w:trHeight w:val="270"/>
        </w:trPr>
        <w:tc>
          <w:tcPr>
            <w:tcW w:w="2567"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v eurách</w:t>
            </w:r>
          </w:p>
        </w:tc>
        <w:tc>
          <w:tcPr>
            <w:tcW w:w="951"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2009 S</w:t>
            </w:r>
          </w:p>
        </w:tc>
        <w:tc>
          <w:tcPr>
            <w:tcW w:w="952"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2010 S</w:t>
            </w:r>
          </w:p>
        </w:tc>
        <w:tc>
          <w:tcPr>
            <w:tcW w:w="952"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2011 R</w:t>
            </w:r>
          </w:p>
        </w:tc>
        <w:tc>
          <w:tcPr>
            <w:tcW w:w="951"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2011 OS</w:t>
            </w:r>
          </w:p>
        </w:tc>
        <w:tc>
          <w:tcPr>
            <w:tcW w:w="952"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2012 N</w:t>
            </w:r>
          </w:p>
        </w:tc>
        <w:tc>
          <w:tcPr>
            <w:tcW w:w="952"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2013 N</w:t>
            </w:r>
          </w:p>
        </w:tc>
        <w:tc>
          <w:tcPr>
            <w:tcW w:w="952"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2014 N</w:t>
            </w:r>
          </w:p>
        </w:tc>
      </w:tr>
      <w:tr>
        <w:tblPrEx>
          <w:tblW w:w="9229" w:type="dxa"/>
          <w:tblInd w:w="55" w:type="dxa"/>
          <w:tblLayout w:type="fixed"/>
          <w:tblCellMar>
            <w:left w:w="70" w:type="dxa"/>
            <w:right w:w="70" w:type="dxa"/>
          </w:tblCellMar>
          <w:tblLook w:val="04A0"/>
        </w:tblPrEx>
        <w:trPr>
          <w:trHeight w:val="270"/>
        </w:trPr>
        <w:tc>
          <w:tcPr>
            <w:tcW w:w="2567"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 xml:space="preserve">Najvyšší súd SR </w:t>
            </w:r>
          </w:p>
        </w:tc>
        <w:tc>
          <w:tcPr>
            <w:tcW w:w="95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7 642 787</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8 693 533</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7 566 161</w:t>
            </w:r>
          </w:p>
        </w:tc>
        <w:tc>
          <w:tcPr>
            <w:tcW w:w="95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7 566 161</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7 713 604</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8 222 568</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8 533 112</w:t>
            </w:r>
          </w:p>
        </w:tc>
      </w:tr>
      <w:tr>
        <w:tblPrEx>
          <w:tblW w:w="9229" w:type="dxa"/>
          <w:tblInd w:w="55" w:type="dxa"/>
          <w:tblLayout w:type="fixed"/>
          <w:tblCellMar>
            <w:left w:w="70" w:type="dxa"/>
            <w:right w:w="70" w:type="dxa"/>
          </w:tblCellMar>
          <w:tblLook w:val="04A0"/>
        </w:tblPrEx>
        <w:trPr>
          <w:trHeight w:val="270"/>
        </w:trPr>
        <w:tc>
          <w:tcPr>
            <w:tcW w:w="2567"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xml:space="preserve">              610 mzdy</w:t>
            </w:r>
          </w:p>
        </w:tc>
        <w:tc>
          <w:tcPr>
            <w:tcW w:w="95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5 343 288</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5 709 082</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5 213 708</w:t>
            </w:r>
          </w:p>
        </w:tc>
        <w:tc>
          <w:tcPr>
            <w:tcW w:w="95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5 213 708</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5 346 911</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5 741 326</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5 981 978</w:t>
            </w:r>
          </w:p>
        </w:tc>
      </w:tr>
      <w:tr>
        <w:tblPrEx>
          <w:tblW w:w="9229" w:type="dxa"/>
          <w:tblInd w:w="55" w:type="dxa"/>
          <w:tblLayout w:type="fixed"/>
          <w:tblCellMar>
            <w:left w:w="70" w:type="dxa"/>
            <w:right w:w="70" w:type="dxa"/>
          </w:tblCellMar>
          <w:tblLook w:val="04A0"/>
        </w:tblPrEx>
        <w:trPr>
          <w:trHeight w:val="270"/>
        </w:trPr>
        <w:tc>
          <w:tcPr>
            <w:tcW w:w="2567"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xml:space="preserve">              620 odvody</w:t>
            </w:r>
          </w:p>
        </w:tc>
        <w:tc>
          <w:tcPr>
            <w:tcW w:w="95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1 010 655</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1 198 346</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1 591 001</w:t>
            </w:r>
          </w:p>
        </w:tc>
        <w:tc>
          <w:tcPr>
            <w:tcW w:w="95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1 441 001</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1 630 425</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1 744 974</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1 814 866</w:t>
            </w:r>
          </w:p>
        </w:tc>
      </w:tr>
      <w:tr>
        <w:tblPrEx>
          <w:tblW w:w="9229" w:type="dxa"/>
          <w:tblInd w:w="55" w:type="dxa"/>
          <w:tblLayout w:type="fixed"/>
          <w:tblCellMar>
            <w:left w:w="70" w:type="dxa"/>
            <w:right w:w="70" w:type="dxa"/>
          </w:tblCellMar>
          <w:tblLook w:val="04A0"/>
        </w:tblPrEx>
        <w:trPr>
          <w:trHeight w:val="270"/>
        </w:trPr>
        <w:tc>
          <w:tcPr>
            <w:tcW w:w="2567"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xml:space="preserve">              630 tovary a služby</w:t>
            </w:r>
          </w:p>
        </w:tc>
        <w:tc>
          <w:tcPr>
            <w:tcW w:w="95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1 048 006</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1 366 993</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603 747</w:t>
            </w:r>
          </w:p>
        </w:tc>
        <w:tc>
          <w:tcPr>
            <w:tcW w:w="95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743 747</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578 563</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578 563</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578 563</w:t>
            </w:r>
          </w:p>
        </w:tc>
      </w:tr>
      <w:tr>
        <w:tblPrEx>
          <w:tblW w:w="9229" w:type="dxa"/>
          <w:tblInd w:w="55" w:type="dxa"/>
          <w:tblLayout w:type="fixed"/>
          <w:tblCellMar>
            <w:left w:w="70" w:type="dxa"/>
            <w:right w:w="70" w:type="dxa"/>
          </w:tblCellMar>
          <w:tblLook w:val="04A0"/>
        </w:tblPrEx>
        <w:trPr>
          <w:trHeight w:val="270"/>
        </w:trPr>
        <w:tc>
          <w:tcPr>
            <w:tcW w:w="2567"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xml:space="preserve">              640 bežné transfery</w:t>
            </w:r>
          </w:p>
        </w:tc>
        <w:tc>
          <w:tcPr>
            <w:tcW w:w="95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184 292</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117 674</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67 331</w:t>
            </w:r>
          </w:p>
        </w:tc>
        <w:tc>
          <w:tcPr>
            <w:tcW w:w="95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77 331</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67 331</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67 331</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67 331</w:t>
            </w:r>
          </w:p>
        </w:tc>
      </w:tr>
      <w:tr>
        <w:tblPrEx>
          <w:tblW w:w="9229" w:type="dxa"/>
          <w:tblInd w:w="55" w:type="dxa"/>
          <w:tblLayout w:type="fixed"/>
          <w:tblCellMar>
            <w:left w:w="70" w:type="dxa"/>
            <w:right w:w="70" w:type="dxa"/>
          </w:tblCellMar>
          <w:tblLook w:val="04A0"/>
        </w:tblPrEx>
        <w:trPr>
          <w:trHeight w:val="270"/>
        </w:trPr>
        <w:tc>
          <w:tcPr>
            <w:tcW w:w="2567"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Cs/>
                <w:color w:val="000000"/>
                <w:sz w:val="14"/>
                <w:szCs w:val="14"/>
                <w:lang w:eastAsia="sk-SK"/>
              </w:rPr>
            </w:pPr>
            <w:r w:rsidRPr="005A6E2D">
              <w:rPr>
                <w:rFonts w:ascii="Times New Roman" w:hAnsi="Times New Roman" w:cs="Times New Roman"/>
                <w:bCs/>
                <w:color w:val="000000"/>
                <w:sz w:val="14"/>
                <w:szCs w:val="14"/>
                <w:lang w:eastAsia="sk-SK"/>
              </w:rPr>
              <w:t xml:space="preserve">              kapitálové výdavky 700</w:t>
            </w:r>
          </w:p>
        </w:tc>
        <w:tc>
          <w:tcPr>
            <w:tcW w:w="95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Cs/>
                <w:color w:val="000000"/>
                <w:sz w:val="14"/>
                <w:szCs w:val="14"/>
              </w:rPr>
            </w:pPr>
            <w:r w:rsidRPr="005A6E2D">
              <w:rPr>
                <w:rFonts w:ascii="Times New Roman" w:hAnsi="Times New Roman" w:cs="Times New Roman"/>
                <w:bCs/>
                <w:color w:val="000000"/>
                <w:sz w:val="14"/>
                <w:szCs w:val="14"/>
              </w:rPr>
              <w:t>56 546</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Cs/>
                <w:color w:val="000000"/>
                <w:sz w:val="14"/>
                <w:szCs w:val="14"/>
              </w:rPr>
            </w:pPr>
            <w:r w:rsidRPr="005A6E2D">
              <w:rPr>
                <w:rFonts w:ascii="Times New Roman" w:hAnsi="Times New Roman" w:cs="Times New Roman"/>
                <w:bCs/>
                <w:color w:val="000000"/>
                <w:sz w:val="14"/>
                <w:szCs w:val="14"/>
              </w:rPr>
              <w:t>301 438</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Cs/>
                <w:color w:val="000000"/>
                <w:sz w:val="14"/>
                <w:szCs w:val="14"/>
              </w:rPr>
            </w:pPr>
            <w:r w:rsidRPr="005A6E2D">
              <w:rPr>
                <w:rFonts w:ascii="Times New Roman" w:hAnsi="Times New Roman" w:cs="Times New Roman"/>
                <w:bCs/>
                <w:color w:val="000000"/>
                <w:sz w:val="14"/>
                <w:szCs w:val="14"/>
              </w:rPr>
              <w:t>90 374</w:t>
            </w:r>
          </w:p>
        </w:tc>
        <w:tc>
          <w:tcPr>
            <w:tcW w:w="95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90 374</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Cs/>
                <w:color w:val="000000"/>
                <w:sz w:val="14"/>
                <w:szCs w:val="14"/>
              </w:rPr>
            </w:pPr>
            <w:r w:rsidRPr="005A6E2D">
              <w:rPr>
                <w:rFonts w:ascii="Times New Roman" w:hAnsi="Times New Roman" w:cs="Times New Roman"/>
                <w:bCs/>
                <w:color w:val="000000"/>
                <w:sz w:val="14"/>
                <w:szCs w:val="14"/>
              </w:rPr>
              <w:t>90 374</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Cs/>
                <w:color w:val="000000"/>
                <w:sz w:val="14"/>
                <w:szCs w:val="14"/>
              </w:rPr>
            </w:pPr>
            <w:r w:rsidRPr="005A6E2D">
              <w:rPr>
                <w:rFonts w:ascii="Times New Roman" w:hAnsi="Times New Roman" w:cs="Times New Roman"/>
                <w:bCs/>
                <w:color w:val="000000"/>
                <w:sz w:val="14"/>
                <w:szCs w:val="14"/>
              </w:rPr>
              <w:t>90 374</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Cs/>
                <w:color w:val="000000"/>
                <w:sz w:val="14"/>
                <w:szCs w:val="14"/>
              </w:rPr>
            </w:pPr>
            <w:r w:rsidRPr="005A6E2D">
              <w:rPr>
                <w:rFonts w:ascii="Times New Roman" w:hAnsi="Times New Roman" w:cs="Times New Roman"/>
                <w:bCs/>
                <w:color w:val="000000"/>
                <w:sz w:val="14"/>
                <w:szCs w:val="14"/>
              </w:rPr>
              <w:t>90 374</w:t>
            </w:r>
          </w:p>
        </w:tc>
      </w:tr>
    </w:tbl>
    <w:p w:rsidR="00CB350B" w:rsidRPr="0004638E" w:rsidP="00CB350B">
      <w:pPr>
        <w:bidi w:val="0"/>
        <w:jc w:val="both"/>
        <w:rPr>
          <w:rFonts w:ascii="Times New Roman" w:hAnsi="Times New Roman" w:cs="Times New Roman"/>
          <w:b/>
        </w:rPr>
      </w:pPr>
    </w:p>
    <w:p w:rsidR="00CB350B" w:rsidRPr="0004638E" w:rsidP="00CB350B">
      <w:pPr>
        <w:bidi w:val="0"/>
        <w:ind w:firstLine="708"/>
        <w:jc w:val="both"/>
        <w:rPr>
          <w:rFonts w:ascii="Times New Roman" w:hAnsi="Times New Roman" w:cs="Times New Roman"/>
        </w:rPr>
      </w:pPr>
      <w:r>
        <w:rPr>
          <w:rFonts w:ascii="Times New Roman" w:hAnsi="Times New Roman" w:cs="Times New Roman"/>
        </w:rPr>
        <w:t>Na</w:t>
      </w:r>
      <w:r w:rsidRPr="0004638E">
        <w:rPr>
          <w:rFonts w:ascii="Times New Roman" w:hAnsi="Times New Roman" w:cs="Times New Roman"/>
        </w:rPr>
        <w:t xml:space="preserve"> program Jednotný výklad, aplikácia zákona – program najvyššieho súdu sa rozpočtujú prostriedky v sume 7,71 mil. eur a sú oproti schválenému rozpočtu roku 2011 vyššie o 1,95</w:t>
      </w:r>
      <w:r>
        <w:rPr>
          <w:rFonts w:ascii="Times New Roman" w:hAnsi="Times New Roman" w:cs="Times New Roman"/>
        </w:rPr>
        <w:t xml:space="preserve"> </w:t>
      </w:r>
      <w:r w:rsidRPr="0004638E">
        <w:rPr>
          <w:rFonts w:ascii="Times New Roman" w:hAnsi="Times New Roman" w:cs="Times New Roman"/>
        </w:rPr>
        <w:t>%.</w:t>
      </w:r>
    </w:p>
    <w:p w:rsidR="00CB350B" w:rsidRPr="0004638E" w:rsidP="00CB350B">
      <w:pPr>
        <w:bidi w:val="0"/>
        <w:jc w:val="both"/>
        <w:rPr>
          <w:rFonts w:ascii="Times New Roman" w:hAnsi="Times New Roman" w:cs="Times New Roman"/>
        </w:rPr>
      </w:pPr>
    </w:p>
    <w:p w:rsidR="00CB350B" w:rsidRPr="00FA43DF" w:rsidP="00CB350B">
      <w:pPr>
        <w:bidi w:val="0"/>
        <w:jc w:val="both"/>
        <w:rPr>
          <w:rFonts w:ascii="Times New Roman" w:hAnsi="Times New Roman" w:cs="Times New Roman"/>
          <w:b/>
        </w:rPr>
      </w:pPr>
      <w:r>
        <w:rPr>
          <w:rFonts w:ascii="Times New Roman" w:hAnsi="Times New Roman" w:cs="Times New Roman"/>
          <w:b/>
        </w:rPr>
        <w:t>Kancelária S</w:t>
      </w:r>
      <w:r w:rsidRPr="00FA43DF">
        <w:rPr>
          <w:rFonts w:ascii="Times New Roman" w:hAnsi="Times New Roman" w:cs="Times New Roman"/>
          <w:b/>
        </w:rPr>
        <w:t>údnej rady SR</w:t>
      </w:r>
    </w:p>
    <w:p w:rsidR="00CB350B" w:rsidRPr="0004638E" w:rsidP="00CB350B">
      <w:pPr>
        <w:bidi w:val="0"/>
        <w:jc w:val="both"/>
        <w:rPr>
          <w:rFonts w:ascii="Times New Roman" w:hAnsi="Times New Roman" w:cs="Times New Roman"/>
        </w:rPr>
      </w:pPr>
    </w:p>
    <w:tbl>
      <w:tblPr>
        <w:tblStyle w:val="TableNormal"/>
        <w:tblW w:w="9229" w:type="dxa"/>
        <w:tblInd w:w="55" w:type="dxa"/>
        <w:tblLayout w:type="fixed"/>
        <w:tblCellMar>
          <w:left w:w="70" w:type="dxa"/>
          <w:right w:w="70" w:type="dxa"/>
        </w:tblCellMar>
        <w:tblLook w:val="04A0"/>
      </w:tblPr>
      <w:tblGrid>
        <w:gridCol w:w="2567"/>
        <w:gridCol w:w="951"/>
        <w:gridCol w:w="952"/>
        <w:gridCol w:w="952"/>
        <w:gridCol w:w="951"/>
        <w:gridCol w:w="952"/>
        <w:gridCol w:w="952"/>
        <w:gridCol w:w="952"/>
      </w:tblGrid>
      <w:tr>
        <w:tblPrEx>
          <w:tblW w:w="9229" w:type="dxa"/>
          <w:tblInd w:w="55" w:type="dxa"/>
          <w:tblLayout w:type="fixed"/>
          <w:tblCellMar>
            <w:left w:w="70" w:type="dxa"/>
            <w:right w:w="70" w:type="dxa"/>
          </w:tblCellMar>
          <w:tblLook w:val="04A0"/>
        </w:tblPrEx>
        <w:trPr>
          <w:trHeight w:val="281"/>
        </w:trPr>
        <w:tc>
          <w:tcPr>
            <w:tcW w:w="2567"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v eurách</w:t>
            </w:r>
          </w:p>
        </w:tc>
        <w:tc>
          <w:tcPr>
            <w:tcW w:w="951"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2009 S</w:t>
            </w:r>
          </w:p>
        </w:tc>
        <w:tc>
          <w:tcPr>
            <w:tcW w:w="952"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2010 S</w:t>
            </w:r>
          </w:p>
        </w:tc>
        <w:tc>
          <w:tcPr>
            <w:tcW w:w="952"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2011 R</w:t>
            </w:r>
          </w:p>
        </w:tc>
        <w:tc>
          <w:tcPr>
            <w:tcW w:w="951"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2011 OS</w:t>
            </w:r>
          </w:p>
        </w:tc>
        <w:tc>
          <w:tcPr>
            <w:tcW w:w="952"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2012 N</w:t>
            </w:r>
          </w:p>
        </w:tc>
        <w:tc>
          <w:tcPr>
            <w:tcW w:w="952"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2013 N</w:t>
            </w:r>
          </w:p>
        </w:tc>
        <w:tc>
          <w:tcPr>
            <w:tcW w:w="952" w:type="dxa"/>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color w:val="000000"/>
                <w:sz w:val="14"/>
                <w:szCs w:val="14"/>
                <w:lang w:eastAsia="sk-SK"/>
              </w:rPr>
            </w:pPr>
            <w:r w:rsidRPr="005A6E2D">
              <w:rPr>
                <w:rFonts w:ascii="Times New Roman" w:hAnsi="Times New Roman" w:cs="Times New Roman"/>
                <w:b/>
                <w:color w:val="000000"/>
                <w:sz w:val="14"/>
                <w:szCs w:val="14"/>
                <w:lang w:eastAsia="sk-SK"/>
              </w:rPr>
              <w:t>2014 N</w:t>
            </w:r>
          </w:p>
        </w:tc>
      </w:tr>
      <w:tr>
        <w:tblPrEx>
          <w:tblW w:w="9229" w:type="dxa"/>
          <w:tblInd w:w="55" w:type="dxa"/>
          <w:tblLayout w:type="fixed"/>
          <w:tblCellMar>
            <w:left w:w="70" w:type="dxa"/>
            <w:right w:w="70" w:type="dxa"/>
          </w:tblCellMar>
          <w:tblLook w:val="04A0"/>
        </w:tblPrEx>
        <w:trPr>
          <w:trHeight w:val="281"/>
        </w:trPr>
        <w:tc>
          <w:tcPr>
            <w:tcW w:w="2567"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Kancelária  Súdnej rady SR</w:t>
            </w:r>
          </w:p>
        </w:tc>
        <w:tc>
          <w:tcPr>
            <w:tcW w:w="95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262 435</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403 349</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466 544</w:t>
            </w:r>
          </w:p>
        </w:tc>
        <w:tc>
          <w:tcPr>
            <w:tcW w:w="95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466 544</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455 679</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455 679</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bCs/>
                <w:color w:val="000000"/>
                <w:sz w:val="14"/>
                <w:szCs w:val="14"/>
                <w:lang w:eastAsia="sk-SK"/>
              </w:rPr>
            </w:pPr>
            <w:r w:rsidRPr="005A6E2D">
              <w:rPr>
                <w:rFonts w:ascii="Times New Roman" w:hAnsi="Times New Roman" w:cs="Times New Roman"/>
                <w:b/>
                <w:bCs/>
                <w:color w:val="000000"/>
                <w:sz w:val="14"/>
                <w:szCs w:val="14"/>
                <w:lang w:eastAsia="sk-SK"/>
              </w:rPr>
              <w:t>455 679</w:t>
            </w:r>
          </w:p>
        </w:tc>
      </w:tr>
      <w:tr>
        <w:tblPrEx>
          <w:tblW w:w="9229" w:type="dxa"/>
          <w:tblInd w:w="55" w:type="dxa"/>
          <w:tblLayout w:type="fixed"/>
          <w:tblCellMar>
            <w:left w:w="70" w:type="dxa"/>
            <w:right w:w="70" w:type="dxa"/>
          </w:tblCellMar>
          <w:tblLook w:val="04A0"/>
        </w:tblPrEx>
        <w:trPr>
          <w:trHeight w:val="281"/>
        </w:trPr>
        <w:tc>
          <w:tcPr>
            <w:tcW w:w="2567"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xml:space="preserve">              610 mzdy</w:t>
            </w:r>
          </w:p>
        </w:tc>
        <w:tc>
          <w:tcPr>
            <w:tcW w:w="95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92 765</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192 434</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241 655</w:t>
            </w:r>
          </w:p>
        </w:tc>
        <w:tc>
          <w:tcPr>
            <w:tcW w:w="95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241 655</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241 655</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241 655</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241 655</w:t>
            </w:r>
          </w:p>
        </w:tc>
      </w:tr>
      <w:tr>
        <w:tblPrEx>
          <w:tblW w:w="9229" w:type="dxa"/>
          <w:tblInd w:w="55" w:type="dxa"/>
          <w:tblLayout w:type="fixed"/>
          <w:tblCellMar>
            <w:left w:w="70" w:type="dxa"/>
            <w:right w:w="70" w:type="dxa"/>
          </w:tblCellMar>
          <w:tblLook w:val="04A0"/>
        </w:tblPrEx>
        <w:trPr>
          <w:trHeight w:val="281"/>
        </w:trPr>
        <w:tc>
          <w:tcPr>
            <w:tcW w:w="2567"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xml:space="preserve">              620 odvody</w:t>
            </w:r>
          </w:p>
        </w:tc>
        <w:tc>
          <w:tcPr>
            <w:tcW w:w="95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29 644</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51 227</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84 459</w:t>
            </w:r>
          </w:p>
        </w:tc>
        <w:tc>
          <w:tcPr>
            <w:tcW w:w="95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84 459</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87 606</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87 606</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87 606</w:t>
            </w:r>
          </w:p>
        </w:tc>
      </w:tr>
      <w:tr>
        <w:tblPrEx>
          <w:tblW w:w="9229" w:type="dxa"/>
          <w:tblInd w:w="55" w:type="dxa"/>
          <w:tblLayout w:type="fixed"/>
          <w:tblCellMar>
            <w:left w:w="70" w:type="dxa"/>
            <w:right w:w="70" w:type="dxa"/>
          </w:tblCellMar>
          <w:tblLook w:val="04A0"/>
        </w:tblPrEx>
        <w:trPr>
          <w:trHeight w:val="281"/>
        </w:trPr>
        <w:tc>
          <w:tcPr>
            <w:tcW w:w="2567"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xml:space="preserve">              630 tovary a služby</w:t>
            </w:r>
          </w:p>
        </w:tc>
        <w:tc>
          <w:tcPr>
            <w:tcW w:w="95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124 043</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143 312</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117 234</w:t>
            </w:r>
          </w:p>
        </w:tc>
        <w:tc>
          <w:tcPr>
            <w:tcW w:w="95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117 237</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111 500</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111 500</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111 500</w:t>
            </w:r>
          </w:p>
        </w:tc>
      </w:tr>
      <w:tr>
        <w:tblPrEx>
          <w:tblW w:w="9229" w:type="dxa"/>
          <w:tblInd w:w="55" w:type="dxa"/>
          <w:tblLayout w:type="fixed"/>
          <w:tblCellMar>
            <w:left w:w="70" w:type="dxa"/>
            <w:right w:w="70" w:type="dxa"/>
          </w:tblCellMar>
          <w:tblLook w:val="04A0"/>
        </w:tblPrEx>
        <w:trPr>
          <w:trHeight w:val="281"/>
        </w:trPr>
        <w:tc>
          <w:tcPr>
            <w:tcW w:w="2567"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 xml:space="preserve">              640 bežné transfery</w:t>
            </w:r>
          </w:p>
        </w:tc>
        <w:tc>
          <w:tcPr>
            <w:tcW w:w="95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13 972</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440</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7 303</w:t>
            </w:r>
          </w:p>
        </w:tc>
        <w:tc>
          <w:tcPr>
            <w:tcW w:w="95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7 300</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5 000</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5 000</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lang w:eastAsia="sk-SK"/>
              </w:rPr>
            </w:pPr>
            <w:r w:rsidRPr="005A6E2D">
              <w:rPr>
                <w:rFonts w:ascii="Times New Roman" w:hAnsi="Times New Roman" w:cs="Times New Roman"/>
                <w:color w:val="000000"/>
                <w:sz w:val="14"/>
                <w:szCs w:val="14"/>
                <w:lang w:eastAsia="sk-SK"/>
              </w:rPr>
              <w:t>5 000</w:t>
            </w:r>
          </w:p>
        </w:tc>
      </w:tr>
      <w:tr>
        <w:tblPrEx>
          <w:tblW w:w="9229" w:type="dxa"/>
          <w:tblInd w:w="55" w:type="dxa"/>
          <w:tblLayout w:type="fixed"/>
          <w:tblCellMar>
            <w:left w:w="70" w:type="dxa"/>
            <w:right w:w="70" w:type="dxa"/>
          </w:tblCellMar>
          <w:tblLook w:val="04A0"/>
        </w:tblPrEx>
        <w:trPr>
          <w:trHeight w:val="281"/>
        </w:trPr>
        <w:tc>
          <w:tcPr>
            <w:tcW w:w="2567" w:type="dxa"/>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Cs/>
                <w:color w:val="000000"/>
                <w:sz w:val="14"/>
                <w:szCs w:val="14"/>
                <w:lang w:eastAsia="sk-SK"/>
              </w:rPr>
            </w:pPr>
            <w:r w:rsidRPr="005A6E2D">
              <w:rPr>
                <w:rFonts w:ascii="Times New Roman" w:hAnsi="Times New Roman" w:cs="Times New Roman"/>
                <w:bCs/>
                <w:color w:val="000000"/>
                <w:sz w:val="14"/>
                <w:szCs w:val="14"/>
                <w:lang w:eastAsia="sk-SK"/>
              </w:rPr>
              <w:t xml:space="preserve">              kapitálové výdavky 700</w:t>
            </w:r>
          </w:p>
        </w:tc>
        <w:tc>
          <w:tcPr>
            <w:tcW w:w="95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Cs/>
                <w:color w:val="000000"/>
                <w:sz w:val="14"/>
                <w:szCs w:val="14"/>
                <w:lang w:eastAsia="sk-SK"/>
              </w:rPr>
            </w:pPr>
            <w:r w:rsidRPr="005A6E2D">
              <w:rPr>
                <w:rFonts w:ascii="Times New Roman" w:hAnsi="Times New Roman" w:cs="Times New Roman"/>
                <w:bCs/>
                <w:color w:val="000000"/>
                <w:sz w:val="14"/>
                <w:szCs w:val="14"/>
                <w:lang w:eastAsia="sk-SK"/>
              </w:rPr>
              <w:t>2 011</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Cs/>
                <w:color w:val="000000"/>
                <w:sz w:val="14"/>
                <w:szCs w:val="14"/>
                <w:lang w:eastAsia="sk-SK"/>
              </w:rPr>
            </w:pPr>
            <w:r w:rsidRPr="005A6E2D">
              <w:rPr>
                <w:rFonts w:ascii="Times New Roman" w:hAnsi="Times New Roman" w:cs="Times New Roman"/>
                <w:bCs/>
                <w:color w:val="000000"/>
                <w:sz w:val="14"/>
                <w:szCs w:val="14"/>
                <w:lang w:eastAsia="sk-SK"/>
              </w:rPr>
              <w:t>15 936</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Cs/>
                <w:color w:val="000000"/>
                <w:sz w:val="14"/>
                <w:szCs w:val="14"/>
                <w:lang w:eastAsia="sk-SK"/>
              </w:rPr>
            </w:pPr>
            <w:r w:rsidRPr="005A6E2D">
              <w:rPr>
                <w:rFonts w:ascii="Times New Roman" w:hAnsi="Times New Roman" w:cs="Times New Roman"/>
                <w:bCs/>
                <w:color w:val="000000"/>
                <w:sz w:val="14"/>
                <w:szCs w:val="14"/>
                <w:lang w:eastAsia="sk-SK"/>
              </w:rPr>
              <w:t>15 893</w:t>
            </w:r>
          </w:p>
        </w:tc>
        <w:tc>
          <w:tcPr>
            <w:tcW w:w="951"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15 893</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Cs/>
                <w:color w:val="000000"/>
                <w:sz w:val="14"/>
                <w:szCs w:val="14"/>
                <w:lang w:eastAsia="sk-SK"/>
              </w:rPr>
            </w:pPr>
            <w:r w:rsidRPr="005A6E2D">
              <w:rPr>
                <w:rFonts w:ascii="Times New Roman" w:hAnsi="Times New Roman" w:cs="Times New Roman"/>
                <w:bCs/>
                <w:color w:val="000000"/>
                <w:sz w:val="14"/>
                <w:szCs w:val="14"/>
                <w:lang w:eastAsia="sk-SK"/>
              </w:rPr>
              <w:t>9 918</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Cs/>
                <w:color w:val="000000"/>
                <w:sz w:val="14"/>
                <w:szCs w:val="14"/>
                <w:lang w:eastAsia="sk-SK"/>
              </w:rPr>
            </w:pPr>
            <w:r w:rsidRPr="005A6E2D">
              <w:rPr>
                <w:rFonts w:ascii="Times New Roman" w:hAnsi="Times New Roman" w:cs="Times New Roman"/>
                <w:bCs/>
                <w:color w:val="000000"/>
                <w:sz w:val="14"/>
                <w:szCs w:val="14"/>
                <w:lang w:eastAsia="sk-SK"/>
              </w:rPr>
              <w:t>9 918</w:t>
            </w:r>
          </w:p>
        </w:tc>
        <w:tc>
          <w:tcPr>
            <w:tcW w:w="952" w:type="dxa"/>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Cs/>
                <w:color w:val="000000"/>
                <w:sz w:val="14"/>
                <w:szCs w:val="14"/>
                <w:lang w:eastAsia="sk-SK"/>
              </w:rPr>
            </w:pPr>
            <w:r w:rsidRPr="005A6E2D">
              <w:rPr>
                <w:rFonts w:ascii="Times New Roman" w:hAnsi="Times New Roman" w:cs="Times New Roman"/>
                <w:bCs/>
                <w:color w:val="000000"/>
                <w:sz w:val="14"/>
                <w:szCs w:val="14"/>
                <w:lang w:eastAsia="sk-SK"/>
              </w:rPr>
              <w:t>9 918</w:t>
            </w:r>
          </w:p>
        </w:tc>
      </w:tr>
    </w:tbl>
    <w:p w:rsidR="00CB350B" w:rsidRPr="0004638E" w:rsidP="00CB350B">
      <w:pPr>
        <w:bidi w:val="0"/>
        <w:spacing w:after="120"/>
        <w:jc w:val="both"/>
        <w:rPr>
          <w:rFonts w:ascii="Times New Roman" w:hAnsi="Times New Roman" w:cs="Times New Roman"/>
        </w:rPr>
      </w:pPr>
    </w:p>
    <w:p w:rsidR="00CB350B" w:rsidP="00CB350B">
      <w:pPr>
        <w:bidi w:val="0"/>
        <w:ind w:firstLine="709"/>
        <w:jc w:val="both"/>
        <w:rPr>
          <w:rFonts w:ascii="Times New Roman" w:hAnsi="Times New Roman" w:cs="Times New Roman"/>
        </w:rPr>
      </w:pPr>
      <w:r w:rsidRPr="0004638E">
        <w:rPr>
          <w:rFonts w:ascii="Times New Roman" w:hAnsi="Times New Roman" w:cs="Times New Roman"/>
        </w:rPr>
        <w:t>Pre Kanceláriu Súdnej rady sa rozpočtuje 5,58 % finančných prostriedkov z celkového rozpočtu kapitoly Najvyšší súd SR a tieto sú oproti schválenému rozpočtu roku 2011 nižšie o 2,33</w:t>
      </w:r>
      <w:r>
        <w:rPr>
          <w:rFonts w:ascii="Times New Roman" w:hAnsi="Times New Roman" w:cs="Times New Roman"/>
        </w:rPr>
        <w:t xml:space="preserve"> </w:t>
      </w:r>
      <w:r w:rsidRPr="0004638E">
        <w:rPr>
          <w:rFonts w:ascii="Times New Roman" w:hAnsi="Times New Roman" w:cs="Times New Roman"/>
        </w:rPr>
        <w:t>%.</w:t>
      </w:r>
    </w:p>
    <w:p w:rsidR="00CB350B" w:rsidP="00CB350B">
      <w:pPr>
        <w:bidi w:val="0"/>
      </w:pPr>
    </w:p>
    <w:p w:rsidR="00CB350B" w:rsidRPr="0004638E" w:rsidP="00CB350B">
      <w:pPr>
        <w:pBdr>
          <w:bottom w:val="single" w:sz="4" w:space="1" w:color="auto"/>
        </w:pBdr>
        <w:bidi w:val="0"/>
        <w:jc w:val="both"/>
        <w:rPr>
          <w:rFonts w:ascii="Times New Roman" w:hAnsi="Times New Roman" w:cs="Times New Roman"/>
        </w:rPr>
      </w:pPr>
      <w:r w:rsidRPr="0004638E">
        <w:rPr>
          <w:rFonts w:ascii="Times New Roman" w:hAnsi="Times New Roman" w:cs="Times New Roman"/>
          <w:b/>
          <w:bCs/>
        </w:rPr>
        <w:t>Generálna prokuratúra SR</w:t>
      </w:r>
    </w:p>
    <w:p w:rsidR="00CB350B" w:rsidRPr="0004638E" w:rsidP="00CB350B">
      <w:pPr>
        <w:bidi w:val="0"/>
        <w:rPr>
          <w:rFonts w:ascii="Times New Roman" w:hAnsi="Times New Roman" w:cs="Times New Roman"/>
        </w:rPr>
      </w:pPr>
    </w:p>
    <w:tbl>
      <w:tblPr>
        <w:tblStyle w:val="TableNormal"/>
        <w:tblW w:w="922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565"/>
        <w:gridCol w:w="951"/>
        <w:gridCol w:w="952"/>
        <w:gridCol w:w="952"/>
        <w:gridCol w:w="951"/>
        <w:gridCol w:w="952"/>
        <w:gridCol w:w="952"/>
        <w:gridCol w:w="952"/>
      </w:tblGrid>
      <w:tr>
        <w:tblPrEx>
          <w:tblW w:w="922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276"/>
        </w:trPr>
        <w:tc>
          <w:tcPr>
            <w:tcW w:w="2565"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v eurách</w:t>
            </w:r>
          </w:p>
        </w:tc>
        <w:tc>
          <w:tcPr>
            <w:tcW w:w="951"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2009 S</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2010</w:t>
            </w:r>
            <w:r>
              <w:rPr>
                <w:rFonts w:ascii="Times New Roman" w:hAnsi="Times New Roman" w:cs="Times New Roman"/>
                <w:b/>
                <w:bCs/>
                <w:color w:val="000000"/>
                <w:sz w:val="14"/>
                <w:szCs w:val="14"/>
              </w:rPr>
              <w:t xml:space="preserve"> </w:t>
            </w:r>
            <w:r w:rsidRPr="005A6E2D">
              <w:rPr>
                <w:rFonts w:ascii="Times New Roman" w:hAnsi="Times New Roman" w:cs="Times New Roman"/>
                <w:b/>
                <w:bCs/>
                <w:color w:val="000000"/>
                <w:sz w:val="14"/>
                <w:szCs w:val="14"/>
              </w:rPr>
              <w:t>S</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2011 R</w:t>
            </w:r>
          </w:p>
        </w:tc>
        <w:tc>
          <w:tcPr>
            <w:tcW w:w="951"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2011 OS</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2012 N</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2013 N</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2014 N</w:t>
            </w:r>
          </w:p>
        </w:tc>
      </w:tr>
      <w:tr>
        <w:tblPrEx>
          <w:tblW w:w="9227" w:type="dxa"/>
          <w:tblInd w:w="55" w:type="dxa"/>
          <w:tblLayout w:type="fixed"/>
          <w:tblCellMar>
            <w:left w:w="70" w:type="dxa"/>
            <w:right w:w="70" w:type="dxa"/>
          </w:tblCellMar>
          <w:tblLook w:val="04A0"/>
        </w:tblPrEx>
        <w:trPr>
          <w:trHeight w:val="276"/>
        </w:trPr>
        <w:tc>
          <w:tcPr>
            <w:tcW w:w="2565"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Zdroje príslušnej kapitoly</w:t>
            </w:r>
          </w:p>
        </w:tc>
        <w:tc>
          <w:tcPr>
            <w:tcW w:w="951"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A84207" w:rsidP="00257E12">
            <w:pPr>
              <w:bidi w:val="0"/>
              <w:jc w:val="right"/>
              <w:rPr>
                <w:rFonts w:ascii="Times New Roman" w:hAnsi="Times New Roman" w:cs="Times New Roman"/>
                <w:b/>
                <w:bCs/>
                <w:color w:val="000000"/>
                <w:sz w:val="14"/>
                <w:szCs w:val="14"/>
                <w:lang w:eastAsia="sk-SK"/>
              </w:rPr>
            </w:pPr>
            <w:r w:rsidRPr="00A84207">
              <w:rPr>
                <w:rFonts w:ascii="Times New Roman" w:hAnsi="Times New Roman" w:cs="Times New Roman"/>
                <w:b/>
                <w:bCs/>
                <w:color w:val="000000"/>
                <w:sz w:val="14"/>
                <w:szCs w:val="14"/>
                <w:lang w:eastAsia="sk-SK"/>
              </w:rPr>
              <w:t>63 023 251</w:t>
            </w:r>
          </w:p>
        </w:tc>
        <w:tc>
          <w:tcPr>
            <w:tcW w:w="952"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A84207" w:rsidP="00257E12">
            <w:pPr>
              <w:bidi w:val="0"/>
              <w:jc w:val="right"/>
              <w:rPr>
                <w:rFonts w:ascii="Times New Roman" w:hAnsi="Times New Roman" w:cs="Times New Roman"/>
                <w:b/>
                <w:bCs/>
                <w:color w:val="000000"/>
                <w:sz w:val="14"/>
                <w:szCs w:val="14"/>
                <w:lang w:eastAsia="sk-SK"/>
              </w:rPr>
            </w:pPr>
            <w:r w:rsidRPr="00A84207">
              <w:rPr>
                <w:rFonts w:ascii="Times New Roman" w:hAnsi="Times New Roman" w:cs="Times New Roman"/>
                <w:b/>
                <w:bCs/>
                <w:color w:val="000000"/>
                <w:sz w:val="14"/>
                <w:szCs w:val="14"/>
                <w:lang w:eastAsia="sk-SK"/>
              </w:rPr>
              <w:t>64 350 942</w:t>
            </w:r>
          </w:p>
        </w:tc>
        <w:tc>
          <w:tcPr>
            <w:tcW w:w="952"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A84207" w:rsidP="00257E12">
            <w:pPr>
              <w:bidi w:val="0"/>
              <w:jc w:val="right"/>
              <w:rPr>
                <w:rFonts w:ascii="Times New Roman" w:hAnsi="Times New Roman" w:cs="Times New Roman"/>
                <w:b/>
                <w:bCs/>
                <w:color w:val="000000"/>
                <w:sz w:val="14"/>
                <w:szCs w:val="14"/>
                <w:lang w:eastAsia="sk-SK"/>
              </w:rPr>
            </w:pPr>
            <w:r w:rsidRPr="00A84207">
              <w:rPr>
                <w:rFonts w:ascii="Times New Roman" w:hAnsi="Times New Roman" w:cs="Times New Roman"/>
                <w:b/>
                <w:bCs/>
                <w:color w:val="000000"/>
                <w:sz w:val="14"/>
                <w:szCs w:val="14"/>
                <w:lang w:eastAsia="sk-SK"/>
              </w:rPr>
              <w:t>61 137 659</w:t>
            </w:r>
          </w:p>
        </w:tc>
        <w:tc>
          <w:tcPr>
            <w:tcW w:w="951"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A84207" w:rsidP="00257E12">
            <w:pPr>
              <w:bidi w:val="0"/>
              <w:jc w:val="right"/>
              <w:rPr>
                <w:rFonts w:ascii="Times New Roman" w:hAnsi="Times New Roman" w:cs="Times New Roman"/>
                <w:b/>
                <w:bCs/>
                <w:color w:val="000000"/>
                <w:sz w:val="14"/>
                <w:szCs w:val="14"/>
                <w:lang w:eastAsia="sk-SK"/>
              </w:rPr>
            </w:pPr>
            <w:r w:rsidRPr="00A84207">
              <w:rPr>
                <w:rFonts w:ascii="Times New Roman" w:hAnsi="Times New Roman" w:cs="Times New Roman"/>
                <w:b/>
                <w:bCs/>
                <w:color w:val="000000"/>
                <w:sz w:val="14"/>
                <w:szCs w:val="14"/>
                <w:lang w:eastAsia="sk-SK"/>
              </w:rPr>
              <w:t>61 137 659</w:t>
            </w:r>
          </w:p>
        </w:tc>
        <w:tc>
          <w:tcPr>
            <w:tcW w:w="952"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A84207" w:rsidP="00257E12">
            <w:pPr>
              <w:bidi w:val="0"/>
              <w:jc w:val="right"/>
              <w:rPr>
                <w:rFonts w:ascii="Times New Roman" w:hAnsi="Times New Roman" w:cs="Times New Roman"/>
                <w:b/>
                <w:bCs/>
                <w:color w:val="000000"/>
                <w:sz w:val="14"/>
                <w:szCs w:val="14"/>
                <w:lang w:eastAsia="sk-SK"/>
              </w:rPr>
            </w:pPr>
            <w:r w:rsidRPr="00A84207">
              <w:rPr>
                <w:rFonts w:ascii="Times New Roman" w:hAnsi="Times New Roman" w:cs="Times New Roman"/>
                <w:b/>
                <w:bCs/>
                <w:color w:val="000000"/>
                <w:sz w:val="14"/>
                <w:szCs w:val="14"/>
                <w:lang w:eastAsia="sk-SK"/>
              </w:rPr>
              <w:t>60 478 250</w:t>
            </w:r>
          </w:p>
        </w:tc>
        <w:tc>
          <w:tcPr>
            <w:tcW w:w="952"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A84207" w:rsidP="00257E12">
            <w:pPr>
              <w:bidi w:val="0"/>
              <w:jc w:val="right"/>
              <w:rPr>
                <w:rFonts w:ascii="Times New Roman" w:hAnsi="Times New Roman" w:cs="Times New Roman"/>
                <w:b/>
                <w:bCs/>
                <w:color w:val="000000"/>
                <w:sz w:val="14"/>
                <w:szCs w:val="14"/>
                <w:lang w:eastAsia="sk-SK"/>
              </w:rPr>
            </w:pPr>
            <w:r w:rsidRPr="00A84207">
              <w:rPr>
                <w:rFonts w:ascii="Times New Roman" w:hAnsi="Times New Roman" w:cs="Times New Roman"/>
                <w:b/>
                <w:bCs/>
                <w:color w:val="000000"/>
                <w:sz w:val="14"/>
                <w:szCs w:val="14"/>
                <w:lang w:eastAsia="sk-SK"/>
              </w:rPr>
              <w:t>64 417 097</w:t>
            </w:r>
          </w:p>
        </w:tc>
        <w:tc>
          <w:tcPr>
            <w:tcW w:w="952"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0F1E55" w:rsidP="00257E12">
            <w:pPr>
              <w:bidi w:val="0"/>
              <w:jc w:val="right"/>
              <w:rPr>
                <w:rFonts w:ascii="Times New Roman" w:hAnsi="Times New Roman" w:cs="Times New Roman"/>
                <w:b/>
                <w:bCs/>
                <w:color w:val="000000"/>
                <w:sz w:val="14"/>
                <w:szCs w:val="14"/>
                <w:lang w:eastAsia="sk-SK"/>
              </w:rPr>
            </w:pPr>
            <w:r w:rsidRPr="000F1E55">
              <w:rPr>
                <w:rFonts w:ascii="Times New Roman" w:hAnsi="Times New Roman" w:cs="Times New Roman"/>
                <w:b/>
                <w:color w:val="000000"/>
                <w:sz w:val="14"/>
                <w:szCs w:val="14"/>
              </w:rPr>
              <w:t>66 922 431</w:t>
            </w:r>
          </w:p>
        </w:tc>
      </w:tr>
      <w:tr>
        <w:tblPrEx>
          <w:tblW w:w="9227" w:type="dxa"/>
          <w:tblInd w:w="55" w:type="dxa"/>
          <w:tblLayout w:type="fixed"/>
          <w:tblCellMar>
            <w:left w:w="70" w:type="dxa"/>
            <w:right w:w="70" w:type="dxa"/>
          </w:tblCellMar>
          <w:tblLook w:val="04A0"/>
        </w:tblPrEx>
        <w:trPr>
          <w:trHeight w:val="276"/>
        </w:trPr>
        <w:tc>
          <w:tcPr>
            <w:tcW w:w="2565"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rozpočtové zdroje kapitoly</w:t>
            </w:r>
          </w:p>
        </w:tc>
        <w:tc>
          <w:tcPr>
            <w:tcW w:w="951"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62 924 986</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63 634 848</w:t>
            </w:r>
          </w:p>
        </w:tc>
        <w:tc>
          <w:tcPr>
            <w:tcW w:w="952"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61 137 659</w:t>
            </w:r>
          </w:p>
        </w:tc>
        <w:tc>
          <w:tcPr>
            <w:tcW w:w="951"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61 137 659</w:t>
            </w:r>
          </w:p>
        </w:tc>
        <w:tc>
          <w:tcPr>
            <w:tcW w:w="952"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60 309 536</w:t>
            </w:r>
          </w:p>
        </w:tc>
        <w:tc>
          <w:tcPr>
            <w:tcW w:w="952"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64 417 097</w:t>
            </w:r>
          </w:p>
        </w:tc>
        <w:tc>
          <w:tcPr>
            <w:tcW w:w="952"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66 922 431</w:t>
            </w:r>
          </w:p>
        </w:tc>
      </w:tr>
      <w:tr>
        <w:tblPrEx>
          <w:tblW w:w="9227" w:type="dxa"/>
          <w:tblInd w:w="55" w:type="dxa"/>
          <w:tblLayout w:type="fixed"/>
          <w:tblCellMar>
            <w:left w:w="70" w:type="dxa"/>
            <w:right w:w="70" w:type="dxa"/>
          </w:tblCellMar>
          <w:tblLook w:val="04A0"/>
        </w:tblPrEx>
        <w:trPr>
          <w:trHeight w:val="276"/>
        </w:trPr>
        <w:tc>
          <w:tcPr>
            <w:tcW w:w="2565"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xml:space="preserve">   v tom: bežné výdavky  600</w:t>
            </w:r>
          </w:p>
        </w:tc>
        <w:tc>
          <w:tcPr>
            <w:tcW w:w="951"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58 864 245</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61 291 442</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59 022 174</w:t>
            </w:r>
          </w:p>
        </w:tc>
        <w:tc>
          <w:tcPr>
            <w:tcW w:w="951"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59 022 174</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59 694 051</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63 801 612</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66 306 946</w:t>
            </w:r>
          </w:p>
        </w:tc>
      </w:tr>
      <w:tr>
        <w:tblPrEx>
          <w:tblW w:w="9227" w:type="dxa"/>
          <w:tblInd w:w="55" w:type="dxa"/>
          <w:tblLayout w:type="fixed"/>
          <w:tblCellMar>
            <w:left w:w="70" w:type="dxa"/>
            <w:right w:w="70" w:type="dxa"/>
          </w:tblCellMar>
          <w:tblLook w:val="04A0"/>
        </w:tblPrEx>
        <w:trPr>
          <w:trHeight w:val="276"/>
        </w:trPr>
        <w:tc>
          <w:tcPr>
            <w:tcW w:w="2565"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xml:space="preserve">                                610 mzdy</w:t>
            </w:r>
          </w:p>
        </w:tc>
        <w:tc>
          <w:tcPr>
            <w:tcW w:w="951"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38 641 734</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40 402 358</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38 150 918</w:t>
            </w:r>
          </w:p>
        </w:tc>
        <w:tc>
          <w:tcPr>
            <w:tcW w:w="951"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38 150 918</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38 958 246</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42 142 000</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44 084 577</w:t>
            </w:r>
          </w:p>
        </w:tc>
      </w:tr>
      <w:tr>
        <w:tblPrEx>
          <w:tblW w:w="9227" w:type="dxa"/>
          <w:tblInd w:w="55" w:type="dxa"/>
          <w:tblLayout w:type="fixed"/>
          <w:tblCellMar>
            <w:left w:w="70" w:type="dxa"/>
            <w:right w:w="70" w:type="dxa"/>
          </w:tblCellMar>
          <w:tblLook w:val="04A0"/>
        </w:tblPrEx>
        <w:trPr>
          <w:trHeight w:val="276"/>
        </w:trPr>
        <w:tc>
          <w:tcPr>
            <w:tcW w:w="2565"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xml:space="preserve">                                620 odvody</w:t>
            </w:r>
          </w:p>
        </w:tc>
        <w:tc>
          <w:tcPr>
            <w:tcW w:w="951"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10 087 903</w:t>
            </w:r>
          </w:p>
        </w:tc>
        <w:tc>
          <w:tcPr>
            <w:tcW w:w="952"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10 737 297</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11 832 255</w:t>
            </w:r>
          </w:p>
        </w:tc>
        <w:tc>
          <w:tcPr>
            <w:tcW w:w="951"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11 832 255</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12 079 420</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13 003 227</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13 565 984</w:t>
            </w:r>
          </w:p>
        </w:tc>
      </w:tr>
      <w:tr>
        <w:tblPrEx>
          <w:tblW w:w="9227" w:type="dxa"/>
          <w:tblInd w:w="55" w:type="dxa"/>
          <w:tblLayout w:type="fixed"/>
          <w:tblCellMar>
            <w:left w:w="70" w:type="dxa"/>
            <w:right w:w="70" w:type="dxa"/>
          </w:tblCellMar>
          <w:tblLook w:val="04A0"/>
        </w:tblPrEx>
        <w:trPr>
          <w:trHeight w:val="276"/>
        </w:trPr>
        <w:tc>
          <w:tcPr>
            <w:tcW w:w="2565"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xml:space="preserve">                                630 tovary a služby</w:t>
            </w:r>
          </w:p>
        </w:tc>
        <w:tc>
          <w:tcPr>
            <w:tcW w:w="951"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8 742 073</w:t>
            </w:r>
          </w:p>
        </w:tc>
        <w:tc>
          <w:tcPr>
            <w:tcW w:w="952"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8 394 735</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7 652 325</w:t>
            </w:r>
          </w:p>
        </w:tc>
        <w:tc>
          <w:tcPr>
            <w:tcW w:w="951"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7 652 325</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7 269 709</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7 269 709</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7 269 709</w:t>
            </w:r>
          </w:p>
        </w:tc>
      </w:tr>
      <w:tr>
        <w:tblPrEx>
          <w:tblW w:w="9227" w:type="dxa"/>
          <w:tblInd w:w="55" w:type="dxa"/>
          <w:tblLayout w:type="fixed"/>
          <w:tblCellMar>
            <w:left w:w="70" w:type="dxa"/>
            <w:right w:w="70" w:type="dxa"/>
          </w:tblCellMar>
          <w:tblLook w:val="04A0"/>
        </w:tblPrEx>
        <w:trPr>
          <w:trHeight w:val="276"/>
        </w:trPr>
        <w:tc>
          <w:tcPr>
            <w:tcW w:w="2565"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xml:space="preserve">                                640 bežné transfery</w:t>
            </w:r>
          </w:p>
        </w:tc>
        <w:tc>
          <w:tcPr>
            <w:tcW w:w="951"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1 392 535</w:t>
            </w:r>
          </w:p>
        </w:tc>
        <w:tc>
          <w:tcPr>
            <w:tcW w:w="952"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1 757 052</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1 386 676</w:t>
            </w:r>
          </w:p>
        </w:tc>
        <w:tc>
          <w:tcPr>
            <w:tcW w:w="951"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1 386 676</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1 386 676</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1 386 676</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1 386 676</w:t>
            </w:r>
          </w:p>
        </w:tc>
      </w:tr>
      <w:tr>
        <w:tblPrEx>
          <w:tblW w:w="9227" w:type="dxa"/>
          <w:tblInd w:w="55" w:type="dxa"/>
          <w:tblLayout w:type="fixed"/>
          <w:tblCellMar>
            <w:left w:w="70" w:type="dxa"/>
            <w:right w:w="70" w:type="dxa"/>
          </w:tblCellMar>
          <w:tblLook w:val="04A0"/>
        </w:tblPrEx>
        <w:trPr>
          <w:trHeight w:val="276"/>
        </w:trPr>
        <w:tc>
          <w:tcPr>
            <w:tcW w:w="2565"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xml:space="preserve">               kapitálové výdavky 700</w:t>
            </w:r>
          </w:p>
        </w:tc>
        <w:tc>
          <w:tcPr>
            <w:tcW w:w="951"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4 060 741</w:t>
            </w:r>
          </w:p>
        </w:tc>
        <w:tc>
          <w:tcPr>
            <w:tcW w:w="952" w:type="dxa"/>
            <w:tcBorders>
              <w:top w:val="single" w:sz="4" w:space="0" w:color="auto"/>
              <w:left w:val="single" w:sz="4" w:space="0" w:color="auto"/>
              <w:bottom w:val="single" w:sz="4" w:space="0" w:color="auto"/>
              <w:right w:val="single" w:sz="4" w:space="0" w:color="auto"/>
            </w:tcBorders>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2 343 406</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2 115 485</w:t>
            </w:r>
          </w:p>
        </w:tc>
        <w:tc>
          <w:tcPr>
            <w:tcW w:w="951"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2 115 485</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615 485</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615 485</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615 485</w:t>
            </w:r>
          </w:p>
        </w:tc>
      </w:tr>
      <w:tr>
        <w:tblPrEx>
          <w:tblW w:w="9227" w:type="dxa"/>
          <w:tblInd w:w="55" w:type="dxa"/>
          <w:tblLayout w:type="fixed"/>
          <w:tblCellMar>
            <w:left w:w="70" w:type="dxa"/>
            <w:right w:w="70" w:type="dxa"/>
          </w:tblCellMar>
          <w:tblLook w:val="04A0"/>
        </w:tblPrEx>
        <w:trPr>
          <w:trHeight w:val="276"/>
        </w:trPr>
        <w:tc>
          <w:tcPr>
            <w:tcW w:w="2565"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xml:space="preserve">               spolufinancovanie zo ŠR</w:t>
            </w:r>
          </w:p>
        </w:tc>
        <w:tc>
          <w:tcPr>
            <w:tcW w:w="951"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586 490</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951"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0</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r>
      <w:tr>
        <w:tblPrEx>
          <w:tblW w:w="9227" w:type="dxa"/>
          <w:tblInd w:w="55" w:type="dxa"/>
          <w:tblLayout w:type="fixed"/>
          <w:tblCellMar>
            <w:left w:w="70" w:type="dxa"/>
            <w:right w:w="70" w:type="dxa"/>
          </w:tblCellMar>
          <w:tblLook w:val="04A0"/>
        </w:tblPrEx>
        <w:trPr>
          <w:trHeight w:val="276"/>
        </w:trPr>
        <w:tc>
          <w:tcPr>
            <w:tcW w:w="2565"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A84207" w:rsidP="00257E12">
            <w:pPr>
              <w:bidi w:val="0"/>
              <w:rPr>
                <w:rFonts w:ascii="Times New Roman" w:hAnsi="Times New Roman" w:cs="Times New Roman"/>
                <w:color w:val="000000"/>
                <w:sz w:val="14"/>
                <w:szCs w:val="14"/>
              </w:rPr>
            </w:pPr>
            <w:r w:rsidRPr="00A84207">
              <w:rPr>
                <w:rFonts w:ascii="Times New Roman" w:hAnsi="Times New Roman" w:cs="Times New Roman"/>
                <w:color w:val="000000"/>
                <w:sz w:val="14"/>
                <w:szCs w:val="14"/>
              </w:rPr>
              <w:t>iné zdroje*</w:t>
            </w:r>
          </w:p>
        </w:tc>
        <w:tc>
          <w:tcPr>
            <w:tcW w:w="951"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A84207" w:rsidP="00257E12">
            <w:pPr>
              <w:bidi w:val="0"/>
              <w:jc w:val="right"/>
              <w:rPr>
                <w:rFonts w:ascii="Times New Roman" w:hAnsi="Times New Roman" w:cs="Times New Roman"/>
                <w:color w:val="000000"/>
                <w:sz w:val="14"/>
                <w:szCs w:val="14"/>
              </w:rPr>
            </w:pPr>
            <w:r w:rsidRPr="00A84207">
              <w:rPr>
                <w:rFonts w:ascii="Times New Roman" w:hAnsi="Times New Roman" w:cs="Times New Roman"/>
                <w:color w:val="000000"/>
                <w:sz w:val="14"/>
                <w:szCs w:val="14"/>
              </w:rPr>
              <w:t>98 266</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A84207" w:rsidP="00257E12">
            <w:pPr>
              <w:bidi w:val="0"/>
              <w:jc w:val="right"/>
              <w:rPr>
                <w:rFonts w:ascii="Times New Roman" w:hAnsi="Times New Roman" w:cs="Times New Roman"/>
                <w:color w:val="000000"/>
                <w:sz w:val="14"/>
                <w:szCs w:val="14"/>
              </w:rPr>
            </w:pPr>
            <w:r w:rsidRPr="00A84207">
              <w:rPr>
                <w:rFonts w:ascii="Times New Roman" w:hAnsi="Times New Roman" w:cs="Times New Roman"/>
                <w:color w:val="000000"/>
                <w:sz w:val="14"/>
                <w:szCs w:val="14"/>
              </w:rPr>
              <w:t>129 604</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A84207" w:rsidP="00257E12">
            <w:pPr>
              <w:bidi w:val="0"/>
              <w:jc w:val="right"/>
              <w:rPr>
                <w:rFonts w:ascii="Times New Roman" w:hAnsi="Times New Roman" w:cs="Times New Roman"/>
                <w:color w:val="000000"/>
                <w:sz w:val="14"/>
                <w:szCs w:val="14"/>
              </w:rPr>
            </w:pPr>
            <w:r w:rsidRPr="00A84207">
              <w:rPr>
                <w:rFonts w:ascii="Times New Roman" w:hAnsi="Times New Roman" w:cs="Times New Roman"/>
                <w:color w:val="000000"/>
                <w:sz w:val="14"/>
                <w:szCs w:val="14"/>
              </w:rPr>
              <w:t>0</w:t>
            </w:r>
          </w:p>
        </w:tc>
        <w:tc>
          <w:tcPr>
            <w:tcW w:w="951"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A84207" w:rsidP="00257E12">
            <w:pPr>
              <w:bidi w:val="0"/>
              <w:jc w:val="right"/>
              <w:rPr>
                <w:rFonts w:ascii="Times New Roman" w:hAnsi="Times New Roman" w:cs="Times New Roman"/>
                <w:b/>
                <w:bCs/>
                <w:color w:val="000000"/>
                <w:sz w:val="14"/>
                <w:szCs w:val="14"/>
              </w:rPr>
            </w:pPr>
            <w:r w:rsidRPr="00A84207">
              <w:rPr>
                <w:rFonts w:ascii="Times New Roman" w:hAnsi="Times New Roman" w:cs="Times New Roman"/>
                <w:b/>
                <w:bCs/>
                <w:color w:val="000000"/>
                <w:sz w:val="14"/>
                <w:szCs w:val="14"/>
              </w:rPr>
              <w:t>0</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A84207" w:rsidP="00257E12">
            <w:pPr>
              <w:bidi w:val="0"/>
              <w:jc w:val="right"/>
              <w:rPr>
                <w:rFonts w:ascii="Times New Roman" w:hAnsi="Times New Roman" w:cs="Times New Roman"/>
                <w:color w:val="000000"/>
                <w:sz w:val="14"/>
                <w:szCs w:val="14"/>
              </w:rPr>
            </w:pPr>
            <w:r w:rsidRPr="00A84207">
              <w:rPr>
                <w:rFonts w:ascii="Times New Roman" w:hAnsi="Times New Roman" w:cs="Times New Roman"/>
                <w:color w:val="000000"/>
                <w:sz w:val="14"/>
                <w:szCs w:val="14"/>
              </w:rPr>
              <w:t>168 714</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A84207" w:rsidP="00257E12">
            <w:pPr>
              <w:bidi w:val="0"/>
              <w:jc w:val="right"/>
              <w:rPr>
                <w:rFonts w:ascii="Times New Roman" w:hAnsi="Times New Roman" w:cs="Times New Roman"/>
                <w:color w:val="000000"/>
                <w:sz w:val="14"/>
                <w:szCs w:val="14"/>
              </w:rPr>
            </w:pPr>
            <w:r w:rsidRPr="00A84207">
              <w:rPr>
                <w:rFonts w:ascii="Times New Roman" w:hAnsi="Times New Roman" w:cs="Times New Roman"/>
                <w:color w:val="000000"/>
                <w:sz w:val="14"/>
                <w:szCs w:val="14"/>
              </w:rPr>
              <w:t>0</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A84207" w:rsidP="00257E12">
            <w:pPr>
              <w:bidi w:val="0"/>
              <w:jc w:val="right"/>
              <w:rPr>
                <w:rFonts w:ascii="Times New Roman" w:hAnsi="Times New Roman" w:cs="Times New Roman"/>
                <w:color w:val="000000"/>
                <w:sz w:val="14"/>
                <w:szCs w:val="14"/>
              </w:rPr>
            </w:pPr>
            <w:r w:rsidRPr="00A84207">
              <w:rPr>
                <w:rFonts w:ascii="Times New Roman" w:hAnsi="Times New Roman" w:cs="Times New Roman"/>
                <w:color w:val="000000"/>
                <w:sz w:val="14"/>
                <w:szCs w:val="14"/>
              </w:rPr>
              <w:t>0</w:t>
            </w:r>
          </w:p>
        </w:tc>
      </w:tr>
    </w:tbl>
    <w:p w:rsidR="00CB350B" w:rsidP="00CB350B">
      <w:pPr>
        <w:bidi w:val="0"/>
        <w:rPr>
          <w:rFonts w:ascii="Times New Roman" w:hAnsi="Times New Roman" w:cs="Times New Roman"/>
        </w:rPr>
      </w:pPr>
      <w:r w:rsidRPr="00A84207">
        <w:rPr>
          <w:rFonts w:ascii="Times New Roman" w:hAnsi="Times New Roman" w:cs="Times New Roman"/>
          <w:color w:val="000000"/>
          <w:sz w:val="14"/>
          <w:szCs w:val="14"/>
          <w:lang w:eastAsia="sk-SK"/>
        </w:rPr>
        <w:t>*grant z komisie Európskeho spoločenstva</w:t>
      </w:r>
    </w:p>
    <w:p w:rsidR="00CB350B" w:rsidRPr="00EF1E3D" w:rsidP="00CB350B">
      <w:pPr>
        <w:bidi w:val="0"/>
        <w:rPr>
          <w:rFonts w:ascii="Times New Roman" w:hAnsi="Times New Roman" w:cs="Times New Roman"/>
        </w:rPr>
      </w:pPr>
    </w:p>
    <w:p w:rsidR="00CB350B" w:rsidRPr="00EF1E3D" w:rsidP="00CB350B">
      <w:pPr>
        <w:bidi w:val="0"/>
        <w:ind w:firstLine="708"/>
        <w:jc w:val="both"/>
        <w:rPr>
          <w:rFonts w:ascii="Times New Roman" w:hAnsi="Times New Roman" w:cs="Times New Roman"/>
        </w:rPr>
      </w:pPr>
      <w:r w:rsidRPr="00EF1E3D">
        <w:rPr>
          <w:rFonts w:ascii="Times New Roman" w:hAnsi="Times New Roman" w:cs="Times New Roman"/>
        </w:rPr>
        <w:t>Celkové výdavky kapitoly na rok 2012 sa rozpočtujú v sume 60,</w:t>
      </w:r>
      <w:r>
        <w:rPr>
          <w:rFonts w:ascii="Times New Roman" w:hAnsi="Times New Roman" w:cs="Times New Roman"/>
        </w:rPr>
        <w:t>5</w:t>
      </w:r>
      <w:r w:rsidRPr="00EF1E3D">
        <w:rPr>
          <w:rFonts w:ascii="Times New Roman" w:hAnsi="Times New Roman" w:cs="Times New Roman"/>
        </w:rPr>
        <w:t xml:space="preserve"> mil. eur a oproti schválenému rozpočtu roku 2011 klesajú o 1,</w:t>
      </w:r>
      <w:r>
        <w:rPr>
          <w:rFonts w:ascii="Times New Roman" w:hAnsi="Times New Roman" w:cs="Times New Roman"/>
        </w:rPr>
        <w:t>08</w:t>
      </w:r>
      <w:r w:rsidRPr="00EF1E3D">
        <w:rPr>
          <w:rFonts w:ascii="Times New Roman" w:hAnsi="Times New Roman" w:cs="Times New Roman"/>
        </w:rPr>
        <w:t xml:space="preserve"> %. </w:t>
      </w:r>
    </w:p>
    <w:p w:rsidR="00CB350B" w:rsidRPr="00EF1E3D" w:rsidP="00CB350B">
      <w:pPr>
        <w:bidi w:val="0"/>
        <w:jc w:val="both"/>
        <w:rPr>
          <w:rFonts w:ascii="Times New Roman" w:hAnsi="Times New Roman" w:cs="Times New Roman"/>
        </w:rPr>
      </w:pPr>
    </w:p>
    <w:p w:rsidR="00CB350B" w:rsidRPr="00EF1E3D" w:rsidP="00CB350B">
      <w:pPr>
        <w:bidi w:val="0"/>
        <w:ind w:firstLine="708"/>
        <w:jc w:val="both"/>
        <w:rPr>
          <w:rFonts w:ascii="Times New Roman" w:hAnsi="Times New Roman" w:cs="Times New Roman"/>
          <w:color w:val="C00000"/>
        </w:rPr>
      </w:pPr>
      <w:r>
        <w:rPr>
          <w:rFonts w:ascii="Times New Roman" w:hAnsi="Times New Roman" w:cs="Times New Roman"/>
        </w:rPr>
        <w:t>Na</w:t>
      </w:r>
      <w:r w:rsidRPr="00EF1E3D">
        <w:rPr>
          <w:rFonts w:ascii="Times New Roman" w:hAnsi="Times New Roman" w:cs="Times New Roman"/>
        </w:rPr>
        <w:t xml:space="preserve"> rok 2012 sa rozpočtujú osobné výdavky oproti schválenému rozpočtu roku 2011 vyššie o 2,11 %</w:t>
      </w:r>
      <w:r>
        <w:rPr>
          <w:rFonts w:ascii="Times New Roman" w:hAnsi="Times New Roman" w:cs="Times New Roman"/>
        </w:rPr>
        <w:t xml:space="preserve"> z dôvodu</w:t>
      </w:r>
      <w:r w:rsidRPr="00EF1E3D">
        <w:rPr>
          <w:rFonts w:ascii="Times New Roman" w:hAnsi="Times New Roman" w:cs="Times New Roman"/>
        </w:rPr>
        <w:t xml:space="preserve"> ich zvýšeni</w:t>
      </w:r>
      <w:r>
        <w:rPr>
          <w:rFonts w:ascii="Times New Roman" w:hAnsi="Times New Roman" w:cs="Times New Roman"/>
        </w:rPr>
        <w:t>a, ktoré</w:t>
      </w:r>
      <w:r w:rsidRPr="00EF1E3D">
        <w:rPr>
          <w:rFonts w:ascii="Times New Roman" w:hAnsi="Times New Roman" w:cs="Times New Roman"/>
        </w:rPr>
        <w:t xml:space="preserve"> súvis</w:t>
      </w:r>
      <w:r>
        <w:rPr>
          <w:rFonts w:ascii="Times New Roman" w:hAnsi="Times New Roman" w:cs="Times New Roman"/>
        </w:rPr>
        <w:t>í so zákonom č. 120/1993 Z. z.</w:t>
      </w:r>
      <w:r w:rsidRPr="00EF1E3D">
        <w:rPr>
          <w:rFonts w:ascii="Times New Roman" w:hAnsi="Times New Roman" w:cs="Times New Roman"/>
        </w:rPr>
        <w:t xml:space="preserve"> Nárast osobných výdavkov ústavných činiteľov, prokurátorov a štátnych zamestnancov vo verejných funkciách v roku 2012 zohľadňuje v kapitole štátneho rozpočtu dopočet platových náležitostí reálne vyplácaných v roku 2011 v zmysle zákona. </w:t>
      </w:r>
    </w:p>
    <w:p w:rsidR="00CB350B" w:rsidRPr="00EF1E3D" w:rsidP="00CB350B">
      <w:pPr>
        <w:bidi w:val="0"/>
        <w:jc w:val="both"/>
        <w:rPr>
          <w:rFonts w:ascii="Times New Roman" w:hAnsi="Times New Roman" w:cs="Times New Roman"/>
        </w:rPr>
      </w:pPr>
    </w:p>
    <w:p w:rsidR="00CB350B" w:rsidRPr="00EF1E3D" w:rsidP="00CB350B">
      <w:pPr>
        <w:bidi w:val="0"/>
        <w:ind w:firstLine="708"/>
        <w:jc w:val="both"/>
        <w:rPr>
          <w:rFonts w:ascii="Times New Roman" w:hAnsi="Times New Roman" w:cs="Times New Roman"/>
        </w:rPr>
      </w:pPr>
      <w:r w:rsidRPr="00EF1E3D">
        <w:rPr>
          <w:rFonts w:ascii="Times New Roman" w:hAnsi="Times New Roman" w:cs="Times New Roman"/>
        </w:rPr>
        <w:t>Tovary a služby sa rozpočtujú v sume 7,27 mil. eur, čo predstavuje oproti schválenému rozpočtu roku 2011 pokles o 5 %.</w:t>
      </w:r>
    </w:p>
    <w:p w:rsidR="00CB350B" w:rsidRPr="00EF1E3D" w:rsidP="00CB350B">
      <w:pPr>
        <w:bidi w:val="0"/>
        <w:jc w:val="both"/>
        <w:rPr>
          <w:rFonts w:ascii="Times New Roman" w:hAnsi="Times New Roman" w:cs="Times New Roman"/>
        </w:rPr>
      </w:pPr>
    </w:p>
    <w:p w:rsidR="00CB350B" w:rsidRPr="00EF1E3D" w:rsidP="00CB350B">
      <w:pPr>
        <w:bidi w:val="0"/>
        <w:ind w:firstLine="708"/>
        <w:jc w:val="both"/>
        <w:rPr>
          <w:rFonts w:ascii="Times New Roman" w:hAnsi="Times New Roman" w:cs="Times New Roman"/>
          <w:color w:val="000000"/>
        </w:rPr>
      </w:pPr>
      <w:r w:rsidRPr="00EF1E3D">
        <w:rPr>
          <w:rFonts w:ascii="Times New Roman" w:hAnsi="Times New Roman" w:cs="Times New Roman"/>
        </w:rPr>
        <w:t xml:space="preserve">Kapitálové výdavky sa rozpočtujú v sume 615 tis. eur, čo predstavuje oproti schválenému rozpočtu roku 2011 pokles o 70,9 %. Uvedený pokles vyplýva z titulu </w:t>
      </w:r>
      <w:r w:rsidRPr="00EF1E3D">
        <w:rPr>
          <w:rFonts w:ascii="Times New Roman" w:hAnsi="Times New Roman" w:cs="Times New Roman"/>
          <w:color w:val="000000"/>
        </w:rPr>
        <w:t>odpočítania jednorazových výdavkov v sume 1,50 mil. eur určených v roku 2011 na technické zabezpečenie nových prokuratúr.</w:t>
      </w:r>
    </w:p>
    <w:p w:rsidR="00CB350B" w:rsidP="00CB350B">
      <w:pPr>
        <w:bidi w:val="0"/>
      </w:pPr>
    </w:p>
    <w:p w:rsidR="00CB350B" w:rsidRPr="0004638E" w:rsidP="00CB350B">
      <w:pPr>
        <w:pBdr>
          <w:bottom w:val="single" w:sz="4" w:space="1" w:color="auto"/>
        </w:pBdr>
        <w:bidi w:val="0"/>
        <w:jc w:val="both"/>
        <w:rPr>
          <w:rFonts w:ascii="Times New Roman" w:hAnsi="Times New Roman" w:cs="Times New Roman"/>
          <w:b/>
          <w:bCs/>
        </w:rPr>
      </w:pPr>
      <w:r w:rsidRPr="0004638E">
        <w:rPr>
          <w:rFonts w:ascii="Times New Roman" w:hAnsi="Times New Roman" w:cs="Times New Roman"/>
          <w:b/>
        </w:rPr>
        <w:t>Najvyšší kontrolný úrad SR</w:t>
      </w:r>
      <w:r w:rsidRPr="0004638E">
        <w:rPr>
          <w:rFonts w:ascii="Times New Roman" w:hAnsi="Times New Roman" w:cs="Times New Roman"/>
          <w:b/>
          <w:bCs/>
        </w:rPr>
        <w:t xml:space="preserve"> </w:t>
      </w:r>
    </w:p>
    <w:p w:rsidR="00CB350B" w:rsidRPr="0004638E" w:rsidP="00CB350B">
      <w:pPr>
        <w:bidi w:val="0"/>
        <w:jc w:val="both"/>
        <w:rPr>
          <w:rFonts w:ascii="Times New Roman" w:hAnsi="Times New Roman" w:cs="Times New Roman"/>
          <w:b/>
        </w:rPr>
      </w:pPr>
    </w:p>
    <w:p w:rsidR="00CB350B" w:rsidRPr="0004638E" w:rsidP="00CB350B">
      <w:pPr>
        <w:bidi w:val="0"/>
        <w:ind w:firstLine="708"/>
        <w:jc w:val="both"/>
        <w:rPr>
          <w:rFonts w:ascii="Times New Roman" w:hAnsi="Times New Roman" w:cs="Times New Roman"/>
          <w:color w:val="000000"/>
        </w:rPr>
      </w:pPr>
      <w:r w:rsidRPr="0004638E">
        <w:rPr>
          <w:rFonts w:ascii="Times New Roman" w:hAnsi="Times New Roman" w:cs="Times New Roman"/>
          <w:color w:val="000000"/>
        </w:rPr>
        <w:t>V rozpočte Najvyššieho kontrolného úradu SR sa zohľadňuje predovšetkým zabezpečenie plnenia kontrolných úloh zameraných na spoločensky významné problémy vrátane špecifických kontrolných akcií.</w:t>
      </w:r>
    </w:p>
    <w:p w:rsidR="00CB350B" w:rsidRPr="0004638E" w:rsidP="00CB350B">
      <w:pPr>
        <w:bidi w:val="0"/>
        <w:ind w:firstLine="708"/>
        <w:jc w:val="both"/>
        <w:rPr>
          <w:rFonts w:ascii="Times New Roman" w:hAnsi="Times New Roman" w:cs="Times New Roman"/>
          <w:color w:val="000000"/>
        </w:rPr>
      </w:pPr>
    </w:p>
    <w:tbl>
      <w:tblPr>
        <w:tblStyle w:val="TableNormal"/>
        <w:tblW w:w="5000" w:type="pct"/>
        <w:tblCellMar>
          <w:left w:w="70" w:type="dxa"/>
          <w:right w:w="70" w:type="dxa"/>
        </w:tblCellMar>
        <w:tblLook w:val="04A0"/>
      </w:tblPr>
      <w:tblGrid>
        <w:gridCol w:w="2818"/>
        <w:gridCol w:w="914"/>
        <w:gridCol w:w="914"/>
        <w:gridCol w:w="914"/>
        <w:gridCol w:w="914"/>
        <w:gridCol w:w="914"/>
        <w:gridCol w:w="914"/>
        <w:gridCol w:w="910"/>
      </w:tblGrid>
      <w:tr>
        <w:tblPrEx>
          <w:tblW w:w="5000" w:type="pct"/>
          <w:tblCellMar>
            <w:left w:w="70" w:type="dxa"/>
            <w:right w:w="70" w:type="dxa"/>
          </w:tblCellMar>
          <w:tblLook w:val="04A0"/>
        </w:tblPrEx>
        <w:trPr>
          <w:trHeight w:val="259"/>
        </w:trPr>
        <w:tc>
          <w:tcPr>
            <w:tcW w:w="1530"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 v eurách</w:t>
            </w:r>
          </w:p>
        </w:tc>
        <w:tc>
          <w:tcPr>
            <w:tcW w:w="496"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2009 S</w:t>
            </w:r>
          </w:p>
        </w:tc>
        <w:tc>
          <w:tcPr>
            <w:tcW w:w="496"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2010S</w:t>
            </w:r>
          </w:p>
        </w:tc>
        <w:tc>
          <w:tcPr>
            <w:tcW w:w="496"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2011 R</w:t>
            </w:r>
          </w:p>
        </w:tc>
        <w:tc>
          <w:tcPr>
            <w:tcW w:w="496"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2011 OS</w:t>
            </w:r>
          </w:p>
        </w:tc>
        <w:tc>
          <w:tcPr>
            <w:tcW w:w="496"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2012 N</w:t>
            </w:r>
          </w:p>
        </w:tc>
        <w:tc>
          <w:tcPr>
            <w:tcW w:w="496"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2013 N</w:t>
            </w:r>
          </w:p>
        </w:tc>
        <w:tc>
          <w:tcPr>
            <w:tcW w:w="496" w:type="pct"/>
            <w:tcBorders>
              <w:top w:val="single" w:sz="4" w:space="0" w:color="auto"/>
              <w:left w:val="nil"/>
              <w:bottom w:val="single" w:sz="4" w:space="0" w:color="auto"/>
              <w:right w:val="single" w:sz="4" w:space="0" w:color="auto"/>
            </w:tcBorders>
            <w:noWrap/>
            <w:textDirection w:val="lrTb"/>
            <w:vAlign w:val="bottom"/>
            <w:hideMark/>
          </w:tcPr>
          <w:p w:rsidR="00CB350B" w:rsidRPr="005A6E2D" w:rsidP="00257E12">
            <w:pPr>
              <w:bidi w:val="0"/>
              <w:jc w:val="center"/>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2014 N</w:t>
            </w:r>
          </w:p>
        </w:tc>
      </w:tr>
      <w:tr>
        <w:tblPrEx>
          <w:tblW w:w="5000" w:type="pct"/>
          <w:tblCellMar>
            <w:left w:w="70" w:type="dxa"/>
            <w:right w:w="70" w:type="dxa"/>
          </w:tblCellMar>
          <w:tblLook w:val="04A0"/>
        </w:tblPrEx>
        <w:trPr>
          <w:trHeight w:val="259"/>
        </w:trPr>
        <w:tc>
          <w:tcPr>
            <w:tcW w:w="1530"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b/>
                <w:bCs/>
                <w:color w:val="000000"/>
                <w:sz w:val="14"/>
                <w:szCs w:val="14"/>
              </w:rPr>
            </w:pPr>
            <w:r w:rsidRPr="005A6E2D">
              <w:rPr>
                <w:rFonts w:ascii="Times New Roman" w:hAnsi="Times New Roman" w:cs="Times New Roman"/>
                <w:b/>
                <w:bCs/>
                <w:color w:val="000000"/>
                <w:sz w:val="14"/>
                <w:szCs w:val="14"/>
              </w:rPr>
              <w:t>Zdroje príslušnej kapitoly</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color w:val="000000"/>
                <w:sz w:val="14"/>
                <w:szCs w:val="14"/>
              </w:rPr>
            </w:pPr>
            <w:r w:rsidRPr="005A6E2D">
              <w:rPr>
                <w:rFonts w:ascii="Times New Roman" w:hAnsi="Times New Roman" w:cs="Times New Roman"/>
                <w:b/>
                <w:color w:val="000000"/>
                <w:sz w:val="14"/>
                <w:szCs w:val="14"/>
              </w:rPr>
              <w:t>8 663 831</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color w:val="000000"/>
                <w:sz w:val="14"/>
                <w:szCs w:val="14"/>
              </w:rPr>
            </w:pPr>
            <w:r w:rsidRPr="005A6E2D">
              <w:rPr>
                <w:rFonts w:ascii="Times New Roman" w:hAnsi="Times New Roman" w:cs="Times New Roman"/>
                <w:b/>
                <w:color w:val="000000"/>
                <w:sz w:val="14"/>
                <w:szCs w:val="14"/>
              </w:rPr>
              <w:t>9 369 745</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color w:val="000000"/>
                <w:sz w:val="14"/>
                <w:szCs w:val="14"/>
              </w:rPr>
            </w:pPr>
            <w:r w:rsidRPr="005A6E2D">
              <w:rPr>
                <w:rFonts w:ascii="Times New Roman" w:hAnsi="Times New Roman" w:cs="Times New Roman"/>
                <w:b/>
                <w:color w:val="000000"/>
                <w:sz w:val="14"/>
                <w:szCs w:val="14"/>
              </w:rPr>
              <w:t>7 463 146</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color w:val="000000"/>
                <w:sz w:val="14"/>
                <w:szCs w:val="14"/>
              </w:rPr>
            </w:pPr>
            <w:r w:rsidRPr="005A6E2D">
              <w:rPr>
                <w:rFonts w:ascii="Times New Roman" w:hAnsi="Times New Roman" w:cs="Times New Roman"/>
                <w:b/>
                <w:color w:val="000000"/>
                <w:sz w:val="14"/>
                <w:szCs w:val="14"/>
              </w:rPr>
              <w:t>8 827 488</w:t>
            </w:r>
          </w:p>
        </w:tc>
        <w:tc>
          <w:tcPr>
            <w:tcW w:w="496" w:type="pct"/>
            <w:tcBorders>
              <w:top w:val="nil"/>
              <w:left w:val="nil"/>
              <w:bottom w:val="single" w:sz="4" w:space="0" w:color="auto"/>
              <w:right w:val="single" w:sz="4" w:space="0" w:color="auto"/>
            </w:tcBorders>
            <w:noWrap/>
            <w:textDirection w:val="lrTb"/>
            <w:vAlign w:val="bottom"/>
            <w:hideMark/>
          </w:tcPr>
          <w:p w:rsidR="00CB350B" w:rsidRPr="002A7704" w:rsidP="00257E12">
            <w:pPr>
              <w:bidi w:val="0"/>
              <w:jc w:val="right"/>
              <w:rPr>
                <w:rFonts w:ascii="Times New Roman" w:hAnsi="Times New Roman" w:cs="Times New Roman"/>
                <w:b/>
                <w:color w:val="000000"/>
                <w:sz w:val="14"/>
                <w:szCs w:val="14"/>
              </w:rPr>
            </w:pPr>
            <w:r w:rsidRPr="002A7704">
              <w:rPr>
                <w:rFonts w:ascii="Times New Roman" w:hAnsi="Times New Roman" w:cs="Times New Roman"/>
                <w:b/>
                <w:color w:val="000000"/>
                <w:sz w:val="14"/>
                <w:szCs w:val="14"/>
              </w:rPr>
              <w:t>7 976</w:t>
            </w:r>
            <w:r>
              <w:rPr>
                <w:rFonts w:ascii="Times New Roman" w:hAnsi="Times New Roman" w:cs="Times New Roman"/>
                <w:b/>
                <w:color w:val="000000"/>
                <w:sz w:val="14"/>
                <w:szCs w:val="14"/>
              </w:rPr>
              <w:t> </w:t>
            </w:r>
            <w:r w:rsidRPr="002A7704">
              <w:rPr>
                <w:rFonts w:ascii="Times New Roman" w:hAnsi="Times New Roman" w:cs="Times New Roman"/>
                <w:b/>
                <w:color w:val="000000"/>
                <w:sz w:val="14"/>
                <w:szCs w:val="14"/>
              </w:rPr>
              <w:t>235</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color w:val="000000"/>
                <w:sz w:val="14"/>
                <w:szCs w:val="14"/>
              </w:rPr>
            </w:pPr>
            <w:r w:rsidRPr="005A6E2D">
              <w:rPr>
                <w:rFonts w:ascii="Times New Roman" w:hAnsi="Times New Roman" w:cs="Times New Roman"/>
                <w:b/>
                <w:color w:val="000000"/>
                <w:sz w:val="14"/>
                <w:szCs w:val="14"/>
              </w:rPr>
              <w:t>7 435 156</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b/>
                <w:color w:val="000000"/>
                <w:sz w:val="14"/>
                <w:szCs w:val="14"/>
              </w:rPr>
            </w:pPr>
            <w:r w:rsidRPr="005A6E2D">
              <w:rPr>
                <w:rFonts w:ascii="Times New Roman" w:hAnsi="Times New Roman" w:cs="Times New Roman"/>
                <w:b/>
                <w:color w:val="000000"/>
                <w:sz w:val="14"/>
                <w:szCs w:val="14"/>
              </w:rPr>
              <w:t>7 447 544</w:t>
            </w:r>
          </w:p>
        </w:tc>
      </w:tr>
      <w:tr>
        <w:tblPrEx>
          <w:tblW w:w="5000" w:type="pct"/>
          <w:tblCellMar>
            <w:left w:w="70" w:type="dxa"/>
            <w:right w:w="70" w:type="dxa"/>
          </w:tblCellMar>
          <w:tblLook w:val="04A0"/>
        </w:tblPrEx>
        <w:trPr>
          <w:trHeight w:val="259"/>
        </w:trPr>
        <w:tc>
          <w:tcPr>
            <w:tcW w:w="1530"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xml:space="preserve">rozpočtové zdroje kapitoly </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7 824 545</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8 002 545</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7 463 146</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7 463 146</w:t>
            </w:r>
          </w:p>
        </w:tc>
        <w:tc>
          <w:tcPr>
            <w:tcW w:w="496" w:type="pct"/>
            <w:tcBorders>
              <w:top w:val="nil"/>
              <w:left w:val="nil"/>
              <w:bottom w:val="single" w:sz="4" w:space="0" w:color="auto"/>
              <w:right w:val="single" w:sz="4" w:space="0" w:color="auto"/>
            </w:tcBorders>
            <w:noWrap/>
            <w:textDirection w:val="lrTb"/>
            <w:vAlign w:val="bottom"/>
            <w:hideMark/>
          </w:tcPr>
          <w:p w:rsidR="00CB350B" w:rsidRPr="002A7704" w:rsidP="00257E12">
            <w:pPr>
              <w:bidi w:val="0"/>
              <w:jc w:val="right"/>
              <w:rPr>
                <w:rFonts w:ascii="Times New Roman" w:hAnsi="Times New Roman" w:cs="Times New Roman"/>
                <w:color w:val="000000"/>
                <w:sz w:val="14"/>
                <w:szCs w:val="14"/>
              </w:rPr>
            </w:pPr>
            <w:r w:rsidRPr="002A7704">
              <w:rPr>
                <w:rFonts w:ascii="Times New Roman" w:hAnsi="Times New Roman" w:cs="Times New Roman"/>
                <w:color w:val="000000"/>
                <w:sz w:val="14"/>
                <w:szCs w:val="14"/>
              </w:rPr>
              <w:t>7 976 235</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7 435 156</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7 447 544</w:t>
            </w:r>
          </w:p>
        </w:tc>
      </w:tr>
      <w:tr>
        <w:tblPrEx>
          <w:tblW w:w="5000" w:type="pct"/>
          <w:tblCellMar>
            <w:left w:w="70" w:type="dxa"/>
            <w:right w:w="70" w:type="dxa"/>
          </w:tblCellMar>
          <w:tblLook w:val="04A0"/>
        </w:tblPrEx>
        <w:trPr>
          <w:trHeight w:val="259"/>
        </w:trPr>
        <w:tc>
          <w:tcPr>
            <w:tcW w:w="1530"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xml:space="preserve">    v tom: bežné výdavky  600</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7 521 696</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7 773 437</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7 247 385</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7 247 385</w:t>
            </w:r>
          </w:p>
        </w:tc>
        <w:tc>
          <w:tcPr>
            <w:tcW w:w="496" w:type="pct"/>
            <w:tcBorders>
              <w:top w:val="nil"/>
              <w:left w:val="nil"/>
              <w:bottom w:val="single" w:sz="4" w:space="0" w:color="auto"/>
              <w:right w:val="single" w:sz="4" w:space="0" w:color="auto"/>
            </w:tcBorders>
            <w:noWrap/>
            <w:textDirection w:val="lrTb"/>
            <w:vAlign w:val="bottom"/>
            <w:hideMark/>
          </w:tcPr>
          <w:p w:rsidR="00CB350B" w:rsidRPr="002A7704" w:rsidP="00257E12">
            <w:pPr>
              <w:bidi w:val="0"/>
              <w:jc w:val="right"/>
              <w:rPr>
                <w:rFonts w:ascii="Times New Roman" w:hAnsi="Times New Roman" w:cs="Times New Roman"/>
                <w:color w:val="000000"/>
                <w:sz w:val="14"/>
                <w:szCs w:val="14"/>
              </w:rPr>
            </w:pPr>
            <w:r w:rsidRPr="002A7704">
              <w:rPr>
                <w:rFonts w:ascii="Times New Roman" w:hAnsi="Times New Roman" w:cs="Times New Roman"/>
                <w:color w:val="000000"/>
                <w:sz w:val="14"/>
                <w:szCs w:val="14"/>
              </w:rPr>
              <w:t>7 871 235</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7 330 156</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7 342 544</w:t>
            </w:r>
          </w:p>
        </w:tc>
      </w:tr>
      <w:tr>
        <w:tblPrEx>
          <w:tblW w:w="5000" w:type="pct"/>
          <w:tblCellMar>
            <w:left w:w="70" w:type="dxa"/>
            <w:right w:w="70" w:type="dxa"/>
          </w:tblCellMar>
          <w:tblLook w:val="04A0"/>
        </w:tblPrEx>
        <w:trPr>
          <w:trHeight w:val="259"/>
        </w:trPr>
        <w:tc>
          <w:tcPr>
            <w:tcW w:w="1530"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xml:space="preserve">                     610 mzdy</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4 856 674</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4 957 919</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4 523 294</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4 523 294</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4 536 862</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4 553 573</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4 563 760</w:t>
            </w:r>
          </w:p>
        </w:tc>
      </w:tr>
      <w:tr>
        <w:tblPrEx>
          <w:tblW w:w="5000" w:type="pct"/>
          <w:tblCellMar>
            <w:left w:w="70" w:type="dxa"/>
            <w:right w:w="70" w:type="dxa"/>
          </w:tblCellMar>
          <w:tblLook w:val="04A0"/>
        </w:tblPrEx>
        <w:trPr>
          <w:trHeight w:val="259"/>
        </w:trPr>
        <w:tc>
          <w:tcPr>
            <w:tcW w:w="1530"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xml:space="preserve">                     620 odvody</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1 600 635</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1 652 058</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1 580 890</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1 580 890</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1 585 118</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1 588 728</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1 590 929</w:t>
            </w:r>
          </w:p>
        </w:tc>
      </w:tr>
      <w:tr>
        <w:tblPrEx>
          <w:tblW w:w="5000" w:type="pct"/>
          <w:tblCellMar>
            <w:left w:w="70" w:type="dxa"/>
            <w:right w:w="70" w:type="dxa"/>
          </w:tblCellMar>
          <w:tblLook w:val="04A0"/>
        </w:tblPrEx>
        <w:trPr>
          <w:trHeight w:val="259"/>
        </w:trPr>
        <w:tc>
          <w:tcPr>
            <w:tcW w:w="1530"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xml:space="preserve">                     630 tovary a služby</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1 034 233</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1 098 149</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1 125 098</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1 122 301</w:t>
            </w:r>
          </w:p>
        </w:tc>
        <w:tc>
          <w:tcPr>
            <w:tcW w:w="496" w:type="pct"/>
            <w:tcBorders>
              <w:top w:val="nil"/>
              <w:left w:val="nil"/>
              <w:bottom w:val="single" w:sz="4" w:space="0" w:color="auto"/>
              <w:right w:val="single" w:sz="4" w:space="0" w:color="auto"/>
            </w:tcBorders>
            <w:noWrap/>
            <w:textDirection w:val="lrTb"/>
            <w:vAlign w:val="bottom"/>
            <w:hideMark/>
          </w:tcPr>
          <w:p w:rsidR="00CB350B" w:rsidRPr="002A7704" w:rsidP="00257E12">
            <w:pPr>
              <w:bidi w:val="0"/>
              <w:jc w:val="right"/>
              <w:rPr>
                <w:rFonts w:ascii="Times New Roman" w:hAnsi="Times New Roman" w:cs="Times New Roman"/>
                <w:color w:val="000000"/>
                <w:sz w:val="14"/>
                <w:szCs w:val="14"/>
              </w:rPr>
            </w:pPr>
            <w:r w:rsidRPr="002A7704">
              <w:rPr>
                <w:rFonts w:ascii="Times New Roman" w:hAnsi="Times New Roman" w:cs="Times New Roman"/>
                <w:color w:val="000000"/>
                <w:sz w:val="14"/>
                <w:szCs w:val="14"/>
              </w:rPr>
              <w:t>1 730 755</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1 169 355</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1 169 355</w:t>
            </w:r>
          </w:p>
        </w:tc>
      </w:tr>
      <w:tr>
        <w:tblPrEx>
          <w:tblW w:w="5000" w:type="pct"/>
          <w:tblCellMar>
            <w:left w:w="70" w:type="dxa"/>
            <w:right w:w="70" w:type="dxa"/>
          </w:tblCellMar>
          <w:tblLook w:val="04A0"/>
        </w:tblPrEx>
        <w:trPr>
          <w:trHeight w:val="259"/>
        </w:trPr>
        <w:tc>
          <w:tcPr>
            <w:tcW w:w="1530"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xml:space="preserve">                     640 bežné transfery</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30 154</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65 312</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18 103</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20 900</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18 500</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18 500</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18 500</w:t>
            </w:r>
          </w:p>
        </w:tc>
      </w:tr>
      <w:tr>
        <w:tblPrEx>
          <w:tblW w:w="5000" w:type="pct"/>
          <w:tblCellMar>
            <w:left w:w="70" w:type="dxa"/>
            <w:right w:w="70" w:type="dxa"/>
          </w:tblCellMar>
          <w:tblLook w:val="04A0"/>
        </w:tblPrEx>
        <w:trPr>
          <w:trHeight w:val="259"/>
        </w:trPr>
        <w:tc>
          <w:tcPr>
            <w:tcW w:w="1530"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xml:space="preserve">                kapitálové výdavky 700</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302 849</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229 107</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215 761</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215 761</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105 000</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105 000</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105 000</w:t>
            </w:r>
          </w:p>
        </w:tc>
      </w:tr>
      <w:tr>
        <w:tblPrEx>
          <w:tblW w:w="5000" w:type="pct"/>
          <w:tblCellMar>
            <w:left w:w="70" w:type="dxa"/>
            <w:right w:w="70" w:type="dxa"/>
          </w:tblCellMar>
          <w:tblLook w:val="04A0"/>
        </w:tblPrEx>
        <w:trPr>
          <w:trHeight w:val="259"/>
        </w:trPr>
        <w:tc>
          <w:tcPr>
            <w:tcW w:w="1530"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 xml:space="preserve">zdroje EÚ vrátane spolufinancovania: </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698 490</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1 174 319</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9"/>
        </w:trPr>
        <w:tc>
          <w:tcPr>
            <w:tcW w:w="1530"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presun z minulých rokov</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829 848</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668 710</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190 022</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9"/>
        </w:trPr>
        <w:tc>
          <w:tcPr>
            <w:tcW w:w="1530" w:type="pct"/>
            <w:tcBorders>
              <w:top w:val="nil"/>
              <w:left w:val="single" w:sz="4" w:space="0" w:color="auto"/>
              <w:bottom w:val="single" w:sz="4" w:space="0" w:color="auto"/>
              <w:right w:val="single" w:sz="4" w:space="0" w:color="auto"/>
            </w:tcBorders>
            <w:noWrap/>
            <w:textDirection w:val="lrTb"/>
            <w:vAlign w:val="bottom"/>
            <w:hideMark/>
          </w:tcPr>
          <w:p w:rsidR="00CB350B" w:rsidRPr="005A6E2D" w:rsidP="00257E12">
            <w:pPr>
              <w:bidi w:val="0"/>
              <w:rPr>
                <w:rFonts w:ascii="Times New Roman" w:hAnsi="Times New Roman" w:cs="Times New Roman"/>
                <w:color w:val="000000"/>
                <w:sz w:val="14"/>
                <w:szCs w:val="14"/>
              </w:rPr>
            </w:pPr>
            <w:r w:rsidRPr="005A6E2D">
              <w:rPr>
                <w:rFonts w:ascii="Times New Roman" w:hAnsi="Times New Roman" w:cs="Times New Roman"/>
                <w:color w:val="000000"/>
                <w:sz w:val="14"/>
                <w:szCs w:val="14"/>
              </w:rPr>
              <w:t>iné zdroje*</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9 438</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c>
          <w:tcPr>
            <w:tcW w:w="496" w:type="pct"/>
            <w:tcBorders>
              <w:top w:val="nil"/>
              <w:left w:val="nil"/>
              <w:bottom w:val="single" w:sz="4" w:space="0" w:color="auto"/>
              <w:right w:val="single" w:sz="4" w:space="0" w:color="auto"/>
            </w:tcBorders>
            <w:noWrap/>
            <w:textDirection w:val="lrTb"/>
            <w:vAlign w:val="bottom"/>
            <w:hideMark/>
          </w:tcPr>
          <w:p w:rsidR="00CB350B" w:rsidRPr="005A6E2D" w:rsidP="00257E12">
            <w:pPr>
              <w:bidi w:val="0"/>
              <w:jc w:val="right"/>
              <w:rPr>
                <w:rFonts w:ascii="Times New Roman" w:hAnsi="Times New Roman" w:cs="Times New Roman"/>
                <w:color w:val="000000"/>
                <w:sz w:val="14"/>
                <w:szCs w:val="14"/>
              </w:rPr>
            </w:pPr>
            <w:r w:rsidRPr="005A6E2D">
              <w:rPr>
                <w:rFonts w:ascii="Times New Roman" w:hAnsi="Times New Roman" w:cs="Times New Roman"/>
                <w:color w:val="000000"/>
                <w:sz w:val="14"/>
                <w:szCs w:val="14"/>
              </w:rPr>
              <w:t>0</w:t>
            </w:r>
          </w:p>
        </w:tc>
      </w:tr>
    </w:tbl>
    <w:p w:rsidR="00CB350B" w:rsidRPr="0004638E" w:rsidP="00CB350B">
      <w:pPr>
        <w:bidi w:val="0"/>
        <w:jc w:val="both"/>
        <w:rPr>
          <w:rFonts w:ascii="Times New Roman" w:hAnsi="Times New Roman" w:cs="Times New Roman"/>
          <w:b/>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color w:val="000000"/>
        </w:rPr>
        <w:t>Výdavky kapitoly sa v roku 2012 rozpočtujú v hodnote 7,</w:t>
      </w:r>
      <w:r>
        <w:rPr>
          <w:rFonts w:ascii="Times New Roman" w:hAnsi="Times New Roman" w:cs="Times New Roman"/>
          <w:color w:val="000000"/>
        </w:rPr>
        <w:t>98</w:t>
      </w:r>
      <w:r w:rsidRPr="0004638E">
        <w:rPr>
          <w:rFonts w:ascii="Times New Roman" w:hAnsi="Times New Roman" w:cs="Times New Roman"/>
          <w:color w:val="000000"/>
        </w:rPr>
        <w:t xml:space="preserve"> mil. eur</w:t>
      </w:r>
      <w:r w:rsidRPr="0004638E">
        <w:rPr>
          <w:rFonts w:ascii="Times New Roman" w:hAnsi="Times New Roman" w:cs="Times New Roman"/>
        </w:rPr>
        <w:t xml:space="preserve">, čo je v porovnaní so schváleným rozpočtom roku 2011 </w:t>
      </w:r>
      <w:r>
        <w:rPr>
          <w:rFonts w:ascii="Times New Roman" w:hAnsi="Times New Roman" w:cs="Times New Roman"/>
        </w:rPr>
        <w:t>viac</w:t>
      </w:r>
      <w:r w:rsidRPr="0004638E">
        <w:rPr>
          <w:rFonts w:ascii="Times New Roman" w:hAnsi="Times New Roman" w:cs="Times New Roman"/>
        </w:rPr>
        <w:t xml:space="preserve"> o </w:t>
      </w:r>
      <w:r>
        <w:rPr>
          <w:rFonts w:ascii="Times New Roman" w:hAnsi="Times New Roman" w:cs="Times New Roman"/>
        </w:rPr>
        <w:t>513</w:t>
      </w:r>
      <w:r w:rsidRPr="0004638E">
        <w:rPr>
          <w:rFonts w:ascii="Times New Roman" w:hAnsi="Times New Roman" w:cs="Times New Roman"/>
        </w:rPr>
        <w:t xml:space="preserve"> tis. eur (</w:t>
      </w:r>
      <w:r>
        <w:rPr>
          <w:rFonts w:ascii="Times New Roman" w:hAnsi="Times New Roman" w:cs="Times New Roman"/>
        </w:rPr>
        <w:t>6,87</w:t>
      </w:r>
      <w:r w:rsidRPr="0004638E">
        <w:rPr>
          <w:rFonts w:ascii="Times New Roman" w:hAnsi="Times New Roman" w:cs="Times New Roman"/>
        </w:rPr>
        <w:t xml:space="preserve"> %).</w:t>
      </w:r>
      <w:r>
        <w:rPr>
          <w:rFonts w:ascii="Times New Roman" w:hAnsi="Times New Roman" w:cs="Times New Roman"/>
        </w:rPr>
        <w:t xml:space="preserve"> Nárast je spôsobený pokrytím výdavkov na Kontrolórsky informačný systém.</w:t>
      </w: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 xml:space="preserve"> </w:t>
      </w:r>
    </w:p>
    <w:p w:rsidR="00CB350B" w:rsidRPr="0004638E" w:rsidP="00CB350B">
      <w:pPr>
        <w:autoSpaceDE w:val="0"/>
        <w:autoSpaceDN w:val="0"/>
        <w:bidi w:val="0"/>
        <w:adjustRightInd w:val="0"/>
        <w:ind w:firstLine="708"/>
        <w:jc w:val="both"/>
        <w:rPr>
          <w:rFonts w:ascii="Times New Roman" w:hAnsi="Times New Roman" w:cs="Times New Roman"/>
        </w:rPr>
      </w:pPr>
      <w:r w:rsidRPr="0004638E">
        <w:rPr>
          <w:rFonts w:ascii="Times New Roman" w:hAnsi="Times New Roman" w:cs="Times New Roman"/>
        </w:rPr>
        <w:t xml:space="preserve">Objem osobných výdavkov sa </w:t>
      </w:r>
      <w:r>
        <w:rPr>
          <w:rFonts w:ascii="Times New Roman" w:hAnsi="Times New Roman" w:cs="Times New Roman"/>
        </w:rPr>
        <w:t>na</w:t>
      </w:r>
      <w:r w:rsidRPr="0004638E">
        <w:rPr>
          <w:rFonts w:ascii="Times New Roman" w:hAnsi="Times New Roman" w:cs="Times New Roman"/>
        </w:rPr>
        <w:t xml:space="preserve"> rok 2012 rozpočtuje na úrovni 6,12 mil. eur, čo v porovnaní so schváleným rozpočtom </w:t>
      </w:r>
      <w:r>
        <w:rPr>
          <w:rFonts w:ascii="Times New Roman" w:hAnsi="Times New Roman" w:cs="Times New Roman"/>
        </w:rPr>
        <w:t>na</w:t>
      </w:r>
      <w:r w:rsidRPr="0004638E">
        <w:rPr>
          <w:rFonts w:ascii="Times New Roman" w:hAnsi="Times New Roman" w:cs="Times New Roman"/>
        </w:rPr>
        <w:t xml:space="preserve"> rok 2011 predstavuje nárast o 17,8 tis. eur (0,29</w:t>
      </w:r>
      <w:r>
        <w:rPr>
          <w:rFonts w:ascii="Times New Roman" w:hAnsi="Times New Roman" w:cs="Times New Roman"/>
        </w:rPr>
        <w:t> </w:t>
      </w:r>
      <w:r w:rsidRPr="0004638E">
        <w:rPr>
          <w:rFonts w:ascii="Times New Roman" w:hAnsi="Times New Roman" w:cs="Times New Roman"/>
        </w:rPr>
        <w:t xml:space="preserve">%) </w:t>
      </w:r>
      <w:r>
        <w:rPr>
          <w:rFonts w:ascii="Times New Roman" w:hAnsi="Times New Roman" w:cs="Times New Roman"/>
        </w:rPr>
        <w:t xml:space="preserve">z dôvodu </w:t>
      </w:r>
      <w:r w:rsidRPr="0004638E">
        <w:rPr>
          <w:rFonts w:ascii="Times New Roman" w:hAnsi="Times New Roman" w:cs="Times New Roman"/>
        </w:rPr>
        <w:t>ich zvýšeni</w:t>
      </w:r>
      <w:r>
        <w:rPr>
          <w:rFonts w:ascii="Times New Roman" w:hAnsi="Times New Roman" w:cs="Times New Roman"/>
        </w:rPr>
        <w:t>a, ktoré</w:t>
      </w:r>
      <w:r w:rsidRPr="0004638E">
        <w:rPr>
          <w:rFonts w:ascii="Times New Roman" w:hAnsi="Times New Roman" w:cs="Times New Roman"/>
        </w:rPr>
        <w:t xml:space="preserve"> súvis</w:t>
      </w:r>
      <w:r>
        <w:rPr>
          <w:rFonts w:ascii="Times New Roman" w:hAnsi="Times New Roman" w:cs="Times New Roman"/>
        </w:rPr>
        <w:t>í</w:t>
      </w:r>
      <w:r w:rsidRPr="0004638E">
        <w:rPr>
          <w:rFonts w:ascii="Times New Roman" w:hAnsi="Times New Roman" w:cs="Times New Roman"/>
        </w:rPr>
        <w:t xml:space="preserve"> so zákonom č. 120/1993 Z. z. Nárast osobných výdavkov ústavných činiteľov v roku 2012 zohľadňuje v kapitole štátneho rozpočtu dopočet platových náležitostí reálne vyplácaných v roku 2011 v zmysle zákona. </w:t>
      </w:r>
    </w:p>
    <w:p w:rsidR="00CB350B" w:rsidRPr="0004638E" w:rsidP="00CB350B">
      <w:pPr>
        <w:bidi w:val="0"/>
        <w:ind w:firstLine="708"/>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Vo výdavkoch na tovary a služby je v roku 2012 nárast o</w:t>
      </w:r>
      <w:r>
        <w:rPr>
          <w:rFonts w:ascii="Times New Roman" w:hAnsi="Times New Roman" w:cs="Times New Roman"/>
        </w:rPr>
        <w:t> 606 tis. eur (53,8</w:t>
      </w:r>
      <w:r w:rsidRPr="0004638E">
        <w:rPr>
          <w:rFonts w:ascii="Times New Roman" w:hAnsi="Times New Roman" w:cs="Times New Roman"/>
        </w:rPr>
        <w:t xml:space="preserve"> %</w:t>
      </w:r>
      <w:r>
        <w:rPr>
          <w:rFonts w:ascii="Times New Roman" w:hAnsi="Times New Roman" w:cs="Times New Roman"/>
        </w:rPr>
        <w:t>)</w:t>
      </w:r>
      <w:r w:rsidRPr="0004638E">
        <w:rPr>
          <w:rFonts w:ascii="Times New Roman" w:hAnsi="Times New Roman" w:cs="Times New Roman"/>
        </w:rPr>
        <w:t xml:space="preserve"> oproti schválenému rozpočtu 2011, </w:t>
      </w:r>
      <w:r>
        <w:rPr>
          <w:rFonts w:ascii="Times New Roman" w:hAnsi="Times New Roman" w:cs="Times New Roman"/>
        </w:rPr>
        <w:t xml:space="preserve">a to </w:t>
      </w:r>
      <w:r w:rsidRPr="0004638E">
        <w:rPr>
          <w:rFonts w:ascii="Times New Roman" w:hAnsi="Times New Roman" w:cs="Times New Roman"/>
        </w:rPr>
        <w:t xml:space="preserve">najmä v dôsledku </w:t>
      </w:r>
      <w:r>
        <w:rPr>
          <w:rFonts w:ascii="Times New Roman" w:hAnsi="Times New Roman" w:cs="Times New Roman"/>
        </w:rPr>
        <w:t xml:space="preserve">zabezpečenia výdavkov na obstaranie licencií pre oblasť informačných technológií budovaných v rámci OPIS (Národný projekt „Kontrolórsky informačný systém“) a výdavky na služby na podporu prevádzky Kontrolórskeho informačného systému NKÚ SR. </w:t>
      </w:r>
    </w:p>
    <w:p w:rsidR="00CB350B" w:rsidRPr="0004638E" w:rsidP="00CB350B">
      <w:pPr>
        <w:bidi w:val="0"/>
        <w:jc w:val="both"/>
        <w:rPr>
          <w:rFonts w:ascii="Times New Roman" w:hAnsi="Times New Roman" w:cs="Times New Roman"/>
        </w:rPr>
      </w:pPr>
    </w:p>
    <w:p w:rsidR="00CB350B" w:rsidP="00CB350B">
      <w:pPr>
        <w:bidi w:val="0"/>
        <w:ind w:firstLine="708"/>
        <w:jc w:val="both"/>
        <w:rPr>
          <w:rFonts w:ascii="Times New Roman" w:hAnsi="Times New Roman" w:cs="Times New Roman"/>
        </w:rPr>
      </w:pPr>
      <w:r w:rsidRPr="0004638E">
        <w:rPr>
          <w:rFonts w:ascii="Times New Roman" w:hAnsi="Times New Roman" w:cs="Times New Roman"/>
        </w:rPr>
        <w:t xml:space="preserve">Výška bežných transferov ostáva približne na úrovni schváleného rozpočtu </w:t>
      </w:r>
      <w:r>
        <w:rPr>
          <w:rFonts w:ascii="Times New Roman" w:hAnsi="Times New Roman" w:cs="Times New Roman"/>
        </w:rPr>
        <w:t>na</w:t>
      </w:r>
      <w:r w:rsidRPr="0004638E">
        <w:rPr>
          <w:rFonts w:ascii="Times New Roman" w:hAnsi="Times New Roman" w:cs="Times New Roman"/>
        </w:rPr>
        <w:t xml:space="preserve"> rok 2011. V rámci bežných transferov sú rozpísané príspevky 2 medzinárodným organizáciám, v ktorých má NKÚ SR členstvo.</w:t>
      </w:r>
    </w:p>
    <w:p w:rsidR="00CB350B" w:rsidRPr="0004638E" w:rsidP="00CB350B">
      <w:pPr>
        <w:bidi w:val="0"/>
        <w:ind w:firstLine="708"/>
        <w:jc w:val="both"/>
        <w:rPr>
          <w:rFonts w:ascii="Times New Roman" w:hAnsi="Times New Roman" w:cs="Times New Roman"/>
        </w:rPr>
      </w:pPr>
    </w:p>
    <w:p w:rsidR="00CB350B" w:rsidRPr="0004638E" w:rsidP="00CB350B">
      <w:pPr>
        <w:bidi w:val="0"/>
        <w:ind w:firstLine="708"/>
        <w:jc w:val="both"/>
        <w:rPr>
          <w:rFonts w:ascii="Times New Roman" w:hAnsi="Times New Roman" w:cs="Times New Roman"/>
        </w:rPr>
      </w:pPr>
      <w:r w:rsidRPr="0004638E">
        <w:rPr>
          <w:rFonts w:ascii="Times New Roman" w:hAnsi="Times New Roman" w:cs="Times New Roman"/>
        </w:rPr>
        <w:t>Kapitálové výdavky medziročne klesajú o 111 tis. eur (51,3 %) a budú použité na zabezpečenie nákupu osobných vozidiel v rámci plánovanej obnovy vozového parku.</w:t>
      </w:r>
    </w:p>
    <w:p w:rsidR="00CB350B" w:rsidP="00CB350B">
      <w:pPr>
        <w:bidi w:val="0"/>
      </w:pPr>
    </w:p>
    <w:p w:rsidR="00CB350B" w:rsidRPr="007E57E3" w:rsidP="00CB350B">
      <w:pPr>
        <w:pBdr>
          <w:bottom w:val="single" w:sz="4" w:space="1" w:color="000000"/>
        </w:pBdr>
        <w:bidi w:val="0"/>
        <w:rPr>
          <w:rFonts w:ascii="Times New Roman" w:hAnsi="Times New Roman" w:cs="Times New Roman"/>
          <w:lang w:eastAsia="sk-SK"/>
        </w:rPr>
      </w:pPr>
      <w:r w:rsidRPr="007E57E3">
        <w:rPr>
          <w:rFonts w:ascii="Times New Roman" w:hAnsi="Times New Roman" w:cs="Times New Roman"/>
          <w:b/>
          <w:bCs/>
          <w:lang w:eastAsia="sk-SK"/>
        </w:rPr>
        <w:t>Slovenská informačná služba</w:t>
      </w:r>
    </w:p>
    <w:tbl>
      <w:tblPr>
        <w:tblStyle w:val="TableNormal"/>
        <w:tblW w:w="5116" w:type="pct"/>
        <w:tblCellMar>
          <w:left w:w="0" w:type="dxa"/>
          <w:right w:w="0" w:type="dxa"/>
        </w:tblCellMar>
        <w:tblLook w:val="04A0"/>
      </w:tblPr>
      <w:tblGrid>
        <w:gridCol w:w="2614"/>
        <w:gridCol w:w="432"/>
        <w:gridCol w:w="541"/>
        <w:gridCol w:w="402"/>
        <w:gridCol w:w="571"/>
        <w:gridCol w:w="373"/>
        <w:gridCol w:w="599"/>
        <w:gridCol w:w="343"/>
        <w:gridCol w:w="630"/>
        <w:gridCol w:w="313"/>
        <w:gridCol w:w="660"/>
        <w:gridCol w:w="283"/>
        <w:gridCol w:w="690"/>
        <w:gridCol w:w="253"/>
        <w:gridCol w:w="722"/>
      </w:tblGrid>
      <w:tr>
        <w:tblPrEx>
          <w:tblW w:w="5116" w:type="pct"/>
          <w:tblCellMar>
            <w:left w:w="0" w:type="dxa"/>
            <w:right w:w="0" w:type="dxa"/>
          </w:tblCellMar>
          <w:tblLook w:val="04A0"/>
        </w:tblPrEx>
        <w:trPr>
          <w:trHeight w:val="259"/>
        </w:trPr>
        <w:tc>
          <w:tcPr>
            <w:tcW w:w="1616" w:type="pct"/>
            <w:gridSpan w:val="2"/>
            <w:tcBorders>
              <w:top w:val="none" w:sz="0" w:space="0" w:color="auto"/>
              <w:left w:val="none" w:sz="0" w:space="0" w:color="auto"/>
              <w:bottom w:val="single" w:sz="4" w:space="0" w:color="000000"/>
              <w:right w:val="none" w:sz="0" w:space="0" w:color="auto"/>
            </w:tcBorders>
            <w:tcMar>
              <w:top w:w="0" w:type="dxa"/>
              <w:left w:w="70" w:type="dxa"/>
              <w:bottom w:w="0" w:type="dxa"/>
              <w:right w:w="70" w:type="dxa"/>
            </w:tcMar>
            <w:textDirection w:val="lrTb"/>
            <w:vAlign w:val="bottom"/>
            <w:hideMark/>
          </w:tcPr>
          <w:p w:rsidR="00CB350B" w:rsidRPr="007E57E3" w:rsidP="00257E12">
            <w:pPr>
              <w:bidi w:val="0"/>
              <w:rPr>
                <w:rFonts w:ascii="Times New Roman" w:hAnsi="Times New Roman" w:cs="Times New Roman"/>
                <w:lang w:eastAsia="sk-SK"/>
              </w:rPr>
            </w:pPr>
            <w:r w:rsidRPr="007E57E3">
              <w:rPr>
                <w:rFonts w:ascii="Times New Roman" w:hAnsi="Times New Roman" w:cs="Times New Roman"/>
                <w:color w:val="000000"/>
                <w:lang w:eastAsia="sk-SK"/>
              </w:rPr>
              <w:t> </w:t>
            </w:r>
          </w:p>
        </w:tc>
        <w:tc>
          <w:tcPr>
            <w:tcW w:w="500" w:type="pct"/>
            <w:gridSpan w:val="2"/>
            <w:tcBorders>
              <w:top w:val="none" w:sz="0" w:space="0" w:color="auto"/>
              <w:left w:val="none" w:sz="0" w:space="0" w:color="auto"/>
              <w:bottom w:val="single" w:sz="4" w:space="0" w:color="000000"/>
              <w:right w:val="none" w:sz="0" w:space="0" w:color="auto"/>
            </w:tcBorders>
            <w:tcMar>
              <w:top w:w="0" w:type="dxa"/>
              <w:left w:w="70" w:type="dxa"/>
              <w:bottom w:w="0" w:type="dxa"/>
              <w:right w:w="70" w:type="dxa"/>
            </w:tcMar>
            <w:textDirection w:val="lrTb"/>
            <w:vAlign w:val="bottom"/>
            <w:hideMark/>
          </w:tcPr>
          <w:p w:rsidR="00CB350B" w:rsidRPr="007E57E3" w:rsidP="00257E12">
            <w:pPr>
              <w:bidi w:val="0"/>
              <w:rPr>
                <w:rFonts w:ascii="Times New Roman" w:hAnsi="Times New Roman" w:cs="Times New Roman"/>
                <w:lang w:eastAsia="sk-SK"/>
              </w:rPr>
            </w:pPr>
            <w:r w:rsidRPr="007E57E3">
              <w:rPr>
                <w:rFonts w:ascii="Times New Roman" w:hAnsi="Times New Roman" w:cs="Times New Roman"/>
                <w:color w:val="000000"/>
                <w:lang w:eastAsia="sk-SK"/>
              </w:rPr>
              <w:t> </w:t>
            </w:r>
          </w:p>
        </w:tc>
        <w:tc>
          <w:tcPr>
            <w:tcW w:w="501" w:type="pct"/>
            <w:gridSpan w:val="2"/>
            <w:tcBorders>
              <w:top w:val="none" w:sz="0" w:space="0" w:color="auto"/>
              <w:left w:val="none" w:sz="0" w:space="0" w:color="auto"/>
              <w:bottom w:val="single" w:sz="4" w:space="0" w:color="000000"/>
              <w:right w:val="none" w:sz="0" w:space="0" w:color="auto"/>
            </w:tcBorders>
            <w:tcMar>
              <w:top w:w="0" w:type="dxa"/>
              <w:left w:w="70" w:type="dxa"/>
              <w:bottom w:w="0" w:type="dxa"/>
              <w:right w:w="70" w:type="dxa"/>
            </w:tcMar>
            <w:textDirection w:val="lrTb"/>
            <w:vAlign w:val="bottom"/>
            <w:hideMark/>
          </w:tcPr>
          <w:p w:rsidR="00CB350B" w:rsidRPr="007E57E3" w:rsidP="00257E12">
            <w:pPr>
              <w:bidi w:val="0"/>
              <w:rPr>
                <w:rFonts w:ascii="Times New Roman" w:hAnsi="Times New Roman" w:cs="Times New Roman"/>
                <w:lang w:eastAsia="sk-SK"/>
              </w:rPr>
            </w:pPr>
            <w:r w:rsidRPr="007E57E3">
              <w:rPr>
                <w:rFonts w:ascii="Times New Roman" w:hAnsi="Times New Roman" w:cs="Times New Roman"/>
                <w:color w:val="000000"/>
                <w:lang w:eastAsia="sk-SK"/>
              </w:rPr>
              <w:t> </w:t>
            </w:r>
          </w:p>
        </w:tc>
        <w:tc>
          <w:tcPr>
            <w:tcW w:w="500" w:type="pct"/>
            <w:gridSpan w:val="2"/>
            <w:tcBorders>
              <w:top w:val="none" w:sz="0" w:space="0" w:color="auto"/>
              <w:left w:val="none" w:sz="0" w:space="0" w:color="auto"/>
              <w:bottom w:val="single" w:sz="4" w:space="0" w:color="000000"/>
              <w:right w:val="none" w:sz="0" w:space="0" w:color="auto"/>
            </w:tcBorders>
            <w:tcMar>
              <w:top w:w="0" w:type="dxa"/>
              <w:left w:w="70" w:type="dxa"/>
              <w:bottom w:w="0" w:type="dxa"/>
              <w:right w:w="70" w:type="dxa"/>
            </w:tcMar>
            <w:textDirection w:val="lrTb"/>
            <w:vAlign w:val="bottom"/>
            <w:hideMark/>
          </w:tcPr>
          <w:p w:rsidR="00CB350B" w:rsidRPr="007E57E3" w:rsidP="00257E12">
            <w:pPr>
              <w:bidi w:val="0"/>
              <w:rPr>
                <w:rFonts w:ascii="Times New Roman" w:hAnsi="Times New Roman" w:cs="Times New Roman"/>
                <w:lang w:eastAsia="sk-SK"/>
              </w:rPr>
            </w:pPr>
            <w:r w:rsidRPr="007E57E3">
              <w:rPr>
                <w:rFonts w:ascii="Times New Roman" w:hAnsi="Times New Roman" w:cs="Times New Roman"/>
                <w:color w:val="000000"/>
                <w:lang w:eastAsia="sk-SK"/>
              </w:rPr>
              <w:t> </w:t>
            </w:r>
          </w:p>
        </w:tc>
        <w:tc>
          <w:tcPr>
            <w:tcW w:w="500" w:type="pct"/>
            <w:gridSpan w:val="2"/>
            <w:tcBorders>
              <w:top w:val="none" w:sz="0" w:space="0" w:color="auto"/>
              <w:left w:val="none" w:sz="0" w:space="0" w:color="auto"/>
              <w:bottom w:val="single" w:sz="4" w:space="0" w:color="000000"/>
              <w:right w:val="none" w:sz="0" w:space="0" w:color="auto"/>
            </w:tcBorders>
            <w:tcMar>
              <w:top w:w="0" w:type="dxa"/>
              <w:left w:w="70" w:type="dxa"/>
              <w:bottom w:w="0" w:type="dxa"/>
              <w:right w:w="70" w:type="dxa"/>
            </w:tcMar>
            <w:textDirection w:val="lrTb"/>
            <w:vAlign w:val="bottom"/>
            <w:hideMark/>
          </w:tcPr>
          <w:p w:rsidR="00CB350B" w:rsidRPr="007E57E3" w:rsidP="00257E12">
            <w:pPr>
              <w:bidi w:val="0"/>
              <w:rPr>
                <w:rFonts w:ascii="Times New Roman" w:hAnsi="Times New Roman" w:cs="Times New Roman"/>
                <w:lang w:eastAsia="sk-SK"/>
              </w:rPr>
            </w:pPr>
            <w:r w:rsidRPr="007E57E3">
              <w:rPr>
                <w:rFonts w:ascii="Times New Roman" w:hAnsi="Times New Roman" w:cs="Times New Roman"/>
                <w:color w:val="000000"/>
                <w:lang w:eastAsia="sk-SK"/>
              </w:rPr>
              <w:t> </w:t>
            </w:r>
          </w:p>
        </w:tc>
        <w:tc>
          <w:tcPr>
            <w:tcW w:w="500" w:type="pct"/>
            <w:gridSpan w:val="2"/>
            <w:tcBorders>
              <w:top w:val="none" w:sz="0" w:space="0" w:color="auto"/>
              <w:left w:val="none" w:sz="0" w:space="0" w:color="auto"/>
              <w:bottom w:val="single" w:sz="4" w:space="0" w:color="000000"/>
              <w:right w:val="none" w:sz="0" w:space="0" w:color="auto"/>
            </w:tcBorders>
            <w:tcMar>
              <w:top w:w="0" w:type="dxa"/>
              <w:left w:w="70" w:type="dxa"/>
              <w:bottom w:w="0" w:type="dxa"/>
              <w:right w:w="70" w:type="dxa"/>
            </w:tcMar>
            <w:textDirection w:val="lrTb"/>
            <w:vAlign w:val="bottom"/>
            <w:hideMark/>
          </w:tcPr>
          <w:p w:rsidR="00CB350B" w:rsidRPr="007E57E3" w:rsidP="00257E12">
            <w:pPr>
              <w:bidi w:val="0"/>
              <w:rPr>
                <w:rFonts w:ascii="Times New Roman" w:hAnsi="Times New Roman" w:cs="Times New Roman"/>
                <w:lang w:eastAsia="sk-SK"/>
              </w:rPr>
            </w:pPr>
            <w:r w:rsidRPr="007E57E3">
              <w:rPr>
                <w:rFonts w:ascii="Times New Roman" w:hAnsi="Times New Roman" w:cs="Times New Roman"/>
                <w:color w:val="000000"/>
                <w:lang w:eastAsia="sk-SK"/>
              </w:rPr>
              <w:t> </w:t>
            </w:r>
          </w:p>
        </w:tc>
        <w:tc>
          <w:tcPr>
            <w:tcW w:w="500" w:type="pct"/>
            <w:gridSpan w:val="2"/>
            <w:tcBorders>
              <w:top w:val="none" w:sz="0" w:space="0" w:color="auto"/>
              <w:left w:val="none" w:sz="0" w:space="0" w:color="auto"/>
              <w:bottom w:val="single" w:sz="4" w:space="0" w:color="000000"/>
              <w:right w:val="none" w:sz="0" w:space="0" w:color="auto"/>
            </w:tcBorders>
            <w:tcMar>
              <w:top w:w="0" w:type="dxa"/>
              <w:left w:w="70" w:type="dxa"/>
              <w:bottom w:w="0" w:type="dxa"/>
              <w:right w:w="70" w:type="dxa"/>
            </w:tcMar>
            <w:textDirection w:val="lrTb"/>
            <w:vAlign w:val="bottom"/>
            <w:hideMark/>
          </w:tcPr>
          <w:p w:rsidR="00CB350B" w:rsidRPr="007E57E3" w:rsidP="00257E12">
            <w:pPr>
              <w:bidi w:val="0"/>
              <w:rPr>
                <w:rFonts w:ascii="Times New Roman" w:hAnsi="Times New Roman" w:cs="Times New Roman"/>
                <w:lang w:eastAsia="sk-SK"/>
              </w:rPr>
            </w:pPr>
            <w:r w:rsidRPr="007E57E3">
              <w:rPr>
                <w:rFonts w:ascii="Times New Roman" w:hAnsi="Times New Roman" w:cs="Times New Roman"/>
                <w:color w:val="000000"/>
                <w:lang w:eastAsia="sk-SK"/>
              </w:rPr>
              <w:t> </w:t>
            </w:r>
          </w:p>
        </w:tc>
        <w:tc>
          <w:tcPr>
            <w:tcW w:w="383" w:type="pct"/>
            <w:tcBorders>
              <w:top w:val="none" w:sz="0" w:space="0" w:color="auto"/>
              <w:left w:val="none" w:sz="0" w:space="0" w:color="auto"/>
              <w:bottom w:val="single" w:sz="4" w:space="0" w:color="000000"/>
              <w:right w:val="none" w:sz="0" w:space="0" w:color="auto"/>
            </w:tcBorders>
            <w:tcMar>
              <w:top w:w="0" w:type="dxa"/>
              <w:left w:w="70" w:type="dxa"/>
              <w:bottom w:w="0" w:type="dxa"/>
              <w:right w:w="70" w:type="dxa"/>
            </w:tcMar>
            <w:textDirection w:val="lrTb"/>
            <w:vAlign w:val="bottom"/>
            <w:hideMark/>
          </w:tcPr>
          <w:p w:rsidR="00CB350B" w:rsidRPr="007E57E3" w:rsidP="00257E12">
            <w:pPr>
              <w:bidi w:val="0"/>
              <w:rPr>
                <w:rFonts w:ascii="Times New Roman" w:hAnsi="Times New Roman" w:cs="Times New Roman"/>
                <w:lang w:eastAsia="sk-SK"/>
              </w:rPr>
            </w:pPr>
            <w:r w:rsidRPr="007E57E3">
              <w:rPr>
                <w:rFonts w:ascii="Times New Roman" w:hAnsi="Times New Roman" w:cs="Times New Roman"/>
                <w:color w:val="000000"/>
                <w:lang w:eastAsia="sk-SK"/>
              </w:rPr>
              <w:t> </w:t>
            </w:r>
          </w:p>
        </w:tc>
      </w:tr>
      <w:tr>
        <w:tblPrEx>
          <w:tblW w:w="5116" w:type="pct"/>
          <w:tblCellMar>
            <w:left w:w="0" w:type="dxa"/>
            <w:right w:w="0" w:type="dxa"/>
          </w:tblCellMar>
          <w:tblLook w:val="04A0"/>
        </w:tblPrEx>
        <w:trPr>
          <w:trHeight w:val="259"/>
        </w:trPr>
        <w:tc>
          <w:tcPr>
            <w:tcW w:w="138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rPr>
                <w:rFonts w:ascii="Times New Roman" w:hAnsi="Times New Roman" w:cs="Times New Roman"/>
                <w:lang w:eastAsia="sk-SK"/>
              </w:rPr>
            </w:pPr>
            <w:r w:rsidRPr="007E57E3">
              <w:rPr>
                <w:rFonts w:ascii="Times New Roman" w:hAnsi="Times New Roman" w:cs="Times New Roman"/>
                <w:b/>
                <w:bCs/>
                <w:color w:val="000000"/>
                <w:sz w:val="14"/>
                <w:szCs w:val="14"/>
                <w:lang w:eastAsia="sk-SK"/>
              </w:rPr>
              <w:t>v eurách</w:t>
            </w:r>
          </w:p>
        </w:tc>
        <w:tc>
          <w:tcPr>
            <w:tcW w:w="516"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center"/>
              <w:rPr>
                <w:rFonts w:ascii="Times New Roman" w:hAnsi="Times New Roman" w:cs="Times New Roman"/>
                <w:lang w:eastAsia="sk-SK"/>
              </w:rPr>
            </w:pPr>
            <w:r w:rsidRPr="007E57E3">
              <w:rPr>
                <w:rFonts w:ascii="Times New Roman" w:hAnsi="Times New Roman" w:cs="Times New Roman"/>
                <w:b/>
                <w:bCs/>
                <w:color w:val="000000"/>
                <w:sz w:val="14"/>
                <w:szCs w:val="14"/>
                <w:lang w:eastAsia="sk-SK"/>
              </w:rPr>
              <w:t>2009 S</w:t>
            </w:r>
          </w:p>
        </w:tc>
        <w:tc>
          <w:tcPr>
            <w:tcW w:w="516"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center"/>
              <w:rPr>
                <w:rFonts w:ascii="Times New Roman" w:hAnsi="Times New Roman" w:cs="Times New Roman"/>
                <w:lang w:eastAsia="sk-SK"/>
              </w:rPr>
            </w:pPr>
            <w:r w:rsidRPr="007E57E3">
              <w:rPr>
                <w:rFonts w:ascii="Times New Roman" w:hAnsi="Times New Roman" w:cs="Times New Roman"/>
                <w:b/>
                <w:bCs/>
                <w:color w:val="000000"/>
                <w:sz w:val="14"/>
                <w:szCs w:val="14"/>
                <w:lang w:eastAsia="sk-SK"/>
              </w:rPr>
              <w:t>2010S</w:t>
            </w:r>
          </w:p>
        </w:tc>
        <w:tc>
          <w:tcPr>
            <w:tcW w:w="516"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center"/>
              <w:rPr>
                <w:rFonts w:ascii="Times New Roman" w:hAnsi="Times New Roman" w:cs="Times New Roman"/>
                <w:lang w:eastAsia="sk-SK"/>
              </w:rPr>
            </w:pPr>
            <w:r w:rsidRPr="007E57E3">
              <w:rPr>
                <w:rFonts w:ascii="Times New Roman" w:hAnsi="Times New Roman" w:cs="Times New Roman"/>
                <w:b/>
                <w:bCs/>
                <w:color w:val="000000"/>
                <w:sz w:val="14"/>
                <w:szCs w:val="14"/>
                <w:lang w:eastAsia="sk-SK"/>
              </w:rPr>
              <w:t>2011 R</w:t>
            </w:r>
          </w:p>
        </w:tc>
        <w:tc>
          <w:tcPr>
            <w:tcW w:w="516"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center"/>
              <w:rPr>
                <w:rFonts w:ascii="Times New Roman" w:hAnsi="Times New Roman" w:cs="Times New Roman"/>
                <w:lang w:eastAsia="sk-SK"/>
              </w:rPr>
            </w:pPr>
            <w:r w:rsidRPr="007E57E3">
              <w:rPr>
                <w:rFonts w:ascii="Times New Roman" w:hAnsi="Times New Roman" w:cs="Times New Roman"/>
                <w:b/>
                <w:bCs/>
                <w:color w:val="000000"/>
                <w:sz w:val="14"/>
                <w:szCs w:val="14"/>
                <w:lang w:eastAsia="sk-SK"/>
              </w:rPr>
              <w:t>2011 OS</w:t>
            </w:r>
          </w:p>
        </w:tc>
        <w:tc>
          <w:tcPr>
            <w:tcW w:w="516"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center"/>
              <w:rPr>
                <w:rFonts w:ascii="Times New Roman" w:hAnsi="Times New Roman" w:cs="Times New Roman"/>
                <w:lang w:eastAsia="sk-SK"/>
              </w:rPr>
            </w:pPr>
            <w:r w:rsidRPr="007E57E3">
              <w:rPr>
                <w:rFonts w:ascii="Times New Roman" w:hAnsi="Times New Roman" w:cs="Times New Roman"/>
                <w:b/>
                <w:bCs/>
                <w:color w:val="000000"/>
                <w:sz w:val="14"/>
                <w:szCs w:val="14"/>
                <w:lang w:eastAsia="sk-SK"/>
              </w:rPr>
              <w:t>2012 N</w:t>
            </w:r>
          </w:p>
        </w:tc>
        <w:tc>
          <w:tcPr>
            <w:tcW w:w="516"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center"/>
              <w:rPr>
                <w:rFonts w:ascii="Times New Roman" w:hAnsi="Times New Roman" w:cs="Times New Roman"/>
                <w:lang w:eastAsia="sk-SK"/>
              </w:rPr>
            </w:pPr>
            <w:r w:rsidRPr="007E57E3">
              <w:rPr>
                <w:rFonts w:ascii="Times New Roman" w:hAnsi="Times New Roman" w:cs="Times New Roman"/>
                <w:b/>
                <w:bCs/>
                <w:color w:val="000000"/>
                <w:sz w:val="14"/>
                <w:szCs w:val="14"/>
                <w:lang w:eastAsia="sk-SK"/>
              </w:rPr>
              <w:t>2013 N</w:t>
            </w:r>
          </w:p>
        </w:tc>
        <w:tc>
          <w:tcPr>
            <w:tcW w:w="517"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center"/>
              <w:rPr>
                <w:rFonts w:ascii="Times New Roman" w:hAnsi="Times New Roman" w:cs="Times New Roman"/>
                <w:lang w:eastAsia="sk-SK"/>
              </w:rPr>
            </w:pPr>
            <w:r w:rsidRPr="007E57E3">
              <w:rPr>
                <w:rFonts w:ascii="Times New Roman" w:hAnsi="Times New Roman" w:cs="Times New Roman"/>
                <w:b/>
                <w:bCs/>
                <w:color w:val="000000"/>
                <w:sz w:val="14"/>
                <w:szCs w:val="14"/>
                <w:lang w:eastAsia="sk-SK"/>
              </w:rPr>
              <w:t>2014 N</w:t>
            </w:r>
          </w:p>
        </w:tc>
      </w:tr>
      <w:tr>
        <w:tblPrEx>
          <w:tblW w:w="5116" w:type="pct"/>
          <w:tblCellMar>
            <w:left w:w="0" w:type="dxa"/>
            <w:right w:w="0" w:type="dxa"/>
          </w:tblCellMar>
          <w:tblLook w:val="04A0"/>
        </w:tblPrEx>
        <w:trPr>
          <w:trHeight w:val="259"/>
        </w:trPr>
        <w:tc>
          <w:tcPr>
            <w:tcW w:w="138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rPr>
                <w:rFonts w:ascii="Times New Roman" w:hAnsi="Times New Roman" w:cs="Times New Roman"/>
                <w:lang w:eastAsia="sk-SK"/>
              </w:rPr>
            </w:pPr>
            <w:r w:rsidRPr="007E57E3">
              <w:rPr>
                <w:rFonts w:ascii="Times New Roman" w:hAnsi="Times New Roman" w:cs="Times New Roman"/>
                <w:b/>
                <w:bCs/>
                <w:sz w:val="14"/>
                <w:szCs w:val="14"/>
                <w:lang w:eastAsia="sk-SK"/>
              </w:rPr>
              <w:t>Zdroje príslušnej kapitoly</w:t>
            </w:r>
          </w:p>
        </w:tc>
        <w:tc>
          <w:tcPr>
            <w:tcW w:w="516" w:type="pct"/>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sidRPr="007E57E3">
              <w:rPr>
                <w:rFonts w:ascii="Times New Roman" w:hAnsi="Times New Roman" w:cs="Times New Roman"/>
                <w:b/>
                <w:bCs/>
                <w:sz w:val="14"/>
                <w:szCs w:val="14"/>
                <w:lang w:eastAsia="sk-SK"/>
              </w:rPr>
              <w:t>48 101 860</w:t>
            </w:r>
          </w:p>
        </w:tc>
        <w:tc>
          <w:tcPr>
            <w:tcW w:w="516" w:type="pct"/>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sidRPr="007E57E3">
              <w:rPr>
                <w:rFonts w:ascii="Times New Roman" w:hAnsi="Times New Roman" w:cs="Times New Roman"/>
                <w:b/>
                <w:bCs/>
                <w:sz w:val="14"/>
                <w:szCs w:val="14"/>
                <w:lang w:eastAsia="sk-SK"/>
              </w:rPr>
              <w:t>46 555 400</w:t>
            </w:r>
          </w:p>
        </w:tc>
        <w:tc>
          <w:tcPr>
            <w:tcW w:w="516" w:type="pct"/>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sidRPr="007E57E3">
              <w:rPr>
                <w:rFonts w:ascii="Times New Roman" w:hAnsi="Times New Roman" w:cs="Times New Roman"/>
                <w:b/>
                <w:bCs/>
                <w:sz w:val="14"/>
                <w:szCs w:val="14"/>
                <w:lang w:eastAsia="sk-SK"/>
              </w:rPr>
              <w:t>38 946 174</w:t>
            </w:r>
          </w:p>
        </w:tc>
        <w:tc>
          <w:tcPr>
            <w:tcW w:w="516" w:type="pct"/>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BA6E73" w:rsidP="00257E12">
            <w:pPr>
              <w:bidi w:val="0"/>
              <w:jc w:val="right"/>
              <w:rPr>
                <w:rFonts w:ascii="Times New Roman" w:hAnsi="Times New Roman" w:cs="Times New Roman"/>
                <w:b/>
                <w:lang w:eastAsia="sk-SK"/>
              </w:rPr>
            </w:pPr>
            <w:r w:rsidRPr="00BA6E73">
              <w:rPr>
                <w:rFonts w:ascii="Times New Roman" w:hAnsi="Times New Roman" w:cs="Times New Roman"/>
                <w:b/>
                <w:color w:val="000000"/>
                <w:sz w:val="14"/>
                <w:szCs w:val="14"/>
                <w:lang w:eastAsia="sk-SK"/>
              </w:rPr>
              <w:t>41 846 174</w:t>
            </w:r>
          </w:p>
        </w:tc>
        <w:tc>
          <w:tcPr>
            <w:tcW w:w="516" w:type="pct"/>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44 092 045</w:t>
            </w:r>
          </w:p>
        </w:tc>
        <w:tc>
          <w:tcPr>
            <w:tcW w:w="516" w:type="pct"/>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44 092 045</w:t>
            </w:r>
          </w:p>
        </w:tc>
        <w:tc>
          <w:tcPr>
            <w:tcW w:w="517" w:type="pct"/>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Pr>
                <w:rFonts w:ascii="Times New Roman" w:hAnsi="Times New Roman" w:cs="Times New Roman"/>
                <w:b/>
                <w:bCs/>
                <w:sz w:val="14"/>
                <w:szCs w:val="14"/>
                <w:lang w:eastAsia="sk-SK"/>
              </w:rPr>
              <w:t>44 092 045</w:t>
            </w:r>
          </w:p>
        </w:tc>
      </w:tr>
      <w:tr>
        <w:tblPrEx>
          <w:tblW w:w="5116" w:type="pct"/>
          <w:tblCellMar>
            <w:left w:w="0" w:type="dxa"/>
            <w:right w:w="0" w:type="dxa"/>
          </w:tblCellMar>
          <w:tblLook w:val="04A0"/>
        </w:tblPrEx>
        <w:trPr>
          <w:trHeight w:val="259"/>
        </w:trPr>
        <w:tc>
          <w:tcPr>
            <w:tcW w:w="1387"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rPr>
                <w:rFonts w:ascii="Times New Roman" w:hAnsi="Times New Roman" w:cs="Times New Roman"/>
                <w:lang w:eastAsia="sk-SK"/>
              </w:rPr>
            </w:pPr>
            <w:r w:rsidRPr="007E57E3">
              <w:rPr>
                <w:rFonts w:ascii="Times New Roman" w:hAnsi="Times New Roman" w:cs="Times New Roman"/>
                <w:sz w:val="14"/>
                <w:szCs w:val="14"/>
                <w:lang w:eastAsia="sk-SK"/>
              </w:rPr>
              <w:t xml:space="preserve">rozpočtové zdroje kapitoly </w:t>
            </w:r>
          </w:p>
        </w:tc>
        <w:tc>
          <w:tcPr>
            <w:tcW w:w="516"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sidRPr="007E57E3">
              <w:rPr>
                <w:rFonts w:ascii="Times New Roman" w:hAnsi="Times New Roman" w:cs="Times New Roman"/>
                <w:sz w:val="14"/>
                <w:szCs w:val="14"/>
                <w:lang w:eastAsia="sk-SK"/>
              </w:rPr>
              <w:t>48 101 860</w:t>
            </w:r>
          </w:p>
        </w:tc>
        <w:tc>
          <w:tcPr>
            <w:tcW w:w="516"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sidRPr="007E57E3">
              <w:rPr>
                <w:rFonts w:ascii="Times New Roman" w:hAnsi="Times New Roman" w:cs="Times New Roman"/>
                <w:sz w:val="14"/>
                <w:szCs w:val="14"/>
                <w:lang w:eastAsia="sk-SK"/>
              </w:rPr>
              <w:t>46 255 400</w:t>
            </w:r>
          </w:p>
        </w:tc>
        <w:tc>
          <w:tcPr>
            <w:tcW w:w="516"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sidRPr="007E57E3">
              <w:rPr>
                <w:rFonts w:ascii="Times New Roman" w:hAnsi="Times New Roman" w:cs="Times New Roman"/>
                <w:sz w:val="14"/>
                <w:szCs w:val="14"/>
                <w:lang w:eastAsia="sk-SK"/>
              </w:rPr>
              <w:t>38 946 174</w:t>
            </w:r>
          </w:p>
        </w:tc>
        <w:tc>
          <w:tcPr>
            <w:tcW w:w="516" w:type="pct"/>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sidRPr="007E57E3">
              <w:rPr>
                <w:rFonts w:ascii="Times New Roman" w:hAnsi="Times New Roman" w:cs="Times New Roman"/>
                <w:color w:val="000000"/>
                <w:sz w:val="14"/>
                <w:szCs w:val="14"/>
                <w:lang w:eastAsia="sk-SK"/>
              </w:rPr>
              <w:t>41 846 174</w:t>
            </w:r>
          </w:p>
        </w:tc>
        <w:tc>
          <w:tcPr>
            <w:tcW w:w="516"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44 092 045</w:t>
            </w:r>
          </w:p>
        </w:tc>
        <w:tc>
          <w:tcPr>
            <w:tcW w:w="516"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44 092 045</w:t>
            </w:r>
          </w:p>
        </w:tc>
        <w:tc>
          <w:tcPr>
            <w:tcW w:w="517"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44 092 045</w:t>
            </w:r>
          </w:p>
        </w:tc>
      </w:tr>
      <w:tr>
        <w:tblPrEx>
          <w:tblW w:w="5116" w:type="pct"/>
          <w:tblCellMar>
            <w:left w:w="0" w:type="dxa"/>
            <w:right w:w="0" w:type="dxa"/>
          </w:tblCellMar>
          <w:tblLook w:val="04A0"/>
        </w:tblPrEx>
        <w:trPr>
          <w:trHeight w:val="259"/>
        </w:trPr>
        <w:tc>
          <w:tcPr>
            <w:tcW w:w="1387"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rPr>
                <w:rFonts w:ascii="Times New Roman" w:hAnsi="Times New Roman" w:cs="Times New Roman"/>
                <w:lang w:eastAsia="sk-SK"/>
              </w:rPr>
            </w:pPr>
            <w:r w:rsidRPr="007E57E3">
              <w:rPr>
                <w:rFonts w:ascii="Times New Roman" w:hAnsi="Times New Roman" w:cs="Times New Roman"/>
                <w:sz w:val="14"/>
                <w:szCs w:val="14"/>
                <w:lang w:eastAsia="sk-SK"/>
              </w:rPr>
              <w:t>        v tom: bežné výdavky 600</w:t>
            </w:r>
          </w:p>
        </w:tc>
        <w:tc>
          <w:tcPr>
            <w:tcW w:w="516"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sidRPr="007E57E3">
              <w:rPr>
                <w:rFonts w:ascii="Times New Roman" w:hAnsi="Times New Roman" w:cs="Times New Roman"/>
                <w:sz w:val="14"/>
                <w:szCs w:val="14"/>
                <w:lang w:eastAsia="sk-SK"/>
              </w:rPr>
              <w:t>45 021 906</w:t>
            </w:r>
          </w:p>
        </w:tc>
        <w:tc>
          <w:tcPr>
            <w:tcW w:w="516"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sidRPr="007E57E3">
              <w:rPr>
                <w:rFonts w:ascii="Times New Roman" w:hAnsi="Times New Roman" w:cs="Times New Roman"/>
                <w:sz w:val="14"/>
                <w:szCs w:val="14"/>
                <w:lang w:eastAsia="sk-SK"/>
              </w:rPr>
              <w:t>45 259 400</w:t>
            </w:r>
          </w:p>
        </w:tc>
        <w:tc>
          <w:tcPr>
            <w:tcW w:w="516"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sidRPr="007E57E3">
              <w:rPr>
                <w:rFonts w:ascii="Times New Roman" w:hAnsi="Times New Roman" w:cs="Times New Roman"/>
                <w:sz w:val="14"/>
                <w:szCs w:val="14"/>
                <w:lang w:eastAsia="sk-SK"/>
              </w:rPr>
              <w:t>37 950 174</w:t>
            </w:r>
          </w:p>
        </w:tc>
        <w:tc>
          <w:tcPr>
            <w:tcW w:w="516"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sidRPr="007E57E3">
              <w:rPr>
                <w:rFonts w:ascii="Times New Roman" w:hAnsi="Times New Roman" w:cs="Times New Roman"/>
                <w:color w:val="000000"/>
                <w:sz w:val="14"/>
                <w:szCs w:val="14"/>
                <w:lang w:eastAsia="sk-SK"/>
              </w:rPr>
              <w:t>40 850 174</w:t>
            </w:r>
          </w:p>
        </w:tc>
        <w:tc>
          <w:tcPr>
            <w:tcW w:w="516"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43 096 045</w:t>
            </w:r>
          </w:p>
        </w:tc>
        <w:tc>
          <w:tcPr>
            <w:tcW w:w="516"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43 096 045</w:t>
            </w:r>
          </w:p>
        </w:tc>
        <w:tc>
          <w:tcPr>
            <w:tcW w:w="517"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43 096 045</w:t>
            </w:r>
          </w:p>
        </w:tc>
      </w:tr>
      <w:tr>
        <w:tblPrEx>
          <w:tblW w:w="5116" w:type="pct"/>
          <w:tblCellMar>
            <w:left w:w="0" w:type="dxa"/>
            <w:right w:w="0" w:type="dxa"/>
          </w:tblCellMar>
          <w:tblLook w:val="04A0"/>
        </w:tblPrEx>
        <w:trPr>
          <w:trHeight w:val="259"/>
        </w:trPr>
        <w:tc>
          <w:tcPr>
            <w:tcW w:w="1387"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rPr>
                <w:rFonts w:ascii="Times New Roman" w:hAnsi="Times New Roman" w:cs="Times New Roman"/>
                <w:lang w:eastAsia="sk-SK"/>
              </w:rPr>
            </w:pPr>
            <w:r w:rsidRPr="007E57E3">
              <w:rPr>
                <w:rFonts w:ascii="Times New Roman" w:hAnsi="Times New Roman" w:cs="Times New Roman"/>
                <w:sz w:val="14"/>
                <w:szCs w:val="14"/>
                <w:lang w:eastAsia="sk-SK"/>
              </w:rPr>
              <w:t>                               630 tovary a služby</w:t>
            </w:r>
          </w:p>
        </w:tc>
        <w:tc>
          <w:tcPr>
            <w:tcW w:w="516"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sidRPr="007E57E3">
              <w:rPr>
                <w:rFonts w:ascii="Times New Roman" w:hAnsi="Times New Roman" w:cs="Times New Roman"/>
                <w:sz w:val="14"/>
                <w:szCs w:val="14"/>
                <w:lang w:eastAsia="sk-SK"/>
              </w:rPr>
              <w:t>45 021 906</w:t>
            </w:r>
          </w:p>
        </w:tc>
        <w:tc>
          <w:tcPr>
            <w:tcW w:w="516"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sidRPr="007E57E3">
              <w:rPr>
                <w:rFonts w:ascii="Times New Roman" w:hAnsi="Times New Roman" w:cs="Times New Roman"/>
                <w:sz w:val="14"/>
                <w:szCs w:val="14"/>
                <w:lang w:eastAsia="sk-SK"/>
              </w:rPr>
              <w:t>45 259 400</w:t>
            </w:r>
          </w:p>
        </w:tc>
        <w:tc>
          <w:tcPr>
            <w:tcW w:w="516"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sidRPr="007E57E3">
              <w:rPr>
                <w:rFonts w:ascii="Times New Roman" w:hAnsi="Times New Roman" w:cs="Times New Roman"/>
                <w:sz w:val="14"/>
                <w:szCs w:val="14"/>
                <w:lang w:eastAsia="sk-SK"/>
              </w:rPr>
              <w:t>37 950 174</w:t>
            </w:r>
          </w:p>
        </w:tc>
        <w:tc>
          <w:tcPr>
            <w:tcW w:w="516"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sidRPr="007E57E3">
              <w:rPr>
                <w:rFonts w:ascii="Times New Roman" w:hAnsi="Times New Roman" w:cs="Times New Roman"/>
                <w:color w:val="000000"/>
                <w:sz w:val="14"/>
                <w:szCs w:val="14"/>
                <w:lang w:eastAsia="sk-SK"/>
              </w:rPr>
              <w:t>40 850 174</w:t>
            </w:r>
          </w:p>
        </w:tc>
        <w:tc>
          <w:tcPr>
            <w:tcW w:w="516"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43 096 045</w:t>
            </w:r>
          </w:p>
        </w:tc>
        <w:tc>
          <w:tcPr>
            <w:tcW w:w="516"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43 096 045</w:t>
            </w:r>
          </w:p>
        </w:tc>
        <w:tc>
          <w:tcPr>
            <w:tcW w:w="517"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Pr>
                <w:rFonts w:ascii="Times New Roman" w:hAnsi="Times New Roman" w:cs="Times New Roman"/>
                <w:sz w:val="14"/>
                <w:szCs w:val="14"/>
                <w:lang w:eastAsia="sk-SK"/>
              </w:rPr>
              <w:t>43 096 045</w:t>
            </w:r>
          </w:p>
        </w:tc>
      </w:tr>
      <w:tr>
        <w:tblPrEx>
          <w:tblW w:w="5116" w:type="pct"/>
          <w:tblCellMar>
            <w:left w:w="0" w:type="dxa"/>
            <w:right w:w="0" w:type="dxa"/>
          </w:tblCellMar>
          <w:tblLook w:val="04A0"/>
        </w:tblPrEx>
        <w:trPr>
          <w:trHeight w:val="259"/>
        </w:trPr>
        <w:tc>
          <w:tcPr>
            <w:tcW w:w="1387"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rPr>
                <w:rFonts w:ascii="Times New Roman" w:hAnsi="Times New Roman" w:cs="Times New Roman"/>
                <w:lang w:eastAsia="sk-SK"/>
              </w:rPr>
            </w:pPr>
            <w:r w:rsidRPr="007E57E3">
              <w:rPr>
                <w:rFonts w:ascii="Times New Roman" w:hAnsi="Times New Roman" w:cs="Times New Roman"/>
                <w:sz w:val="14"/>
                <w:szCs w:val="14"/>
                <w:lang w:eastAsia="sk-SK"/>
              </w:rPr>
              <w:t>                   kapitálové výdavky 700</w:t>
            </w:r>
          </w:p>
        </w:tc>
        <w:tc>
          <w:tcPr>
            <w:tcW w:w="516"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sidRPr="007E57E3">
              <w:rPr>
                <w:rFonts w:ascii="Times New Roman" w:hAnsi="Times New Roman" w:cs="Times New Roman"/>
                <w:sz w:val="14"/>
                <w:szCs w:val="14"/>
                <w:lang w:eastAsia="sk-SK"/>
              </w:rPr>
              <w:t>3 079 954</w:t>
            </w:r>
          </w:p>
        </w:tc>
        <w:tc>
          <w:tcPr>
            <w:tcW w:w="516"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sidRPr="007E57E3">
              <w:rPr>
                <w:rFonts w:ascii="Times New Roman" w:hAnsi="Times New Roman" w:cs="Times New Roman"/>
                <w:sz w:val="14"/>
                <w:szCs w:val="14"/>
                <w:lang w:eastAsia="sk-SK"/>
              </w:rPr>
              <w:t>996 000</w:t>
            </w:r>
          </w:p>
        </w:tc>
        <w:tc>
          <w:tcPr>
            <w:tcW w:w="516"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sidRPr="007E57E3">
              <w:rPr>
                <w:rFonts w:ascii="Times New Roman" w:hAnsi="Times New Roman" w:cs="Times New Roman"/>
                <w:sz w:val="14"/>
                <w:szCs w:val="14"/>
                <w:lang w:eastAsia="sk-SK"/>
              </w:rPr>
              <w:t>996 000</w:t>
            </w:r>
          </w:p>
        </w:tc>
        <w:tc>
          <w:tcPr>
            <w:tcW w:w="516"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sidRPr="007E57E3">
              <w:rPr>
                <w:rFonts w:ascii="Times New Roman" w:hAnsi="Times New Roman" w:cs="Times New Roman"/>
                <w:color w:val="000000"/>
                <w:sz w:val="14"/>
                <w:szCs w:val="14"/>
                <w:lang w:eastAsia="sk-SK"/>
              </w:rPr>
              <w:t>996 000</w:t>
            </w:r>
          </w:p>
        </w:tc>
        <w:tc>
          <w:tcPr>
            <w:tcW w:w="516"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sidRPr="007E57E3">
              <w:rPr>
                <w:rFonts w:ascii="Times New Roman" w:hAnsi="Times New Roman" w:cs="Times New Roman"/>
                <w:sz w:val="14"/>
                <w:szCs w:val="14"/>
                <w:lang w:eastAsia="sk-SK"/>
              </w:rPr>
              <w:t>996 000</w:t>
            </w:r>
          </w:p>
        </w:tc>
        <w:tc>
          <w:tcPr>
            <w:tcW w:w="516"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sidRPr="007E57E3">
              <w:rPr>
                <w:rFonts w:ascii="Times New Roman" w:hAnsi="Times New Roman" w:cs="Times New Roman"/>
                <w:sz w:val="14"/>
                <w:szCs w:val="14"/>
                <w:lang w:eastAsia="sk-SK"/>
              </w:rPr>
              <w:t>996 000</w:t>
            </w:r>
          </w:p>
        </w:tc>
        <w:tc>
          <w:tcPr>
            <w:tcW w:w="517"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sidRPr="007E57E3">
              <w:rPr>
                <w:rFonts w:ascii="Times New Roman" w:hAnsi="Times New Roman" w:cs="Times New Roman"/>
                <w:sz w:val="14"/>
                <w:szCs w:val="14"/>
                <w:lang w:eastAsia="sk-SK"/>
              </w:rPr>
              <w:t>996 000</w:t>
            </w:r>
          </w:p>
        </w:tc>
      </w:tr>
      <w:tr>
        <w:tblPrEx>
          <w:tblW w:w="5116" w:type="pct"/>
          <w:tblCellMar>
            <w:left w:w="0" w:type="dxa"/>
            <w:right w:w="0" w:type="dxa"/>
          </w:tblCellMar>
          <w:tblLook w:val="04A0"/>
        </w:tblPrEx>
        <w:trPr>
          <w:trHeight w:val="259"/>
        </w:trPr>
        <w:tc>
          <w:tcPr>
            <w:tcW w:w="1387" w:type="pct"/>
            <w:tcBorders>
              <w:top w:val="single" w:sz="4" w:space="0" w:color="000000"/>
              <w:left w:val="single" w:sz="4" w:space="0" w:color="000000"/>
              <w:bottom w:val="single" w:sz="4" w:space="0" w:color="000000"/>
              <w:right w:val="none" w:sz="0" w:space="0" w:color="auto"/>
            </w:tcBorders>
            <w:tcMar>
              <w:top w:w="0" w:type="dxa"/>
              <w:left w:w="70" w:type="dxa"/>
              <w:bottom w:w="0" w:type="dxa"/>
              <w:right w:w="70" w:type="dxa"/>
            </w:tcMar>
            <w:textDirection w:val="lrTb"/>
            <w:vAlign w:val="bottom"/>
            <w:hideMark/>
          </w:tcPr>
          <w:p w:rsidR="00CB350B" w:rsidRPr="007E57E3" w:rsidP="00257E12">
            <w:pPr>
              <w:bidi w:val="0"/>
              <w:rPr>
                <w:rFonts w:ascii="Times New Roman" w:hAnsi="Times New Roman" w:cs="Times New Roman"/>
                <w:lang w:eastAsia="sk-SK"/>
              </w:rPr>
            </w:pPr>
            <w:r w:rsidRPr="007E57E3">
              <w:rPr>
                <w:rFonts w:ascii="Times New Roman" w:hAnsi="Times New Roman" w:cs="Times New Roman"/>
                <w:color w:val="000000"/>
                <w:sz w:val="14"/>
                <w:szCs w:val="14"/>
                <w:lang w:eastAsia="sk-SK"/>
              </w:rPr>
              <w:t>presun z minulých rokov</w:t>
            </w:r>
          </w:p>
        </w:tc>
        <w:tc>
          <w:tcPr>
            <w:tcW w:w="516" w:type="pct"/>
            <w:gridSpan w:val="2"/>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sidRPr="007E57E3">
              <w:rPr>
                <w:rFonts w:ascii="Times New Roman" w:hAnsi="Times New Roman" w:cs="Times New Roman"/>
                <w:sz w:val="14"/>
                <w:szCs w:val="14"/>
                <w:lang w:eastAsia="sk-SK"/>
              </w:rPr>
              <w:t> 0</w:t>
            </w:r>
          </w:p>
        </w:tc>
        <w:tc>
          <w:tcPr>
            <w:tcW w:w="516"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sidRPr="007E57E3">
              <w:rPr>
                <w:rFonts w:ascii="Times New Roman" w:hAnsi="Times New Roman" w:cs="Times New Roman"/>
                <w:sz w:val="14"/>
                <w:szCs w:val="14"/>
                <w:lang w:eastAsia="sk-SK"/>
              </w:rPr>
              <w:t>300 000</w:t>
            </w:r>
          </w:p>
        </w:tc>
        <w:tc>
          <w:tcPr>
            <w:tcW w:w="516"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sidRPr="007E57E3">
              <w:rPr>
                <w:rFonts w:ascii="Times New Roman" w:hAnsi="Times New Roman" w:cs="Times New Roman"/>
                <w:sz w:val="14"/>
                <w:szCs w:val="14"/>
                <w:lang w:eastAsia="sk-SK"/>
              </w:rPr>
              <w:t> 0</w:t>
            </w:r>
          </w:p>
        </w:tc>
        <w:tc>
          <w:tcPr>
            <w:tcW w:w="516"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sidRPr="007E57E3">
              <w:rPr>
                <w:rFonts w:ascii="Times New Roman" w:hAnsi="Times New Roman" w:cs="Times New Roman"/>
                <w:sz w:val="14"/>
                <w:szCs w:val="14"/>
                <w:lang w:eastAsia="sk-SK"/>
              </w:rPr>
              <w:t> 0</w:t>
            </w:r>
          </w:p>
        </w:tc>
        <w:tc>
          <w:tcPr>
            <w:tcW w:w="516"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sidRPr="007E57E3">
              <w:rPr>
                <w:rFonts w:ascii="Times New Roman" w:hAnsi="Times New Roman" w:cs="Times New Roman"/>
                <w:sz w:val="14"/>
                <w:szCs w:val="14"/>
                <w:lang w:eastAsia="sk-SK"/>
              </w:rPr>
              <w:t> 0</w:t>
            </w:r>
          </w:p>
        </w:tc>
        <w:tc>
          <w:tcPr>
            <w:tcW w:w="516"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sidRPr="007E57E3">
              <w:rPr>
                <w:rFonts w:ascii="Times New Roman" w:hAnsi="Times New Roman" w:cs="Times New Roman"/>
                <w:sz w:val="14"/>
                <w:szCs w:val="14"/>
                <w:lang w:eastAsia="sk-SK"/>
              </w:rPr>
              <w:t> 0</w:t>
            </w:r>
          </w:p>
        </w:tc>
        <w:tc>
          <w:tcPr>
            <w:tcW w:w="517"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7E57E3" w:rsidP="00257E12">
            <w:pPr>
              <w:bidi w:val="0"/>
              <w:jc w:val="right"/>
              <w:rPr>
                <w:rFonts w:ascii="Times New Roman" w:hAnsi="Times New Roman" w:cs="Times New Roman"/>
                <w:lang w:eastAsia="sk-SK"/>
              </w:rPr>
            </w:pPr>
            <w:r w:rsidRPr="007E57E3">
              <w:rPr>
                <w:rFonts w:ascii="Times New Roman" w:hAnsi="Times New Roman" w:cs="Times New Roman"/>
                <w:sz w:val="14"/>
                <w:szCs w:val="14"/>
                <w:lang w:eastAsia="sk-SK"/>
              </w:rPr>
              <w:t> 0</w:t>
            </w:r>
          </w:p>
        </w:tc>
      </w:tr>
      <w:tr>
        <w:tblPrEx>
          <w:tblW w:w="5116" w:type="pct"/>
          <w:tblCellMar>
            <w:left w:w="0" w:type="dxa"/>
            <w:right w:w="0" w:type="dxa"/>
          </w:tblCellMar>
          <w:tblLook w:val="04A0"/>
        </w:tblPrEx>
        <w:tc>
          <w:tcPr>
            <w:tcW w:w="1387" w:type="pct"/>
            <w:tcBorders>
              <w:top w:val="nil"/>
              <w:left w:val="nil"/>
              <w:bottom w:val="nil"/>
              <w:right w:val="nil"/>
            </w:tcBorders>
            <w:textDirection w:val="lrTb"/>
            <w:vAlign w:val="center"/>
            <w:hideMark/>
          </w:tcPr>
          <w:p w:rsidR="00CB350B" w:rsidRPr="007E57E3" w:rsidP="00257E12">
            <w:pPr>
              <w:bidi w:val="0"/>
              <w:rPr>
                <w:rFonts w:ascii="Times New Roman" w:hAnsi="Times New Roman" w:cs="Times New Roman"/>
                <w:sz w:val="2"/>
                <w:lang w:eastAsia="sk-SK"/>
              </w:rPr>
            </w:pPr>
          </w:p>
        </w:tc>
        <w:tc>
          <w:tcPr>
            <w:tcW w:w="229" w:type="pct"/>
            <w:tcBorders>
              <w:top w:val="nil"/>
              <w:left w:val="nil"/>
              <w:bottom w:val="nil"/>
              <w:right w:val="nil"/>
            </w:tcBorders>
            <w:textDirection w:val="lrTb"/>
            <w:vAlign w:val="center"/>
            <w:hideMark/>
          </w:tcPr>
          <w:p w:rsidR="00CB350B" w:rsidRPr="007E57E3" w:rsidP="00257E12">
            <w:pPr>
              <w:bidi w:val="0"/>
              <w:rPr>
                <w:rFonts w:ascii="Times New Roman" w:hAnsi="Times New Roman" w:cs="Times New Roman"/>
                <w:sz w:val="2"/>
                <w:lang w:eastAsia="sk-SK"/>
              </w:rPr>
            </w:pPr>
          </w:p>
        </w:tc>
        <w:tc>
          <w:tcPr>
            <w:tcW w:w="287" w:type="pct"/>
            <w:tcBorders>
              <w:top w:val="nil"/>
              <w:left w:val="nil"/>
              <w:bottom w:val="nil"/>
              <w:right w:val="nil"/>
            </w:tcBorders>
            <w:textDirection w:val="lrTb"/>
            <w:vAlign w:val="center"/>
            <w:hideMark/>
          </w:tcPr>
          <w:p w:rsidR="00CB350B" w:rsidRPr="007E57E3" w:rsidP="00257E12">
            <w:pPr>
              <w:bidi w:val="0"/>
              <w:rPr>
                <w:rFonts w:ascii="Times New Roman" w:hAnsi="Times New Roman" w:cs="Times New Roman"/>
                <w:sz w:val="2"/>
                <w:lang w:eastAsia="sk-SK"/>
              </w:rPr>
            </w:pPr>
          </w:p>
        </w:tc>
        <w:tc>
          <w:tcPr>
            <w:tcW w:w="213" w:type="pct"/>
            <w:tcBorders>
              <w:top w:val="nil"/>
              <w:left w:val="nil"/>
              <w:bottom w:val="nil"/>
              <w:right w:val="nil"/>
            </w:tcBorders>
            <w:textDirection w:val="lrTb"/>
            <w:vAlign w:val="center"/>
            <w:hideMark/>
          </w:tcPr>
          <w:p w:rsidR="00CB350B" w:rsidRPr="007E57E3" w:rsidP="00257E12">
            <w:pPr>
              <w:bidi w:val="0"/>
              <w:rPr>
                <w:rFonts w:ascii="Times New Roman" w:hAnsi="Times New Roman" w:cs="Times New Roman"/>
                <w:sz w:val="2"/>
                <w:lang w:eastAsia="sk-SK"/>
              </w:rPr>
            </w:pPr>
          </w:p>
        </w:tc>
        <w:tc>
          <w:tcPr>
            <w:tcW w:w="303" w:type="pct"/>
            <w:tcBorders>
              <w:top w:val="nil"/>
              <w:left w:val="nil"/>
              <w:bottom w:val="nil"/>
              <w:right w:val="nil"/>
            </w:tcBorders>
            <w:textDirection w:val="lrTb"/>
            <w:vAlign w:val="center"/>
            <w:hideMark/>
          </w:tcPr>
          <w:p w:rsidR="00CB350B" w:rsidRPr="007E57E3" w:rsidP="00257E12">
            <w:pPr>
              <w:bidi w:val="0"/>
              <w:rPr>
                <w:rFonts w:ascii="Times New Roman" w:hAnsi="Times New Roman" w:cs="Times New Roman"/>
                <w:sz w:val="2"/>
                <w:lang w:eastAsia="sk-SK"/>
              </w:rPr>
            </w:pPr>
          </w:p>
        </w:tc>
        <w:tc>
          <w:tcPr>
            <w:tcW w:w="198" w:type="pct"/>
            <w:tcBorders>
              <w:top w:val="nil"/>
              <w:left w:val="nil"/>
              <w:bottom w:val="nil"/>
              <w:right w:val="nil"/>
            </w:tcBorders>
            <w:textDirection w:val="lrTb"/>
            <w:vAlign w:val="center"/>
            <w:hideMark/>
          </w:tcPr>
          <w:p w:rsidR="00CB350B" w:rsidRPr="007E57E3" w:rsidP="00257E12">
            <w:pPr>
              <w:bidi w:val="0"/>
              <w:rPr>
                <w:rFonts w:ascii="Times New Roman" w:hAnsi="Times New Roman" w:cs="Times New Roman"/>
                <w:sz w:val="2"/>
                <w:lang w:eastAsia="sk-SK"/>
              </w:rPr>
            </w:pPr>
          </w:p>
        </w:tc>
        <w:tc>
          <w:tcPr>
            <w:tcW w:w="318" w:type="pct"/>
            <w:tcBorders>
              <w:top w:val="nil"/>
              <w:left w:val="nil"/>
              <w:bottom w:val="nil"/>
              <w:right w:val="nil"/>
            </w:tcBorders>
            <w:textDirection w:val="lrTb"/>
            <w:vAlign w:val="center"/>
            <w:hideMark/>
          </w:tcPr>
          <w:p w:rsidR="00CB350B" w:rsidRPr="007E57E3" w:rsidP="00257E12">
            <w:pPr>
              <w:bidi w:val="0"/>
              <w:rPr>
                <w:rFonts w:ascii="Times New Roman" w:hAnsi="Times New Roman" w:cs="Times New Roman"/>
                <w:sz w:val="2"/>
                <w:lang w:eastAsia="sk-SK"/>
              </w:rPr>
            </w:pPr>
          </w:p>
        </w:tc>
        <w:tc>
          <w:tcPr>
            <w:tcW w:w="182" w:type="pct"/>
            <w:tcBorders>
              <w:top w:val="nil"/>
              <w:left w:val="nil"/>
              <w:bottom w:val="nil"/>
              <w:right w:val="nil"/>
            </w:tcBorders>
            <w:textDirection w:val="lrTb"/>
            <w:vAlign w:val="center"/>
            <w:hideMark/>
          </w:tcPr>
          <w:p w:rsidR="00CB350B" w:rsidRPr="007E57E3" w:rsidP="00257E12">
            <w:pPr>
              <w:bidi w:val="0"/>
              <w:rPr>
                <w:rFonts w:ascii="Times New Roman" w:hAnsi="Times New Roman" w:cs="Times New Roman"/>
                <w:sz w:val="2"/>
                <w:lang w:eastAsia="sk-SK"/>
              </w:rPr>
            </w:pPr>
          </w:p>
        </w:tc>
        <w:tc>
          <w:tcPr>
            <w:tcW w:w="334" w:type="pct"/>
            <w:tcBorders>
              <w:top w:val="nil"/>
              <w:left w:val="nil"/>
              <w:bottom w:val="nil"/>
              <w:right w:val="nil"/>
            </w:tcBorders>
            <w:textDirection w:val="lrTb"/>
            <w:vAlign w:val="center"/>
            <w:hideMark/>
          </w:tcPr>
          <w:p w:rsidR="00CB350B" w:rsidRPr="007E57E3" w:rsidP="00257E12">
            <w:pPr>
              <w:bidi w:val="0"/>
              <w:rPr>
                <w:rFonts w:ascii="Times New Roman" w:hAnsi="Times New Roman" w:cs="Times New Roman"/>
                <w:sz w:val="2"/>
                <w:lang w:eastAsia="sk-SK"/>
              </w:rPr>
            </w:pPr>
          </w:p>
        </w:tc>
        <w:tc>
          <w:tcPr>
            <w:tcW w:w="166" w:type="pct"/>
            <w:tcBorders>
              <w:top w:val="nil"/>
              <w:left w:val="nil"/>
              <w:bottom w:val="nil"/>
              <w:right w:val="nil"/>
            </w:tcBorders>
            <w:textDirection w:val="lrTb"/>
            <w:vAlign w:val="center"/>
            <w:hideMark/>
          </w:tcPr>
          <w:p w:rsidR="00CB350B" w:rsidRPr="007E57E3" w:rsidP="00257E12">
            <w:pPr>
              <w:bidi w:val="0"/>
              <w:rPr>
                <w:rFonts w:ascii="Times New Roman" w:hAnsi="Times New Roman" w:cs="Times New Roman"/>
                <w:sz w:val="2"/>
                <w:lang w:eastAsia="sk-SK"/>
              </w:rPr>
            </w:pPr>
          </w:p>
        </w:tc>
        <w:tc>
          <w:tcPr>
            <w:tcW w:w="350" w:type="pct"/>
            <w:tcBorders>
              <w:top w:val="nil"/>
              <w:left w:val="nil"/>
              <w:bottom w:val="nil"/>
              <w:right w:val="nil"/>
            </w:tcBorders>
            <w:textDirection w:val="lrTb"/>
            <w:vAlign w:val="center"/>
            <w:hideMark/>
          </w:tcPr>
          <w:p w:rsidR="00CB350B" w:rsidRPr="007E57E3" w:rsidP="00257E12">
            <w:pPr>
              <w:bidi w:val="0"/>
              <w:rPr>
                <w:rFonts w:ascii="Times New Roman" w:hAnsi="Times New Roman" w:cs="Times New Roman"/>
                <w:sz w:val="2"/>
                <w:lang w:eastAsia="sk-SK"/>
              </w:rPr>
            </w:pPr>
          </w:p>
        </w:tc>
        <w:tc>
          <w:tcPr>
            <w:tcW w:w="150" w:type="pct"/>
            <w:tcBorders>
              <w:top w:val="nil"/>
              <w:left w:val="nil"/>
              <w:bottom w:val="nil"/>
              <w:right w:val="nil"/>
            </w:tcBorders>
            <w:textDirection w:val="lrTb"/>
            <w:vAlign w:val="center"/>
            <w:hideMark/>
          </w:tcPr>
          <w:p w:rsidR="00CB350B" w:rsidRPr="007E57E3" w:rsidP="00257E12">
            <w:pPr>
              <w:bidi w:val="0"/>
              <w:rPr>
                <w:rFonts w:ascii="Times New Roman" w:hAnsi="Times New Roman" w:cs="Times New Roman"/>
                <w:sz w:val="2"/>
                <w:lang w:eastAsia="sk-SK"/>
              </w:rPr>
            </w:pPr>
          </w:p>
        </w:tc>
        <w:tc>
          <w:tcPr>
            <w:tcW w:w="366" w:type="pct"/>
            <w:tcBorders>
              <w:top w:val="nil"/>
              <w:left w:val="nil"/>
              <w:bottom w:val="nil"/>
              <w:right w:val="nil"/>
            </w:tcBorders>
            <w:textDirection w:val="lrTb"/>
            <w:vAlign w:val="center"/>
            <w:hideMark/>
          </w:tcPr>
          <w:p w:rsidR="00CB350B" w:rsidRPr="007E57E3" w:rsidP="00257E12">
            <w:pPr>
              <w:bidi w:val="0"/>
              <w:rPr>
                <w:rFonts w:ascii="Times New Roman" w:hAnsi="Times New Roman" w:cs="Times New Roman"/>
                <w:sz w:val="2"/>
                <w:lang w:eastAsia="sk-SK"/>
              </w:rPr>
            </w:pPr>
          </w:p>
        </w:tc>
        <w:tc>
          <w:tcPr>
            <w:tcW w:w="134" w:type="pct"/>
            <w:tcBorders>
              <w:top w:val="nil"/>
              <w:left w:val="nil"/>
              <w:bottom w:val="nil"/>
              <w:right w:val="nil"/>
            </w:tcBorders>
            <w:textDirection w:val="lrTb"/>
            <w:vAlign w:val="center"/>
            <w:hideMark/>
          </w:tcPr>
          <w:p w:rsidR="00CB350B" w:rsidRPr="007E57E3" w:rsidP="00257E12">
            <w:pPr>
              <w:bidi w:val="0"/>
              <w:rPr>
                <w:rFonts w:ascii="Times New Roman" w:hAnsi="Times New Roman" w:cs="Times New Roman"/>
                <w:sz w:val="2"/>
                <w:lang w:eastAsia="sk-SK"/>
              </w:rPr>
            </w:pPr>
          </w:p>
        </w:tc>
        <w:tc>
          <w:tcPr>
            <w:tcW w:w="383" w:type="pct"/>
            <w:tcBorders>
              <w:top w:val="nil"/>
              <w:left w:val="nil"/>
              <w:bottom w:val="nil"/>
              <w:right w:val="nil"/>
            </w:tcBorders>
            <w:textDirection w:val="lrTb"/>
            <w:vAlign w:val="center"/>
            <w:hideMark/>
          </w:tcPr>
          <w:p w:rsidR="00CB350B" w:rsidRPr="007E57E3" w:rsidP="00257E12">
            <w:pPr>
              <w:bidi w:val="0"/>
              <w:rPr>
                <w:rFonts w:ascii="Times New Roman" w:hAnsi="Times New Roman" w:cs="Times New Roman"/>
                <w:sz w:val="2"/>
                <w:lang w:eastAsia="sk-SK"/>
              </w:rPr>
            </w:pPr>
          </w:p>
        </w:tc>
      </w:tr>
    </w:tbl>
    <w:p w:rsidR="00CB350B" w:rsidRPr="007E57E3" w:rsidP="00CB350B">
      <w:pPr>
        <w:bidi w:val="0"/>
        <w:jc w:val="both"/>
        <w:rPr>
          <w:rFonts w:ascii="Times New Roman" w:hAnsi="Times New Roman" w:cs="Times New Roman"/>
          <w:lang w:eastAsia="sk-SK"/>
        </w:rPr>
      </w:pPr>
      <w:r w:rsidRPr="007E57E3">
        <w:rPr>
          <w:rFonts w:ascii="Times New Roman" w:hAnsi="Times New Roman" w:cs="Times New Roman"/>
          <w:lang w:eastAsia="sk-SK"/>
        </w:rPr>
        <w:t> </w:t>
      </w:r>
    </w:p>
    <w:p w:rsidR="00CB350B" w:rsidRPr="007E57E3" w:rsidP="00CB350B">
      <w:pPr>
        <w:bidi w:val="0"/>
        <w:ind w:firstLine="708"/>
        <w:jc w:val="both"/>
        <w:rPr>
          <w:rFonts w:ascii="Times New Roman" w:hAnsi="Times New Roman" w:cs="Times New Roman"/>
          <w:lang w:eastAsia="sk-SK"/>
        </w:rPr>
      </w:pPr>
      <w:r w:rsidRPr="007E57E3">
        <w:rPr>
          <w:rFonts w:ascii="Times New Roman" w:hAnsi="Times New Roman" w:cs="Times New Roman"/>
          <w:lang w:eastAsia="sk-SK"/>
        </w:rPr>
        <w:t>Celkové výdavky kapitoly v roku 2012 sú oproti schválenému ro</w:t>
      </w:r>
      <w:r>
        <w:rPr>
          <w:rFonts w:ascii="Times New Roman" w:hAnsi="Times New Roman" w:cs="Times New Roman"/>
          <w:lang w:eastAsia="sk-SK"/>
        </w:rPr>
        <w:t>zpočtu roka 2011 vyššie o sumu 5,15</w:t>
      </w:r>
      <w:r w:rsidRPr="007E57E3">
        <w:rPr>
          <w:rFonts w:ascii="Times New Roman" w:hAnsi="Times New Roman" w:cs="Times New Roman"/>
          <w:lang w:eastAsia="sk-SK"/>
        </w:rPr>
        <w:t xml:space="preserve"> mil</w:t>
      </w:r>
      <w:r>
        <w:rPr>
          <w:rFonts w:ascii="Times New Roman" w:hAnsi="Times New Roman" w:cs="Times New Roman"/>
          <w:lang w:eastAsia="sk-SK"/>
        </w:rPr>
        <w:t>. eur, čo predstavuje nárast o 13,2</w:t>
      </w:r>
      <w:r w:rsidRPr="007E57E3">
        <w:rPr>
          <w:rFonts w:ascii="Times New Roman" w:hAnsi="Times New Roman" w:cs="Times New Roman"/>
          <w:lang w:eastAsia="sk-SK"/>
        </w:rPr>
        <w:t xml:space="preserve"> %. V rámci tovarov a služieb sa zabezpečuje chod informačnej služby, t. j. činnosť rozviedky, kontrarozviedky, podporné a administratívne činnosti. V porovnaní so skutočnosťou roka 2010 však výdavky </w:t>
      </w:r>
      <w:r>
        <w:rPr>
          <w:rFonts w:ascii="Times New Roman" w:hAnsi="Times New Roman" w:cs="Times New Roman"/>
          <w:lang w:eastAsia="sk-SK"/>
        </w:rPr>
        <w:t>kapitoly na rok 2012 klesajú o 2,46</w:t>
      </w:r>
      <w:r w:rsidRPr="007E57E3">
        <w:rPr>
          <w:rFonts w:ascii="Times New Roman" w:hAnsi="Times New Roman" w:cs="Times New Roman"/>
          <w:lang w:eastAsia="sk-SK"/>
        </w:rPr>
        <w:t xml:space="preserve"> mil. eur, čo predstavuje pokles o</w:t>
      </w:r>
      <w:r>
        <w:rPr>
          <w:rFonts w:ascii="Times New Roman" w:hAnsi="Times New Roman" w:cs="Times New Roman"/>
          <w:lang w:eastAsia="sk-SK"/>
        </w:rPr>
        <w:t> 5,29</w:t>
      </w:r>
      <w:r w:rsidRPr="007E57E3">
        <w:rPr>
          <w:rFonts w:ascii="Times New Roman" w:hAnsi="Times New Roman" w:cs="Times New Roman"/>
          <w:lang w:eastAsia="sk-SK"/>
        </w:rPr>
        <w:t xml:space="preserve"> %.</w:t>
      </w:r>
    </w:p>
    <w:p w:rsidR="00CB350B" w:rsidP="00CB350B">
      <w:pPr>
        <w:bidi w:val="0"/>
      </w:pPr>
    </w:p>
    <w:p w:rsidR="00CB350B" w:rsidRPr="0004638E" w:rsidP="00CB350B">
      <w:pPr>
        <w:pBdr>
          <w:bottom w:val="single" w:sz="4" w:space="1" w:color="auto"/>
        </w:pBdr>
        <w:bidi w:val="0"/>
        <w:jc w:val="both"/>
        <w:rPr>
          <w:rFonts w:ascii="Times New Roman" w:hAnsi="Times New Roman" w:cs="Times New Roman"/>
          <w:b/>
          <w:bCs/>
        </w:rPr>
      </w:pPr>
      <w:r w:rsidRPr="0004638E">
        <w:rPr>
          <w:rFonts w:ascii="Times New Roman" w:hAnsi="Times New Roman" w:cs="Times New Roman"/>
          <w:b/>
          <w:bCs/>
        </w:rPr>
        <w:t xml:space="preserve">Úrad geodézie, kartografie a katastra SR </w:t>
      </w:r>
    </w:p>
    <w:p w:rsidR="00CB350B" w:rsidRPr="0004638E" w:rsidP="00CB350B">
      <w:pPr>
        <w:bidi w:val="0"/>
        <w:jc w:val="both"/>
        <w:rPr>
          <w:rFonts w:ascii="Times New Roman" w:hAnsi="Times New Roman" w:cs="Times New Roman"/>
          <w:b/>
        </w:rPr>
      </w:pPr>
    </w:p>
    <w:tbl>
      <w:tblPr>
        <w:tblStyle w:val="TableNormal"/>
        <w:tblW w:w="5000" w:type="pct"/>
        <w:tblCellMar>
          <w:left w:w="70" w:type="dxa"/>
          <w:right w:w="70" w:type="dxa"/>
        </w:tblCellMar>
        <w:tblLook w:val="04A0"/>
      </w:tblPr>
      <w:tblGrid>
        <w:gridCol w:w="2521"/>
        <w:gridCol w:w="955"/>
        <w:gridCol w:w="954"/>
        <w:gridCol w:w="956"/>
        <w:gridCol w:w="954"/>
        <w:gridCol w:w="956"/>
        <w:gridCol w:w="954"/>
        <w:gridCol w:w="962"/>
      </w:tblGrid>
      <w:tr>
        <w:tblPrEx>
          <w:tblW w:w="5000" w:type="pct"/>
          <w:tblCellMar>
            <w:left w:w="70" w:type="dxa"/>
            <w:right w:w="70" w:type="dxa"/>
          </w:tblCellMar>
          <w:tblLook w:val="04A0"/>
        </w:tblPrEx>
        <w:trPr>
          <w:trHeight w:val="259"/>
        </w:trPr>
        <w:tc>
          <w:tcPr>
            <w:tcW w:w="1368"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b/>
                <w:color w:val="000000"/>
                <w:sz w:val="14"/>
                <w:szCs w:val="14"/>
              </w:rPr>
            </w:pPr>
            <w:r w:rsidRPr="00E167C4">
              <w:rPr>
                <w:rFonts w:ascii="Times New Roman" w:hAnsi="Times New Roman" w:cs="Times New Roman"/>
                <w:b/>
                <w:color w:val="000000"/>
                <w:sz w:val="14"/>
                <w:szCs w:val="14"/>
              </w:rPr>
              <w:t>v eurách</w:t>
            </w:r>
          </w:p>
        </w:tc>
        <w:tc>
          <w:tcPr>
            <w:tcW w:w="518" w:type="pct"/>
            <w:tcBorders>
              <w:top w:val="single" w:sz="4" w:space="0" w:color="auto"/>
              <w:left w:val="single" w:sz="4" w:space="0" w:color="auto"/>
              <w:bottom w:val="single" w:sz="4" w:space="0" w:color="auto"/>
              <w:right w:val="single" w:sz="4" w:space="0" w:color="auto"/>
            </w:tcBorders>
            <w:noWrap/>
            <w:textDirection w:val="lrTb"/>
            <w:vAlign w:val="center"/>
            <w:hideMark/>
          </w:tcPr>
          <w:p w:rsidR="00CB350B" w:rsidRPr="00E167C4" w:rsidP="00257E12">
            <w:pPr>
              <w:bidi w:val="0"/>
              <w:jc w:val="center"/>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2009 S</w:t>
            </w:r>
          </w:p>
        </w:tc>
        <w:tc>
          <w:tcPr>
            <w:tcW w:w="518" w:type="pct"/>
            <w:tcBorders>
              <w:top w:val="single" w:sz="4" w:space="0" w:color="auto"/>
              <w:left w:val="single" w:sz="4" w:space="0" w:color="auto"/>
              <w:bottom w:val="single" w:sz="4" w:space="0" w:color="auto"/>
              <w:right w:val="single" w:sz="4" w:space="0" w:color="auto"/>
            </w:tcBorders>
            <w:noWrap/>
            <w:textDirection w:val="lrTb"/>
            <w:vAlign w:val="center"/>
            <w:hideMark/>
          </w:tcPr>
          <w:p w:rsidR="00CB350B" w:rsidRPr="00E167C4" w:rsidP="00257E12">
            <w:pPr>
              <w:bidi w:val="0"/>
              <w:jc w:val="center"/>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2010S</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CB350B" w:rsidRPr="00E167C4" w:rsidP="00257E12">
            <w:pPr>
              <w:bidi w:val="0"/>
              <w:jc w:val="center"/>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2011 R</w:t>
            </w:r>
          </w:p>
        </w:tc>
        <w:tc>
          <w:tcPr>
            <w:tcW w:w="518" w:type="pct"/>
            <w:tcBorders>
              <w:top w:val="single" w:sz="4" w:space="0" w:color="auto"/>
              <w:left w:val="single" w:sz="4" w:space="0" w:color="auto"/>
              <w:bottom w:val="single" w:sz="4" w:space="0" w:color="auto"/>
              <w:right w:val="single" w:sz="4" w:space="0" w:color="auto"/>
            </w:tcBorders>
            <w:noWrap/>
            <w:textDirection w:val="lrTb"/>
            <w:vAlign w:val="center"/>
            <w:hideMark/>
          </w:tcPr>
          <w:p w:rsidR="00CB350B" w:rsidRPr="00E167C4" w:rsidP="00257E12">
            <w:pPr>
              <w:bidi w:val="0"/>
              <w:jc w:val="center"/>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2011 OS</w:t>
            </w:r>
          </w:p>
        </w:tc>
        <w:tc>
          <w:tcPr>
            <w:tcW w:w="519" w:type="pct"/>
            <w:tcBorders>
              <w:top w:val="single" w:sz="4" w:space="0" w:color="auto"/>
              <w:left w:val="single" w:sz="4" w:space="0" w:color="auto"/>
              <w:bottom w:val="single" w:sz="4" w:space="0" w:color="auto"/>
              <w:right w:val="single" w:sz="4" w:space="0" w:color="auto"/>
            </w:tcBorders>
            <w:noWrap/>
            <w:textDirection w:val="lrTb"/>
            <w:vAlign w:val="center"/>
            <w:hideMark/>
          </w:tcPr>
          <w:p w:rsidR="00CB350B" w:rsidRPr="00E167C4" w:rsidP="00257E12">
            <w:pPr>
              <w:bidi w:val="0"/>
              <w:jc w:val="center"/>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2012 N</w:t>
            </w:r>
          </w:p>
        </w:tc>
        <w:tc>
          <w:tcPr>
            <w:tcW w:w="518" w:type="pct"/>
            <w:tcBorders>
              <w:top w:val="single" w:sz="4" w:space="0" w:color="auto"/>
              <w:left w:val="single" w:sz="4" w:space="0" w:color="auto"/>
              <w:bottom w:val="single" w:sz="4" w:space="0" w:color="auto"/>
              <w:right w:val="single" w:sz="4" w:space="0" w:color="auto"/>
            </w:tcBorders>
            <w:noWrap/>
            <w:textDirection w:val="lrTb"/>
            <w:vAlign w:val="center"/>
            <w:hideMark/>
          </w:tcPr>
          <w:p w:rsidR="00CB350B" w:rsidRPr="00E167C4" w:rsidP="00257E12">
            <w:pPr>
              <w:bidi w:val="0"/>
              <w:jc w:val="center"/>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2013 N</w:t>
            </w:r>
          </w:p>
        </w:tc>
        <w:tc>
          <w:tcPr>
            <w:tcW w:w="522" w:type="pct"/>
            <w:tcBorders>
              <w:top w:val="single" w:sz="4" w:space="0" w:color="auto"/>
              <w:left w:val="single" w:sz="4" w:space="0" w:color="auto"/>
              <w:bottom w:val="single" w:sz="4" w:space="0" w:color="auto"/>
              <w:right w:val="single" w:sz="4" w:space="0" w:color="auto"/>
            </w:tcBorders>
            <w:noWrap/>
            <w:textDirection w:val="lrTb"/>
            <w:vAlign w:val="center"/>
            <w:hideMark/>
          </w:tcPr>
          <w:p w:rsidR="00CB350B" w:rsidRPr="00E167C4" w:rsidP="00257E12">
            <w:pPr>
              <w:bidi w:val="0"/>
              <w:jc w:val="center"/>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2014 N</w:t>
            </w:r>
          </w:p>
        </w:tc>
      </w:tr>
      <w:tr>
        <w:tblPrEx>
          <w:tblW w:w="5000" w:type="pct"/>
          <w:tblCellMar>
            <w:left w:w="70" w:type="dxa"/>
            <w:right w:w="70" w:type="dxa"/>
          </w:tblCellMar>
          <w:tblLook w:val="04A0"/>
        </w:tblPrEx>
        <w:trPr>
          <w:trHeight w:val="259"/>
        </w:trPr>
        <w:tc>
          <w:tcPr>
            <w:tcW w:w="1368"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b/>
                <w:bCs/>
                <w:sz w:val="14"/>
                <w:szCs w:val="14"/>
              </w:rPr>
            </w:pPr>
            <w:r w:rsidRPr="00E167C4">
              <w:rPr>
                <w:rFonts w:ascii="Times New Roman" w:hAnsi="Times New Roman" w:cs="Times New Roman"/>
                <w:b/>
                <w:bCs/>
                <w:sz w:val="14"/>
                <w:szCs w:val="14"/>
              </w:rPr>
              <w:t>Zdroje príslušnej kapitoly</w:t>
            </w:r>
          </w:p>
        </w:tc>
        <w:tc>
          <w:tcPr>
            <w:tcW w:w="518"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61 285 465</w:t>
            </w:r>
          </w:p>
        </w:tc>
        <w:tc>
          <w:tcPr>
            <w:tcW w:w="518"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69 721 961</w:t>
            </w:r>
          </w:p>
        </w:tc>
        <w:tc>
          <w:tcPr>
            <w:tcW w:w="519"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35 599 628</w:t>
            </w:r>
          </w:p>
        </w:tc>
        <w:tc>
          <w:tcPr>
            <w:tcW w:w="518" w:type="pct"/>
            <w:tcBorders>
              <w:top w:val="nil"/>
              <w:left w:val="nil"/>
              <w:bottom w:val="single" w:sz="4" w:space="0" w:color="auto"/>
              <w:right w:val="single" w:sz="4" w:space="0" w:color="auto"/>
            </w:tcBorders>
            <w:textDirection w:val="lrTb"/>
            <w:vAlign w:val="bottom"/>
            <w:hideMark/>
          </w:tcPr>
          <w:p w:rsidR="00CB350B" w:rsidRPr="00727DFA" w:rsidP="00257E12">
            <w:pPr>
              <w:bidi w:val="0"/>
              <w:jc w:val="right"/>
              <w:rPr>
                <w:rFonts w:ascii="Times New Roman" w:hAnsi="Times New Roman" w:cs="Times New Roman"/>
                <w:b/>
                <w:bCs/>
                <w:color w:val="000000"/>
                <w:sz w:val="14"/>
                <w:szCs w:val="14"/>
              </w:rPr>
            </w:pPr>
            <w:r w:rsidRPr="00727DFA">
              <w:rPr>
                <w:rFonts w:ascii="Times New Roman" w:hAnsi="Times New Roman" w:cs="Times New Roman"/>
                <w:b/>
                <w:bCs/>
                <w:color w:val="000000"/>
                <w:sz w:val="14"/>
                <w:szCs w:val="14"/>
              </w:rPr>
              <w:t>51 030 724</w:t>
            </w:r>
          </w:p>
        </w:tc>
        <w:tc>
          <w:tcPr>
            <w:tcW w:w="519"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43 169 655</w:t>
            </w:r>
          </w:p>
        </w:tc>
        <w:tc>
          <w:tcPr>
            <w:tcW w:w="518"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43 176 230</w:t>
            </w:r>
          </w:p>
        </w:tc>
        <w:tc>
          <w:tcPr>
            <w:tcW w:w="522"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43 178 303</w:t>
            </w:r>
          </w:p>
        </w:tc>
      </w:tr>
      <w:tr>
        <w:tblPrEx>
          <w:tblW w:w="5000" w:type="pct"/>
          <w:tblCellMar>
            <w:left w:w="70" w:type="dxa"/>
            <w:right w:w="70" w:type="dxa"/>
          </w:tblCellMar>
          <w:tblLook w:val="04A0"/>
        </w:tblPrEx>
        <w:trPr>
          <w:trHeight w:val="259"/>
        </w:trPr>
        <w:tc>
          <w:tcPr>
            <w:tcW w:w="1368"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sz w:val="14"/>
                <w:szCs w:val="14"/>
              </w:rPr>
            </w:pPr>
            <w:r w:rsidRPr="00E167C4">
              <w:rPr>
                <w:rFonts w:ascii="Times New Roman" w:hAnsi="Times New Roman" w:cs="Times New Roman"/>
                <w:sz w:val="14"/>
                <w:szCs w:val="14"/>
              </w:rPr>
              <w:t xml:space="preserve">rozpočtové zdroje kapitoly </w:t>
            </w:r>
          </w:p>
        </w:tc>
        <w:tc>
          <w:tcPr>
            <w:tcW w:w="518"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52 876 715</w:t>
            </w:r>
          </w:p>
        </w:tc>
        <w:tc>
          <w:tcPr>
            <w:tcW w:w="518"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52 904 463</w:t>
            </w:r>
          </w:p>
        </w:tc>
        <w:tc>
          <w:tcPr>
            <w:tcW w:w="519"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35 599 628</w:t>
            </w:r>
          </w:p>
        </w:tc>
        <w:tc>
          <w:tcPr>
            <w:tcW w:w="518" w:type="pct"/>
            <w:tcBorders>
              <w:top w:val="single" w:sz="4" w:space="0" w:color="auto"/>
              <w:left w:val="nil"/>
              <w:bottom w:val="single" w:sz="4" w:space="0" w:color="auto"/>
              <w:right w:val="single" w:sz="4" w:space="0" w:color="auto"/>
            </w:tcBorders>
            <w:textDirection w:val="lrTb"/>
            <w:vAlign w:val="bottom"/>
            <w:hideMark/>
          </w:tcPr>
          <w:p w:rsidR="00CB350B" w:rsidRPr="00727DFA" w:rsidP="00257E12">
            <w:pPr>
              <w:bidi w:val="0"/>
              <w:jc w:val="right"/>
              <w:rPr>
                <w:rFonts w:ascii="Times New Roman" w:hAnsi="Times New Roman" w:cs="Times New Roman"/>
                <w:color w:val="000000"/>
                <w:sz w:val="14"/>
                <w:szCs w:val="14"/>
              </w:rPr>
            </w:pPr>
            <w:r w:rsidRPr="00727DFA">
              <w:rPr>
                <w:rFonts w:ascii="Times New Roman" w:hAnsi="Times New Roman" w:cs="Times New Roman"/>
                <w:color w:val="000000"/>
                <w:sz w:val="14"/>
                <w:szCs w:val="14"/>
              </w:rPr>
              <w:t>43 599 628</w:t>
            </w:r>
          </w:p>
        </w:tc>
        <w:tc>
          <w:tcPr>
            <w:tcW w:w="519"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43 169 655</w:t>
            </w:r>
          </w:p>
        </w:tc>
        <w:tc>
          <w:tcPr>
            <w:tcW w:w="518"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43 176 230</w:t>
            </w:r>
          </w:p>
        </w:tc>
        <w:tc>
          <w:tcPr>
            <w:tcW w:w="522"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43 178 303</w:t>
            </w:r>
          </w:p>
        </w:tc>
      </w:tr>
      <w:tr>
        <w:tblPrEx>
          <w:tblW w:w="5000" w:type="pct"/>
          <w:tblCellMar>
            <w:left w:w="70" w:type="dxa"/>
            <w:right w:w="70" w:type="dxa"/>
          </w:tblCellMar>
          <w:tblLook w:val="04A0"/>
        </w:tblPrEx>
        <w:trPr>
          <w:trHeight w:val="259"/>
        </w:trPr>
        <w:tc>
          <w:tcPr>
            <w:tcW w:w="1368"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sz w:val="14"/>
                <w:szCs w:val="14"/>
              </w:rPr>
            </w:pPr>
            <w:r w:rsidRPr="00E167C4">
              <w:rPr>
                <w:rFonts w:ascii="Times New Roman" w:hAnsi="Times New Roman" w:cs="Times New Roman"/>
                <w:sz w:val="14"/>
                <w:szCs w:val="14"/>
              </w:rPr>
              <w:t xml:space="preserve">        v tom: bežné výdavky 600</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38 811 176</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51 700 958</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34 902 556</w:t>
            </w:r>
          </w:p>
        </w:tc>
        <w:tc>
          <w:tcPr>
            <w:tcW w:w="518" w:type="pct"/>
            <w:tcBorders>
              <w:top w:val="nil"/>
              <w:left w:val="nil"/>
              <w:bottom w:val="single" w:sz="4" w:space="0" w:color="auto"/>
              <w:right w:val="single" w:sz="4" w:space="0" w:color="auto"/>
            </w:tcBorders>
            <w:noWrap/>
            <w:textDirection w:val="lrTb"/>
            <w:vAlign w:val="bottom"/>
            <w:hideMark/>
          </w:tcPr>
          <w:p w:rsidR="00CB350B" w:rsidRPr="00727DFA" w:rsidP="00257E12">
            <w:pPr>
              <w:bidi w:val="0"/>
              <w:jc w:val="right"/>
              <w:rPr>
                <w:rFonts w:ascii="Times New Roman" w:hAnsi="Times New Roman" w:cs="Times New Roman"/>
                <w:color w:val="000000"/>
                <w:sz w:val="14"/>
                <w:szCs w:val="14"/>
              </w:rPr>
            </w:pPr>
            <w:r w:rsidRPr="00727DFA">
              <w:rPr>
                <w:rFonts w:ascii="Times New Roman" w:hAnsi="Times New Roman" w:cs="Times New Roman"/>
                <w:color w:val="000000"/>
                <w:sz w:val="14"/>
                <w:szCs w:val="14"/>
              </w:rPr>
              <w:t>42 902 556</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41 487 583</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41 494 158</w:t>
            </w:r>
          </w:p>
        </w:tc>
        <w:tc>
          <w:tcPr>
            <w:tcW w:w="522"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41 496 231</w:t>
            </w:r>
          </w:p>
        </w:tc>
      </w:tr>
      <w:tr>
        <w:tblPrEx>
          <w:tblW w:w="5000" w:type="pct"/>
          <w:tblCellMar>
            <w:left w:w="70" w:type="dxa"/>
            <w:right w:w="70" w:type="dxa"/>
          </w:tblCellMar>
          <w:tblLook w:val="04A0"/>
        </w:tblPrEx>
        <w:trPr>
          <w:trHeight w:val="259"/>
        </w:trPr>
        <w:tc>
          <w:tcPr>
            <w:tcW w:w="1368"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sz w:val="14"/>
                <w:szCs w:val="14"/>
              </w:rPr>
            </w:pPr>
            <w:r w:rsidRPr="00E167C4">
              <w:rPr>
                <w:rFonts w:ascii="Times New Roman" w:hAnsi="Times New Roman" w:cs="Times New Roman"/>
                <w:sz w:val="14"/>
                <w:szCs w:val="14"/>
              </w:rPr>
              <w:t xml:space="preserve">                               610 mzdy</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20 342 540</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21 021 828</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19 109 212</w:t>
            </w:r>
          </w:p>
        </w:tc>
        <w:tc>
          <w:tcPr>
            <w:tcW w:w="518" w:type="pct"/>
            <w:tcBorders>
              <w:top w:val="nil"/>
              <w:left w:val="nil"/>
              <w:bottom w:val="single" w:sz="4" w:space="0" w:color="auto"/>
              <w:right w:val="single" w:sz="4" w:space="0" w:color="auto"/>
            </w:tcBorders>
            <w:noWrap/>
            <w:textDirection w:val="lrTb"/>
            <w:vAlign w:val="bottom"/>
            <w:hideMark/>
          </w:tcPr>
          <w:p w:rsidR="00CB350B" w:rsidRPr="00727DFA" w:rsidP="00257E12">
            <w:pPr>
              <w:bidi w:val="0"/>
              <w:jc w:val="right"/>
              <w:rPr>
                <w:rFonts w:ascii="Times New Roman" w:hAnsi="Times New Roman" w:cs="Times New Roman"/>
                <w:color w:val="000000"/>
                <w:sz w:val="14"/>
                <w:szCs w:val="14"/>
              </w:rPr>
            </w:pPr>
            <w:r w:rsidRPr="00727DFA">
              <w:rPr>
                <w:rFonts w:ascii="Times New Roman" w:hAnsi="Times New Roman" w:cs="Times New Roman"/>
                <w:color w:val="000000"/>
                <w:sz w:val="14"/>
                <w:szCs w:val="14"/>
              </w:rPr>
              <w:t>19 109 212</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19 111 982</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19 116 854</w:t>
            </w:r>
          </w:p>
        </w:tc>
        <w:tc>
          <w:tcPr>
            <w:tcW w:w="522"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19 118 390</w:t>
            </w:r>
          </w:p>
        </w:tc>
      </w:tr>
      <w:tr>
        <w:tblPrEx>
          <w:tblW w:w="5000" w:type="pct"/>
          <w:tblCellMar>
            <w:left w:w="70" w:type="dxa"/>
            <w:right w:w="70" w:type="dxa"/>
          </w:tblCellMar>
          <w:tblLook w:val="04A0"/>
        </w:tblPrEx>
        <w:trPr>
          <w:trHeight w:val="259"/>
        </w:trPr>
        <w:tc>
          <w:tcPr>
            <w:tcW w:w="1368"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sz w:val="14"/>
                <w:szCs w:val="14"/>
              </w:rPr>
            </w:pPr>
            <w:r w:rsidRPr="00E167C4">
              <w:rPr>
                <w:rFonts w:ascii="Times New Roman" w:hAnsi="Times New Roman" w:cs="Times New Roman"/>
                <w:sz w:val="14"/>
                <w:szCs w:val="14"/>
              </w:rPr>
              <w:t xml:space="preserve">                               620 odvody</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6 996 266</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7 241 439</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6 678 628</w:t>
            </w:r>
          </w:p>
        </w:tc>
        <w:tc>
          <w:tcPr>
            <w:tcW w:w="518" w:type="pct"/>
            <w:tcBorders>
              <w:top w:val="nil"/>
              <w:left w:val="nil"/>
              <w:bottom w:val="single" w:sz="4" w:space="0" w:color="auto"/>
              <w:right w:val="single" w:sz="4" w:space="0" w:color="auto"/>
            </w:tcBorders>
            <w:noWrap/>
            <w:textDirection w:val="lrTb"/>
            <w:vAlign w:val="bottom"/>
            <w:hideMark/>
          </w:tcPr>
          <w:p w:rsidR="00CB350B" w:rsidRPr="00727DFA" w:rsidP="00257E12">
            <w:pPr>
              <w:bidi w:val="0"/>
              <w:jc w:val="right"/>
              <w:rPr>
                <w:rFonts w:ascii="Times New Roman" w:hAnsi="Times New Roman" w:cs="Times New Roman"/>
                <w:color w:val="000000"/>
                <w:sz w:val="14"/>
                <w:szCs w:val="14"/>
              </w:rPr>
            </w:pPr>
            <w:r w:rsidRPr="00727DFA">
              <w:rPr>
                <w:rFonts w:ascii="Times New Roman" w:hAnsi="Times New Roman" w:cs="Times New Roman"/>
                <w:color w:val="000000"/>
                <w:sz w:val="14"/>
                <w:szCs w:val="14"/>
              </w:rPr>
              <w:t>6 678 628</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6 679 121</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6 680 824</w:t>
            </w:r>
          </w:p>
        </w:tc>
        <w:tc>
          <w:tcPr>
            <w:tcW w:w="522"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6 681 361</w:t>
            </w:r>
          </w:p>
        </w:tc>
      </w:tr>
      <w:tr>
        <w:tblPrEx>
          <w:tblW w:w="5000" w:type="pct"/>
          <w:tblCellMar>
            <w:left w:w="70" w:type="dxa"/>
            <w:right w:w="70" w:type="dxa"/>
          </w:tblCellMar>
          <w:tblLook w:val="04A0"/>
        </w:tblPrEx>
        <w:trPr>
          <w:trHeight w:val="259"/>
        </w:trPr>
        <w:tc>
          <w:tcPr>
            <w:tcW w:w="1368"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sz w:val="14"/>
                <w:szCs w:val="14"/>
              </w:rPr>
            </w:pPr>
            <w:r w:rsidRPr="00E167C4">
              <w:rPr>
                <w:rFonts w:ascii="Times New Roman" w:hAnsi="Times New Roman" w:cs="Times New Roman"/>
                <w:sz w:val="14"/>
                <w:szCs w:val="14"/>
              </w:rPr>
              <w:t xml:space="preserve">                               630 tovary a služby</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10 951 028</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22 482 682</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8 664 716</w:t>
            </w:r>
          </w:p>
        </w:tc>
        <w:tc>
          <w:tcPr>
            <w:tcW w:w="518" w:type="pct"/>
            <w:tcBorders>
              <w:top w:val="nil"/>
              <w:left w:val="nil"/>
              <w:bottom w:val="single" w:sz="4" w:space="0" w:color="auto"/>
              <w:right w:val="single" w:sz="4" w:space="0" w:color="auto"/>
            </w:tcBorders>
            <w:noWrap/>
            <w:textDirection w:val="lrTb"/>
            <w:vAlign w:val="bottom"/>
            <w:hideMark/>
          </w:tcPr>
          <w:p w:rsidR="00CB350B" w:rsidRPr="00727DFA" w:rsidP="00257E12">
            <w:pPr>
              <w:bidi w:val="0"/>
              <w:jc w:val="right"/>
              <w:rPr>
                <w:rFonts w:ascii="Times New Roman" w:hAnsi="Times New Roman" w:cs="Times New Roman"/>
                <w:color w:val="000000"/>
                <w:sz w:val="14"/>
                <w:szCs w:val="14"/>
              </w:rPr>
            </w:pPr>
            <w:r w:rsidRPr="00727DFA">
              <w:rPr>
                <w:rFonts w:ascii="Times New Roman" w:hAnsi="Times New Roman" w:cs="Times New Roman"/>
                <w:color w:val="000000"/>
                <w:sz w:val="14"/>
                <w:szCs w:val="14"/>
              </w:rPr>
              <w:t>16 576 842</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15 061 480</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15 061 480</w:t>
            </w:r>
          </w:p>
        </w:tc>
        <w:tc>
          <w:tcPr>
            <w:tcW w:w="522"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15 061 480</w:t>
            </w:r>
          </w:p>
        </w:tc>
      </w:tr>
      <w:tr>
        <w:tblPrEx>
          <w:tblW w:w="5000" w:type="pct"/>
          <w:tblCellMar>
            <w:left w:w="70" w:type="dxa"/>
            <w:right w:w="70" w:type="dxa"/>
          </w:tblCellMar>
          <w:tblLook w:val="04A0"/>
        </w:tblPrEx>
        <w:trPr>
          <w:trHeight w:val="259"/>
        </w:trPr>
        <w:tc>
          <w:tcPr>
            <w:tcW w:w="1368"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sz w:val="14"/>
                <w:szCs w:val="14"/>
              </w:rPr>
            </w:pPr>
            <w:r w:rsidRPr="00E167C4">
              <w:rPr>
                <w:rFonts w:ascii="Times New Roman" w:hAnsi="Times New Roman" w:cs="Times New Roman"/>
                <w:sz w:val="14"/>
                <w:szCs w:val="14"/>
              </w:rPr>
              <w:t xml:space="preserve">                               640 bežné transfery</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521 342</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955 010</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450 000</w:t>
            </w:r>
          </w:p>
        </w:tc>
        <w:tc>
          <w:tcPr>
            <w:tcW w:w="518" w:type="pct"/>
            <w:tcBorders>
              <w:top w:val="nil"/>
              <w:left w:val="nil"/>
              <w:bottom w:val="single" w:sz="4" w:space="0" w:color="auto"/>
              <w:right w:val="single" w:sz="4" w:space="0" w:color="auto"/>
            </w:tcBorders>
            <w:noWrap/>
            <w:textDirection w:val="lrTb"/>
            <w:vAlign w:val="bottom"/>
            <w:hideMark/>
          </w:tcPr>
          <w:p w:rsidR="00CB350B" w:rsidRPr="00727DFA" w:rsidP="00257E12">
            <w:pPr>
              <w:bidi w:val="0"/>
              <w:jc w:val="right"/>
              <w:rPr>
                <w:rFonts w:ascii="Times New Roman" w:hAnsi="Times New Roman" w:cs="Times New Roman"/>
                <w:color w:val="000000"/>
                <w:sz w:val="14"/>
                <w:szCs w:val="14"/>
              </w:rPr>
            </w:pPr>
            <w:r w:rsidRPr="00727DFA">
              <w:rPr>
                <w:rFonts w:ascii="Times New Roman" w:hAnsi="Times New Roman" w:cs="Times New Roman"/>
                <w:color w:val="000000"/>
                <w:sz w:val="14"/>
                <w:szCs w:val="14"/>
              </w:rPr>
              <w:t>537 874</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635 000</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635 000</w:t>
            </w:r>
          </w:p>
        </w:tc>
        <w:tc>
          <w:tcPr>
            <w:tcW w:w="522"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635 000</w:t>
            </w:r>
          </w:p>
        </w:tc>
      </w:tr>
      <w:tr>
        <w:tblPrEx>
          <w:tblW w:w="5000" w:type="pct"/>
          <w:tblCellMar>
            <w:left w:w="70" w:type="dxa"/>
            <w:right w:w="70" w:type="dxa"/>
          </w:tblCellMar>
          <w:tblLook w:val="04A0"/>
        </w:tblPrEx>
        <w:trPr>
          <w:trHeight w:val="259"/>
        </w:trPr>
        <w:tc>
          <w:tcPr>
            <w:tcW w:w="1368"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sz w:val="14"/>
                <w:szCs w:val="14"/>
              </w:rPr>
            </w:pPr>
            <w:r w:rsidRPr="00E167C4">
              <w:rPr>
                <w:rFonts w:ascii="Times New Roman" w:hAnsi="Times New Roman" w:cs="Times New Roman"/>
                <w:sz w:val="14"/>
                <w:szCs w:val="14"/>
              </w:rPr>
              <w:t xml:space="preserve">                   kapitálové výdavky 700</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14 065 540</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1 203 505</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697 072</w:t>
            </w:r>
          </w:p>
        </w:tc>
        <w:tc>
          <w:tcPr>
            <w:tcW w:w="518" w:type="pct"/>
            <w:tcBorders>
              <w:top w:val="nil"/>
              <w:left w:val="nil"/>
              <w:bottom w:val="single" w:sz="4" w:space="0" w:color="auto"/>
              <w:right w:val="single" w:sz="4" w:space="0" w:color="auto"/>
            </w:tcBorders>
            <w:noWrap/>
            <w:textDirection w:val="lrTb"/>
            <w:vAlign w:val="bottom"/>
            <w:hideMark/>
          </w:tcPr>
          <w:p w:rsidR="00CB350B" w:rsidRPr="00727DFA" w:rsidP="00257E12">
            <w:pPr>
              <w:bidi w:val="0"/>
              <w:jc w:val="right"/>
              <w:rPr>
                <w:rFonts w:ascii="Times New Roman" w:hAnsi="Times New Roman" w:cs="Times New Roman"/>
                <w:color w:val="000000"/>
                <w:sz w:val="14"/>
                <w:szCs w:val="14"/>
              </w:rPr>
            </w:pPr>
            <w:r w:rsidRPr="00727DFA">
              <w:rPr>
                <w:rFonts w:ascii="Times New Roman" w:hAnsi="Times New Roman" w:cs="Times New Roman"/>
                <w:color w:val="000000"/>
                <w:sz w:val="14"/>
                <w:szCs w:val="14"/>
              </w:rPr>
              <w:t>697 072</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1 682 072</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1 682 072</w:t>
            </w:r>
          </w:p>
        </w:tc>
        <w:tc>
          <w:tcPr>
            <w:tcW w:w="522"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1 682 072</w:t>
            </w:r>
          </w:p>
        </w:tc>
      </w:tr>
      <w:tr>
        <w:tblPrEx>
          <w:tblW w:w="5000" w:type="pct"/>
          <w:tblCellMar>
            <w:left w:w="70" w:type="dxa"/>
            <w:right w:w="70" w:type="dxa"/>
          </w:tblCellMar>
          <w:tblLook w:val="04A0"/>
        </w:tblPrEx>
        <w:trPr>
          <w:trHeight w:val="259"/>
        </w:trPr>
        <w:tc>
          <w:tcPr>
            <w:tcW w:w="1368"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sz w:val="14"/>
                <w:szCs w:val="14"/>
              </w:rPr>
            </w:pPr>
            <w:r w:rsidRPr="00E167C4">
              <w:rPr>
                <w:rFonts w:ascii="Times New Roman" w:hAnsi="Times New Roman" w:cs="Times New Roman"/>
                <w:sz w:val="14"/>
                <w:szCs w:val="14"/>
              </w:rPr>
              <w:t xml:space="preserve">zdroje EÚ vrátane spolufinancovania: </w:t>
            </w:r>
          </w:p>
        </w:tc>
        <w:tc>
          <w:tcPr>
            <w:tcW w:w="518" w:type="pct"/>
            <w:tcBorders>
              <w:top w:val="single" w:sz="4" w:space="0" w:color="auto"/>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3 218 996</w:t>
            </w:r>
          </w:p>
        </w:tc>
        <w:tc>
          <w:tcPr>
            <w:tcW w:w="518" w:type="pct"/>
            <w:tcBorders>
              <w:top w:val="single" w:sz="4" w:space="0" w:color="auto"/>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0</w:t>
            </w:r>
          </w:p>
        </w:tc>
        <w:tc>
          <w:tcPr>
            <w:tcW w:w="519" w:type="pct"/>
            <w:tcBorders>
              <w:top w:val="single" w:sz="4" w:space="0" w:color="auto"/>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0</w:t>
            </w:r>
          </w:p>
        </w:tc>
        <w:tc>
          <w:tcPr>
            <w:tcW w:w="518" w:type="pct"/>
            <w:tcBorders>
              <w:top w:val="single" w:sz="4" w:space="0" w:color="auto"/>
              <w:left w:val="nil"/>
              <w:bottom w:val="single" w:sz="4" w:space="0" w:color="auto"/>
              <w:right w:val="single" w:sz="4" w:space="0" w:color="auto"/>
            </w:tcBorders>
            <w:textDirection w:val="lrTb"/>
            <w:vAlign w:val="bottom"/>
            <w:hideMark/>
          </w:tcPr>
          <w:p w:rsidR="00CB350B" w:rsidRPr="00727DFA" w:rsidP="00257E12">
            <w:pPr>
              <w:bidi w:val="0"/>
              <w:jc w:val="right"/>
              <w:rPr>
                <w:rFonts w:ascii="Times New Roman" w:hAnsi="Times New Roman" w:cs="Times New Roman"/>
                <w:color w:val="000000"/>
                <w:sz w:val="14"/>
                <w:szCs w:val="14"/>
              </w:rPr>
            </w:pPr>
            <w:r w:rsidRPr="00727DFA">
              <w:rPr>
                <w:rFonts w:ascii="Times New Roman" w:hAnsi="Times New Roman" w:cs="Times New Roman"/>
                <w:color w:val="000000"/>
                <w:sz w:val="14"/>
                <w:szCs w:val="14"/>
              </w:rPr>
              <w:t>5 635 600</w:t>
            </w:r>
          </w:p>
        </w:tc>
        <w:tc>
          <w:tcPr>
            <w:tcW w:w="519" w:type="pct"/>
            <w:tcBorders>
              <w:top w:val="single" w:sz="4" w:space="0" w:color="auto"/>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0</w:t>
            </w:r>
          </w:p>
        </w:tc>
        <w:tc>
          <w:tcPr>
            <w:tcW w:w="518" w:type="pct"/>
            <w:tcBorders>
              <w:top w:val="single" w:sz="4" w:space="0" w:color="auto"/>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0</w:t>
            </w:r>
          </w:p>
        </w:tc>
        <w:tc>
          <w:tcPr>
            <w:tcW w:w="522" w:type="pct"/>
            <w:tcBorders>
              <w:top w:val="single" w:sz="4" w:space="0" w:color="auto"/>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0</w:t>
            </w:r>
          </w:p>
        </w:tc>
      </w:tr>
      <w:tr>
        <w:tblPrEx>
          <w:tblW w:w="5000" w:type="pct"/>
          <w:tblCellMar>
            <w:left w:w="70" w:type="dxa"/>
            <w:right w:w="70" w:type="dxa"/>
          </w:tblCellMar>
          <w:tblLook w:val="04A0"/>
        </w:tblPrEx>
        <w:trPr>
          <w:trHeight w:val="259"/>
        </w:trPr>
        <w:tc>
          <w:tcPr>
            <w:tcW w:w="1368" w:type="pct"/>
            <w:tcBorders>
              <w:top w:val="single" w:sz="4" w:space="0" w:color="auto"/>
              <w:left w:val="single" w:sz="4" w:space="0" w:color="auto"/>
              <w:bottom w:val="single" w:sz="4" w:space="0" w:color="auto"/>
              <w:right w:val="nil"/>
            </w:tcBorders>
            <w:noWrap/>
            <w:textDirection w:val="lrTb"/>
            <w:vAlign w:val="bottom"/>
            <w:hideMark/>
          </w:tcPr>
          <w:p w:rsidR="00CB350B" w:rsidRPr="00E167C4" w:rsidP="00257E12">
            <w:pPr>
              <w:bidi w:val="0"/>
              <w:rPr>
                <w:rFonts w:ascii="Times New Roman" w:hAnsi="Times New Roman" w:cs="Times New Roman"/>
                <w:color w:val="000000"/>
                <w:sz w:val="14"/>
                <w:szCs w:val="14"/>
              </w:rPr>
            </w:pPr>
            <w:r w:rsidRPr="00E167C4">
              <w:rPr>
                <w:rFonts w:ascii="Times New Roman" w:hAnsi="Times New Roman" w:cs="Times New Roman"/>
                <w:color w:val="000000"/>
                <w:sz w:val="14"/>
                <w:szCs w:val="14"/>
              </w:rPr>
              <w:t>presun z minulých rokov</w:t>
            </w:r>
          </w:p>
        </w:tc>
        <w:tc>
          <w:tcPr>
            <w:tcW w:w="518"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414 182</w:t>
            </w:r>
          </w:p>
        </w:tc>
        <w:tc>
          <w:tcPr>
            <w:tcW w:w="518" w:type="pct"/>
            <w:tcBorders>
              <w:top w:val="single" w:sz="4" w:space="0" w:color="auto"/>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11 557 767</w:t>
            </w:r>
          </w:p>
        </w:tc>
        <w:tc>
          <w:tcPr>
            <w:tcW w:w="519" w:type="pct"/>
            <w:tcBorders>
              <w:top w:val="single" w:sz="4" w:space="0" w:color="auto"/>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0</w:t>
            </w:r>
          </w:p>
        </w:tc>
        <w:tc>
          <w:tcPr>
            <w:tcW w:w="518" w:type="pct"/>
            <w:tcBorders>
              <w:top w:val="single" w:sz="4" w:space="0" w:color="auto"/>
              <w:left w:val="nil"/>
              <w:bottom w:val="single" w:sz="4" w:space="0" w:color="auto"/>
              <w:right w:val="single" w:sz="4" w:space="0" w:color="auto"/>
            </w:tcBorders>
            <w:noWrap/>
            <w:textDirection w:val="lrTb"/>
            <w:vAlign w:val="bottom"/>
            <w:hideMark/>
          </w:tcPr>
          <w:p w:rsidR="00CB350B" w:rsidRPr="00727DFA" w:rsidP="00257E12">
            <w:pPr>
              <w:bidi w:val="0"/>
              <w:jc w:val="right"/>
              <w:rPr>
                <w:rFonts w:ascii="Times New Roman" w:hAnsi="Times New Roman" w:cs="Times New Roman"/>
                <w:color w:val="000000"/>
                <w:sz w:val="14"/>
                <w:szCs w:val="14"/>
              </w:rPr>
            </w:pPr>
            <w:r w:rsidRPr="00727DFA">
              <w:rPr>
                <w:rFonts w:ascii="Times New Roman" w:hAnsi="Times New Roman" w:cs="Times New Roman"/>
                <w:color w:val="000000"/>
                <w:sz w:val="14"/>
                <w:szCs w:val="14"/>
              </w:rPr>
              <w:t>186 311</w:t>
            </w:r>
          </w:p>
        </w:tc>
        <w:tc>
          <w:tcPr>
            <w:tcW w:w="519" w:type="pct"/>
            <w:tcBorders>
              <w:top w:val="single" w:sz="4" w:space="0" w:color="auto"/>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0</w:t>
            </w:r>
          </w:p>
        </w:tc>
        <w:tc>
          <w:tcPr>
            <w:tcW w:w="518" w:type="pct"/>
            <w:tcBorders>
              <w:top w:val="single" w:sz="4" w:space="0" w:color="auto"/>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0</w:t>
            </w:r>
          </w:p>
        </w:tc>
        <w:tc>
          <w:tcPr>
            <w:tcW w:w="522" w:type="pct"/>
            <w:tcBorders>
              <w:top w:val="single" w:sz="4" w:space="0" w:color="auto"/>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0</w:t>
            </w:r>
          </w:p>
        </w:tc>
      </w:tr>
      <w:tr>
        <w:tblPrEx>
          <w:tblW w:w="5000" w:type="pct"/>
          <w:tblCellMar>
            <w:left w:w="70" w:type="dxa"/>
            <w:right w:w="70" w:type="dxa"/>
          </w:tblCellMar>
          <w:tblLook w:val="04A0"/>
        </w:tblPrEx>
        <w:trPr>
          <w:trHeight w:val="259"/>
        </w:trPr>
        <w:tc>
          <w:tcPr>
            <w:tcW w:w="1368"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sz w:val="14"/>
                <w:szCs w:val="14"/>
              </w:rPr>
            </w:pPr>
            <w:r w:rsidRPr="00E167C4">
              <w:rPr>
                <w:rFonts w:ascii="Times New Roman" w:hAnsi="Times New Roman" w:cs="Times New Roman"/>
                <w:sz w:val="14"/>
                <w:szCs w:val="14"/>
              </w:rPr>
              <w:t>iné zdroje</w:t>
            </w:r>
          </w:p>
        </w:tc>
        <w:tc>
          <w:tcPr>
            <w:tcW w:w="518" w:type="pct"/>
            <w:tcBorders>
              <w:top w:val="single" w:sz="4" w:space="0" w:color="auto"/>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4 775 571</w:t>
            </w:r>
          </w:p>
        </w:tc>
        <w:tc>
          <w:tcPr>
            <w:tcW w:w="518" w:type="pct"/>
            <w:tcBorders>
              <w:top w:val="single" w:sz="4" w:space="0" w:color="auto"/>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5 259 731</w:t>
            </w:r>
          </w:p>
        </w:tc>
        <w:tc>
          <w:tcPr>
            <w:tcW w:w="519" w:type="pct"/>
            <w:tcBorders>
              <w:top w:val="single" w:sz="4" w:space="0" w:color="auto"/>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0</w:t>
            </w:r>
          </w:p>
        </w:tc>
        <w:tc>
          <w:tcPr>
            <w:tcW w:w="518" w:type="pct"/>
            <w:tcBorders>
              <w:top w:val="single" w:sz="4" w:space="0" w:color="auto"/>
              <w:left w:val="nil"/>
              <w:bottom w:val="single" w:sz="4" w:space="0" w:color="auto"/>
              <w:right w:val="single" w:sz="4" w:space="0" w:color="auto"/>
            </w:tcBorders>
            <w:noWrap/>
            <w:textDirection w:val="lrTb"/>
            <w:vAlign w:val="bottom"/>
            <w:hideMark/>
          </w:tcPr>
          <w:p w:rsidR="00CB350B" w:rsidRPr="00727DFA" w:rsidP="00257E12">
            <w:pPr>
              <w:bidi w:val="0"/>
              <w:jc w:val="right"/>
              <w:rPr>
                <w:rFonts w:ascii="Times New Roman" w:hAnsi="Times New Roman" w:cs="Times New Roman"/>
                <w:color w:val="000000"/>
                <w:sz w:val="14"/>
                <w:szCs w:val="14"/>
              </w:rPr>
            </w:pPr>
            <w:r w:rsidRPr="00727DFA">
              <w:rPr>
                <w:rFonts w:ascii="Times New Roman" w:hAnsi="Times New Roman" w:cs="Times New Roman"/>
                <w:color w:val="000000"/>
                <w:sz w:val="14"/>
                <w:szCs w:val="14"/>
              </w:rPr>
              <w:t>1 609 185</w:t>
            </w:r>
          </w:p>
        </w:tc>
        <w:tc>
          <w:tcPr>
            <w:tcW w:w="519" w:type="pct"/>
            <w:tcBorders>
              <w:top w:val="single" w:sz="4" w:space="0" w:color="auto"/>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0</w:t>
            </w:r>
          </w:p>
        </w:tc>
        <w:tc>
          <w:tcPr>
            <w:tcW w:w="518" w:type="pct"/>
            <w:tcBorders>
              <w:top w:val="single" w:sz="4" w:space="0" w:color="auto"/>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0</w:t>
            </w:r>
          </w:p>
        </w:tc>
        <w:tc>
          <w:tcPr>
            <w:tcW w:w="522" w:type="pct"/>
            <w:tcBorders>
              <w:top w:val="single" w:sz="4" w:space="0" w:color="auto"/>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0</w:t>
            </w:r>
          </w:p>
        </w:tc>
      </w:tr>
    </w:tbl>
    <w:p w:rsidR="00CB350B" w:rsidRPr="008B51FE" w:rsidP="00CB350B">
      <w:pPr>
        <w:bidi w:val="0"/>
        <w:jc w:val="both"/>
        <w:rPr>
          <w:rFonts w:ascii="Times New Roman" w:hAnsi="Times New Roman" w:cs="Times New Roman"/>
        </w:rPr>
      </w:pPr>
    </w:p>
    <w:p w:rsidR="00CB350B" w:rsidRPr="008B51FE" w:rsidP="00CB350B">
      <w:pPr>
        <w:bidi w:val="0"/>
        <w:ind w:firstLine="708"/>
        <w:jc w:val="both"/>
        <w:rPr>
          <w:rFonts w:ascii="Times New Roman" w:hAnsi="Times New Roman" w:cs="Times New Roman"/>
        </w:rPr>
      </w:pPr>
      <w:r w:rsidRPr="008B51FE">
        <w:rPr>
          <w:rFonts w:ascii="Times New Roman" w:hAnsi="Times New Roman" w:cs="Times New Roman"/>
        </w:rPr>
        <w:t>Výdavky ÚGKK SR sa v návrhu rozpočtu na rok 2012 navrhujú vo výške 43,2</w:t>
      </w:r>
      <w:r>
        <w:rPr>
          <w:rFonts w:ascii="Times New Roman" w:hAnsi="Times New Roman" w:cs="Times New Roman"/>
        </w:rPr>
        <w:t> </w:t>
      </w:r>
      <w:r w:rsidRPr="008B51FE">
        <w:rPr>
          <w:rFonts w:ascii="Times New Roman" w:hAnsi="Times New Roman" w:cs="Times New Roman"/>
        </w:rPr>
        <w:t>mil.</w:t>
      </w:r>
      <w:r>
        <w:rPr>
          <w:rFonts w:ascii="Times New Roman" w:hAnsi="Times New Roman" w:cs="Times New Roman"/>
        </w:rPr>
        <w:t> </w:t>
      </w:r>
      <w:r w:rsidRPr="008B51FE">
        <w:rPr>
          <w:rFonts w:ascii="Times New Roman" w:hAnsi="Times New Roman" w:cs="Times New Roman"/>
        </w:rPr>
        <w:t>eur, čo v dôsledku nevyhnutného zabezpečenia prostriedkov na realizáciu základných činností katastra predstavuje nárast oproti schválenému rozpočtu roku 2011 o 21,3</w:t>
      </w:r>
      <w:r>
        <w:rPr>
          <w:rFonts w:ascii="Times New Roman" w:hAnsi="Times New Roman" w:cs="Times New Roman"/>
        </w:rPr>
        <w:t> </w:t>
      </w:r>
      <w:r w:rsidRPr="008B51FE">
        <w:rPr>
          <w:rFonts w:ascii="Times New Roman" w:hAnsi="Times New Roman" w:cs="Times New Roman"/>
        </w:rPr>
        <w:t>%, v porovnaní so skutočným čerpaním výdavkov v roku 2010 rozpočet kapitoly klesá o 38,1 %.</w:t>
      </w:r>
    </w:p>
    <w:p w:rsidR="00CB350B" w:rsidRPr="008B51FE" w:rsidP="00CB350B">
      <w:pPr>
        <w:bidi w:val="0"/>
        <w:jc w:val="both"/>
        <w:rPr>
          <w:rFonts w:ascii="Times New Roman" w:hAnsi="Times New Roman" w:cs="Times New Roman"/>
        </w:rPr>
      </w:pPr>
    </w:p>
    <w:p w:rsidR="00CB350B" w:rsidRPr="008B51FE" w:rsidP="00CB350B">
      <w:pPr>
        <w:bidi w:val="0"/>
        <w:ind w:firstLine="708"/>
        <w:jc w:val="both"/>
        <w:rPr>
          <w:rFonts w:ascii="Times New Roman" w:hAnsi="Times New Roman" w:cs="Times New Roman"/>
        </w:rPr>
      </w:pPr>
      <w:r w:rsidRPr="008B51FE">
        <w:rPr>
          <w:rFonts w:ascii="Times New Roman" w:hAnsi="Times New Roman" w:cs="Times New Roman"/>
        </w:rPr>
        <w:t>Osobné výdavky sa na rok 2012 rozpočtujú v sume 25,8 mil. eur, čo je na takmer rovnakej úrovni ako v schválenom rozpočte roku 2011</w:t>
      </w:r>
      <w:r>
        <w:rPr>
          <w:rFonts w:ascii="Times New Roman" w:hAnsi="Times New Roman" w:cs="Times New Roman"/>
        </w:rPr>
        <w:t>.</w:t>
      </w:r>
      <w:r w:rsidRPr="008B51FE">
        <w:rPr>
          <w:rFonts w:ascii="Times New Roman" w:hAnsi="Times New Roman" w:cs="Times New Roman"/>
        </w:rPr>
        <w:t xml:space="preserve"> </w:t>
      </w:r>
      <w:r>
        <w:rPr>
          <w:rFonts w:ascii="Times New Roman" w:hAnsi="Times New Roman" w:cs="Times New Roman"/>
        </w:rPr>
        <w:t>Z</w:t>
      </w:r>
      <w:r w:rsidRPr="008B51FE">
        <w:rPr>
          <w:rFonts w:ascii="Times New Roman" w:hAnsi="Times New Roman" w:cs="Times New Roman"/>
        </w:rPr>
        <w:t xml:space="preserve">menou v rozpočte osobných výdavkov v roku 2012 je </w:t>
      </w:r>
      <w:r>
        <w:rPr>
          <w:rFonts w:ascii="Times New Roman" w:hAnsi="Times New Roman" w:cs="Times New Roman"/>
        </w:rPr>
        <w:t xml:space="preserve">len </w:t>
      </w:r>
      <w:r w:rsidRPr="008B51FE">
        <w:rPr>
          <w:rFonts w:ascii="Times New Roman" w:hAnsi="Times New Roman" w:cs="Times New Roman"/>
        </w:rPr>
        <w:t>ich zvýšenie súvisiace so zákonom č. 120/1993 Z. z. Nárast osobných výdavkov ústavných činiteľov a štátnych zamestnancov vo verejných funkciách v roku 2012 zohľadňuje v kapitole štátneho rozpočtu dopočet platových náležitostí reálne vyplácaných v roku 2011 v zmysle zákona.</w:t>
      </w:r>
    </w:p>
    <w:p w:rsidR="00CB350B" w:rsidRPr="008B51FE" w:rsidP="00CB350B">
      <w:pPr>
        <w:bidi w:val="0"/>
        <w:jc w:val="both"/>
        <w:rPr>
          <w:rFonts w:ascii="Times New Roman" w:hAnsi="Times New Roman" w:cs="Times New Roman"/>
        </w:rPr>
      </w:pPr>
    </w:p>
    <w:p w:rsidR="00CB350B" w:rsidRPr="008B51FE" w:rsidP="00CB350B">
      <w:pPr>
        <w:bidi w:val="0"/>
        <w:ind w:firstLine="708"/>
        <w:jc w:val="both"/>
        <w:rPr>
          <w:rFonts w:ascii="Times New Roman" w:hAnsi="Times New Roman" w:cs="Times New Roman"/>
        </w:rPr>
      </w:pPr>
      <w:r w:rsidRPr="008B51FE">
        <w:rPr>
          <w:rFonts w:ascii="Times New Roman" w:hAnsi="Times New Roman" w:cs="Times New Roman"/>
        </w:rPr>
        <w:t xml:space="preserve">Výdavky na tovary a služby sú rozpočtované v sume 15,1 mil. eur, čo v porovnaní so schváleným rozpočtom roku 2011 predstavuje nárast o 73,8 %. Uvedenú zmenu ovplyvnilo </w:t>
      </w:r>
      <w:r>
        <w:rPr>
          <w:rFonts w:ascii="Times New Roman" w:hAnsi="Times New Roman" w:cs="Times New Roman"/>
        </w:rPr>
        <w:t xml:space="preserve">premietnutie </w:t>
      </w:r>
      <w:r w:rsidRPr="008B51FE">
        <w:rPr>
          <w:rFonts w:ascii="Times New Roman" w:hAnsi="Times New Roman" w:cs="Times New Roman"/>
        </w:rPr>
        <w:t>nevyhnutn</w:t>
      </w:r>
      <w:r>
        <w:rPr>
          <w:rFonts w:ascii="Times New Roman" w:hAnsi="Times New Roman" w:cs="Times New Roman"/>
        </w:rPr>
        <w:t>ých</w:t>
      </w:r>
      <w:r w:rsidRPr="008B51FE">
        <w:rPr>
          <w:rFonts w:ascii="Times New Roman" w:hAnsi="Times New Roman" w:cs="Times New Roman"/>
        </w:rPr>
        <w:t xml:space="preserve"> výdavkov na prevádzku katastrálnych úradov a správ katastra.</w:t>
      </w:r>
    </w:p>
    <w:p w:rsidR="00CB350B" w:rsidRPr="008B51FE" w:rsidP="00CB350B">
      <w:pPr>
        <w:bidi w:val="0"/>
        <w:jc w:val="both"/>
        <w:rPr>
          <w:rFonts w:ascii="Times New Roman" w:hAnsi="Times New Roman" w:cs="Times New Roman"/>
        </w:rPr>
      </w:pPr>
    </w:p>
    <w:p w:rsidR="00CB350B" w:rsidRPr="008B51FE" w:rsidP="00CB350B">
      <w:pPr>
        <w:bidi w:val="0"/>
        <w:ind w:firstLine="708"/>
        <w:jc w:val="both"/>
        <w:rPr>
          <w:rFonts w:ascii="Times New Roman" w:hAnsi="Times New Roman" w:cs="Times New Roman"/>
        </w:rPr>
      </w:pPr>
      <w:r w:rsidRPr="008B51FE">
        <w:rPr>
          <w:rFonts w:ascii="Times New Roman" w:hAnsi="Times New Roman" w:cs="Times New Roman"/>
        </w:rPr>
        <w:t>Výdavky na bežné transfery sú rozpočtované v sume 635 tis. eur,  čo v porovnaní so schváleným rozpočtom roku 2011 predstavuje nárast o 41,1 %. Uvedený nárast je spôsobený zabezpečením prostriedkov na odchodné a odstupné v sume 185 tis. eur.</w:t>
      </w:r>
    </w:p>
    <w:p w:rsidR="00CB350B" w:rsidRPr="008B51FE" w:rsidP="00CB350B">
      <w:pPr>
        <w:bidi w:val="0"/>
        <w:jc w:val="both"/>
        <w:rPr>
          <w:rFonts w:ascii="Times New Roman" w:hAnsi="Times New Roman" w:cs="Times New Roman"/>
        </w:rPr>
      </w:pPr>
    </w:p>
    <w:p w:rsidR="00CB350B" w:rsidRPr="008B51FE" w:rsidP="00CB350B">
      <w:pPr>
        <w:bidi w:val="0"/>
        <w:ind w:firstLine="708"/>
        <w:jc w:val="both"/>
        <w:rPr>
          <w:rFonts w:ascii="Times New Roman" w:hAnsi="Times New Roman" w:cs="Times New Roman"/>
        </w:rPr>
      </w:pPr>
      <w:r w:rsidRPr="008B51FE">
        <w:rPr>
          <w:rFonts w:ascii="Times New Roman" w:hAnsi="Times New Roman" w:cs="Times New Roman"/>
        </w:rPr>
        <w:t>Kapitálové výdavky sú rozpočtované v sume 1,68 mil. eur, čo v porovnaní so schváleným rozpočtom roku 2011 predstavuje nárast o 985 tis. eur a je spôsobený zabezpečením prostriedkov na dostavbu správy katastra v Galante a na riešenie havarijného stavu budov ÚGKK SR.</w:t>
      </w:r>
    </w:p>
    <w:p w:rsidR="00CB350B" w:rsidP="00CB350B">
      <w:pPr>
        <w:bidi w:val="0"/>
      </w:pPr>
    </w:p>
    <w:p w:rsidR="00CB350B" w:rsidP="00CB350B">
      <w:pPr>
        <w:pBdr>
          <w:bottom w:val="single" w:sz="4" w:space="1" w:color="auto"/>
        </w:pBdr>
        <w:bidi w:val="0"/>
        <w:jc w:val="both"/>
        <w:rPr>
          <w:rFonts w:ascii="Times New Roman" w:hAnsi="Times New Roman" w:cs="Times New Roman"/>
          <w:b/>
          <w:bCs/>
        </w:rPr>
      </w:pPr>
      <w:r w:rsidRPr="008B51FE">
        <w:rPr>
          <w:rFonts w:ascii="Times New Roman" w:hAnsi="Times New Roman" w:cs="Times New Roman"/>
          <w:b/>
          <w:bCs/>
        </w:rPr>
        <w:t>Štatistický úrad SR</w:t>
      </w:r>
    </w:p>
    <w:p w:rsidR="00CB350B" w:rsidRPr="008B51FE" w:rsidP="00CB350B">
      <w:pPr>
        <w:bidi w:val="0"/>
        <w:jc w:val="both"/>
        <w:rPr>
          <w:rFonts w:ascii="Times New Roman" w:hAnsi="Times New Roman" w:cs="Times New Roman"/>
          <w:b/>
          <w:bCs/>
        </w:rPr>
      </w:pPr>
    </w:p>
    <w:tbl>
      <w:tblPr>
        <w:tblStyle w:val="TableNormal"/>
        <w:tblW w:w="5193" w:type="pct"/>
        <w:tblLayout w:type="fixed"/>
        <w:tblCellMar>
          <w:left w:w="70" w:type="dxa"/>
          <w:right w:w="70" w:type="dxa"/>
        </w:tblCellMar>
        <w:tblLook w:val="04A0"/>
      </w:tblPr>
      <w:tblGrid>
        <w:gridCol w:w="2615"/>
        <w:gridCol w:w="991"/>
        <w:gridCol w:w="991"/>
        <w:gridCol w:w="993"/>
        <w:gridCol w:w="991"/>
        <w:gridCol w:w="993"/>
        <w:gridCol w:w="991"/>
        <w:gridCol w:w="1003"/>
      </w:tblGrid>
      <w:tr>
        <w:tblPrEx>
          <w:tblW w:w="5193" w:type="pct"/>
          <w:tblLayout w:type="fixed"/>
          <w:tblCellMar>
            <w:left w:w="70" w:type="dxa"/>
            <w:right w:w="70" w:type="dxa"/>
          </w:tblCellMar>
          <w:tblLook w:val="04A0"/>
        </w:tblPrEx>
        <w:trPr>
          <w:trHeight w:val="259"/>
        </w:trPr>
        <w:tc>
          <w:tcPr>
            <w:tcW w:w="1366"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b/>
                <w:color w:val="000000"/>
                <w:sz w:val="14"/>
                <w:szCs w:val="14"/>
              </w:rPr>
            </w:pPr>
            <w:r w:rsidRPr="00E167C4">
              <w:rPr>
                <w:rFonts w:ascii="Times New Roman" w:hAnsi="Times New Roman" w:cs="Times New Roman"/>
                <w:b/>
                <w:color w:val="000000"/>
                <w:sz w:val="14"/>
                <w:szCs w:val="14"/>
              </w:rPr>
              <w:t>v eurách</w:t>
            </w:r>
          </w:p>
        </w:tc>
        <w:tc>
          <w:tcPr>
            <w:tcW w:w="518"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E167C4" w:rsidP="00257E12">
            <w:pPr>
              <w:bidi w:val="0"/>
              <w:jc w:val="center"/>
              <w:rPr>
                <w:rFonts w:ascii="Times New Roman" w:hAnsi="Times New Roman" w:cs="Times New Roman"/>
                <w:b/>
                <w:color w:val="000000"/>
                <w:sz w:val="14"/>
                <w:szCs w:val="14"/>
              </w:rPr>
            </w:pPr>
            <w:r w:rsidRPr="00E167C4">
              <w:rPr>
                <w:rFonts w:ascii="Times New Roman" w:hAnsi="Times New Roman" w:cs="Times New Roman"/>
                <w:b/>
                <w:color w:val="000000"/>
                <w:sz w:val="14"/>
                <w:szCs w:val="14"/>
              </w:rPr>
              <w:t>2009 S</w:t>
            </w:r>
          </w:p>
        </w:tc>
        <w:tc>
          <w:tcPr>
            <w:tcW w:w="518"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E167C4" w:rsidP="00257E12">
            <w:pPr>
              <w:bidi w:val="0"/>
              <w:jc w:val="center"/>
              <w:rPr>
                <w:rFonts w:ascii="Times New Roman" w:hAnsi="Times New Roman" w:cs="Times New Roman"/>
                <w:b/>
                <w:color w:val="000000"/>
                <w:sz w:val="14"/>
                <w:szCs w:val="14"/>
              </w:rPr>
            </w:pPr>
            <w:r w:rsidRPr="00E167C4">
              <w:rPr>
                <w:rFonts w:ascii="Times New Roman" w:hAnsi="Times New Roman" w:cs="Times New Roman"/>
                <w:b/>
                <w:color w:val="000000"/>
                <w:sz w:val="14"/>
                <w:szCs w:val="14"/>
              </w:rPr>
              <w:t>2010S</w:t>
            </w:r>
          </w:p>
        </w:tc>
        <w:tc>
          <w:tcPr>
            <w:tcW w:w="519"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E167C4" w:rsidP="00257E12">
            <w:pPr>
              <w:bidi w:val="0"/>
              <w:jc w:val="center"/>
              <w:rPr>
                <w:rFonts w:ascii="Times New Roman" w:hAnsi="Times New Roman" w:cs="Times New Roman"/>
                <w:b/>
                <w:color w:val="000000"/>
                <w:sz w:val="14"/>
                <w:szCs w:val="14"/>
              </w:rPr>
            </w:pPr>
            <w:r w:rsidRPr="00E167C4">
              <w:rPr>
                <w:rFonts w:ascii="Times New Roman" w:hAnsi="Times New Roman" w:cs="Times New Roman"/>
                <w:b/>
                <w:color w:val="000000"/>
                <w:sz w:val="14"/>
                <w:szCs w:val="14"/>
              </w:rPr>
              <w:t>2011 R</w:t>
            </w:r>
          </w:p>
        </w:tc>
        <w:tc>
          <w:tcPr>
            <w:tcW w:w="518"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E167C4" w:rsidP="00257E12">
            <w:pPr>
              <w:bidi w:val="0"/>
              <w:jc w:val="center"/>
              <w:rPr>
                <w:rFonts w:ascii="Times New Roman" w:hAnsi="Times New Roman" w:cs="Times New Roman"/>
                <w:b/>
                <w:color w:val="000000"/>
                <w:sz w:val="14"/>
                <w:szCs w:val="14"/>
              </w:rPr>
            </w:pPr>
            <w:r w:rsidRPr="00E167C4">
              <w:rPr>
                <w:rFonts w:ascii="Times New Roman" w:hAnsi="Times New Roman" w:cs="Times New Roman"/>
                <w:b/>
                <w:color w:val="000000"/>
                <w:sz w:val="14"/>
                <w:szCs w:val="14"/>
              </w:rPr>
              <w:t>2011 OS</w:t>
            </w:r>
          </w:p>
        </w:tc>
        <w:tc>
          <w:tcPr>
            <w:tcW w:w="519"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E167C4" w:rsidP="00257E12">
            <w:pPr>
              <w:bidi w:val="0"/>
              <w:jc w:val="center"/>
              <w:rPr>
                <w:rFonts w:ascii="Times New Roman" w:hAnsi="Times New Roman" w:cs="Times New Roman"/>
                <w:b/>
                <w:color w:val="000000"/>
                <w:sz w:val="14"/>
                <w:szCs w:val="14"/>
              </w:rPr>
            </w:pPr>
            <w:r w:rsidRPr="00E167C4">
              <w:rPr>
                <w:rFonts w:ascii="Times New Roman" w:hAnsi="Times New Roman" w:cs="Times New Roman"/>
                <w:b/>
                <w:color w:val="000000"/>
                <w:sz w:val="14"/>
                <w:szCs w:val="14"/>
              </w:rPr>
              <w:t>2012 N</w:t>
            </w:r>
          </w:p>
        </w:tc>
        <w:tc>
          <w:tcPr>
            <w:tcW w:w="518"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E167C4" w:rsidP="00257E12">
            <w:pPr>
              <w:bidi w:val="0"/>
              <w:jc w:val="center"/>
              <w:rPr>
                <w:rFonts w:ascii="Times New Roman" w:hAnsi="Times New Roman" w:cs="Times New Roman"/>
                <w:b/>
                <w:color w:val="000000"/>
                <w:sz w:val="14"/>
                <w:szCs w:val="14"/>
              </w:rPr>
            </w:pPr>
            <w:r w:rsidRPr="00E167C4">
              <w:rPr>
                <w:rFonts w:ascii="Times New Roman" w:hAnsi="Times New Roman" w:cs="Times New Roman"/>
                <w:b/>
                <w:color w:val="000000"/>
                <w:sz w:val="14"/>
                <w:szCs w:val="14"/>
              </w:rPr>
              <w:t>2013 N</w:t>
            </w:r>
          </w:p>
        </w:tc>
        <w:tc>
          <w:tcPr>
            <w:tcW w:w="52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E167C4" w:rsidP="00257E12">
            <w:pPr>
              <w:bidi w:val="0"/>
              <w:jc w:val="center"/>
              <w:rPr>
                <w:rFonts w:ascii="Times New Roman" w:hAnsi="Times New Roman" w:cs="Times New Roman"/>
                <w:b/>
                <w:color w:val="000000"/>
                <w:sz w:val="14"/>
                <w:szCs w:val="14"/>
              </w:rPr>
            </w:pPr>
            <w:r w:rsidRPr="00E167C4">
              <w:rPr>
                <w:rFonts w:ascii="Times New Roman" w:hAnsi="Times New Roman" w:cs="Times New Roman"/>
                <w:b/>
                <w:color w:val="000000"/>
                <w:sz w:val="14"/>
                <w:szCs w:val="14"/>
              </w:rPr>
              <w:t>2014 N</w:t>
            </w:r>
          </w:p>
        </w:tc>
      </w:tr>
      <w:tr>
        <w:tblPrEx>
          <w:tblW w:w="5193" w:type="pct"/>
          <w:tblLayout w:type="fixed"/>
          <w:tblCellMar>
            <w:left w:w="70" w:type="dxa"/>
            <w:right w:w="70" w:type="dxa"/>
          </w:tblCellMar>
          <w:tblLook w:val="04A0"/>
        </w:tblPrEx>
        <w:trPr>
          <w:trHeight w:val="259"/>
        </w:trPr>
        <w:tc>
          <w:tcPr>
            <w:tcW w:w="1366"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b/>
                <w:bCs/>
                <w:sz w:val="14"/>
                <w:szCs w:val="14"/>
              </w:rPr>
            </w:pPr>
            <w:r w:rsidRPr="00E167C4">
              <w:rPr>
                <w:rFonts w:ascii="Times New Roman" w:hAnsi="Times New Roman" w:cs="Times New Roman"/>
                <w:b/>
                <w:bCs/>
                <w:sz w:val="14"/>
                <w:szCs w:val="14"/>
              </w:rPr>
              <w:t>Zdroje príslušnej kapitoly</w:t>
            </w:r>
          </w:p>
        </w:tc>
        <w:tc>
          <w:tcPr>
            <w:tcW w:w="518"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sz w:val="14"/>
                <w:szCs w:val="14"/>
              </w:rPr>
            </w:pPr>
            <w:r w:rsidRPr="00E167C4">
              <w:rPr>
                <w:rFonts w:ascii="Times New Roman" w:hAnsi="Times New Roman" w:cs="Times New Roman"/>
                <w:b/>
                <w:bCs/>
                <w:sz w:val="14"/>
                <w:szCs w:val="14"/>
              </w:rPr>
              <w:t>33 653 375</w:t>
            </w:r>
          </w:p>
        </w:tc>
        <w:tc>
          <w:tcPr>
            <w:tcW w:w="518"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sz w:val="14"/>
                <w:szCs w:val="14"/>
              </w:rPr>
            </w:pPr>
            <w:r w:rsidRPr="00E167C4">
              <w:rPr>
                <w:rFonts w:ascii="Times New Roman" w:hAnsi="Times New Roman" w:cs="Times New Roman"/>
                <w:b/>
                <w:bCs/>
                <w:sz w:val="14"/>
                <w:szCs w:val="14"/>
              </w:rPr>
              <w:t>34 795 353</w:t>
            </w:r>
          </w:p>
        </w:tc>
        <w:tc>
          <w:tcPr>
            <w:tcW w:w="519"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sz w:val="14"/>
                <w:szCs w:val="14"/>
              </w:rPr>
            </w:pPr>
            <w:r w:rsidRPr="00E167C4">
              <w:rPr>
                <w:rFonts w:ascii="Times New Roman" w:hAnsi="Times New Roman" w:cs="Times New Roman"/>
                <w:b/>
                <w:bCs/>
                <w:sz w:val="14"/>
                <w:szCs w:val="14"/>
              </w:rPr>
              <w:t>22 835 392</w:t>
            </w:r>
          </w:p>
        </w:tc>
        <w:tc>
          <w:tcPr>
            <w:tcW w:w="518"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sz w:val="14"/>
                <w:szCs w:val="14"/>
              </w:rPr>
            </w:pPr>
            <w:r w:rsidRPr="00E167C4">
              <w:rPr>
                <w:rFonts w:ascii="Times New Roman" w:hAnsi="Times New Roman" w:cs="Times New Roman"/>
                <w:b/>
                <w:bCs/>
                <w:sz w:val="14"/>
                <w:szCs w:val="14"/>
              </w:rPr>
              <w:t>31 621 589</w:t>
            </w:r>
          </w:p>
        </w:tc>
        <w:tc>
          <w:tcPr>
            <w:tcW w:w="519"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sz w:val="14"/>
                <w:szCs w:val="14"/>
              </w:rPr>
            </w:pPr>
            <w:r w:rsidRPr="00E167C4">
              <w:rPr>
                <w:rFonts w:ascii="Times New Roman" w:hAnsi="Times New Roman" w:cs="Times New Roman"/>
                <w:b/>
                <w:sz w:val="14"/>
                <w:szCs w:val="14"/>
              </w:rPr>
              <w:t>17 810 975</w:t>
            </w:r>
          </w:p>
        </w:tc>
        <w:tc>
          <w:tcPr>
            <w:tcW w:w="518"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sz w:val="14"/>
                <w:szCs w:val="14"/>
              </w:rPr>
            </w:pPr>
            <w:r w:rsidRPr="00E167C4">
              <w:rPr>
                <w:rFonts w:ascii="Times New Roman" w:hAnsi="Times New Roman" w:cs="Times New Roman"/>
                <w:b/>
                <w:sz w:val="14"/>
                <w:szCs w:val="14"/>
              </w:rPr>
              <w:t> 18 274 008</w:t>
            </w:r>
          </w:p>
        </w:tc>
        <w:tc>
          <w:tcPr>
            <w:tcW w:w="524"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sz w:val="14"/>
                <w:szCs w:val="14"/>
              </w:rPr>
            </w:pPr>
            <w:r w:rsidRPr="00E167C4">
              <w:rPr>
                <w:rFonts w:ascii="Times New Roman" w:hAnsi="Times New Roman" w:cs="Times New Roman"/>
                <w:b/>
                <w:sz w:val="14"/>
                <w:szCs w:val="14"/>
              </w:rPr>
              <w:t>21 762 440</w:t>
            </w:r>
          </w:p>
        </w:tc>
      </w:tr>
      <w:tr>
        <w:tblPrEx>
          <w:tblW w:w="5193" w:type="pct"/>
          <w:tblLayout w:type="fixed"/>
          <w:tblCellMar>
            <w:left w:w="70" w:type="dxa"/>
            <w:right w:w="70" w:type="dxa"/>
          </w:tblCellMar>
          <w:tblLook w:val="04A0"/>
        </w:tblPrEx>
        <w:trPr>
          <w:trHeight w:val="259"/>
        </w:trPr>
        <w:tc>
          <w:tcPr>
            <w:tcW w:w="1366"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sz w:val="14"/>
                <w:szCs w:val="14"/>
              </w:rPr>
            </w:pPr>
            <w:r w:rsidRPr="00E167C4">
              <w:rPr>
                <w:rFonts w:ascii="Times New Roman" w:hAnsi="Times New Roman" w:cs="Times New Roman"/>
                <w:sz w:val="14"/>
                <w:szCs w:val="14"/>
              </w:rPr>
              <w:t xml:space="preserve">rozpočtové zdroje kapitoly </w:t>
            </w:r>
          </w:p>
        </w:tc>
        <w:tc>
          <w:tcPr>
            <w:tcW w:w="518"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33 631 746</w:t>
            </w:r>
          </w:p>
        </w:tc>
        <w:tc>
          <w:tcPr>
            <w:tcW w:w="518"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32 392 022</w:t>
            </w:r>
          </w:p>
        </w:tc>
        <w:tc>
          <w:tcPr>
            <w:tcW w:w="519"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bCs/>
                <w:sz w:val="14"/>
                <w:szCs w:val="14"/>
              </w:rPr>
              <w:t>22 835 392</w:t>
            </w:r>
          </w:p>
        </w:tc>
        <w:tc>
          <w:tcPr>
            <w:tcW w:w="518"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bCs/>
                <w:sz w:val="14"/>
                <w:szCs w:val="14"/>
              </w:rPr>
              <w:t>24 520 395</w:t>
            </w:r>
          </w:p>
        </w:tc>
        <w:tc>
          <w:tcPr>
            <w:tcW w:w="519"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17 810 975</w:t>
            </w:r>
          </w:p>
        </w:tc>
        <w:tc>
          <w:tcPr>
            <w:tcW w:w="518"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18 274 008</w:t>
            </w:r>
          </w:p>
        </w:tc>
        <w:tc>
          <w:tcPr>
            <w:tcW w:w="524"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21 762 440</w:t>
            </w:r>
          </w:p>
        </w:tc>
      </w:tr>
      <w:tr>
        <w:tblPrEx>
          <w:tblW w:w="5193" w:type="pct"/>
          <w:tblLayout w:type="fixed"/>
          <w:tblCellMar>
            <w:left w:w="70" w:type="dxa"/>
            <w:right w:w="70" w:type="dxa"/>
          </w:tblCellMar>
          <w:tblLook w:val="04A0"/>
        </w:tblPrEx>
        <w:trPr>
          <w:trHeight w:val="259"/>
        </w:trPr>
        <w:tc>
          <w:tcPr>
            <w:tcW w:w="1366"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sz w:val="14"/>
                <w:szCs w:val="14"/>
              </w:rPr>
            </w:pPr>
            <w:r w:rsidRPr="00E167C4">
              <w:rPr>
                <w:rFonts w:ascii="Times New Roman" w:hAnsi="Times New Roman" w:cs="Times New Roman"/>
                <w:sz w:val="14"/>
                <w:szCs w:val="14"/>
              </w:rPr>
              <w:t xml:space="preserve">        v tom: bežné výdavky 600</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24 220 696</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24 307 116</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22 370 677</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bCs/>
                <w:sz w:val="14"/>
                <w:szCs w:val="14"/>
              </w:rPr>
              <w:t>24 055 680</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17 146 260</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17 609 293</w:t>
            </w:r>
          </w:p>
        </w:tc>
        <w:tc>
          <w:tcPr>
            <w:tcW w:w="524"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20 697 725</w:t>
            </w:r>
          </w:p>
        </w:tc>
      </w:tr>
      <w:tr>
        <w:tblPrEx>
          <w:tblW w:w="5193" w:type="pct"/>
          <w:tblLayout w:type="fixed"/>
          <w:tblCellMar>
            <w:left w:w="70" w:type="dxa"/>
            <w:right w:w="70" w:type="dxa"/>
          </w:tblCellMar>
          <w:tblLook w:val="04A0"/>
        </w:tblPrEx>
        <w:trPr>
          <w:trHeight w:val="259"/>
        </w:trPr>
        <w:tc>
          <w:tcPr>
            <w:tcW w:w="1366"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sz w:val="14"/>
                <w:szCs w:val="14"/>
              </w:rPr>
            </w:pPr>
            <w:r w:rsidRPr="00E167C4">
              <w:rPr>
                <w:rFonts w:ascii="Times New Roman" w:hAnsi="Times New Roman" w:cs="Times New Roman"/>
                <w:sz w:val="14"/>
                <w:szCs w:val="14"/>
              </w:rPr>
              <w:t xml:space="preserve">                               610 mzdy</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10 236 065</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10 925 003</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9 486 807</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bCs/>
                <w:sz w:val="14"/>
                <w:szCs w:val="14"/>
              </w:rPr>
            </w:pPr>
            <w:r w:rsidRPr="00E167C4">
              <w:rPr>
                <w:rFonts w:ascii="Times New Roman" w:hAnsi="Times New Roman" w:cs="Times New Roman"/>
                <w:bCs/>
                <w:sz w:val="14"/>
                <w:szCs w:val="14"/>
              </w:rPr>
              <w:t>9 486 807</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9 127 438</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9 248 248</w:t>
            </w:r>
          </w:p>
        </w:tc>
        <w:tc>
          <w:tcPr>
            <w:tcW w:w="524"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10 351 198</w:t>
            </w:r>
          </w:p>
        </w:tc>
      </w:tr>
      <w:tr>
        <w:tblPrEx>
          <w:tblW w:w="5193" w:type="pct"/>
          <w:tblLayout w:type="fixed"/>
          <w:tblCellMar>
            <w:left w:w="70" w:type="dxa"/>
            <w:right w:w="70" w:type="dxa"/>
          </w:tblCellMar>
          <w:tblLook w:val="04A0"/>
        </w:tblPrEx>
        <w:trPr>
          <w:trHeight w:val="259"/>
        </w:trPr>
        <w:tc>
          <w:tcPr>
            <w:tcW w:w="1366"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sz w:val="14"/>
                <w:szCs w:val="14"/>
              </w:rPr>
            </w:pPr>
            <w:r w:rsidRPr="00E167C4">
              <w:rPr>
                <w:rFonts w:ascii="Times New Roman" w:hAnsi="Times New Roman" w:cs="Times New Roman"/>
                <w:sz w:val="14"/>
                <w:szCs w:val="14"/>
              </w:rPr>
              <w:t xml:space="preserve">                               620 odvody</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3 496 975</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3 946 588</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2 794 126</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bCs/>
                <w:sz w:val="14"/>
                <w:szCs w:val="14"/>
              </w:rPr>
            </w:pPr>
            <w:r w:rsidRPr="00E167C4">
              <w:rPr>
                <w:rFonts w:ascii="Times New Roman" w:hAnsi="Times New Roman" w:cs="Times New Roman"/>
                <w:bCs/>
                <w:sz w:val="14"/>
                <w:szCs w:val="14"/>
              </w:rPr>
              <w:t>3 001 687</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3 189 565</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3 231 788</w:t>
            </w:r>
          </w:p>
        </w:tc>
        <w:tc>
          <w:tcPr>
            <w:tcW w:w="524"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3 617 269</w:t>
            </w:r>
          </w:p>
        </w:tc>
      </w:tr>
      <w:tr>
        <w:tblPrEx>
          <w:tblW w:w="5193" w:type="pct"/>
          <w:tblLayout w:type="fixed"/>
          <w:tblCellMar>
            <w:left w:w="70" w:type="dxa"/>
            <w:right w:w="70" w:type="dxa"/>
          </w:tblCellMar>
          <w:tblLook w:val="04A0"/>
        </w:tblPrEx>
        <w:trPr>
          <w:trHeight w:val="259"/>
        </w:trPr>
        <w:tc>
          <w:tcPr>
            <w:tcW w:w="1366"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sz w:val="14"/>
                <w:szCs w:val="14"/>
              </w:rPr>
            </w:pPr>
            <w:r w:rsidRPr="00E167C4">
              <w:rPr>
                <w:rFonts w:ascii="Times New Roman" w:hAnsi="Times New Roman" w:cs="Times New Roman"/>
                <w:sz w:val="14"/>
                <w:szCs w:val="14"/>
              </w:rPr>
              <w:t xml:space="preserve">                               630 tovary a služby</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8 557 739</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7 073 620</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9 166 508</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bCs/>
                <w:sz w:val="14"/>
                <w:szCs w:val="14"/>
              </w:rPr>
            </w:pPr>
            <w:r w:rsidRPr="00E167C4">
              <w:rPr>
                <w:rFonts w:ascii="Times New Roman" w:hAnsi="Times New Roman" w:cs="Times New Roman"/>
                <w:bCs/>
                <w:sz w:val="14"/>
                <w:szCs w:val="14"/>
              </w:rPr>
              <w:t>10 303 500</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3 882 616</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4 100 521</w:t>
            </w:r>
          </w:p>
        </w:tc>
        <w:tc>
          <w:tcPr>
            <w:tcW w:w="524"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5 696 022</w:t>
            </w:r>
          </w:p>
        </w:tc>
      </w:tr>
      <w:tr>
        <w:tblPrEx>
          <w:tblW w:w="5193" w:type="pct"/>
          <w:tblLayout w:type="fixed"/>
          <w:tblCellMar>
            <w:left w:w="70" w:type="dxa"/>
            <w:right w:w="70" w:type="dxa"/>
          </w:tblCellMar>
          <w:tblLook w:val="04A0"/>
        </w:tblPrEx>
        <w:trPr>
          <w:trHeight w:val="259"/>
        </w:trPr>
        <w:tc>
          <w:tcPr>
            <w:tcW w:w="1366"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sz w:val="14"/>
                <w:szCs w:val="14"/>
              </w:rPr>
            </w:pPr>
            <w:r w:rsidRPr="00E167C4">
              <w:rPr>
                <w:rFonts w:ascii="Times New Roman" w:hAnsi="Times New Roman" w:cs="Times New Roman"/>
                <w:sz w:val="14"/>
                <w:szCs w:val="14"/>
              </w:rPr>
              <w:t xml:space="preserve">                               640 bežné transfery</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1 929 917</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2 361 905</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923 236</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bCs/>
                <w:sz w:val="14"/>
                <w:szCs w:val="14"/>
              </w:rPr>
            </w:pPr>
            <w:r w:rsidRPr="00E167C4">
              <w:rPr>
                <w:rFonts w:ascii="Times New Roman" w:hAnsi="Times New Roman" w:cs="Times New Roman"/>
                <w:bCs/>
                <w:sz w:val="14"/>
                <w:szCs w:val="14"/>
              </w:rPr>
              <w:t>1 263 686</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946 641</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1 028 736</w:t>
            </w:r>
          </w:p>
        </w:tc>
        <w:tc>
          <w:tcPr>
            <w:tcW w:w="524"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1 033 236</w:t>
            </w:r>
          </w:p>
        </w:tc>
      </w:tr>
      <w:tr>
        <w:tblPrEx>
          <w:tblW w:w="5193" w:type="pct"/>
          <w:tblLayout w:type="fixed"/>
          <w:tblCellMar>
            <w:left w:w="70" w:type="dxa"/>
            <w:right w:w="70" w:type="dxa"/>
          </w:tblCellMar>
          <w:tblLook w:val="04A0"/>
        </w:tblPrEx>
        <w:trPr>
          <w:trHeight w:val="259"/>
        </w:trPr>
        <w:tc>
          <w:tcPr>
            <w:tcW w:w="1366"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sz w:val="14"/>
                <w:szCs w:val="14"/>
              </w:rPr>
            </w:pPr>
            <w:r w:rsidRPr="00E167C4">
              <w:rPr>
                <w:rFonts w:ascii="Times New Roman" w:hAnsi="Times New Roman" w:cs="Times New Roman"/>
                <w:sz w:val="14"/>
                <w:szCs w:val="14"/>
              </w:rPr>
              <w:t xml:space="preserve">                   kapitálové výdavky 700</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8 411 050</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8 084 906</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464 715</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464 715</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664 715</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664 715</w:t>
            </w:r>
          </w:p>
        </w:tc>
        <w:tc>
          <w:tcPr>
            <w:tcW w:w="524"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 1 064 715</w:t>
            </w:r>
          </w:p>
        </w:tc>
      </w:tr>
      <w:tr>
        <w:tblPrEx>
          <w:tblW w:w="5193" w:type="pct"/>
          <w:tblLayout w:type="fixed"/>
          <w:tblCellMar>
            <w:left w:w="70" w:type="dxa"/>
            <w:right w:w="70" w:type="dxa"/>
          </w:tblCellMar>
          <w:tblLook w:val="04A0"/>
        </w:tblPrEx>
        <w:trPr>
          <w:trHeight w:val="259"/>
        </w:trPr>
        <w:tc>
          <w:tcPr>
            <w:tcW w:w="1366"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sz w:val="14"/>
                <w:szCs w:val="14"/>
              </w:rPr>
            </w:pPr>
            <w:r w:rsidRPr="00E167C4">
              <w:rPr>
                <w:rFonts w:ascii="Times New Roman" w:hAnsi="Times New Roman" w:cs="Times New Roman"/>
                <w:sz w:val="14"/>
                <w:szCs w:val="14"/>
              </w:rPr>
              <w:t xml:space="preserve">zdroje EÚ vrátane spolufinancovania: </w:t>
            </w:r>
          </w:p>
        </w:tc>
        <w:tc>
          <w:tcPr>
            <w:tcW w:w="518"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 0</w:t>
            </w:r>
          </w:p>
        </w:tc>
        <w:tc>
          <w:tcPr>
            <w:tcW w:w="518"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 0</w:t>
            </w:r>
          </w:p>
        </w:tc>
        <w:tc>
          <w:tcPr>
            <w:tcW w:w="519"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 0</w:t>
            </w:r>
          </w:p>
        </w:tc>
        <w:tc>
          <w:tcPr>
            <w:tcW w:w="518"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 3 874 000</w:t>
            </w:r>
          </w:p>
        </w:tc>
        <w:tc>
          <w:tcPr>
            <w:tcW w:w="519"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 0</w:t>
            </w:r>
          </w:p>
        </w:tc>
        <w:tc>
          <w:tcPr>
            <w:tcW w:w="518"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 0</w:t>
            </w:r>
          </w:p>
        </w:tc>
        <w:tc>
          <w:tcPr>
            <w:tcW w:w="524"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 0</w:t>
            </w:r>
          </w:p>
        </w:tc>
      </w:tr>
      <w:tr>
        <w:tblPrEx>
          <w:tblW w:w="5193" w:type="pct"/>
          <w:tblLayout w:type="fixed"/>
          <w:tblCellMar>
            <w:left w:w="70" w:type="dxa"/>
            <w:right w:w="70" w:type="dxa"/>
          </w:tblCellMar>
          <w:tblLook w:val="04A0"/>
        </w:tblPrEx>
        <w:trPr>
          <w:trHeight w:val="259"/>
        </w:trPr>
        <w:tc>
          <w:tcPr>
            <w:tcW w:w="1366" w:type="pct"/>
            <w:tcBorders>
              <w:top w:val="nil"/>
              <w:left w:val="single" w:sz="4" w:space="0" w:color="auto"/>
              <w:bottom w:val="nil"/>
              <w:right w:val="nil"/>
            </w:tcBorders>
            <w:noWrap/>
            <w:textDirection w:val="lrTb"/>
            <w:vAlign w:val="bottom"/>
            <w:hideMark/>
          </w:tcPr>
          <w:p w:rsidR="00CB350B" w:rsidRPr="00E167C4" w:rsidP="00257E12">
            <w:pPr>
              <w:bidi w:val="0"/>
              <w:rPr>
                <w:rFonts w:ascii="Times New Roman" w:hAnsi="Times New Roman" w:cs="Times New Roman"/>
                <w:color w:val="000000"/>
                <w:sz w:val="14"/>
                <w:szCs w:val="14"/>
              </w:rPr>
            </w:pPr>
            <w:r w:rsidRPr="00E167C4">
              <w:rPr>
                <w:rFonts w:ascii="Times New Roman" w:hAnsi="Times New Roman" w:cs="Times New Roman"/>
                <w:color w:val="000000"/>
                <w:sz w:val="14"/>
                <w:szCs w:val="14"/>
              </w:rPr>
              <w:t>presun z minulých rokov</w:t>
            </w:r>
          </w:p>
        </w:tc>
        <w:tc>
          <w:tcPr>
            <w:tcW w:w="518"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 0</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 2 403 331</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 0</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3 227 194</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 0</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 0</w:t>
            </w:r>
          </w:p>
        </w:tc>
        <w:tc>
          <w:tcPr>
            <w:tcW w:w="524"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 0</w:t>
            </w:r>
          </w:p>
        </w:tc>
      </w:tr>
      <w:tr>
        <w:tblPrEx>
          <w:tblW w:w="5193" w:type="pct"/>
          <w:tblLayout w:type="fixed"/>
          <w:tblCellMar>
            <w:left w:w="70" w:type="dxa"/>
            <w:right w:w="70" w:type="dxa"/>
          </w:tblCellMar>
          <w:tblLook w:val="04A0"/>
        </w:tblPrEx>
        <w:trPr>
          <w:trHeight w:val="259"/>
        </w:trPr>
        <w:tc>
          <w:tcPr>
            <w:tcW w:w="1366"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sz w:val="14"/>
                <w:szCs w:val="14"/>
              </w:rPr>
            </w:pPr>
            <w:r w:rsidRPr="00E167C4">
              <w:rPr>
                <w:rFonts w:ascii="Times New Roman" w:hAnsi="Times New Roman" w:cs="Times New Roman"/>
                <w:sz w:val="14"/>
                <w:szCs w:val="14"/>
              </w:rPr>
              <w:t>iné zdroje</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1 021 629</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 0</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 0</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0</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 0</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 0</w:t>
            </w:r>
          </w:p>
        </w:tc>
        <w:tc>
          <w:tcPr>
            <w:tcW w:w="524"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 0</w:t>
            </w:r>
          </w:p>
        </w:tc>
      </w:tr>
    </w:tbl>
    <w:p w:rsidR="00CB350B" w:rsidRPr="00511510" w:rsidP="00CB350B">
      <w:pPr>
        <w:autoSpaceDE w:val="0"/>
        <w:autoSpaceDN w:val="0"/>
        <w:bidi w:val="0"/>
        <w:adjustRightInd w:val="0"/>
        <w:jc w:val="both"/>
        <w:rPr>
          <w:rFonts w:ascii="Times New Roman" w:hAnsi="Times New Roman" w:cs="Times New Roman"/>
        </w:rPr>
      </w:pPr>
    </w:p>
    <w:p w:rsidR="00CB350B" w:rsidRPr="00511510" w:rsidP="00CB350B">
      <w:pPr>
        <w:bidi w:val="0"/>
        <w:ind w:firstLine="708"/>
        <w:jc w:val="both"/>
        <w:rPr>
          <w:rFonts w:ascii="Times New Roman" w:hAnsi="Times New Roman" w:cs="Times New Roman"/>
        </w:rPr>
      </w:pPr>
      <w:r w:rsidRPr="00511510">
        <w:rPr>
          <w:rFonts w:ascii="Times New Roman" w:hAnsi="Times New Roman" w:cs="Times New Roman"/>
        </w:rPr>
        <w:t xml:space="preserve">Na rok 2012 sa pre kapitolu navrhuje limit výdavkov v sume 17,8 mil. eur, čo predstavuje pokles o 22,1 % v porovnaní so schváleným rozpočtom roku 2011. Kapitola mala v schválenom rozpočte roku 2011 výdavky na sčítanie obyvateľov, domov a bytov (ďalej len „SODB“) v sume 7,92 mil. eur. V roku 2012 predstavujú výdavky na SODB sumu </w:t>
      </w:r>
      <w:r>
        <w:rPr>
          <w:rFonts w:ascii="Times New Roman" w:hAnsi="Times New Roman" w:cs="Times New Roman"/>
        </w:rPr>
        <w:br/>
      </w:r>
      <w:r w:rsidRPr="00511510">
        <w:rPr>
          <w:rFonts w:ascii="Times New Roman" w:hAnsi="Times New Roman" w:cs="Times New Roman"/>
          <w:lang w:eastAsia="sk-SK"/>
        </w:rPr>
        <w:t>2,02 mil. eur.</w:t>
      </w:r>
      <w:r w:rsidRPr="00511510">
        <w:rPr>
          <w:rFonts w:ascii="Times New Roman" w:hAnsi="Times New Roman" w:cs="Times New Roman"/>
        </w:rPr>
        <w:t xml:space="preserve"> Po odpočítaní výdavkov na SODB v oboch rokoch predstavuje nárast výdavkov v roku</w:t>
      </w:r>
      <w:r>
        <w:rPr>
          <w:rFonts w:ascii="Times New Roman" w:hAnsi="Times New Roman" w:cs="Times New Roman"/>
        </w:rPr>
        <w:t xml:space="preserve"> 2012</w:t>
      </w:r>
      <w:r w:rsidRPr="00511510">
        <w:rPr>
          <w:rFonts w:ascii="Times New Roman" w:hAnsi="Times New Roman" w:cs="Times New Roman"/>
        </w:rPr>
        <w:t xml:space="preserve"> v porovnaní so schváleným rozpočtom roku 2011</w:t>
      </w:r>
      <w:r>
        <w:rPr>
          <w:rFonts w:ascii="Times New Roman" w:hAnsi="Times New Roman" w:cs="Times New Roman"/>
        </w:rPr>
        <w:t xml:space="preserve"> sumu </w:t>
      </w:r>
      <w:r w:rsidRPr="00511510">
        <w:rPr>
          <w:rFonts w:ascii="Times New Roman" w:hAnsi="Times New Roman" w:cs="Times New Roman"/>
        </w:rPr>
        <w:t>869 tis. eur</w:t>
      </w:r>
      <w:r>
        <w:rPr>
          <w:rFonts w:ascii="Times New Roman" w:hAnsi="Times New Roman" w:cs="Times New Roman"/>
        </w:rPr>
        <w:t>, t. j. 5</w:t>
      </w:r>
      <w:r w:rsidRPr="00511510">
        <w:rPr>
          <w:rFonts w:ascii="Times New Roman" w:hAnsi="Times New Roman" w:cs="Times New Roman"/>
        </w:rPr>
        <w:t>,8 %.</w:t>
      </w:r>
    </w:p>
    <w:p w:rsidR="00CB350B" w:rsidRPr="00511510" w:rsidP="00CB350B">
      <w:pPr>
        <w:autoSpaceDE w:val="0"/>
        <w:autoSpaceDN w:val="0"/>
        <w:bidi w:val="0"/>
        <w:adjustRightInd w:val="0"/>
        <w:ind w:firstLine="709"/>
        <w:jc w:val="both"/>
        <w:rPr>
          <w:rFonts w:ascii="Times New Roman" w:hAnsi="Times New Roman" w:cs="Times New Roman"/>
          <w:highlight w:val="yellow"/>
        </w:rPr>
      </w:pPr>
    </w:p>
    <w:p w:rsidR="00CB350B" w:rsidRPr="008B51FE" w:rsidP="00CB350B">
      <w:pPr>
        <w:bidi w:val="0"/>
        <w:ind w:firstLine="708"/>
        <w:jc w:val="both"/>
        <w:rPr>
          <w:rFonts w:ascii="Times New Roman" w:hAnsi="Times New Roman" w:cs="Times New Roman"/>
        </w:rPr>
      </w:pPr>
      <w:r w:rsidRPr="008B51FE">
        <w:rPr>
          <w:rFonts w:ascii="Times New Roman" w:hAnsi="Times New Roman" w:cs="Times New Roman"/>
        </w:rPr>
        <w:t>Objem osobných výdavkov sa na rok 2012 rozpočtuje na úrovni 12,3 mil. eur, čo predstavuje v porovnaní so schváleným rozpočtom roku 2011 nárast o 0,3 %</w:t>
      </w:r>
      <w:r>
        <w:rPr>
          <w:rFonts w:ascii="Times New Roman" w:hAnsi="Times New Roman" w:cs="Times New Roman"/>
        </w:rPr>
        <w:t xml:space="preserve"> z dôvodu </w:t>
      </w:r>
      <w:r w:rsidRPr="008B51FE">
        <w:rPr>
          <w:rFonts w:ascii="Times New Roman" w:hAnsi="Times New Roman" w:cs="Times New Roman"/>
        </w:rPr>
        <w:t>ich zvýšeni</w:t>
      </w:r>
      <w:r>
        <w:rPr>
          <w:rFonts w:ascii="Times New Roman" w:hAnsi="Times New Roman" w:cs="Times New Roman"/>
        </w:rPr>
        <w:t xml:space="preserve">a, ktoré </w:t>
      </w:r>
      <w:r w:rsidRPr="008B51FE">
        <w:rPr>
          <w:rFonts w:ascii="Times New Roman" w:hAnsi="Times New Roman" w:cs="Times New Roman"/>
        </w:rPr>
        <w:t>súvis</w:t>
      </w:r>
      <w:r>
        <w:rPr>
          <w:rFonts w:ascii="Times New Roman" w:hAnsi="Times New Roman" w:cs="Times New Roman"/>
        </w:rPr>
        <w:t>í</w:t>
      </w:r>
      <w:r w:rsidRPr="008B51FE">
        <w:rPr>
          <w:rFonts w:ascii="Times New Roman" w:hAnsi="Times New Roman" w:cs="Times New Roman"/>
        </w:rPr>
        <w:t xml:space="preserve"> so zákonom č. 120/1993 Z. z. Nárast osobných výdavkov ústavného činiteľa v roku 2012 zohľadňuje v kapitole štátneho rozpočtu dopočet platových náležitostí reálne vyplácaných v roku 2011 v zmysle zákona. </w:t>
      </w:r>
    </w:p>
    <w:p w:rsidR="00CB350B" w:rsidRPr="008B51FE" w:rsidP="00CB350B">
      <w:pPr>
        <w:bidi w:val="0"/>
        <w:ind w:firstLine="708"/>
        <w:jc w:val="both"/>
        <w:rPr>
          <w:rFonts w:ascii="Times New Roman" w:hAnsi="Times New Roman" w:cs="Times New Roman"/>
        </w:rPr>
      </w:pPr>
    </w:p>
    <w:p w:rsidR="00CB350B" w:rsidRPr="008B51FE" w:rsidP="00CB350B">
      <w:pPr>
        <w:bidi w:val="0"/>
        <w:ind w:firstLine="708"/>
        <w:jc w:val="both"/>
        <w:rPr>
          <w:rFonts w:ascii="Times New Roman" w:hAnsi="Times New Roman" w:cs="Times New Roman"/>
        </w:rPr>
      </w:pPr>
      <w:r w:rsidRPr="008B51FE">
        <w:rPr>
          <w:rFonts w:ascii="Times New Roman" w:hAnsi="Times New Roman" w:cs="Times New Roman"/>
        </w:rPr>
        <w:t xml:space="preserve">Kapitola na tovary a služby rozpisuje sumu 3,88 mil. eur, čo je menej o 57,6 % oproti schválenému rozpočtu roku 2011. </w:t>
      </w:r>
    </w:p>
    <w:p w:rsidR="00CB350B" w:rsidRPr="008B51FE" w:rsidP="00CB350B">
      <w:pPr>
        <w:bidi w:val="0"/>
        <w:jc w:val="both"/>
        <w:rPr>
          <w:rFonts w:ascii="Times New Roman" w:hAnsi="Times New Roman" w:cs="Times New Roman"/>
          <w:highlight w:val="yellow"/>
        </w:rPr>
      </w:pPr>
    </w:p>
    <w:p w:rsidR="00CB350B" w:rsidRPr="008B51FE" w:rsidP="00CB350B">
      <w:pPr>
        <w:bidi w:val="0"/>
        <w:ind w:firstLine="708"/>
        <w:jc w:val="both"/>
        <w:rPr>
          <w:rFonts w:ascii="Times New Roman" w:hAnsi="Times New Roman" w:cs="Times New Roman"/>
        </w:rPr>
      </w:pPr>
      <w:r w:rsidRPr="008B51FE">
        <w:rPr>
          <w:rFonts w:ascii="Times New Roman" w:hAnsi="Times New Roman" w:cs="Times New Roman"/>
        </w:rPr>
        <w:t>Výdavky na bežné transfery sa rozpisujú v sume 946 tis. eur, čo je v porovnaní so schváleným rozpočtom roku 2011 viac o 2,54 %.</w:t>
      </w:r>
    </w:p>
    <w:p w:rsidR="00CB350B" w:rsidRPr="008B51FE" w:rsidP="00CB350B">
      <w:pPr>
        <w:bidi w:val="0"/>
        <w:jc w:val="both"/>
        <w:rPr>
          <w:rFonts w:ascii="Times New Roman" w:hAnsi="Times New Roman" w:cs="Times New Roman"/>
        </w:rPr>
      </w:pPr>
    </w:p>
    <w:p w:rsidR="00CB350B" w:rsidRPr="008B51FE" w:rsidP="00CB350B">
      <w:pPr>
        <w:autoSpaceDE w:val="0"/>
        <w:autoSpaceDN w:val="0"/>
        <w:bidi w:val="0"/>
        <w:adjustRightInd w:val="0"/>
        <w:ind w:firstLine="708"/>
        <w:jc w:val="both"/>
        <w:rPr>
          <w:rFonts w:ascii="Times New Roman" w:hAnsi="Times New Roman" w:cs="Times New Roman"/>
        </w:rPr>
      </w:pPr>
      <w:r w:rsidRPr="008B51FE">
        <w:rPr>
          <w:rFonts w:ascii="Times New Roman" w:hAnsi="Times New Roman" w:cs="Times New Roman"/>
        </w:rPr>
        <w:t>Kapitálové výdavky sú navrhované vo výške 664 tis. eur, čo je viac o 43,1 % oproti schválenému rozpočtu roku 2011.</w:t>
      </w:r>
    </w:p>
    <w:p w:rsidR="00CB350B" w:rsidP="00CB350B">
      <w:pPr>
        <w:autoSpaceDE w:val="0"/>
        <w:autoSpaceDN w:val="0"/>
        <w:bidi w:val="0"/>
        <w:adjustRightInd w:val="0"/>
        <w:ind w:firstLine="708"/>
        <w:jc w:val="both"/>
        <w:rPr>
          <w:rFonts w:ascii="Times New Roman" w:hAnsi="Times New Roman" w:cs="Times New Roman"/>
        </w:rPr>
      </w:pPr>
    </w:p>
    <w:p w:rsidR="00CB350B" w:rsidP="00CB350B">
      <w:pPr>
        <w:autoSpaceDE w:val="0"/>
        <w:autoSpaceDN w:val="0"/>
        <w:bidi w:val="0"/>
        <w:adjustRightInd w:val="0"/>
        <w:ind w:firstLine="708"/>
        <w:jc w:val="both"/>
        <w:rPr>
          <w:rFonts w:ascii="Times New Roman" w:hAnsi="Times New Roman" w:cs="Times New Roman"/>
        </w:rPr>
      </w:pPr>
      <w:r w:rsidRPr="008B51FE">
        <w:rPr>
          <w:rFonts w:ascii="Times New Roman" w:hAnsi="Times New Roman" w:cs="Times New Roman"/>
        </w:rPr>
        <w:t>Kapitola formou transferu zabezpečuje financovanie príspevkovej organizácie INFOSTAT, na rok 2012 v sume 903 tis. eur.</w:t>
      </w:r>
    </w:p>
    <w:p w:rsidR="00CB350B" w:rsidP="00CB350B">
      <w:pPr>
        <w:autoSpaceDE w:val="0"/>
        <w:autoSpaceDN w:val="0"/>
        <w:bidi w:val="0"/>
        <w:adjustRightInd w:val="0"/>
        <w:ind w:firstLine="708"/>
        <w:jc w:val="both"/>
        <w:rPr>
          <w:rFonts w:ascii="Times New Roman" w:hAnsi="Times New Roman" w:cs="Times New Roman"/>
        </w:rPr>
      </w:pPr>
    </w:p>
    <w:tbl>
      <w:tblPr>
        <w:tblStyle w:val="TableNormal"/>
        <w:tblW w:w="5193" w:type="pct"/>
        <w:tblLayout w:type="fixed"/>
        <w:tblCellMar>
          <w:left w:w="70" w:type="dxa"/>
          <w:right w:w="70" w:type="dxa"/>
        </w:tblCellMar>
        <w:tblLook w:val="04A0"/>
      </w:tblPr>
      <w:tblGrid>
        <w:gridCol w:w="2614"/>
        <w:gridCol w:w="432"/>
        <w:gridCol w:w="559"/>
        <w:gridCol w:w="385"/>
        <w:gridCol w:w="607"/>
        <w:gridCol w:w="339"/>
        <w:gridCol w:w="654"/>
        <w:gridCol w:w="289"/>
        <w:gridCol w:w="702"/>
        <w:gridCol w:w="241"/>
        <w:gridCol w:w="752"/>
        <w:gridCol w:w="191"/>
        <w:gridCol w:w="800"/>
        <w:gridCol w:w="144"/>
        <w:gridCol w:w="859"/>
      </w:tblGrid>
      <w:tr>
        <w:tblPrEx>
          <w:tblW w:w="5193" w:type="pct"/>
          <w:tblLayout w:type="fixed"/>
          <w:tblCellMar>
            <w:left w:w="70" w:type="dxa"/>
            <w:right w:w="70" w:type="dxa"/>
          </w:tblCellMar>
          <w:tblLook w:val="04A0"/>
        </w:tblPrEx>
        <w:trPr>
          <w:trHeight w:val="259"/>
        </w:trPr>
        <w:tc>
          <w:tcPr>
            <w:tcW w:w="1592" w:type="pct"/>
            <w:gridSpan w:val="2"/>
            <w:tcBorders>
              <w:top w:val="none" w:sz="0" w:space="0" w:color="auto"/>
              <w:left w:val="none" w:sz="0" w:space="0" w:color="auto"/>
              <w:bottom w:val="single" w:sz="4" w:space="0" w:color="auto"/>
              <w:right w:val="nil"/>
            </w:tcBorders>
            <w:noWrap/>
            <w:textDirection w:val="lrTb"/>
            <w:vAlign w:val="bottom"/>
            <w:hideMark/>
          </w:tcPr>
          <w:p w:rsidR="00CB350B" w:rsidRPr="008B51FE" w:rsidP="00257E12">
            <w:pPr>
              <w:bidi w:val="0"/>
              <w:rPr>
                <w:rFonts w:ascii="Times New Roman" w:hAnsi="Times New Roman" w:cs="Times New Roman"/>
                <w:color w:val="000000"/>
              </w:rPr>
            </w:pPr>
          </w:p>
        </w:tc>
        <w:tc>
          <w:tcPr>
            <w:tcW w:w="493" w:type="pct"/>
            <w:gridSpan w:val="2"/>
            <w:tcBorders>
              <w:top w:val="none" w:sz="0" w:space="0" w:color="auto"/>
              <w:left w:val="nil"/>
              <w:bottom w:val="single" w:sz="4" w:space="0" w:color="auto"/>
              <w:right w:val="nil"/>
            </w:tcBorders>
            <w:noWrap/>
            <w:textDirection w:val="lrTb"/>
            <w:vAlign w:val="bottom"/>
            <w:hideMark/>
          </w:tcPr>
          <w:p w:rsidR="00CB350B" w:rsidRPr="008B51FE" w:rsidP="00257E12">
            <w:pPr>
              <w:bidi w:val="0"/>
              <w:rPr>
                <w:rFonts w:ascii="Times New Roman" w:hAnsi="Times New Roman" w:cs="Times New Roman"/>
                <w:color w:val="000000"/>
              </w:rPr>
            </w:pPr>
          </w:p>
        </w:tc>
        <w:tc>
          <w:tcPr>
            <w:tcW w:w="494" w:type="pct"/>
            <w:gridSpan w:val="2"/>
            <w:tcBorders>
              <w:top w:val="none" w:sz="0" w:space="0" w:color="auto"/>
              <w:left w:val="nil"/>
              <w:bottom w:val="single" w:sz="4" w:space="0" w:color="auto"/>
              <w:right w:val="nil"/>
            </w:tcBorders>
            <w:noWrap/>
            <w:textDirection w:val="lrTb"/>
            <w:vAlign w:val="bottom"/>
            <w:hideMark/>
          </w:tcPr>
          <w:p w:rsidR="00CB350B" w:rsidRPr="008B51FE" w:rsidP="00257E12">
            <w:pPr>
              <w:bidi w:val="0"/>
              <w:rPr>
                <w:rFonts w:ascii="Times New Roman" w:hAnsi="Times New Roman" w:cs="Times New Roman"/>
                <w:color w:val="000000"/>
              </w:rPr>
            </w:pPr>
          </w:p>
        </w:tc>
        <w:tc>
          <w:tcPr>
            <w:tcW w:w="493" w:type="pct"/>
            <w:gridSpan w:val="2"/>
            <w:tcBorders>
              <w:top w:val="none" w:sz="0" w:space="0" w:color="auto"/>
              <w:left w:val="nil"/>
              <w:bottom w:val="single" w:sz="4" w:space="0" w:color="auto"/>
              <w:right w:val="nil"/>
            </w:tcBorders>
            <w:noWrap/>
            <w:textDirection w:val="lrTb"/>
            <w:vAlign w:val="bottom"/>
            <w:hideMark/>
          </w:tcPr>
          <w:p w:rsidR="00CB350B" w:rsidRPr="008B51FE" w:rsidP="00257E12">
            <w:pPr>
              <w:bidi w:val="0"/>
              <w:rPr>
                <w:rFonts w:ascii="Times New Roman" w:hAnsi="Times New Roman" w:cs="Times New Roman"/>
                <w:color w:val="000000"/>
              </w:rPr>
            </w:pPr>
          </w:p>
        </w:tc>
        <w:tc>
          <w:tcPr>
            <w:tcW w:w="493" w:type="pct"/>
            <w:gridSpan w:val="2"/>
            <w:tcBorders>
              <w:top w:val="none" w:sz="0" w:space="0" w:color="auto"/>
              <w:left w:val="nil"/>
              <w:bottom w:val="single" w:sz="4" w:space="0" w:color="auto"/>
              <w:right w:val="nil"/>
            </w:tcBorders>
            <w:noWrap/>
            <w:textDirection w:val="lrTb"/>
            <w:vAlign w:val="bottom"/>
            <w:hideMark/>
          </w:tcPr>
          <w:p w:rsidR="00CB350B" w:rsidRPr="008B51FE" w:rsidP="00257E12">
            <w:pPr>
              <w:bidi w:val="0"/>
              <w:rPr>
                <w:rFonts w:ascii="Times New Roman" w:hAnsi="Times New Roman" w:cs="Times New Roman"/>
                <w:color w:val="000000"/>
              </w:rPr>
            </w:pPr>
          </w:p>
        </w:tc>
        <w:tc>
          <w:tcPr>
            <w:tcW w:w="493" w:type="pct"/>
            <w:gridSpan w:val="2"/>
            <w:tcBorders>
              <w:top w:val="none" w:sz="0" w:space="0" w:color="auto"/>
              <w:left w:val="nil"/>
              <w:bottom w:val="single" w:sz="4" w:space="0" w:color="auto"/>
              <w:right w:val="nil"/>
            </w:tcBorders>
            <w:noWrap/>
            <w:textDirection w:val="lrTb"/>
            <w:vAlign w:val="bottom"/>
            <w:hideMark/>
          </w:tcPr>
          <w:p w:rsidR="00CB350B" w:rsidRPr="008B51FE" w:rsidP="00257E12">
            <w:pPr>
              <w:bidi w:val="0"/>
              <w:rPr>
                <w:rFonts w:ascii="Times New Roman" w:hAnsi="Times New Roman" w:cs="Times New Roman"/>
                <w:color w:val="000000"/>
              </w:rPr>
            </w:pPr>
          </w:p>
        </w:tc>
        <w:tc>
          <w:tcPr>
            <w:tcW w:w="493" w:type="pct"/>
            <w:gridSpan w:val="2"/>
            <w:tcBorders>
              <w:top w:val="none" w:sz="0" w:space="0" w:color="auto"/>
              <w:left w:val="nil"/>
              <w:bottom w:val="single" w:sz="4" w:space="0" w:color="auto"/>
              <w:right w:val="nil"/>
            </w:tcBorders>
            <w:noWrap/>
            <w:textDirection w:val="lrTb"/>
            <w:vAlign w:val="bottom"/>
            <w:hideMark/>
          </w:tcPr>
          <w:p w:rsidR="00CB350B" w:rsidRPr="008B51FE" w:rsidP="00257E12">
            <w:pPr>
              <w:bidi w:val="0"/>
              <w:rPr>
                <w:rFonts w:ascii="Times New Roman" w:hAnsi="Times New Roman" w:cs="Times New Roman"/>
                <w:color w:val="000000"/>
              </w:rPr>
            </w:pPr>
          </w:p>
        </w:tc>
        <w:tc>
          <w:tcPr>
            <w:tcW w:w="449" w:type="pct"/>
            <w:tcBorders>
              <w:top w:val="none" w:sz="0" w:space="0" w:color="auto"/>
              <w:left w:val="nil"/>
              <w:bottom w:val="single" w:sz="4" w:space="0" w:color="auto"/>
              <w:right w:val="none" w:sz="0" w:space="0" w:color="auto"/>
            </w:tcBorders>
            <w:noWrap/>
            <w:textDirection w:val="lrTb"/>
            <w:vAlign w:val="bottom"/>
            <w:hideMark/>
          </w:tcPr>
          <w:p w:rsidR="00CB350B" w:rsidRPr="008B51FE" w:rsidP="00257E12">
            <w:pPr>
              <w:bidi w:val="0"/>
              <w:rPr>
                <w:rFonts w:ascii="Times New Roman" w:hAnsi="Times New Roman" w:cs="Times New Roman"/>
                <w:color w:val="000000"/>
              </w:rPr>
            </w:pPr>
          </w:p>
        </w:tc>
      </w:tr>
      <w:tr>
        <w:tblPrEx>
          <w:tblW w:w="5193" w:type="pct"/>
          <w:tblLayout w:type="fixed"/>
          <w:tblCellMar>
            <w:left w:w="70" w:type="dxa"/>
            <w:right w:w="70" w:type="dxa"/>
          </w:tblCellMar>
          <w:tblLook w:val="04A0"/>
        </w:tblPrEx>
        <w:trPr>
          <w:trHeight w:val="259"/>
        </w:trPr>
        <w:tc>
          <w:tcPr>
            <w:tcW w:w="1366"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b/>
                <w:color w:val="000000"/>
                <w:sz w:val="14"/>
                <w:szCs w:val="14"/>
              </w:rPr>
            </w:pPr>
            <w:r w:rsidRPr="00E167C4">
              <w:rPr>
                <w:rFonts w:ascii="Times New Roman" w:hAnsi="Times New Roman" w:cs="Times New Roman"/>
                <w:b/>
                <w:color w:val="000000"/>
                <w:sz w:val="14"/>
                <w:szCs w:val="14"/>
              </w:rPr>
              <w:t>v eurách</w:t>
            </w:r>
          </w:p>
        </w:tc>
        <w:tc>
          <w:tcPr>
            <w:tcW w:w="518" w:type="pct"/>
            <w:gridSpan w:val="2"/>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E167C4" w:rsidP="00257E12">
            <w:pPr>
              <w:bidi w:val="0"/>
              <w:jc w:val="center"/>
              <w:rPr>
                <w:rFonts w:ascii="Times New Roman" w:hAnsi="Times New Roman" w:cs="Times New Roman"/>
                <w:b/>
                <w:color w:val="000000"/>
                <w:sz w:val="14"/>
                <w:szCs w:val="14"/>
              </w:rPr>
            </w:pPr>
            <w:r w:rsidRPr="00E167C4">
              <w:rPr>
                <w:rFonts w:ascii="Times New Roman" w:hAnsi="Times New Roman" w:cs="Times New Roman"/>
                <w:b/>
                <w:color w:val="000000"/>
                <w:sz w:val="14"/>
                <w:szCs w:val="14"/>
              </w:rPr>
              <w:t>2009 S</w:t>
            </w:r>
          </w:p>
        </w:tc>
        <w:tc>
          <w:tcPr>
            <w:tcW w:w="518" w:type="pct"/>
            <w:gridSpan w:val="2"/>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E167C4" w:rsidP="00257E12">
            <w:pPr>
              <w:bidi w:val="0"/>
              <w:jc w:val="center"/>
              <w:rPr>
                <w:rFonts w:ascii="Times New Roman" w:hAnsi="Times New Roman" w:cs="Times New Roman"/>
                <w:b/>
                <w:color w:val="000000"/>
                <w:sz w:val="14"/>
                <w:szCs w:val="14"/>
              </w:rPr>
            </w:pPr>
            <w:r w:rsidRPr="00E167C4">
              <w:rPr>
                <w:rFonts w:ascii="Times New Roman" w:hAnsi="Times New Roman" w:cs="Times New Roman"/>
                <w:b/>
                <w:color w:val="000000"/>
                <w:sz w:val="14"/>
                <w:szCs w:val="14"/>
              </w:rPr>
              <w:t>2010S</w:t>
            </w:r>
          </w:p>
        </w:tc>
        <w:tc>
          <w:tcPr>
            <w:tcW w:w="519" w:type="pct"/>
            <w:gridSpan w:val="2"/>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E167C4" w:rsidP="00257E12">
            <w:pPr>
              <w:bidi w:val="0"/>
              <w:jc w:val="center"/>
              <w:rPr>
                <w:rFonts w:ascii="Times New Roman" w:hAnsi="Times New Roman" w:cs="Times New Roman"/>
                <w:b/>
                <w:color w:val="000000"/>
                <w:sz w:val="14"/>
                <w:szCs w:val="14"/>
              </w:rPr>
            </w:pPr>
            <w:r w:rsidRPr="00E167C4">
              <w:rPr>
                <w:rFonts w:ascii="Times New Roman" w:hAnsi="Times New Roman" w:cs="Times New Roman"/>
                <w:b/>
                <w:color w:val="000000"/>
                <w:sz w:val="14"/>
                <w:szCs w:val="14"/>
              </w:rPr>
              <w:t>2011 R</w:t>
            </w:r>
          </w:p>
        </w:tc>
        <w:tc>
          <w:tcPr>
            <w:tcW w:w="518" w:type="pct"/>
            <w:gridSpan w:val="2"/>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E167C4" w:rsidP="00257E12">
            <w:pPr>
              <w:bidi w:val="0"/>
              <w:jc w:val="center"/>
              <w:rPr>
                <w:rFonts w:ascii="Times New Roman" w:hAnsi="Times New Roman" w:cs="Times New Roman"/>
                <w:b/>
                <w:color w:val="000000"/>
                <w:sz w:val="14"/>
                <w:szCs w:val="14"/>
              </w:rPr>
            </w:pPr>
            <w:r w:rsidRPr="00E167C4">
              <w:rPr>
                <w:rFonts w:ascii="Times New Roman" w:hAnsi="Times New Roman" w:cs="Times New Roman"/>
                <w:b/>
                <w:color w:val="000000"/>
                <w:sz w:val="14"/>
                <w:szCs w:val="14"/>
              </w:rPr>
              <w:t>2011 OS</w:t>
            </w:r>
          </w:p>
        </w:tc>
        <w:tc>
          <w:tcPr>
            <w:tcW w:w="519" w:type="pct"/>
            <w:gridSpan w:val="2"/>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E167C4" w:rsidP="00257E12">
            <w:pPr>
              <w:bidi w:val="0"/>
              <w:jc w:val="center"/>
              <w:rPr>
                <w:rFonts w:ascii="Times New Roman" w:hAnsi="Times New Roman" w:cs="Times New Roman"/>
                <w:b/>
                <w:color w:val="000000"/>
                <w:sz w:val="14"/>
                <w:szCs w:val="14"/>
              </w:rPr>
            </w:pPr>
            <w:r w:rsidRPr="00E167C4">
              <w:rPr>
                <w:rFonts w:ascii="Times New Roman" w:hAnsi="Times New Roman" w:cs="Times New Roman"/>
                <w:b/>
                <w:color w:val="000000"/>
                <w:sz w:val="14"/>
                <w:szCs w:val="14"/>
              </w:rPr>
              <w:t>2012 N</w:t>
            </w:r>
          </w:p>
        </w:tc>
        <w:tc>
          <w:tcPr>
            <w:tcW w:w="518" w:type="pct"/>
            <w:gridSpan w:val="2"/>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E167C4" w:rsidP="00257E12">
            <w:pPr>
              <w:bidi w:val="0"/>
              <w:jc w:val="center"/>
              <w:rPr>
                <w:rFonts w:ascii="Times New Roman" w:hAnsi="Times New Roman" w:cs="Times New Roman"/>
                <w:b/>
                <w:color w:val="000000"/>
                <w:sz w:val="14"/>
                <w:szCs w:val="14"/>
              </w:rPr>
            </w:pPr>
            <w:r w:rsidRPr="00E167C4">
              <w:rPr>
                <w:rFonts w:ascii="Times New Roman" w:hAnsi="Times New Roman" w:cs="Times New Roman"/>
                <w:b/>
                <w:color w:val="000000"/>
                <w:sz w:val="14"/>
                <w:szCs w:val="14"/>
              </w:rPr>
              <w:t>2013 N</w:t>
            </w:r>
          </w:p>
        </w:tc>
        <w:tc>
          <w:tcPr>
            <w:tcW w:w="524" w:type="pct"/>
            <w:gridSpan w:val="2"/>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E167C4" w:rsidP="00257E12">
            <w:pPr>
              <w:bidi w:val="0"/>
              <w:jc w:val="center"/>
              <w:rPr>
                <w:rFonts w:ascii="Times New Roman" w:hAnsi="Times New Roman" w:cs="Times New Roman"/>
                <w:b/>
                <w:color w:val="000000"/>
                <w:sz w:val="14"/>
                <w:szCs w:val="14"/>
              </w:rPr>
            </w:pPr>
            <w:r w:rsidRPr="00E167C4">
              <w:rPr>
                <w:rFonts w:ascii="Times New Roman" w:hAnsi="Times New Roman" w:cs="Times New Roman"/>
                <w:b/>
                <w:color w:val="000000"/>
                <w:sz w:val="14"/>
                <w:szCs w:val="14"/>
              </w:rPr>
              <w:t>2014 N</w:t>
            </w:r>
          </w:p>
        </w:tc>
      </w:tr>
      <w:tr>
        <w:tblPrEx>
          <w:tblW w:w="5193" w:type="pct"/>
          <w:tblLayout w:type="fixed"/>
          <w:tblCellMar>
            <w:left w:w="70" w:type="dxa"/>
            <w:right w:w="70" w:type="dxa"/>
          </w:tblCellMar>
          <w:tblLook w:val="04A0"/>
        </w:tblPrEx>
        <w:trPr>
          <w:trHeight w:val="259"/>
        </w:trPr>
        <w:tc>
          <w:tcPr>
            <w:tcW w:w="1366"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bCs/>
                <w:sz w:val="14"/>
                <w:szCs w:val="14"/>
              </w:rPr>
            </w:pPr>
            <w:r w:rsidRPr="00E167C4">
              <w:rPr>
                <w:rFonts w:ascii="Times New Roman" w:hAnsi="Times New Roman" w:cs="Times New Roman"/>
                <w:bCs/>
                <w:sz w:val="14"/>
                <w:szCs w:val="14"/>
              </w:rPr>
              <w:t>INFOSTAT</w:t>
            </w:r>
          </w:p>
        </w:tc>
        <w:tc>
          <w:tcPr>
            <w:tcW w:w="518" w:type="pct"/>
            <w:gridSpan w:val="2"/>
            <w:tcBorders>
              <w:top w:val="single" w:sz="4" w:space="0" w:color="auto"/>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Cs/>
                <w:sz w:val="14"/>
                <w:szCs w:val="14"/>
              </w:rPr>
            </w:pPr>
            <w:r w:rsidRPr="00E167C4">
              <w:rPr>
                <w:rFonts w:ascii="Times New Roman" w:hAnsi="Times New Roman" w:cs="Times New Roman"/>
                <w:bCs/>
                <w:sz w:val="14"/>
                <w:szCs w:val="14"/>
              </w:rPr>
              <w:t>1 847 024</w:t>
            </w:r>
          </w:p>
        </w:tc>
        <w:tc>
          <w:tcPr>
            <w:tcW w:w="518" w:type="pct"/>
            <w:gridSpan w:val="2"/>
            <w:tcBorders>
              <w:top w:val="single" w:sz="4" w:space="0" w:color="auto"/>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Cs/>
                <w:sz w:val="14"/>
                <w:szCs w:val="14"/>
              </w:rPr>
            </w:pPr>
            <w:r w:rsidRPr="00E167C4">
              <w:rPr>
                <w:rFonts w:ascii="Times New Roman" w:hAnsi="Times New Roman" w:cs="Times New Roman"/>
                <w:bCs/>
                <w:sz w:val="14"/>
                <w:szCs w:val="14"/>
              </w:rPr>
              <w:t>2 049 218</w:t>
            </w:r>
          </w:p>
        </w:tc>
        <w:tc>
          <w:tcPr>
            <w:tcW w:w="519" w:type="pct"/>
            <w:gridSpan w:val="2"/>
            <w:tcBorders>
              <w:top w:val="single" w:sz="4" w:space="0" w:color="auto"/>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Cs/>
                <w:sz w:val="14"/>
                <w:szCs w:val="14"/>
              </w:rPr>
            </w:pPr>
            <w:r w:rsidRPr="00E167C4">
              <w:rPr>
                <w:rFonts w:ascii="Times New Roman" w:hAnsi="Times New Roman" w:cs="Times New Roman"/>
                <w:bCs/>
                <w:sz w:val="14"/>
                <w:szCs w:val="14"/>
              </w:rPr>
              <w:t>880 000</w:t>
            </w:r>
          </w:p>
        </w:tc>
        <w:tc>
          <w:tcPr>
            <w:tcW w:w="518" w:type="pct"/>
            <w:gridSpan w:val="2"/>
            <w:tcBorders>
              <w:top w:val="single" w:sz="4" w:space="0" w:color="auto"/>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Cs/>
                <w:sz w:val="14"/>
                <w:szCs w:val="14"/>
              </w:rPr>
            </w:pPr>
            <w:r w:rsidRPr="00E167C4">
              <w:rPr>
                <w:rFonts w:ascii="Times New Roman" w:hAnsi="Times New Roman" w:cs="Times New Roman"/>
                <w:bCs/>
                <w:sz w:val="14"/>
                <w:szCs w:val="14"/>
              </w:rPr>
              <w:t>1 213 748</w:t>
            </w:r>
          </w:p>
        </w:tc>
        <w:tc>
          <w:tcPr>
            <w:tcW w:w="519" w:type="pct"/>
            <w:gridSpan w:val="2"/>
            <w:tcBorders>
              <w:top w:val="single" w:sz="4" w:space="0" w:color="auto"/>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Cs/>
                <w:sz w:val="14"/>
                <w:szCs w:val="14"/>
              </w:rPr>
            </w:pPr>
            <w:r w:rsidRPr="00E167C4">
              <w:rPr>
                <w:rFonts w:ascii="Times New Roman" w:hAnsi="Times New Roman" w:cs="Times New Roman"/>
                <w:bCs/>
                <w:sz w:val="14"/>
                <w:szCs w:val="14"/>
              </w:rPr>
              <w:t>903 405</w:t>
            </w:r>
          </w:p>
        </w:tc>
        <w:tc>
          <w:tcPr>
            <w:tcW w:w="518" w:type="pct"/>
            <w:gridSpan w:val="2"/>
            <w:tcBorders>
              <w:top w:val="single" w:sz="4" w:space="0" w:color="auto"/>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Cs/>
                <w:sz w:val="14"/>
                <w:szCs w:val="14"/>
              </w:rPr>
            </w:pPr>
            <w:r w:rsidRPr="00E167C4">
              <w:rPr>
                <w:rFonts w:ascii="Times New Roman" w:hAnsi="Times New Roman" w:cs="Times New Roman"/>
                <w:bCs/>
                <w:sz w:val="14"/>
                <w:szCs w:val="14"/>
              </w:rPr>
              <w:t>985 500</w:t>
            </w:r>
          </w:p>
        </w:tc>
        <w:tc>
          <w:tcPr>
            <w:tcW w:w="524" w:type="pct"/>
            <w:gridSpan w:val="2"/>
            <w:tcBorders>
              <w:top w:val="single" w:sz="4" w:space="0" w:color="auto"/>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Cs/>
                <w:sz w:val="14"/>
                <w:szCs w:val="14"/>
              </w:rPr>
            </w:pPr>
            <w:r w:rsidRPr="00E167C4">
              <w:rPr>
                <w:rFonts w:ascii="Times New Roman" w:hAnsi="Times New Roman" w:cs="Times New Roman"/>
                <w:bCs/>
                <w:sz w:val="14"/>
                <w:szCs w:val="14"/>
              </w:rPr>
              <w:t>990 000</w:t>
            </w:r>
          </w:p>
        </w:tc>
      </w:tr>
    </w:tbl>
    <w:p w:rsidR="00CB350B" w:rsidP="00CB350B">
      <w:pPr>
        <w:bidi w:val="0"/>
      </w:pPr>
    </w:p>
    <w:p w:rsidR="00CB350B" w:rsidP="00CB350B">
      <w:pPr>
        <w:pBdr>
          <w:bottom w:val="single" w:sz="4" w:space="1" w:color="auto"/>
        </w:pBdr>
        <w:bidi w:val="0"/>
        <w:jc w:val="both"/>
        <w:rPr>
          <w:rFonts w:ascii="Times New Roman" w:hAnsi="Times New Roman" w:cs="Times New Roman"/>
          <w:b/>
          <w:bCs/>
        </w:rPr>
      </w:pPr>
      <w:r w:rsidRPr="008B51FE">
        <w:rPr>
          <w:rFonts w:ascii="Times New Roman" w:hAnsi="Times New Roman" w:cs="Times New Roman"/>
          <w:b/>
          <w:bCs/>
        </w:rPr>
        <w:t>Úrad pre verejné obstarávanie</w:t>
      </w:r>
    </w:p>
    <w:p w:rsidR="00CB350B" w:rsidRPr="008B51FE" w:rsidP="00CB350B">
      <w:pPr>
        <w:bidi w:val="0"/>
        <w:jc w:val="both"/>
        <w:rPr>
          <w:rFonts w:ascii="Times New Roman" w:hAnsi="Times New Roman" w:cs="Times New Roman"/>
          <w:b/>
          <w:bCs/>
        </w:rPr>
      </w:pPr>
    </w:p>
    <w:tbl>
      <w:tblPr>
        <w:tblStyle w:val="TableNormal"/>
        <w:tblW w:w="5150" w:type="pct"/>
        <w:tblCellMar>
          <w:left w:w="70" w:type="dxa"/>
          <w:right w:w="70" w:type="dxa"/>
        </w:tblCellMar>
        <w:tblLook w:val="04A0"/>
      </w:tblPr>
      <w:tblGrid>
        <w:gridCol w:w="2592"/>
        <w:gridCol w:w="983"/>
        <w:gridCol w:w="983"/>
        <w:gridCol w:w="985"/>
        <w:gridCol w:w="983"/>
        <w:gridCol w:w="985"/>
        <w:gridCol w:w="983"/>
        <w:gridCol w:w="994"/>
      </w:tblGrid>
      <w:tr>
        <w:tblPrEx>
          <w:tblW w:w="5150" w:type="pct"/>
          <w:tblCellMar>
            <w:left w:w="70" w:type="dxa"/>
            <w:right w:w="70" w:type="dxa"/>
          </w:tblCellMar>
          <w:tblLook w:val="04A0"/>
        </w:tblPrEx>
        <w:trPr>
          <w:trHeight w:val="259"/>
        </w:trPr>
        <w:tc>
          <w:tcPr>
            <w:tcW w:w="1366"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b/>
                <w:color w:val="000000"/>
                <w:sz w:val="14"/>
                <w:szCs w:val="14"/>
              </w:rPr>
            </w:pPr>
            <w:r w:rsidRPr="00E167C4">
              <w:rPr>
                <w:rFonts w:ascii="Times New Roman" w:hAnsi="Times New Roman" w:cs="Times New Roman"/>
                <w:b/>
                <w:color w:val="000000"/>
                <w:sz w:val="14"/>
                <w:szCs w:val="14"/>
              </w:rPr>
              <w:t>v eurách</w:t>
            </w:r>
          </w:p>
        </w:tc>
        <w:tc>
          <w:tcPr>
            <w:tcW w:w="518"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E167C4" w:rsidP="00257E12">
            <w:pPr>
              <w:bidi w:val="0"/>
              <w:jc w:val="center"/>
              <w:rPr>
                <w:rFonts w:ascii="Times New Roman" w:hAnsi="Times New Roman" w:cs="Times New Roman"/>
                <w:b/>
                <w:color w:val="000000"/>
                <w:sz w:val="14"/>
                <w:szCs w:val="14"/>
              </w:rPr>
            </w:pPr>
            <w:r w:rsidRPr="00E167C4">
              <w:rPr>
                <w:rFonts w:ascii="Times New Roman" w:hAnsi="Times New Roman" w:cs="Times New Roman"/>
                <w:b/>
                <w:color w:val="000000"/>
                <w:sz w:val="14"/>
                <w:szCs w:val="14"/>
              </w:rPr>
              <w:t>2009 S</w:t>
            </w:r>
          </w:p>
        </w:tc>
        <w:tc>
          <w:tcPr>
            <w:tcW w:w="518"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E167C4" w:rsidP="00257E12">
            <w:pPr>
              <w:bidi w:val="0"/>
              <w:jc w:val="center"/>
              <w:rPr>
                <w:rFonts w:ascii="Times New Roman" w:hAnsi="Times New Roman" w:cs="Times New Roman"/>
                <w:b/>
                <w:color w:val="000000"/>
                <w:sz w:val="14"/>
                <w:szCs w:val="14"/>
              </w:rPr>
            </w:pPr>
            <w:r w:rsidRPr="00E167C4">
              <w:rPr>
                <w:rFonts w:ascii="Times New Roman" w:hAnsi="Times New Roman" w:cs="Times New Roman"/>
                <w:b/>
                <w:color w:val="000000"/>
                <w:sz w:val="14"/>
                <w:szCs w:val="14"/>
              </w:rPr>
              <w:t>2010S</w:t>
            </w:r>
          </w:p>
        </w:tc>
        <w:tc>
          <w:tcPr>
            <w:tcW w:w="519"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E167C4" w:rsidP="00257E12">
            <w:pPr>
              <w:bidi w:val="0"/>
              <w:jc w:val="center"/>
              <w:rPr>
                <w:rFonts w:ascii="Times New Roman" w:hAnsi="Times New Roman" w:cs="Times New Roman"/>
                <w:b/>
                <w:color w:val="000000"/>
                <w:sz w:val="14"/>
                <w:szCs w:val="14"/>
              </w:rPr>
            </w:pPr>
            <w:r w:rsidRPr="00E167C4">
              <w:rPr>
                <w:rFonts w:ascii="Times New Roman" w:hAnsi="Times New Roman" w:cs="Times New Roman"/>
                <w:b/>
                <w:color w:val="000000"/>
                <w:sz w:val="14"/>
                <w:szCs w:val="14"/>
              </w:rPr>
              <w:t>2011 R</w:t>
            </w:r>
          </w:p>
        </w:tc>
        <w:tc>
          <w:tcPr>
            <w:tcW w:w="518"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E167C4" w:rsidP="00257E12">
            <w:pPr>
              <w:bidi w:val="0"/>
              <w:jc w:val="center"/>
              <w:rPr>
                <w:rFonts w:ascii="Times New Roman" w:hAnsi="Times New Roman" w:cs="Times New Roman"/>
                <w:b/>
                <w:color w:val="000000"/>
                <w:sz w:val="14"/>
                <w:szCs w:val="14"/>
              </w:rPr>
            </w:pPr>
            <w:r w:rsidRPr="00E167C4">
              <w:rPr>
                <w:rFonts w:ascii="Times New Roman" w:hAnsi="Times New Roman" w:cs="Times New Roman"/>
                <w:b/>
                <w:color w:val="000000"/>
                <w:sz w:val="14"/>
                <w:szCs w:val="14"/>
              </w:rPr>
              <w:t>2011 OS</w:t>
            </w:r>
          </w:p>
        </w:tc>
        <w:tc>
          <w:tcPr>
            <w:tcW w:w="519"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E167C4" w:rsidP="00257E12">
            <w:pPr>
              <w:bidi w:val="0"/>
              <w:jc w:val="center"/>
              <w:rPr>
                <w:rFonts w:ascii="Times New Roman" w:hAnsi="Times New Roman" w:cs="Times New Roman"/>
                <w:b/>
                <w:color w:val="000000"/>
                <w:sz w:val="14"/>
                <w:szCs w:val="14"/>
              </w:rPr>
            </w:pPr>
            <w:r w:rsidRPr="00E167C4">
              <w:rPr>
                <w:rFonts w:ascii="Times New Roman" w:hAnsi="Times New Roman" w:cs="Times New Roman"/>
                <w:b/>
                <w:color w:val="000000"/>
                <w:sz w:val="14"/>
                <w:szCs w:val="14"/>
              </w:rPr>
              <w:t>2012 N</w:t>
            </w:r>
          </w:p>
        </w:tc>
        <w:tc>
          <w:tcPr>
            <w:tcW w:w="518"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E167C4" w:rsidP="00257E12">
            <w:pPr>
              <w:bidi w:val="0"/>
              <w:jc w:val="center"/>
              <w:rPr>
                <w:rFonts w:ascii="Times New Roman" w:hAnsi="Times New Roman" w:cs="Times New Roman"/>
                <w:b/>
                <w:color w:val="000000"/>
                <w:sz w:val="14"/>
                <w:szCs w:val="14"/>
              </w:rPr>
            </w:pPr>
            <w:r w:rsidRPr="00E167C4">
              <w:rPr>
                <w:rFonts w:ascii="Times New Roman" w:hAnsi="Times New Roman" w:cs="Times New Roman"/>
                <w:b/>
                <w:color w:val="000000"/>
                <w:sz w:val="14"/>
                <w:szCs w:val="14"/>
              </w:rPr>
              <w:t>2013 N</w:t>
            </w:r>
          </w:p>
        </w:tc>
        <w:tc>
          <w:tcPr>
            <w:tcW w:w="52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E167C4" w:rsidP="00257E12">
            <w:pPr>
              <w:bidi w:val="0"/>
              <w:jc w:val="center"/>
              <w:rPr>
                <w:rFonts w:ascii="Times New Roman" w:hAnsi="Times New Roman" w:cs="Times New Roman"/>
                <w:b/>
                <w:color w:val="000000"/>
                <w:sz w:val="14"/>
                <w:szCs w:val="14"/>
              </w:rPr>
            </w:pPr>
            <w:r w:rsidRPr="00E167C4">
              <w:rPr>
                <w:rFonts w:ascii="Times New Roman" w:hAnsi="Times New Roman" w:cs="Times New Roman"/>
                <w:b/>
                <w:color w:val="000000"/>
                <w:sz w:val="14"/>
                <w:szCs w:val="14"/>
              </w:rPr>
              <w:t>2014 N</w:t>
            </w:r>
          </w:p>
        </w:tc>
      </w:tr>
      <w:tr>
        <w:tblPrEx>
          <w:tblW w:w="5150" w:type="pct"/>
          <w:tblCellMar>
            <w:left w:w="70" w:type="dxa"/>
            <w:right w:w="70" w:type="dxa"/>
          </w:tblCellMar>
          <w:tblLook w:val="04A0"/>
        </w:tblPrEx>
        <w:trPr>
          <w:trHeight w:val="259"/>
        </w:trPr>
        <w:tc>
          <w:tcPr>
            <w:tcW w:w="1366"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b/>
                <w:bCs/>
                <w:sz w:val="14"/>
                <w:szCs w:val="14"/>
              </w:rPr>
            </w:pPr>
            <w:r w:rsidRPr="00E167C4">
              <w:rPr>
                <w:rFonts w:ascii="Times New Roman" w:hAnsi="Times New Roman" w:cs="Times New Roman"/>
                <w:b/>
                <w:bCs/>
                <w:sz w:val="14"/>
                <w:szCs w:val="14"/>
              </w:rPr>
              <w:t>Zdroje príslušnej kapitoly</w:t>
            </w:r>
          </w:p>
        </w:tc>
        <w:tc>
          <w:tcPr>
            <w:tcW w:w="518"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sz w:val="14"/>
                <w:szCs w:val="14"/>
              </w:rPr>
            </w:pPr>
            <w:r w:rsidRPr="00E167C4">
              <w:rPr>
                <w:rFonts w:ascii="Times New Roman" w:hAnsi="Times New Roman" w:cs="Times New Roman"/>
                <w:b/>
                <w:bCs/>
                <w:sz w:val="14"/>
                <w:szCs w:val="14"/>
              </w:rPr>
              <w:t>3 600 897</w:t>
            </w:r>
          </w:p>
        </w:tc>
        <w:tc>
          <w:tcPr>
            <w:tcW w:w="518"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sz w:val="14"/>
                <w:szCs w:val="14"/>
              </w:rPr>
            </w:pPr>
            <w:r w:rsidRPr="00E167C4">
              <w:rPr>
                <w:rFonts w:ascii="Times New Roman" w:hAnsi="Times New Roman" w:cs="Times New Roman"/>
                <w:b/>
                <w:bCs/>
                <w:sz w:val="14"/>
                <w:szCs w:val="14"/>
              </w:rPr>
              <w:t>3 267 903</w:t>
            </w:r>
          </w:p>
        </w:tc>
        <w:tc>
          <w:tcPr>
            <w:tcW w:w="519"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sz w:val="14"/>
                <w:szCs w:val="14"/>
              </w:rPr>
            </w:pPr>
            <w:r w:rsidRPr="00E167C4">
              <w:rPr>
                <w:rFonts w:ascii="Times New Roman" w:hAnsi="Times New Roman" w:cs="Times New Roman"/>
                <w:b/>
                <w:bCs/>
                <w:sz w:val="14"/>
                <w:szCs w:val="14"/>
              </w:rPr>
              <w:t>2 675 969</w:t>
            </w:r>
          </w:p>
        </w:tc>
        <w:tc>
          <w:tcPr>
            <w:tcW w:w="518"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sz w:val="14"/>
                <w:szCs w:val="14"/>
              </w:rPr>
            </w:pPr>
            <w:r w:rsidRPr="00E167C4">
              <w:rPr>
                <w:rFonts w:ascii="Times New Roman" w:hAnsi="Times New Roman" w:cs="Times New Roman"/>
                <w:b/>
                <w:bCs/>
                <w:sz w:val="14"/>
                <w:szCs w:val="14"/>
              </w:rPr>
              <w:t>3 481 364</w:t>
            </w:r>
          </w:p>
        </w:tc>
        <w:tc>
          <w:tcPr>
            <w:tcW w:w="519"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sz w:val="14"/>
                <w:szCs w:val="14"/>
              </w:rPr>
            </w:pPr>
            <w:r w:rsidRPr="00E167C4">
              <w:rPr>
                <w:rFonts w:ascii="Times New Roman" w:hAnsi="Times New Roman" w:cs="Times New Roman"/>
                <w:b/>
                <w:bCs/>
                <w:sz w:val="14"/>
                <w:szCs w:val="14"/>
              </w:rPr>
              <w:t>2 629 437</w:t>
            </w:r>
          </w:p>
        </w:tc>
        <w:tc>
          <w:tcPr>
            <w:tcW w:w="518"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sz w:val="14"/>
                <w:szCs w:val="14"/>
              </w:rPr>
            </w:pPr>
            <w:r w:rsidRPr="00E167C4">
              <w:rPr>
                <w:rFonts w:ascii="Times New Roman" w:hAnsi="Times New Roman" w:cs="Times New Roman"/>
                <w:b/>
                <w:bCs/>
                <w:sz w:val="14"/>
                <w:szCs w:val="14"/>
              </w:rPr>
              <w:t>2 636 012</w:t>
            </w:r>
          </w:p>
        </w:tc>
        <w:tc>
          <w:tcPr>
            <w:tcW w:w="524"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sz w:val="14"/>
                <w:szCs w:val="14"/>
              </w:rPr>
            </w:pPr>
            <w:r w:rsidRPr="00E167C4">
              <w:rPr>
                <w:rFonts w:ascii="Times New Roman" w:hAnsi="Times New Roman" w:cs="Times New Roman"/>
                <w:b/>
                <w:bCs/>
                <w:sz w:val="14"/>
                <w:szCs w:val="14"/>
              </w:rPr>
              <w:t>2 638 085</w:t>
            </w:r>
          </w:p>
        </w:tc>
      </w:tr>
      <w:tr>
        <w:tblPrEx>
          <w:tblW w:w="5150" w:type="pct"/>
          <w:tblCellMar>
            <w:left w:w="70" w:type="dxa"/>
            <w:right w:w="70" w:type="dxa"/>
          </w:tblCellMar>
          <w:tblLook w:val="04A0"/>
        </w:tblPrEx>
        <w:trPr>
          <w:trHeight w:val="259"/>
        </w:trPr>
        <w:tc>
          <w:tcPr>
            <w:tcW w:w="1366"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sz w:val="14"/>
                <w:szCs w:val="14"/>
              </w:rPr>
            </w:pPr>
            <w:r w:rsidRPr="00E167C4">
              <w:rPr>
                <w:rFonts w:ascii="Times New Roman" w:hAnsi="Times New Roman" w:cs="Times New Roman"/>
                <w:sz w:val="14"/>
                <w:szCs w:val="14"/>
              </w:rPr>
              <w:t xml:space="preserve">rozpočtové zdroje kapitoly </w:t>
            </w:r>
          </w:p>
        </w:tc>
        <w:tc>
          <w:tcPr>
            <w:tcW w:w="518"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bCs/>
                <w:sz w:val="14"/>
                <w:szCs w:val="14"/>
              </w:rPr>
              <w:t>3 461 636</w:t>
            </w:r>
          </w:p>
        </w:tc>
        <w:tc>
          <w:tcPr>
            <w:tcW w:w="518"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3 235 664</w:t>
            </w:r>
          </w:p>
        </w:tc>
        <w:tc>
          <w:tcPr>
            <w:tcW w:w="519"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bCs/>
                <w:sz w:val="14"/>
                <w:szCs w:val="14"/>
              </w:rPr>
              <w:t>2 675 969</w:t>
            </w:r>
          </w:p>
        </w:tc>
        <w:tc>
          <w:tcPr>
            <w:tcW w:w="518"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2 784 364</w:t>
            </w:r>
          </w:p>
        </w:tc>
        <w:tc>
          <w:tcPr>
            <w:tcW w:w="519"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2 629 437</w:t>
            </w:r>
          </w:p>
        </w:tc>
        <w:tc>
          <w:tcPr>
            <w:tcW w:w="518"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2 636 012</w:t>
            </w:r>
          </w:p>
        </w:tc>
        <w:tc>
          <w:tcPr>
            <w:tcW w:w="524"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2 638 085</w:t>
            </w:r>
          </w:p>
        </w:tc>
      </w:tr>
      <w:tr>
        <w:tblPrEx>
          <w:tblW w:w="5150" w:type="pct"/>
          <w:tblCellMar>
            <w:left w:w="70" w:type="dxa"/>
            <w:right w:w="70" w:type="dxa"/>
          </w:tblCellMar>
          <w:tblLook w:val="04A0"/>
        </w:tblPrEx>
        <w:trPr>
          <w:trHeight w:val="259"/>
        </w:trPr>
        <w:tc>
          <w:tcPr>
            <w:tcW w:w="1366"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sz w:val="14"/>
                <w:szCs w:val="14"/>
              </w:rPr>
            </w:pPr>
            <w:r w:rsidRPr="00E167C4">
              <w:rPr>
                <w:rFonts w:ascii="Times New Roman" w:hAnsi="Times New Roman" w:cs="Times New Roman"/>
                <w:sz w:val="14"/>
                <w:szCs w:val="14"/>
              </w:rPr>
              <w:t xml:space="preserve">        v tom: bežné výdavky 600</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3 321 279</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3 228 021</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2 644 799</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 2 749 852</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2 605 977</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2 612 552</w:t>
            </w:r>
          </w:p>
        </w:tc>
        <w:tc>
          <w:tcPr>
            <w:tcW w:w="524"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2 614 625</w:t>
            </w:r>
          </w:p>
        </w:tc>
      </w:tr>
      <w:tr>
        <w:tblPrEx>
          <w:tblW w:w="5150" w:type="pct"/>
          <w:tblCellMar>
            <w:left w:w="70" w:type="dxa"/>
            <w:right w:w="70" w:type="dxa"/>
          </w:tblCellMar>
          <w:tblLook w:val="04A0"/>
        </w:tblPrEx>
        <w:trPr>
          <w:trHeight w:val="259"/>
        </w:trPr>
        <w:tc>
          <w:tcPr>
            <w:tcW w:w="1366"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sz w:val="14"/>
                <w:szCs w:val="14"/>
              </w:rPr>
            </w:pPr>
            <w:r w:rsidRPr="00E167C4">
              <w:rPr>
                <w:rFonts w:ascii="Times New Roman" w:hAnsi="Times New Roman" w:cs="Times New Roman"/>
                <w:sz w:val="14"/>
                <w:szCs w:val="14"/>
              </w:rPr>
              <w:t xml:space="preserve">                               610 mzdy</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1 392 793</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 xml:space="preserve">1 375 478 </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1 207 048</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1 207 048</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1 209 817</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1 214 689</w:t>
            </w:r>
          </w:p>
        </w:tc>
        <w:tc>
          <w:tcPr>
            <w:tcW w:w="524"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1 216 225</w:t>
            </w:r>
          </w:p>
        </w:tc>
      </w:tr>
      <w:tr>
        <w:tblPrEx>
          <w:tblW w:w="5150" w:type="pct"/>
          <w:tblCellMar>
            <w:left w:w="70" w:type="dxa"/>
            <w:right w:w="70" w:type="dxa"/>
          </w:tblCellMar>
          <w:tblLook w:val="04A0"/>
        </w:tblPrEx>
        <w:trPr>
          <w:trHeight w:val="259"/>
        </w:trPr>
        <w:tc>
          <w:tcPr>
            <w:tcW w:w="1366"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sz w:val="14"/>
                <w:szCs w:val="14"/>
              </w:rPr>
            </w:pPr>
            <w:r w:rsidRPr="00E167C4">
              <w:rPr>
                <w:rFonts w:ascii="Times New Roman" w:hAnsi="Times New Roman" w:cs="Times New Roman"/>
                <w:sz w:val="14"/>
                <w:szCs w:val="14"/>
              </w:rPr>
              <w:t xml:space="preserve">                               620 odvody</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470 664</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466 067</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421 863</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421 863</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408 950</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410 653</w:t>
            </w:r>
          </w:p>
        </w:tc>
        <w:tc>
          <w:tcPr>
            <w:tcW w:w="524"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411 190</w:t>
            </w:r>
          </w:p>
        </w:tc>
      </w:tr>
      <w:tr>
        <w:tblPrEx>
          <w:tblW w:w="5150" w:type="pct"/>
          <w:tblCellMar>
            <w:left w:w="70" w:type="dxa"/>
            <w:right w:w="70" w:type="dxa"/>
          </w:tblCellMar>
          <w:tblLook w:val="04A0"/>
        </w:tblPrEx>
        <w:trPr>
          <w:trHeight w:val="259"/>
        </w:trPr>
        <w:tc>
          <w:tcPr>
            <w:tcW w:w="1366"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sz w:val="14"/>
                <w:szCs w:val="14"/>
              </w:rPr>
            </w:pPr>
            <w:r w:rsidRPr="00E167C4">
              <w:rPr>
                <w:rFonts w:ascii="Times New Roman" w:hAnsi="Times New Roman" w:cs="Times New Roman"/>
                <w:sz w:val="14"/>
                <w:szCs w:val="14"/>
              </w:rPr>
              <w:t xml:space="preserve">                               630 tovary a služby</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1 438 233</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1 325 697</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998 888</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1 103 941</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976 210</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976 210</w:t>
            </w:r>
          </w:p>
        </w:tc>
        <w:tc>
          <w:tcPr>
            <w:tcW w:w="524"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976 210</w:t>
            </w:r>
          </w:p>
        </w:tc>
      </w:tr>
      <w:tr>
        <w:tblPrEx>
          <w:tblW w:w="5150" w:type="pct"/>
          <w:tblCellMar>
            <w:left w:w="70" w:type="dxa"/>
            <w:right w:w="70" w:type="dxa"/>
          </w:tblCellMar>
          <w:tblLook w:val="04A0"/>
        </w:tblPrEx>
        <w:trPr>
          <w:trHeight w:val="259"/>
        </w:trPr>
        <w:tc>
          <w:tcPr>
            <w:tcW w:w="1366"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sz w:val="14"/>
                <w:szCs w:val="14"/>
              </w:rPr>
            </w:pPr>
            <w:r w:rsidRPr="00E167C4">
              <w:rPr>
                <w:rFonts w:ascii="Times New Roman" w:hAnsi="Times New Roman" w:cs="Times New Roman"/>
                <w:sz w:val="14"/>
                <w:szCs w:val="14"/>
              </w:rPr>
              <w:t xml:space="preserve">                               640 bežné transfery</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19 588</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60 778</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17 000</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17 000</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11 000</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11 000</w:t>
            </w:r>
          </w:p>
        </w:tc>
        <w:tc>
          <w:tcPr>
            <w:tcW w:w="524"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11 000</w:t>
            </w:r>
          </w:p>
        </w:tc>
      </w:tr>
      <w:tr>
        <w:tblPrEx>
          <w:tblW w:w="5150" w:type="pct"/>
          <w:tblCellMar>
            <w:left w:w="70" w:type="dxa"/>
            <w:right w:w="70" w:type="dxa"/>
          </w:tblCellMar>
          <w:tblLook w:val="04A0"/>
        </w:tblPrEx>
        <w:trPr>
          <w:trHeight w:val="259"/>
        </w:trPr>
        <w:tc>
          <w:tcPr>
            <w:tcW w:w="1366"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sz w:val="14"/>
                <w:szCs w:val="14"/>
              </w:rPr>
            </w:pPr>
            <w:r w:rsidRPr="00E167C4">
              <w:rPr>
                <w:rFonts w:ascii="Times New Roman" w:hAnsi="Times New Roman" w:cs="Times New Roman"/>
                <w:sz w:val="14"/>
                <w:szCs w:val="14"/>
              </w:rPr>
              <w:t xml:space="preserve">                   kapitálové výdavky 700</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140 358</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7 643</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31 170</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34 512</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23 460</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23 460</w:t>
            </w:r>
          </w:p>
        </w:tc>
        <w:tc>
          <w:tcPr>
            <w:tcW w:w="524"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23 460</w:t>
            </w:r>
          </w:p>
        </w:tc>
      </w:tr>
      <w:tr>
        <w:tblPrEx>
          <w:tblW w:w="5150" w:type="pct"/>
          <w:tblCellMar>
            <w:left w:w="70" w:type="dxa"/>
            <w:right w:w="70" w:type="dxa"/>
          </w:tblCellMar>
          <w:tblLook w:val="04A0"/>
        </w:tblPrEx>
        <w:trPr>
          <w:trHeight w:val="259"/>
        </w:trPr>
        <w:tc>
          <w:tcPr>
            <w:tcW w:w="1366"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sz w:val="14"/>
                <w:szCs w:val="14"/>
              </w:rPr>
            </w:pPr>
            <w:r w:rsidRPr="00E167C4">
              <w:rPr>
                <w:rFonts w:ascii="Times New Roman" w:hAnsi="Times New Roman" w:cs="Times New Roman"/>
                <w:sz w:val="14"/>
                <w:szCs w:val="14"/>
              </w:rPr>
              <w:t xml:space="preserve">zdroje EÚ vrátane spolufinancovania: </w:t>
            </w:r>
          </w:p>
        </w:tc>
        <w:tc>
          <w:tcPr>
            <w:tcW w:w="518"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1 431</w:t>
            </w:r>
          </w:p>
        </w:tc>
        <w:tc>
          <w:tcPr>
            <w:tcW w:w="518"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 0</w:t>
            </w:r>
          </w:p>
        </w:tc>
        <w:tc>
          <w:tcPr>
            <w:tcW w:w="519"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 0</w:t>
            </w:r>
          </w:p>
        </w:tc>
        <w:tc>
          <w:tcPr>
            <w:tcW w:w="518"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697 000</w:t>
            </w:r>
          </w:p>
        </w:tc>
        <w:tc>
          <w:tcPr>
            <w:tcW w:w="519"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 0</w:t>
            </w:r>
          </w:p>
        </w:tc>
        <w:tc>
          <w:tcPr>
            <w:tcW w:w="518"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 0</w:t>
            </w:r>
          </w:p>
        </w:tc>
        <w:tc>
          <w:tcPr>
            <w:tcW w:w="524"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 0</w:t>
            </w:r>
          </w:p>
        </w:tc>
      </w:tr>
      <w:tr>
        <w:tblPrEx>
          <w:tblW w:w="5150" w:type="pct"/>
          <w:tblCellMar>
            <w:left w:w="70" w:type="dxa"/>
            <w:right w:w="70" w:type="dxa"/>
          </w:tblCellMar>
          <w:tblLook w:val="04A0"/>
        </w:tblPrEx>
        <w:trPr>
          <w:trHeight w:val="259"/>
        </w:trPr>
        <w:tc>
          <w:tcPr>
            <w:tcW w:w="1366" w:type="pct"/>
            <w:tcBorders>
              <w:top w:val="single" w:sz="4" w:space="0" w:color="auto"/>
              <w:left w:val="single" w:sz="4" w:space="0" w:color="auto"/>
              <w:bottom w:val="single" w:sz="4" w:space="0" w:color="auto"/>
              <w:right w:val="nil"/>
            </w:tcBorders>
            <w:noWrap/>
            <w:textDirection w:val="lrTb"/>
            <w:vAlign w:val="bottom"/>
            <w:hideMark/>
          </w:tcPr>
          <w:p w:rsidR="00CB350B" w:rsidRPr="00E167C4" w:rsidP="00257E12">
            <w:pPr>
              <w:bidi w:val="0"/>
              <w:rPr>
                <w:rFonts w:ascii="Times New Roman" w:hAnsi="Times New Roman" w:cs="Times New Roman"/>
                <w:color w:val="000000"/>
                <w:sz w:val="14"/>
                <w:szCs w:val="14"/>
              </w:rPr>
            </w:pPr>
            <w:r w:rsidRPr="00E167C4">
              <w:rPr>
                <w:rFonts w:ascii="Times New Roman" w:hAnsi="Times New Roman" w:cs="Times New Roman"/>
                <w:color w:val="000000"/>
                <w:sz w:val="14"/>
                <w:szCs w:val="14"/>
              </w:rPr>
              <w:t>presun z minulých rokov</w:t>
            </w:r>
          </w:p>
        </w:tc>
        <w:tc>
          <w:tcPr>
            <w:tcW w:w="518"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137 829</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32 239</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 0</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0</w:t>
            </w:r>
          </w:p>
        </w:tc>
        <w:tc>
          <w:tcPr>
            <w:tcW w:w="519"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 0</w:t>
            </w:r>
          </w:p>
        </w:tc>
        <w:tc>
          <w:tcPr>
            <w:tcW w:w="518"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 0</w:t>
            </w:r>
          </w:p>
        </w:tc>
        <w:tc>
          <w:tcPr>
            <w:tcW w:w="524"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sz w:val="14"/>
                <w:szCs w:val="14"/>
              </w:rPr>
            </w:pPr>
            <w:r w:rsidRPr="00E167C4">
              <w:rPr>
                <w:rFonts w:ascii="Times New Roman" w:hAnsi="Times New Roman" w:cs="Times New Roman"/>
                <w:sz w:val="14"/>
                <w:szCs w:val="14"/>
              </w:rPr>
              <w:t> 0</w:t>
            </w:r>
          </w:p>
        </w:tc>
      </w:tr>
    </w:tbl>
    <w:p w:rsidR="00CB350B" w:rsidRPr="008B51FE" w:rsidP="00CB350B">
      <w:pPr>
        <w:bidi w:val="0"/>
        <w:jc w:val="both"/>
        <w:rPr>
          <w:rFonts w:ascii="Times New Roman" w:hAnsi="Times New Roman" w:cs="Times New Roman"/>
          <w:b/>
          <w:bCs/>
          <w:color w:val="000000"/>
        </w:rPr>
      </w:pPr>
    </w:p>
    <w:p w:rsidR="00CB350B" w:rsidRPr="008B51FE" w:rsidP="00CB350B">
      <w:pPr>
        <w:bidi w:val="0"/>
        <w:ind w:firstLine="708"/>
        <w:jc w:val="both"/>
        <w:rPr>
          <w:rFonts w:ascii="Times New Roman" w:hAnsi="Times New Roman" w:cs="Times New Roman"/>
        </w:rPr>
      </w:pPr>
      <w:r w:rsidRPr="008B51FE">
        <w:rPr>
          <w:rFonts w:ascii="Times New Roman" w:hAnsi="Times New Roman" w:cs="Times New Roman"/>
        </w:rPr>
        <w:t>Na rok 2012 sa pre kapitolu navrhujú výdavky v sume 2,62 mil. eur, čo predstavuje v porovnaní so schváleným rozpočtom roku 2011 pokles o 1,82 %.</w:t>
      </w:r>
    </w:p>
    <w:p w:rsidR="00CB350B" w:rsidRPr="008B51FE" w:rsidP="00CB350B">
      <w:pPr>
        <w:bidi w:val="0"/>
        <w:ind w:firstLine="708"/>
        <w:jc w:val="both"/>
        <w:rPr>
          <w:rFonts w:ascii="Times New Roman" w:hAnsi="Times New Roman" w:cs="Times New Roman"/>
          <w:highlight w:val="yellow"/>
        </w:rPr>
      </w:pPr>
      <w:r w:rsidRPr="008B51FE">
        <w:rPr>
          <w:rFonts w:ascii="Times New Roman" w:hAnsi="Times New Roman" w:cs="Times New Roman"/>
          <w:highlight w:val="yellow"/>
        </w:rPr>
        <w:t xml:space="preserve"> </w:t>
      </w:r>
    </w:p>
    <w:p w:rsidR="00CB350B" w:rsidRPr="008B51FE" w:rsidP="00CB350B">
      <w:pPr>
        <w:bidi w:val="0"/>
        <w:ind w:firstLine="708"/>
        <w:jc w:val="both"/>
        <w:rPr>
          <w:rFonts w:ascii="Times New Roman" w:hAnsi="Times New Roman" w:cs="Times New Roman"/>
        </w:rPr>
      </w:pPr>
      <w:r w:rsidRPr="008B51FE">
        <w:rPr>
          <w:rFonts w:ascii="Times New Roman" w:hAnsi="Times New Roman" w:cs="Times New Roman"/>
        </w:rPr>
        <w:t>Objem osobných výdavkov sa na rok 2012 rozpočtuje na úrovni 1,61 mil. eur, čo v porovnaní so schváleným rozpočtom na rok 2011 predstavuje pokles o 0,76</w:t>
      </w:r>
      <w:r>
        <w:rPr>
          <w:rFonts w:ascii="Times New Roman" w:hAnsi="Times New Roman" w:cs="Times New Roman"/>
        </w:rPr>
        <w:t xml:space="preserve"> </w:t>
      </w:r>
      <w:r w:rsidRPr="008B51FE">
        <w:rPr>
          <w:rFonts w:ascii="Times New Roman" w:hAnsi="Times New Roman" w:cs="Times New Roman"/>
        </w:rPr>
        <w:t>%</w:t>
      </w:r>
      <w:r>
        <w:rPr>
          <w:rFonts w:ascii="Times New Roman" w:hAnsi="Times New Roman" w:cs="Times New Roman"/>
        </w:rPr>
        <w:t xml:space="preserve"> z dôvodu</w:t>
      </w:r>
      <w:r w:rsidRPr="008B51FE">
        <w:rPr>
          <w:rFonts w:ascii="Times New Roman" w:hAnsi="Times New Roman" w:cs="Times New Roman"/>
        </w:rPr>
        <w:t xml:space="preserve"> ich zvýšeni</w:t>
      </w:r>
      <w:r>
        <w:rPr>
          <w:rFonts w:ascii="Times New Roman" w:hAnsi="Times New Roman" w:cs="Times New Roman"/>
        </w:rPr>
        <w:t>a, ktoré</w:t>
      </w:r>
      <w:r w:rsidRPr="008B51FE">
        <w:rPr>
          <w:rFonts w:ascii="Times New Roman" w:hAnsi="Times New Roman" w:cs="Times New Roman"/>
        </w:rPr>
        <w:t xml:space="preserve"> súvis</w:t>
      </w:r>
      <w:r>
        <w:rPr>
          <w:rFonts w:ascii="Times New Roman" w:hAnsi="Times New Roman" w:cs="Times New Roman"/>
        </w:rPr>
        <w:t>í</w:t>
      </w:r>
      <w:r w:rsidRPr="008B51FE">
        <w:rPr>
          <w:rFonts w:ascii="Times New Roman" w:hAnsi="Times New Roman" w:cs="Times New Roman"/>
        </w:rPr>
        <w:t xml:space="preserve"> so zákonom č. 120/1993 Z. z. Nárast osobných výdavkov ústavných činiteľov v roku 2012 zohľadňuje v kapitole štátneho rozpočtu dopočet platových náležitostí reálne vyplácaných v roku 2011 v zmysle zákona.</w:t>
      </w:r>
    </w:p>
    <w:p w:rsidR="00CB350B" w:rsidRPr="008B51FE" w:rsidP="00CB350B">
      <w:pPr>
        <w:bidi w:val="0"/>
        <w:ind w:firstLine="708"/>
        <w:jc w:val="both"/>
        <w:rPr>
          <w:rFonts w:ascii="Times New Roman" w:hAnsi="Times New Roman" w:cs="Times New Roman"/>
          <w:highlight w:val="yellow"/>
        </w:rPr>
      </w:pPr>
    </w:p>
    <w:p w:rsidR="00CB350B" w:rsidRPr="008B51FE" w:rsidP="00CB350B">
      <w:pPr>
        <w:bidi w:val="0"/>
        <w:ind w:firstLine="708"/>
        <w:jc w:val="both"/>
        <w:rPr>
          <w:rFonts w:ascii="Times New Roman" w:hAnsi="Times New Roman" w:cs="Times New Roman"/>
        </w:rPr>
      </w:pPr>
      <w:r w:rsidRPr="008B51FE">
        <w:rPr>
          <w:rFonts w:ascii="Times New Roman" w:hAnsi="Times New Roman" w:cs="Times New Roman"/>
        </w:rPr>
        <w:t>Na tovary a služby sa v roku 2012 rozpisuje suma 976 tis. eur, čo je v porovnaní so schváleným rozpočtom roku 2011 pokles o 2,27 %. Nízky pokles je spôsobený nižším rozpočtovaním bežných transferov a kapitálových výdavkov, a to z dôvodu nárastu nových a jestvujúcich činností vyplývajúcich z prijatia zákona č. 58/2011 Z. z., ktorým sa mení a dopĺňa zákon č. 25/2006 Z. z. o verejnom obstarávaní.</w:t>
      </w:r>
    </w:p>
    <w:p w:rsidR="00CB350B" w:rsidRPr="008B51FE" w:rsidP="00CB350B">
      <w:pPr>
        <w:bidi w:val="0"/>
        <w:ind w:firstLine="708"/>
        <w:jc w:val="both"/>
        <w:rPr>
          <w:rFonts w:ascii="Times New Roman" w:hAnsi="Times New Roman" w:cs="Times New Roman"/>
          <w:highlight w:val="yellow"/>
        </w:rPr>
      </w:pPr>
    </w:p>
    <w:p w:rsidR="00CB350B" w:rsidP="00CB350B">
      <w:pPr>
        <w:bidi w:val="0"/>
        <w:ind w:firstLine="708"/>
        <w:jc w:val="both"/>
      </w:pPr>
      <w:r w:rsidRPr="008B51FE">
        <w:rPr>
          <w:rFonts w:ascii="Times New Roman" w:hAnsi="Times New Roman" w:cs="Times New Roman"/>
        </w:rPr>
        <w:t xml:space="preserve">Kapitálové výdavky sú na rok 2012 rozpočtované v sume 23 tis. eur, čo je o 24,7 % </w:t>
      </w:r>
      <w:r>
        <w:rPr>
          <w:rFonts w:ascii="Times New Roman" w:hAnsi="Times New Roman" w:cs="Times New Roman"/>
        </w:rPr>
        <w:t>m</w:t>
      </w:r>
      <w:r w:rsidRPr="008B51FE">
        <w:rPr>
          <w:rFonts w:ascii="Times New Roman" w:hAnsi="Times New Roman" w:cs="Times New Roman"/>
        </w:rPr>
        <w:t>enej v porovnaní so schváleným rozpočtom roku 2011. Dôvodom vyšších výdavkov v roku 2011 bol jednorazový nákup softvéru.</w:t>
      </w:r>
    </w:p>
    <w:p w:rsidR="00CB350B" w:rsidRPr="00F43064" w:rsidP="00CB350B">
      <w:pPr>
        <w:bidi w:val="0"/>
        <w:jc w:val="both"/>
        <w:rPr>
          <w:rFonts w:ascii="Times New Roman" w:hAnsi="Times New Roman" w:cs="Times New Roman"/>
          <w:lang w:eastAsia="sk-SK"/>
        </w:rPr>
      </w:pPr>
      <w:r w:rsidRPr="00F43064">
        <w:rPr>
          <w:rFonts w:ascii="Times New Roman" w:hAnsi="Times New Roman" w:cs="Times New Roman"/>
          <w:lang w:eastAsia="sk-SK"/>
        </w:rPr>
        <w:t> </w:t>
      </w:r>
    </w:p>
    <w:p w:rsidR="00CB350B" w:rsidRPr="006E0488" w:rsidP="00CB350B">
      <w:pPr>
        <w:pBdr>
          <w:bottom w:val="single" w:sz="4" w:space="1" w:color="auto"/>
        </w:pBdr>
        <w:bidi w:val="0"/>
        <w:jc w:val="both"/>
        <w:rPr>
          <w:rFonts w:ascii="Times New Roman" w:hAnsi="Times New Roman"/>
          <w:b/>
          <w:bCs/>
        </w:rPr>
      </w:pPr>
      <w:r w:rsidRPr="006E0488">
        <w:rPr>
          <w:rFonts w:ascii="Times New Roman" w:hAnsi="Times New Roman"/>
          <w:b/>
          <w:bCs/>
        </w:rPr>
        <w:t xml:space="preserve">Úrad jadrového dozoru SR </w:t>
      </w:r>
    </w:p>
    <w:p w:rsidR="00CB350B" w:rsidRPr="006E0488" w:rsidP="00CB350B">
      <w:pPr>
        <w:bidi w:val="0"/>
        <w:jc w:val="both"/>
        <w:rPr>
          <w:rFonts w:ascii="Times New Roman" w:hAnsi="Times New Roman"/>
        </w:rPr>
      </w:pPr>
    </w:p>
    <w:p w:rsidR="00CB350B" w:rsidP="00CB350B">
      <w:pPr>
        <w:bidi w:val="0"/>
        <w:ind w:firstLine="708"/>
        <w:jc w:val="both"/>
        <w:rPr>
          <w:rFonts w:ascii="Times New Roman" w:hAnsi="Times New Roman"/>
        </w:rPr>
      </w:pPr>
      <w:r w:rsidRPr="006E0488">
        <w:rPr>
          <w:rFonts w:ascii="Times New Roman" w:hAnsi="Times New Roman"/>
        </w:rPr>
        <w:t>Výdavky rozpočtované v kapitole Úradu jadrového dozoru SR (ďalej len „ÚJD SR“) sú určené na plnenie úloh rezortu najmä v oblasti zabezpečovania výkonu štátneho dozoru nad jadrovou bezpečnosťou jadrových zariadení, nakladania s vyhoretým jadrovým palivom a rádioaktívnymi odpadmi, pri fyzickej ochrane jadrových materiálov, aj v oblasti havarijnej pripravenosti v prípade radiačného ohrozenia.</w:t>
      </w:r>
    </w:p>
    <w:p w:rsidR="00CB350B" w:rsidP="00CB350B">
      <w:pPr>
        <w:bidi w:val="0"/>
        <w:ind w:firstLine="708"/>
        <w:jc w:val="both"/>
        <w:rPr>
          <w:rFonts w:ascii="Times New Roman" w:hAnsi="Times New Roman"/>
        </w:rPr>
      </w:pPr>
    </w:p>
    <w:p w:rsidR="00CB350B" w:rsidP="00CB350B">
      <w:pPr>
        <w:bidi w:val="0"/>
        <w:ind w:firstLine="708"/>
        <w:jc w:val="both"/>
        <w:rPr>
          <w:rFonts w:ascii="Times New Roman" w:hAnsi="Times New Roman"/>
        </w:rPr>
      </w:pPr>
    </w:p>
    <w:p w:rsidR="00CB350B" w:rsidP="00CB350B">
      <w:pPr>
        <w:bidi w:val="0"/>
        <w:ind w:firstLine="708"/>
        <w:jc w:val="both"/>
        <w:rPr>
          <w:rFonts w:ascii="Times New Roman" w:hAnsi="Times New Roman"/>
        </w:rPr>
      </w:pPr>
    </w:p>
    <w:p w:rsidR="00CB350B" w:rsidP="00CB350B">
      <w:pPr>
        <w:bidi w:val="0"/>
        <w:ind w:firstLine="708"/>
        <w:jc w:val="both"/>
        <w:rPr>
          <w:rFonts w:ascii="Times New Roman" w:hAnsi="Times New Roman"/>
        </w:rPr>
      </w:pPr>
    </w:p>
    <w:p w:rsidR="00CB350B" w:rsidRPr="006E0488" w:rsidP="00CB350B">
      <w:pPr>
        <w:bidi w:val="0"/>
        <w:ind w:firstLine="708"/>
        <w:jc w:val="both"/>
        <w:rPr>
          <w:rFonts w:ascii="Times New Roman" w:hAnsi="Times New Roman"/>
        </w:rPr>
      </w:pPr>
    </w:p>
    <w:p w:rsidR="00CB350B" w:rsidRPr="006E0488" w:rsidP="00CB350B">
      <w:pPr>
        <w:bidi w:val="0"/>
        <w:jc w:val="both"/>
        <w:rPr>
          <w:rFonts w:ascii="Times New Roman" w:hAnsi="Times New Roman"/>
        </w:rPr>
      </w:pPr>
    </w:p>
    <w:tbl>
      <w:tblPr>
        <w:tblStyle w:val="TableNormal"/>
        <w:tblW w:w="8958" w:type="dxa"/>
        <w:tblInd w:w="59" w:type="dxa"/>
        <w:tblCellMar>
          <w:left w:w="70" w:type="dxa"/>
          <w:right w:w="70" w:type="dxa"/>
        </w:tblCellMar>
        <w:tblLook w:val="04A0"/>
      </w:tblPr>
      <w:tblGrid>
        <w:gridCol w:w="2528"/>
        <w:gridCol w:w="924"/>
        <w:gridCol w:w="924"/>
        <w:gridCol w:w="924"/>
        <w:gridCol w:w="886"/>
        <w:gridCol w:w="924"/>
        <w:gridCol w:w="924"/>
        <w:gridCol w:w="924"/>
      </w:tblGrid>
      <w:tr>
        <w:tblPrEx>
          <w:tblW w:w="8958" w:type="dxa"/>
          <w:tblInd w:w="59" w:type="dxa"/>
          <w:tblCellMar>
            <w:left w:w="70" w:type="dxa"/>
            <w:right w:w="70" w:type="dxa"/>
          </w:tblCellMar>
          <w:tblLook w:val="04A0"/>
        </w:tblPrEx>
        <w:trPr>
          <w:trHeight w:val="259"/>
        </w:trPr>
        <w:tc>
          <w:tcPr>
            <w:tcW w:w="2528"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6E0488" w:rsidP="00257E12">
            <w:pPr>
              <w:bidi w:val="0"/>
              <w:rPr>
                <w:rFonts w:ascii="Times New Roman" w:hAnsi="Times New Roman"/>
                <w:b/>
                <w:bCs/>
                <w:color w:val="000000"/>
                <w:sz w:val="14"/>
                <w:szCs w:val="14"/>
              </w:rPr>
            </w:pPr>
            <w:r w:rsidRPr="006E0488">
              <w:rPr>
                <w:rFonts w:ascii="Times New Roman" w:hAnsi="Times New Roman"/>
                <w:b/>
                <w:bCs/>
                <w:color w:val="000000"/>
                <w:sz w:val="14"/>
                <w:szCs w:val="14"/>
              </w:rPr>
              <w:t xml:space="preserve">  v eurách</w:t>
            </w:r>
          </w:p>
        </w:tc>
        <w:tc>
          <w:tcPr>
            <w:tcW w:w="924" w:type="dxa"/>
            <w:tcBorders>
              <w:top w:val="single" w:sz="4" w:space="0" w:color="auto"/>
              <w:left w:val="nil"/>
              <w:bottom w:val="single" w:sz="4" w:space="0" w:color="auto"/>
              <w:right w:val="single" w:sz="4" w:space="0" w:color="auto"/>
            </w:tcBorders>
            <w:noWrap/>
            <w:textDirection w:val="lrTb"/>
            <w:vAlign w:val="center"/>
            <w:hideMark/>
          </w:tcPr>
          <w:p w:rsidR="00CB350B" w:rsidRPr="006E0488" w:rsidP="00257E12">
            <w:pPr>
              <w:bidi w:val="0"/>
              <w:jc w:val="center"/>
              <w:rPr>
                <w:rFonts w:ascii="Times New Roman" w:hAnsi="Times New Roman"/>
                <w:b/>
                <w:bCs/>
                <w:color w:val="000000"/>
                <w:sz w:val="14"/>
                <w:szCs w:val="14"/>
              </w:rPr>
            </w:pPr>
            <w:r w:rsidRPr="006E0488">
              <w:rPr>
                <w:rFonts w:ascii="Times New Roman" w:hAnsi="Times New Roman"/>
                <w:b/>
                <w:bCs/>
                <w:color w:val="000000"/>
                <w:sz w:val="14"/>
                <w:szCs w:val="14"/>
              </w:rPr>
              <w:t>2009 S</w:t>
            </w:r>
          </w:p>
        </w:tc>
        <w:tc>
          <w:tcPr>
            <w:tcW w:w="924" w:type="dxa"/>
            <w:tcBorders>
              <w:top w:val="single" w:sz="4" w:space="0" w:color="auto"/>
              <w:left w:val="nil"/>
              <w:bottom w:val="single" w:sz="4" w:space="0" w:color="auto"/>
              <w:right w:val="single" w:sz="4" w:space="0" w:color="auto"/>
            </w:tcBorders>
            <w:noWrap/>
            <w:textDirection w:val="lrTb"/>
            <w:vAlign w:val="center"/>
            <w:hideMark/>
          </w:tcPr>
          <w:p w:rsidR="00CB350B" w:rsidRPr="006E0488" w:rsidP="00257E12">
            <w:pPr>
              <w:bidi w:val="0"/>
              <w:jc w:val="center"/>
              <w:rPr>
                <w:rFonts w:ascii="Times New Roman" w:hAnsi="Times New Roman"/>
                <w:b/>
                <w:bCs/>
                <w:color w:val="000000"/>
                <w:sz w:val="14"/>
                <w:szCs w:val="14"/>
              </w:rPr>
            </w:pPr>
            <w:r w:rsidRPr="006E0488">
              <w:rPr>
                <w:rFonts w:ascii="Times New Roman" w:hAnsi="Times New Roman"/>
                <w:b/>
                <w:bCs/>
                <w:color w:val="000000"/>
                <w:sz w:val="14"/>
                <w:szCs w:val="14"/>
              </w:rPr>
              <w:t>2010S</w:t>
            </w:r>
          </w:p>
        </w:tc>
        <w:tc>
          <w:tcPr>
            <w:tcW w:w="924" w:type="dxa"/>
            <w:tcBorders>
              <w:top w:val="single" w:sz="4" w:space="0" w:color="auto"/>
              <w:left w:val="nil"/>
              <w:bottom w:val="single" w:sz="4" w:space="0" w:color="auto"/>
              <w:right w:val="single" w:sz="4" w:space="0" w:color="auto"/>
            </w:tcBorders>
            <w:noWrap/>
            <w:textDirection w:val="lrTb"/>
            <w:vAlign w:val="center"/>
            <w:hideMark/>
          </w:tcPr>
          <w:p w:rsidR="00CB350B" w:rsidRPr="006E0488" w:rsidP="00257E12">
            <w:pPr>
              <w:bidi w:val="0"/>
              <w:jc w:val="center"/>
              <w:rPr>
                <w:rFonts w:ascii="Times New Roman" w:hAnsi="Times New Roman"/>
                <w:b/>
                <w:bCs/>
                <w:color w:val="000000"/>
                <w:sz w:val="14"/>
                <w:szCs w:val="14"/>
              </w:rPr>
            </w:pPr>
            <w:r w:rsidRPr="006E0488">
              <w:rPr>
                <w:rFonts w:ascii="Times New Roman" w:hAnsi="Times New Roman"/>
                <w:b/>
                <w:bCs/>
                <w:color w:val="000000"/>
                <w:sz w:val="14"/>
                <w:szCs w:val="14"/>
              </w:rPr>
              <w:t>2011 R</w:t>
            </w:r>
          </w:p>
        </w:tc>
        <w:tc>
          <w:tcPr>
            <w:tcW w:w="886" w:type="dxa"/>
            <w:tcBorders>
              <w:top w:val="single" w:sz="4" w:space="0" w:color="auto"/>
              <w:left w:val="nil"/>
              <w:bottom w:val="single" w:sz="4" w:space="0" w:color="auto"/>
              <w:right w:val="single" w:sz="4" w:space="0" w:color="auto"/>
            </w:tcBorders>
            <w:textDirection w:val="lrTb"/>
            <w:vAlign w:val="center"/>
          </w:tcPr>
          <w:p w:rsidR="00CB350B" w:rsidRPr="006E0488" w:rsidP="00257E12">
            <w:pPr>
              <w:bidi w:val="0"/>
              <w:jc w:val="center"/>
              <w:rPr>
                <w:rFonts w:ascii="Times New Roman" w:hAnsi="Times New Roman"/>
                <w:b/>
                <w:bCs/>
                <w:color w:val="000000"/>
                <w:sz w:val="14"/>
                <w:szCs w:val="14"/>
              </w:rPr>
            </w:pPr>
            <w:r w:rsidRPr="006E0488">
              <w:rPr>
                <w:rFonts w:ascii="Times New Roman" w:hAnsi="Times New Roman"/>
                <w:b/>
                <w:bCs/>
                <w:color w:val="000000"/>
                <w:sz w:val="14"/>
                <w:szCs w:val="14"/>
              </w:rPr>
              <w:t>2011 OS</w:t>
            </w:r>
          </w:p>
        </w:tc>
        <w:tc>
          <w:tcPr>
            <w:tcW w:w="924" w:type="dxa"/>
            <w:tcBorders>
              <w:top w:val="single" w:sz="4" w:space="0" w:color="auto"/>
              <w:left w:val="single" w:sz="4" w:space="0" w:color="auto"/>
              <w:bottom w:val="single" w:sz="4" w:space="0" w:color="auto"/>
              <w:right w:val="single" w:sz="4" w:space="0" w:color="auto"/>
            </w:tcBorders>
            <w:noWrap/>
            <w:textDirection w:val="lrTb"/>
            <w:vAlign w:val="center"/>
            <w:hideMark/>
          </w:tcPr>
          <w:p w:rsidR="00CB350B" w:rsidRPr="006E0488" w:rsidP="00257E12">
            <w:pPr>
              <w:bidi w:val="0"/>
              <w:jc w:val="center"/>
              <w:rPr>
                <w:rFonts w:ascii="Times New Roman" w:hAnsi="Times New Roman"/>
                <w:b/>
                <w:bCs/>
                <w:color w:val="000000"/>
                <w:sz w:val="14"/>
                <w:szCs w:val="14"/>
              </w:rPr>
            </w:pPr>
            <w:r w:rsidRPr="006E0488">
              <w:rPr>
                <w:rFonts w:ascii="Times New Roman" w:hAnsi="Times New Roman"/>
                <w:b/>
                <w:bCs/>
                <w:color w:val="000000"/>
                <w:sz w:val="14"/>
                <w:szCs w:val="14"/>
              </w:rPr>
              <w:t>2012 N</w:t>
            </w:r>
          </w:p>
        </w:tc>
        <w:tc>
          <w:tcPr>
            <w:tcW w:w="924" w:type="dxa"/>
            <w:tcBorders>
              <w:top w:val="single" w:sz="4" w:space="0" w:color="auto"/>
              <w:left w:val="nil"/>
              <w:bottom w:val="single" w:sz="4" w:space="0" w:color="auto"/>
              <w:right w:val="single" w:sz="4" w:space="0" w:color="auto"/>
            </w:tcBorders>
            <w:noWrap/>
            <w:textDirection w:val="lrTb"/>
            <w:vAlign w:val="center"/>
            <w:hideMark/>
          </w:tcPr>
          <w:p w:rsidR="00CB350B" w:rsidRPr="006E0488" w:rsidP="00257E12">
            <w:pPr>
              <w:bidi w:val="0"/>
              <w:jc w:val="center"/>
              <w:rPr>
                <w:rFonts w:ascii="Times New Roman" w:hAnsi="Times New Roman"/>
                <w:b/>
                <w:bCs/>
                <w:color w:val="000000"/>
                <w:sz w:val="14"/>
                <w:szCs w:val="14"/>
              </w:rPr>
            </w:pPr>
            <w:r w:rsidRPr="006E0488">
              <w:rPr>
                <w:rFonts w:ascii="Times New Roman" w:hAnsi="Times New Roman"/>
                <w:b/>
                <w:bCs/>
                <w:color w:val="000000"/>
                <w:sz w:val="14"/>
                <w:szCs w:val="14"/>
              </w:rPr>
              <w:t>2013 N</w:t>
            </w:r>
          </w:p>
        </w:tc>
        <w:tc>
          <w:tcPr>
            <w:tcW w:w="924" w:type="dxa"/>
            <w:tcBorders>
              <w:top w:val="single" w:sz="4" w:space="0" w:color="auto"/>
              <w:left w:val="nil"/>
              <w:bottom w:val="single" w:sz="4" w:space="0" w:color="auto"/>
              <w:right w:val="single" w:sz="4" w:space="0" w:color="auto"/>
            </w:tcBorders>
            <w:noWrap/>
            <w:textDirection w:val="lrTb"/>
            <w:vAlign w:val="center"/>
            <w:hideMark/>
          </w:tcPr>
          <w:p w:rsidR="00CB350B" w:rsidRPr="006E0488" w:rsidP="00257E12">
            <w:pPr>
              <w:bidi w:val="0"/>
              <w:jc w:val="center"/>
              <w:rPr>
                <w:rFonts w:ascii="Times New Roman" w:hAnsi="Times New Roman"/>
                <w:b/>
                <w:bCs/>
                <w:color w:val="000000"/>
                <w:sz w:val="14"/>
                <w:szCs w:val="14"/>
              </w:rPr>
            </w:pPr>
            <w:r w:rsidRPr="006E0488">
              <w:rPr>
                <w:rFonts w:ascii="Times New Roman" w:hAnsi="Times New Roman"/>
                <w:b/>
                <w:bCs/>
                <w:color w:val="000000"/>
                <w:sz w:val="14"/>
                <w:szCs w:val="14"/>
              </w:rPr>
              <w:t>2014 N</w:t>
            </w:r>
          </w:p>
        </w:tc>
      </w:tr>
      <w:tr>
        <w:tblPrEx>
          <w:tblW w:w="8958" w:type="dxa"/>
          <w:tblInd w:w="59" w:type="dxa"/>
          <w:tblCellMar>
            <w:left w:w="70" w:type="dxa"/>
            <w:right w:w="70" w:type="dxa"/>
          </w:tblCellMar>
          <w:tblLook w:val="04A0"/>
        </w:tblPrEx>
        <w:trPr>
          <w:trHeight w:val="259"/>
        </w:trPr>
        <w:tc>
          <w:tcPr>
            <w:tcW w:w="2528" w:type="dxa"/>
            <w:tcBorders>
              <w:top w:val="nil"/>
              <w:left w:val="single" w:sz="4" w:space="0" w:color="auto"/>
              <w:bottom w:val="single" w:sz="4" w:space="0" w:color="auto"/>
              <w:right w:val="single" w:sz="4" w:space="0" w:color="auto"/>
            </w:tcBorders>
            <w:noWrap/>
            <w:textDirection w:val="lrTb"/>
            <w:vAlign w:val="bottom"/>
            <w:hideMark/>
          </w:tcPr>
          <w:p w:rsidR="00CB350B" w:rsidRPr="006E0488" w:rsidP="00257E12">
            <w:pPr>
              <w:bidi w:val="0"/>
              <w:rPr>
                <w:rFonts w:ascii="Times New Roman" w:hAnsi="Times New Roman"/>
                <w:b/>
                <w:bCs/>
                <w:color w:val="000000"/>
                <w:sz w:val="14"/>
                <w:szCs w:val="14"/>
              </w:rPr>
            </w:pPr>
            <w:r w:rsidRPr="006E0488">
              <w:rPr>
                <w:rFonts w:ascii="Times New Roman" w:hAnsi="Times New Roman"/>
                <w:b/>
                <w:bCs/>
                <w:color w:val="000000"/>
                <w:sz w:val="14"/>
                <w:szCs w:val="14"/>
              </w:rPr>
              <w:t>Zdroje príslušnej kapitoly</w:t>
            </w:r>
          </w:p>
        </w:tc>
        <w:tc>
          <w:tcPr>
            <w:tcW w:w="924" w:type="dxa"/>
            <w:tcBorders>
              <w:top w:val="nil"/>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b/>
                <w:bCs/>
                <w:color w:val="000000"/>
                <w:sz w:val="14"/>
                <w:szCs w:val="14"/>
              </w:rPr>
            </w:pPr>
            <w:r w:rsidRPr="006E0488">
              <w:rPr>
                <w:rFonts w:ascii="Times New Roman" w:hAnsi="Times New Roman"/>
                <w:b/>
                <w:bCs/>
                <w:color w:val="000000"/>
                <w:sz w:val="14"/>
                <w:szCs w:val="14"/>
              </w:rPr>
              <w:t>4 716 775</w:t>
            </w:r>
          </w:p>
        </w:tc>
        <w:tc>
          <w:tcPr>
            <w:tcW w:w="924" w:type="dxa"/>
            <w:tcBorders>
              <w:top w:val="nil"/>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b/>
                <w:bCs/>
                <w:color w:val="000000"/>
                <w:sz w:val="14"/>
                <w:szCs w:val="14"/>
              </w:rPr>
            </w:pPr>
            <w:r w:rsidRPr="006E0488">
              <w:rPr>
                <w:rFonts w:ascii="Times New Roman" w:hAnsi="Times New Roman"/>
                <w:b/>
                <w:bCs/>
                <w:color w:val="000000"/>
                <w:sz w:val="14"/>
                <w:szCs w:val="14"/>
              </w:rPr>
              <w:t>4 765 637</w:t>
            </w:r>
          </w:p>
        </w:tc>
        <w:tc>
          <w:tcPr>
            <w:tcW w:w="924" w:type="dxa"/>
            <w:tcBorders>
              <w:top w:val="nil"/>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b/>
                <w:bCs/>
                <w:color w:val="000000"/>
                <w:sz w:val="14"/>
                <w:szCs w:val="14"/>
              </w:rPr>
            </w:pPr>
            <w:r w:rsidRPr="006E0488">
              <w:rPr>
                <w:rFonts w:ascii="Times New Roman" w:hAnsi="Times New Roman"/>
                <w:b/>
                <w:bCs/>
                <w:color w:val="000000"/>
                <w:sz w:val="14"/>
                <w:szCs w:val="14"/>
              </w:rPr>
              <w:t>5 167 601</w:t>
            </w:r>
          </w:p>
        </w:tc>
        <w:tc>
          <w:tcPr>
            <w:tcW w:w="886" w:type="dxa"/>
            <w:tcBorders>
              <w:top w:val="single" w:sz="4" w:space="0" w:color="auto"/>
              <w:left w:val="nil"/>
              <w:bottom w:val="single" w:sz="4" w:space="0" w:color="auto"/>
              <w:right w:val="single" w:sz="4" w:space="0" w:color="auto"/>
            </w:tcBorders>
            <w:textDirection w:val="lrTb"/>
            <w:vAlign w:val="bottom"/>
          </w:tcPr>
          <w:p w:rsidR="00CB350B" w:rsidRPr="006E0488" w:rsidP="00257E12">
            <w:pPr>
              <w:bidi w:val="0"/>
              <w:jc w:val="right"/>
              <w:rPr>
                <w:rFonts w:ascii="Times New Roman" w:hAnsi="Times New Roman"/>
                <w:b/>
                <w:bCs/>
                <w:color w:val="000000"/>
                <w:sz w:val="14"/>
                <w:szCs w:val="14"/>
              </w:rPr>
            </w:pPr>
            <w:r w:rsidRPr="006E0488">
              <w:rPr>
                <w:rFonts w:ascii="Times New Roman" w:hAnsi="Times New Roman"/>
                <w:b/>
                <w:bCs/>
                <w:color w:val="000000"/>
                <w:sz w:val="14"/>
                <w:szCs w:val="14"/>
              </w:rPr>
              <w:t>5 030 026</w:t>
            </w:r>
          </w:p>
        </w:tc>
        <w:tc>
          <w:tcPr>
            <w:tcW w:w="924"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b/>
                <w:bCs/>
                <w:color w:val="000000"/>
                <w:sz w:val="14"/>
                <w:szCs w:val="14"/>
              </w:rPr>
            </w:pPr>
            <w:r w:rsidRPr="006E0488">
              <w:rPr>
                <w:rFonts w:ascii="Times New Roman" w:hAnsi="Times New Roman"/>
                <w:b/>
                <w:bCs/>
                <w:color w:val="000000"/>
                <w:sz w:val="14"/>
                <w:szCs w:val="14"/>
              </w:rPr>
              <w:t>5 058 977</w:t>
            </w:r>
          </w:p>
        </w:tc>
        <w:tc>
          <w:tcPr>
            <w:tcW w:w="924" w:type="dxa"/>
            <w:tcBorders>
              <w:top w:val="nil"/>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b/>
                <w:bCs/>
                <w:color w:val="000000"/>
                <w:sz w:val="14"/>
                <w:szCs w:val="14"/>
              </w:rPr>
            </w:pPr>
            <w:r w:rsidRPr="006E0488">
              <w:rPr>
                <w:rFonts w:ascii="Times New Roman" w:hAnsi="Times New Roman"/>
                <w:b/>
                <w:bCs/>
                <w:color w:val="000000"/>
                <w:sz w:val="14"/>
                <w:szCs w:val="14"/>
              </w:rPr>
              <w:t>5 098 039</w:t>
            </w:r>
          </w:p>
        </w:tc>
        <w:tc>
          <w:tcPr>
            <w:tcW w:w="924" w:type="dxa"/>
            <w:tcBorders>
              <w:top w:val="nil"/>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b/>
                <w:bCs/>
                <w:color w:val="000000"/>
                <w:sz w:val="14"/>
                <w:szCs w:val="14"/>
              </w:rPr>
            </w:pPr>
            <w:r w:rsidRPr="006E0488">
              <w:rPr>
                <w:rFonts w:ascii="Times New Roman" w:hAnsi="Times New Roman"/>
                <w:b/>
                <w:bCs/>
                <w:color w:val="000000"/>
                <w:sz w:val="14"/>
                <w:szCs w:val="14"/>
              </w:rPr>
              <w:t>5 136 744</w:t>
            </w:r>
          </w:p>
        </w:tc>
      </w:tr>
      <w:tr>
        <w:tblPrEx>
          <w:tblW w:w="8958" w:type="dxa"/>
          <w:tblInd w:w="59" w:type="dxa"/>
          <w:tblCellMar>
            <w:left w:w="70" w:type="dxa"/>
            <w:right w:w="70" w:type="dxa"/>
          </w:tblCellMar>
          <w:tblLook w:val="04A0"/>
        </w:tblPrEx>
        <w:trPr>
          <w:trHeight w:val="259"/>
        </w:trPr>
        <w:tc>
          <w:tcPr>
            <w:tcW w:w="2528" w:type="dxa"/>
            <w:tcBorders>
              <w:top w:val="nil"/>
              <w:left w:val="single" w:sz="4" w:space="0" w:color="auto"/>
              <w:bottom w:val="single" w:sz="4" w:space="0" w:color="auto"/>
              <w:right w:val="single" w:sz="4" w:space="0" w:color="auto"/>
            </w:tcBorders>
            <w:noWrap/>
            <w:textDirection w:val="lrTb"/>
            <w:vAlign w:val="bottom"/>
            <w:hideMark/>
          </w:tcPr>
          <w:p w:rsidR="00CB350B" w:rsidRPr="006E0488" w:rsidP="00257E12">
            <w:pPr>
              <w:bidi w:val="0"/>
              <w:rPr>
                <w:rFonts w:ascii="Times New Roman" w:hAnsi="Times New Roman"/>
                <w:color w:val="000000"/>
                <w:sz w:val="14"/>
                <w:szCs w:val="14"/>
              </w:rPr>
            </w:pPr>
            <w:r w:rsidRPr="006E0488">
              <w:rPr>
                <w:rFonts w:ascii="Times New Roman" w:hAnsi="Times New Roman"/>
                <w:color w:val="000000"/>
                <w:sz w:val="14"/>
                <w:szCs w:val="14"/>
              </w:rPr>
              <w:t xml:space="preserve">Rozpočtové zdroje kapitoly </w:t>
            </w:r>
          </w:p>
        </w:tc>
        <w:tc>
          <w:tcPr>
            <w:tcW w:w="924" w:type="dxa"/>
            <w:tcBorders>
              <w:top w:val="nil"/>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4 628 762</w:t>
            </w:r>
          </w:p>
        </w:tc>
        <w:tc>
          <w:tcPr>
            <w:tcW w:w="924" w:type="dxa"/>
            <w:tcBorders>
              <w:top w:val="nil"/>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4 737 046</w:t>
            </w:r>
          </w:p>
        </w:tc>
        <w:tc>
          <w:tcPr>
            <w:tcW w:w="924" w:type="dxa"/>
            <w:tcBorders>
              <w:top w:val="nil"/>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5 167 601</w:t>
            </w:r>
          </w:p>
        </w:tc>
        <w:tc>
          <w:tcPr>
            <w:tcW w:w="886" w:type="dxa"/>
            <w:tcBorders>
              <w:top w:val="single" w:sz="4" w:space="0" w:color="auto"/>
              <w:left w:val="nil"/>
              <w:bottom w:val="single" w:sz="4" w:space="0" w:color="auto"/>
              <w:right w:val="single" w:sz="4" w:space="0" w:color="auto"/>
            </w:tcBorders>
            <w:textDirection w:val="lrTb"/>
            <w:vAlign w:val="bottom"/>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5 013 135</w:t>
            </w:r>
          </w:p>
        </w:tc>
        <w:tc>
          <w:tcPr>
            <w:tcW w:w="924" w:type="dxa"/>
            <w:tcBorders>
              <w:top w:val="nil"/>
              <w:left w:val="single" w:sz="4" w:space="0" w:color="auto"/>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5 058 977</w:t>
            </w:r>
          </w:p>
        </w:tc>
        <w:tc>
          <w:tcPr>
            <w:tcW w:w="924" w:type="dxa"/>
            <w:tcBorders>
              <w:top w:val="nil"/>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5 098 039</w:t>
            </w:r>
          </w:p>
        </w:tc>
        <w:tc>
          <w:tcPr>
            <w:tcW w:w="924" w:type="dxa"/>
            <w:tcBorders>
              <w:top w:val="nil"/>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5 136 744</w:t>
            </w:r>
          </w:p>
        </w:tc>
      </w:tr>
      <w:tr>
        <w:tblPrEx>
          <w:tblW w:w="8958" w:type="dxa"/>
          <w:tblInd w:w="59" w:type="dxa"/>
          <w:tblCellMar>
            <w:left w:w="70" w:type="dxa"/>
            <w:right w:w="70" w:type="dxa"/>
          </w:tblCellMar>
          <w:tblLook w:val="04A0"/>
        </w:tblPrEx>
        <w:trPr>
          <w:trHeight w:val="259"/>
        </w:trPr>
        <w:tc>
          <w:tcPr>
            <w:tcW w:w="2528"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6E0488" w:rsidP="00257E12">
            <w:pPr>
              <w:bidi w:val="0"/>
              <w:rPr>
                <w:rFonts w:ascii="Times New Roman" w:hAnsi="Times New Roman"/>
                <w:color w:val="000000"/>
                <w:sz w:val="14"/>
                <w:szCs w:val="14"/>
              </w:rPr>
            </w:pPr>
            <w:r w:rsidRPr="006E0488">
              <w:rPr>
                <w:rFonts w:ascii="Times New Roman" w:hAnsi="Times New Roman"/>
                <w:color w:val="000000"/>
                <w:sz w:val="14"/>
                <w:szCs w:val="14"/>
              </w:rPr>
              <w:t xml:space="preserve">    v tom: bežné výdavky  600</w:t>
            </w:r>
          </w:p>
        </w:tc>
        <w:tc>
          <w:tcPr>
            <w:tcW w:w="924" w:type="dxa"/>
            <w:tcBorders>
              <w:top w:val="single" w:sz="4" w:space="0" w:color="auto"/>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4 373 609</w:t>
            </w:r>
          </w:p>
        </w:tc>
        <w:tc>
          <w:tcPr>
            <w:tcW w:w="924" w:type="dxa"/>
            <w:tcBorders>
              <w:top w:val="single" w:sz="4" w:space="0" w:color="auto"/>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4 637 477</w:t>
            </w:r>
          </w:p>
        </w:tc>
        <w:tc>
          <w:tcPr>
            <w:tcW w:w="924" w:type="dxa"/>
            <w:tcBorders>
              <w:top w:val="single" w:sz="4" w:space="0" w:color="auto"/>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5 108 801</w:t>
            </w:r>
          </w:p>
        </w:tc>
        <w:tc>
          <w:tcPr>
            <w:tcW w:w="886" w:type="dxa"/>
            <w:tcBorders>
              <w:top w:val="single" w:sz="4" w:space="0" w:color="auto"/>
              <w:left w:val="nil"/>
              <w:bottom w:val="single" w:sz="4" w:space="0" w:color="auto"/>
              <w:right w:val="single" w:sz="4" w:space="0" w:color="auto"/>
            </w:tcBorders>
            <w:textDirection w:val="lrTb"/>
            <w:vAlign w:val="bottom"/>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4 954 335</w:t>
            </w:r>
          </w:p>
        </w:tc>
        <w:tc>
          <w:tcPr>
            <w:tcW w:w="924"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4 959 077</w:t>
            </w:r>
          </w:p>
        </w:tc>
        <w:tc>
          <w:tcPr>
            <w:tcW w:w="924" w:type="dxa"/>
            <w:tcBorders>
              <w:top w:val="single" w:sz="4" w:space="0" w:color="auto"/>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5 023 139</w:t>
            </w:r>
          </w:p>
        </w:tc>
        <w:tc>
          <w:tcPr>
            <w:tcW w:w="924" w:type="dxa"/>
            <w:tcBorders>
              <w:top w:val="single" w:sz="4" w:space="0" w:color="auto"/>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5 061 844</w:t>
            </w:r>
          </w:p>
        </w:tc>
      </w:tr>
      <w:tr>
        <w:tblPrEx>
          <w:tblW w:w="8958" w:type="dxa"/>
          <w:tblInd w:w="59" w:type="dxa"/>
          <w:tblCellMar>
            <w:left w:w="70" w:type="dxa"/>
            <w:right w:w="70" w:type="dxa"/>
          </w:tblCellMar>
          <w:tblLook w:val="04A0"/>
        </w:tblPrEx>
        <w:trPr>
          <w:trHeight w:val="259"/>
        </w:trPr>
        <w:tc>
          <w:tcPr>
            <w:tcW w:w="2528" w:type="dxa"/>
            <w:tcBorders>
              <w:top w:val="nil"/>
              <w:left w:val="single" w:sz="4" w:space="0" w:color="auto"/>
              <w:bottom w:val="single" w:sz="4" w:space="0" w:color="auto"/>
              <w:right w:val="single" w:sz="4" w:space="0" w:color="auto"/>
            </w:tcBorders>
            <w:noWrap/>
            <w:textDirection w:val="lrTb"/>
            <w:vAlign w:val="bottom"/>
            <w:hideMark/>
          </w:tcPr>
          <w:p w:rsidR="00CB350B" w:rsidRPr="006E0488" w:rsidP="00257E12">
            <w:pPr>
              <w:bidi w:val="0"/>
              <w:rPr>
                <w:rFonts w:ascii="Times New Roman" w:hAnsi="Times New Roman"/>
                <w:color w:val="000000"/>
                <w:sz w:val="14"/>
                <w:szCs w:val="14"/>
              </w:rPr>
            </w:pPr>
            <w:r w:rsidRPr="006E0488">
              <w:rPr>
                <w:rFonts w:ascii="Times New Roman" w:hAnsi="Times New Roman"/>
                <w:color w:val="000000"/>
                <w:sz w:val="14"/>
                <w:szCs w:val="14"/>
              </w:rPr>
              <w:t xml:space="preserve">               610 mzdy</w:t>
            </w:r>
          </w:p>
        </w:tc>
        <w:tc>
          <w:tcPr>
            <w:tcW w:w="924" w:type="dxa"/>
            <w:tcBorders>
              <w:top w:val="nil"/>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1 409 878</w:t>
            </w:r>
          </w:p>
        </w:tc>
        <w:tc>
          <w:tcPr>
            <w:tcW w:w="924" w:type="dxa"/>
            <w:tcBorders>
              <w:top w:val="nil"/>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1 535 878</w:t>
            </w:r>
          </w:p>
        </w:tc>
        <w:tc>
          <w:tcPr>
            <w:tcW w:w="924" w:type="dxa"/>
            <w:tcBorders>
              <w:top w:val="nil"/>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1 508 160</w:t>
            </w:r>
          </w:p>
        </w:tc>
        <w:tc>
          <w:tcPr>
            <w:tcW w:w="886" w:type="dxa"/>
            <w:tcBorders>
              <w:top w:val="single" w:sz="4" w:space="0" w:color="auto"/>
              <w:left w:val="nil"/>
              <w:bottom w:val="single" w:sz="4" w:space="0" w:color="auto"/>
              <w:right w:val="single" w:sz="4" w:space="0" w:color="auto"/>
            </w:tcBorders>
            <w:textDirection w:val="lrTb"/>
            <w:vAlign w:val="bottom"/>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1 508 160</w:t>
            </w:r>
          </w:p>
        </w:tc>
        <w:tc>
          <w:tcPr>
            <w:tcW w:w="924" w:type="dxa"/>
            <w:tcBorders>
              <w:top w:val="nil"/>
              <w:left w:val="single" w:sz="4" w:space="0" w:color="auto"/>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1 596 434</w:t>
            </w:r>
          </w:p>
        </w:tc>
        <w:tc>
          <w:tcPr>
            <w:tcW w:w="924" w:type="dxa"/>
            <w:tcBorders>
              <w:top w:val="nil"/>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1 601 306</w:t>
            </w:r>
          </w:p>
        </w:tc>
        <w:tc>
          <w:tcPr>
            <w:tcW w:w="924" w:type="dxa"/>
            <w:tcBorders>
              <w:top w:val="nil"/>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1 602 842</w:t>
            </w:r>
          </w:p>
        </w:tc>
      </w:tr>
      <w:tr>
        <w:tblPrEx>
          <w:tblW w:w="8958" w:type="dxa"/>
          <w:tblInd w:w="59" w:type="dxa"/>
          <w:tblCellMar>
            <w:left w:w="70" w:type="dxa"/>
            <w:right w:w="70" w:type="dxa"/>
          </w:tblCellMar>
          <w:tblLook w:val="04A0"/>
        </w:tblPrEx>
        <w:trPr>
          <w:trHeight w:val="259"/>
        </w:trPr>
        <w:tc>
          <w:tcPr>
            <w:tcW w:w="2528"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6E0488" w:rsidP="00257E12">
            <w:pPr>
              <w:bidi w:val="0"/>
              <w:rPr>
                <w:rFonts w:ascii="Times New Roman" w:hAnsi="Times New Roman"/>
                <w:color w:val="000000"/>
                <w:sz w:val="14"/>
                <w:szCs w:val="14"/>
              </w:rPr>
            </w:pPr>
            <w:r w:rsidRPr="006E0488">
              <w:rPr>
                <w:rFonts w:ascii="Times New Roman" w:hAnsi="Times New Roman"/>
                <w:color w:val="000000"/>
                <w:sz w:val="14"/>
                <w:szCs w:val="14"/>
              </w:rPr>
              <w:t xml:space="preserve">               620 odvody</w:t>
            </w:r>
          </w:p>
        </w:tc>
        <w:tc>
          <w:tcPr>
            <w:tcW w:w="924" w:type="dxa"/>
            <w:tcBorders>
              <w:top w:val="single" w:sz="4" w:space="0" w:color="auto"/>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498 515</w:t>
            </w:r>
          </w:p>
        </w:tc>
        <w:tc>
          <w:tcPr>
            <w:tcW w:w="924" w:type="dxa"/>
            <w:tcBorders>
              <w:top w:val="single" w:sz="4" w:space="0" w:color="auto"/>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530 841</w:t>
            </w:r>
          </w:p>
        </w:tc>
        <w:tc>
          <w:tcPr>
            <w:tcW w:w="924" w:type="dxa"/>
            <w:tcBorders>
              <w:top w:val="single" w:sz="4" w:space="0" w:color="auto"/>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566 760</w:t>
            </w:r>
          </w:p>
        </w:tc>
        <w:tc>
          <w:tcPr>
            <w:tcW w:w="886" w:type="dxa"/>
            <w:tcBorders>
              <w:top w:val="single" w:sz="4" w:space="0" w:color="auto"/>
              <w:left w:val="nil"/>
              <w:bottom w:val="single" w:sz="4" w:space="0" w:color="auto"/>
              <w:right w:val="single" w:sz="4" w:space="0" w:color="auto"/>
            </w:tcBorders>
            <w:textDirection w:val="lrTb"/>
            <w:vAlign w:val="bottom"/>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566 760</w:t>
            </w:r>
          </w:p>
        </w:tc>
        <w:tc>
          <w:tcPr>
            <w:tcW w:w="924"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569 164</w:t>
            </w:r>
          </w:p>
        </w:tc>
        <w:tc>
          <w:tcPr>
            <w:tcW w:w="924" w:type="dxa"/>
            <w:tcBorders>
              <w:top w:val="single" w:sz="4" w:space="0" w:color="auto"/>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570 867</w:t>
            </w:r>
          </w:p>
        </w:tc>
        <w:tc>
          <w:tcPr>
            <w:tcW w:w="924" w:type="dxa"/>
            <w:tcBorders>
              <w:top w:val="single" w:sz="4" w:space="0" w:color="auto"/>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571 404</w:t>
            </w:r>
          </w:p>
        </w:tc>
      </w:tr>
      <w:tr>
        <w:tblPrEx>
          <w:tblW w:w="8958" w:type="dxa"/>
          <w:tblInd w:w="59" w:type="dxa"/>
          <w:tblCellMar>
            <w:left w:w="70" w:type="dxa"/>
            <w:right w:w="70" w:type="dxa"/>
          </w:tblCellMar>
          <w:tblLook w:val="04A0"/>
        </w:tblPrEx>
        <w:trPr>
          <w:trHeight w:val="259"/>
        </w:trPr>
        <w:tc>
          <w:tcPr>
            <w:tcW w:w="2528" w:type="dxa"/>
            <w:tcBorders>
              <w:top w:val="nil"/>
              <w:left w:val="single" w:sz="4" w:space="0" w:color="auto"/>
              <w:bottom w:val="single" w:sz="4" w:space="0" w:color="auto"/>
              <w:right w:val="single" w:sz="4" w:space="0" w:color="auto"/>
            </w:tcBorders>
            <w:noWrap/>
            <w:textDirection w:val="lrTb"/>
            <w:vAlign w:val="bottom"/>
            <w:hideMark/>
          </w:tcPr>
          <w:p w:rsidR="00CB350B" w:rsidRPr="006E0488" w:rsidP="00257E12">
            <w:pPr>
              <w:bidi w:val="0"/>
              <w:rPr>
                <w:rFonts w:ascii="Times New Roman" w:hAnsi="Times New Roman"/>
                <w:color w:val="000000"/>
                <w:sz w:val="14"/>
                <w:szCs w:val="14"/>
              </w:rPr>
            </w:pPr>
            <w:r w:rsidRPr="006E0488">
              <w:rPr>
                <w:rFonts w:ascii="Times New Roman" w:hAnsi="Times New Roman"/>
                <w:color w:val="000000"/>
                <w:sz w:val="14"/>
                <w:szCs w:val="14"/>
              </w:rPr>
              <w:t xml:space="preserve">                630 tovary a služby</w:t>
            </w:r>
          </w:p>
        </w:tc>
        <w:tc>
          <w:tcPr>
            <w:tcW w:w="924" w:type="dxa"/>
            <w:tcBorders>
              <w:top w:val="nil"/>
              <w:left w:val="nil"/>
              <w:bottom w:val="single" w:sz="4" w:space="0" w:color="auto"/>
              <w:right w:val="single" w:sz="4" w:space="0" w:color="auto"/>
            </w:tcBorders>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2 226 610</w:t>
            </w:r>
          </w:p>
        </w:tc>
        <w:tc>
          <w:tcPr>
            <w:tcW w:w="924" w:type="dxa"/>
            <w:tcBorders>
              <w:top w:val="nil"/>
              <w:left w:val="nil"/>
              <w:bottom w:val="single" w:sz="4" w:space="0" w:color="auto"/>
              <w:right w:val="single" w:sz="4" w:space="0" w:color="auto"/>
            </w:tcBorders>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2 166 230</w:t>
            </w:r>
          </w:p>
        </w:tc>
        <w:tc>
          <w:tcPr>
            <w:tcW w:w="924" w:type="dxa"/>
            <w:tcBorders>
              <w:top w:val="nil"/>
              <w:left w:val="nil"/>
              <w:bottom w:val="single" w:sz="4" w:space="0" w:color="auto"/>
              <w:right w:val="single" w:sz="4" w:space="0" w:color="auto"/>
            </w:tcBorders>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2 348 625</w:t>
            </w:r>
          </w:p>
        </w:tc>
        <w:tc>
          <w:tcPr>
            <w:tcW w:w="886" w:type="dxa"/>
            <w:tcBorders>
              <w:top w:val="single" w:sz="4" w:space="0" w:color="auto"/>
              <w:left w:val="nil"/>
              <w:bottom w:val="single" w:sz="4" w:space="0" w:color="auto"/>
              <w:right w:val="single" w:sz="4" w:space="0" w:color="auto"/>
            </w:tcBorders>
            <w:textDirection w:val="lrTb"/>
            <w:vAlign w:val="bottom"/>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2 194 159</w:t>
            </w:r>
          </w:p>
        </w:tc>
        <w:tc>
          <w:tcPr>
            <w:tcW w:w="924" w:type="dxa"/>
            <w:tcBorders>
              <w:top w:val="nil"/>
              <w:left w:val="single" w:sz="4" w:space="0" w:color="auto"/>
              <w:bottom w:val="single" w:sz="4" w:space="0" w:color="auto"/>
              <w:right w:val="single" w:sz="4" w:space="0" w:color="auto"/>
            </w:tcBorders>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2 076 073</w:t>
            </w:r>
          </w:p>
        </w:tc>
        <w:tc>
          <w:tcPr>
            <w:tcW w:w="924" w:type="dxa"/>
            <w:tcBorders>
              <w:top w:val="nil"/>
              <w:left w:val="nil"/>
              <w:bottom w:val="single" w:sz="4" w:space="0" w:color="auto"/>
              <w:right w:val="single" w:sz="4" w:space="0" w:color="auto"/>
            </w:tcBorders>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2 095 673</w:t>
            </w:r>
          </w:p>
        </w:tc>
        <w:tc>
          <w:tcPr>
            <w:tcW w:w="924" w:type="dxa"/>
            <w:tcBorders>
              <w:top w:val="nil"/>
              <w:left w:val="nil"/>
              <w:bottom w:val="single" w:sz="4" w:space="0" w:color="auto"/>
              <w:right w:val="single" w:sz="4" w:space="0" w:color="auto"/>
            </w:tcBorders>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2 096 673</w:t>
            </w:r>
          </w:p>
        </w:tc>
      </w:tr>
      <w:tr>
        <w:tblPrEx>
          <w:tblW w:w="8958" w:type="dxa"/>
          <w:tblInd w:w="59" w:type="dxa"/>
          <w:tblCellMar>
            <w:left w:w="70" w:type="dxa"/>
            <w:right w:w="70" w:type="dxa"/>
          </w:tblCellMar>
          <w:tblLook w:val="04A0"/>
        </w:tblPrEx>
        <w:trPr>
          <w:trHeight w:val="259"/>
        </w:trPr>
        <w:tc>
          <w:tcPr>
            <w:tcW w:w="2528" w:type="dxa"/>
            <w:tcBorders>
              <w:top w:val="nil"/>
              <w:left w:val="single" w:sz="4" w:space="0" w:color="auto"/>
              <w:bottom w:val="single" w:sz="4" w:space="0" w:color="auto"/>
              <w:right w:val="single" w:sz="4" w:space="0" w:color="auto"/>
            </w:tcBorders>
            <w:noWrap/>
            <w:textDirection w:val="lrTb"/>
            <w:vAlign w:val="bottom"/>
            <w:hideMark/>
          </w:tcPr>
          <w:p w:rsidR="00CB350B" w:rsidRPr="006E0488" w:rsidP="00257E12">
            <w:pPr>
              <w:bidi w:val="0"/>
              <w:rPr>
                <w:rFonts w:ascii="Times New Roman" w:hAnsi="Times New Roman"/>
                <w:color w:val="000000"/>
                <w:sz w:val="14"/>
                <w:szCs w:val="14"/>
              </w:rPr>
            </w:pPr>
            <w:r w:rsidRPr="006E0488">
              <w:rPr>
                <w:rFonts w:ascii="Times New Roman" w:hAnsi="Times New Roman"/>
                <w:color w:val="000000"/>
                <w:sz w:val="14"/>
                <w:szCs w:val="14"/>
              </w:rPr>
              <w:t xml:space="preserve">                640 bežné transfery</w:t>
            </w:r>
          </w:p>
        </w:tc>
        <w:tc>
          <w:tcPr>
            <w:tcW w:w="924" w:type="dxa"/>
            <w:tcBorders>
              <w:top w:val="nil"/>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238 606</w:t>
            </w:r>
          </w:p>
        </w:tc>
        <w:tc>
          <w:tcPr>
            <w:tcW w:w="924" w:type="dxa"/>
            <w:tcBorders>
              <w:top w:val="nil"/>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404 528</w:t>
            </w:r>
          </w:p>
        </w:tc>
        <w:tc>
          <w:tcPr>
            <w:tcW w:w="924" w:type="dxa"/>
            <w:tcBorders>
              <w:top w:val="nil"/>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685 256</w:t>
            </w:r>
          </w:p>
        </w:tc>
        <w:tc>
          <w:tcPr>
            <w:tcW w:w="886" w:type="dxa"/>
            <w:tcBorders>
              <w:top w:val="single" w:sz="4" w:space="0" w:color="auto"/>
              <w:left w:val="nil"/>
              <w:bottom w:val="single" w:sz="4" w:space="0" w:color="auto"/>
              <w:right w:val="single" w:sz="4" w:space="0" w:color="auto"/>
            </w:tcBorders>
            <w:textDirection w:val="lrTb"/>
            <w:vAlign w:val="bottom"/>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685 256</w:t>
            </w:r>
          </w:p>
        </w:tc>
        <w:tc>
          <w:tcPr>
            <w:tcW w:w="924" w:type="dxa"/>
            <w:tcBorders>
              <w:top w:val="nil"/>
              <w:left w:val="single" w:sz="4" w:space="0" w:color="auto"/>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717 406</w:t>
            </w:r>
          </w:p>
        </w:tc>
        <w:tc>
          <w:tcPr>
            <w:tcW w:w="924" w:type="dxa"/>
            <w:tcBorders>
              <w:top w:val="nil"/>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755 293</w:t>
            </w:r>
          </w:p>
        </w:tc>
        <w:tc>
          <w:tcPr>
            <w:tcW w:w="924" w:type="dxa"/>
            <w:tcBorders>
              <w:top w:val="nil"/>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790 925</w:t>
            </w:r>
          </w:p>
        </w:tc>
      </w:tr>
      <w:tr>
        <w:tblPrEx>
          <w:tblW w:w="8958" w:type="dxa"/>
          <w:tblInd w:w="59" w:type="dxa"/>
          <w:tblCellMar>
            <w:left w:w="70" w:type="dxa"/>
            <w:right w:w="70" w:type="dxa"/>
          </w:tblCellMar>
          <w:tblLook w:val="04A0"/>
        </w:tblPrEx>
        <w:trPr>
          <w:trHeight w:val="259"/>
        </w:trPr>
        <w:tc>
          <w:tcPr>
            <w:tcW w:w="2528" w:type="dxa"/>
            <w:tcBorders>
              <w:top w:val="nil"/>
              <w:left w:val="single" w:sz="4" w:space="0" w:color="auto"/>
              <w:bottom w:val="single" w:sz="4" w:space="0" w:color="auto"/>
              <w:right w:val="single" w:sz="4" w:space="0" w:color="auto"/>
            </w:tcBorders>
            <w:noWrap/>
            <w:textDirection w:val="lrTb"/>
            <w:vAlign w:val="bottom"/>
            <w:hideMark/>
          </w:tcPr>
          <w:p w:rsidR="00CB350B" w:rsidRPr="006E0488" w:rsidP="00257E12">
            <w:pPr>
              <w:bidi w:val="0"/>
              <w:rPr>
                <w:rFonts w:ascii="Times New Roman" w:hAnsi="Times New Roman"/>
                <w:color w:val="000000"/>
                <w:sz w:val="14"/>
                <w:szCs w:val="14"/>
              </w:rPr>
            </w:pPr>
            <w:r w:rsidRPr="006E0488">
              <w:rPr>
                <w:rFonts w:ascii="Times New Roman" w:hAnsi="Times New Roman"/>
                <w:color w:val="000000"/>
                <w:sz w:val="14"/>
                <w:szCs w:val="14"/>
              </w:rPr>
              <w:t xml:space="preserve">            kapitálové výdavky 700</w:t>
            </w:r>
          </w:p>
        </w:tc>
        <w:tc>
          <w:tcPr>
            <w:tcW w:w="924" w:type="dxa"/>
            <w:tcBorders>
              <w:top w:val="nil"/>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255 153</w:t>
            </w:r>
          </w:p>
        </w:tc>
        <w:tc>
          <w:tcPr>
            <w:tcW w:w="924" w:type="dxa"/>
            <w:tcBorders>
              <w:top w:val="nil"/>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99 569</w:t>
            </w:r>
          </w:p>
        </w:tc>
        <w:tc>
          <w:tcPr>
            <w:tcW w:w="924" w:type="dxa"/>
            <w:tcBorders>
              <w:top w:val="nil"/>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58 800</w:t>
            </w:r>
          </w:p>
        </w:tc>
        <w:tc>
          <w:tcPr>
            <w:tcW w:w="886" w:type="dxa"/>
            <w:tcBorders>
              <w:top w:val="single" w:sz="4" w:space="0" w:color="auto"/>
              <w:left w:val="nil"/>
              <w:bottom w:val="single" w:sz="4" w:space="0" w:color="auto"/>
              <w:right w:val="single" w:sz="4" w:space="0" w:color="auto"/>
            </w:tcBorders>
            <w:textDirection w:val="lrTb"/>
            <w:vAlign w:val="bottom"/>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58 800</w:t>
            </w:r>
          </w:p>
        </w:tc>
        <w:tc>
          <w:tcPr>
            <w:tcW w:w="924" w:type="dxa"/>
            <w:tcBorders>
              <w:top w:val="nil"/>
              <w:left w:val="single" w:sz="4" w:space="0" w:color="auto"/>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99 900</w:t>
            </w:r>
          </w:p>
        </w:tc>
        <w:tc>
          <w:tcPr>
            <w:tcW w:w="924" w:type="dxa"/>
            <w:tcBorders>
              <w:top w:val="nil"/>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74 900</w:t>
            </w:r>
          </w:p>
        </w:tc>
        <w:tc>
          <w:tcPr>
            <w:tcW w:w="924" w:type="dxa"/>
            <w:tcBorders>
              <w:top w:val="nil"/>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74 900</w:t>
            </w:r>
          </w:p>
        </w:tc>
      </w:tr>
      <w:tr>
        <w:tblPrEx>
          <w:tblW w:w="8958" w:type="dxa"/>
          <w:tblInd w:w="59" w:type="dxa"/>
          <w:tblCellMar>
            <w:left w:w="70" w:type="dxa"/>
            <w:right w:w="70" w:type="dxa"/>
          </w:tblCellMar>
          <w:tblLook w:val="04A0"/>
        </w:tblPrEx>
        <w:trPr>
          <w:trHeight w:val="259"/>
        </w:trPr>
        <w:tc>
          <w:tcPr>
            <w:tcW w:w="2528"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6E0488" w:rsidP="00257E12">
            <w:pPr>
              <w:bidi w:val="0"/>
              <w:rPr>
                <w:rFonts w:ascii="Times New Roman" w:hAnsi="Times New Roman"/>
                <w:color w:val="000000"/>
                <w:sz w:val="14"/>
                <w:szCs w:val="14"/>
              </w:rPr>
            </w:pPr>
            <w:r w:rsidRPr="006E0488">
              <w:rPr>
                <w:rFonts w:ascii="Times New Roman" w:hAnsi="Times New Roman"/>
                <w:color w:val="000000"/>
                <w:sz w:val="14"/>
                <w:szCs w:val="14"/>
              </w:rPr>
              <w:t>Iné zdroje</w:t>
            </w:r>
          </w:p>
        </w:tc>
        <w:tc>
          <w:tcPr>
            <w:tcW w:w="924" w:type="dxa"/>
            <w:tcBorders>
              <w:top w:val="single" w:sz="4" w:space="0" w:color="auto"/>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88 013</w:t>
            </w:r>
          </w:p>
        </w:tc>
        <w:tc>
          <w:tcPr>
            <w:tcW w:w="924" w:type="dxa"/>
            <w:tcBorders>
              <w:top w:val="single" w:sz="4" w:space="0" w:color="auto"/>
              <w:left w:val="nil"/>
              <w:bottom w:val="single" w:sz="4" w:space="0" w:color="auto"/>
              <w:right w:val="nil"/>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28 591</w:t>
            </w:r>
          </w:p>
        </w:tc>
        <w:tc>
          <w:tcPr>
            <w:tcW w:w="924"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Pr>
                <w:rFonts w:ascii="Times New Roman" w:hAnsi="Times New Roman"/>
                <w:color w:val="000000"/>
                <w:sz w:val="14"/>
                <w:szCs w:val="14"/>
              </w:rPr>
              <w:t>0</w:t>
            </w:r>
          </w:p>
        </w:tc>
        <w:tc>
          <w:tcPr>
            <w:tcW w:w="886" w:type="dxa"/>
            <w:tcBorders>
              <w:top w:val="single" w:sz="4" w:space="0" w:color="auto"/>
              <w:left w:val="nil"/>
              <w:bottom w:val="single" w:sz="4" w:space="0" w:color="auto"/>
              <w:right w:val="single" w:sz="4" w:space="0" w:color="auto"/>
            </w:tcBorders>
            <w:textDirection w:val="lrTb"/>
            <w:vAlign w:val="bottom"/>
          </w:tcPr>
          <w:p w:rsidR="00CB350B" w:rsidRPr="006E0488" w:rsidP="00257E12">
            <w:pPr>
              <w:bidi w:val="0"/>
              <w:jc w:val="right"/>
              <w:rPr>
                <w:rFonts w:ascii="Times New Roman" w:hAnsi="Times New Roman"/>
                <w:color w:val="000000"/>
                <w:sz w:val="14"/>
                <w:szCs w:val="14"/>
              </w:rPr>
            </w:pPr>
            <w:r>
              <w:rPr>
                <w:rFonts w:ascii="Times New Roman" w:hAnsi="Times New Roman"/>
                <w:color w:val="000000"/>
                <w:sz w:val="14"/>
                <w:szCs w:val="14"/>
              </w:rPr>
              <w:t>16 891</w:t>
            </w:r>
          </w:p>
        </w:tc>
        <w:tc>
          <w:tcPr>
            <w:tcW w:w="924"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0</w:t>
            </w:r>
          </w:p>
        </w:tc>
        <w:tc>
          <w:tcPr>
            <w:tcW w:w="924" w:type="dxa"/>
            <w:tcBorders>
              <w:top w:val="single" w:sz="4" w:space="0" w:color="auto"/>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0</w:t>
            </w:r>
          </w:p>
        </w:tc>
        <w:tc>
          <w:tcPr>
            <w:tcW w:w="924" w:type="dxa"/>
            <w:tcBorders>
              <w:top w:val="single" w:sz="4" w:space="0" w:color="auto"/>
              <w:left w:val="nil"/>
              <w:bottom w:val="single" w:sz="4" w:space="0" w:color="auto"/>
              <w:right w:val="single" w:sz="4" w:space="0" w:color="auto"/>
            </w:tcBorders>
            <w:noWrap/>
            <w:textDirection w:val="lrTb"/>
            <w:vAlign w:val="bottom"/>
            <w:hideMark/>
          </w:tcPr>
          <w:p w:rsidR="00CB350B" w:rsidRPr="006E0488" w:rsidP="00257E12">
            <w:pPr>
              <w:bidi w:val="0"/>
              <w:jc w:val="right"/>
              <w:rPr>
                <w:rFonts w:ascii="Times New Roman" w:hAnsi="Times New Roman"/>
                <w:color w:val="000000"/>
                <w:sz w:val="14"/>
                <w:szCs w:val="14"/>
              </w:rPr>
            </w:pPr>
            <w:r w:rsidRPr="006E0488">
              <w:rPr>
                <w:rFonts w:ascii="Times New Roman" w:hAnsi="Times New Roman"/>
                <w:color w:val="000000"/>
                <w:sz w:val="14"/>
                <w:szCs w:val="14"/>
              </w:rPr>
              <w:t>0</w:t>
            </w:r>
          </w:p>
        </w:tc>
      </w:tr>
    </w:tbl>
    <w:p w:rsidR="00CB350B" w:rsidRPr="006E0488" w:rsidP="00CB350B">
      <w:pPr>
        <w:bidi w:val="0"/>
        <w:jc w:val="both"/>
        <w:rPr>
          <w:rFonts w:ascii="Times New Roman" w:hAnsi="Times New Roman"/>
        </w:rPr>
      </w:pPr>
    </w:p>
    <w:p w:rsidR="00CB350B" w:rsidRPr="006E0488" w:rsidP="00CB350B">
      <w:pPr>
        <w:bidi w:val="0"/>
        <w:ind w:firstLine="708"/>
        <w:jc w:val="both"/>
        <w:rPr>
          <w:rFonts w:ascii="Times New Roman" w:hAnsi="Times New Roman"/>
        </w:rPr>
      </w:pPr>
      <w:r w:rsidRPr="006E0488">
        <w:rPr>
          <w:rFonts w:ascii="Times New Roman" w:hAnsi="Times New Roman"/>
        </w:rPr>
        <w:t xml:space="preserve">V návrhu rozpočtu ÚJD SR na rok 2012 sú stanovené výdavky nižšie oproti schválenému rozpočtu na rok 2011 o 2,10 %. </w:t>
      </w:r>
    </w:p>
    <w:p w:rsidR="00CB350B" w:rsidRPr="006E0488" w:rsidP="00CB350B">
      <w:pPr>
        <w:bidi w:val="0"/>
        <w:jc w:val="both"/>
        <w:rPr>
          <w:rFonts w:ascii="Times New Roman" w:hAnsi="Times New Roman"/>
        </w:rPr>
      </w:pPr>
    </w:p>
    <w:p w:rsidR="00CB350B" w:rsidRPr="006E0488" w:rsidP="00CB350B">
      <w:pPr>
        <w:bidi w:val="0"/>
        <w:ind w:firstLine="708"/>
        <w:jc w:val="both"/>
        <w:rPr>
          <w:rFonts w:ascii="Times New Roman" w:hAnsi="Times New Roman"/>
        </w:rPr>
      </w:pPr>
      <w:r w:rsidRPr="006E0488">
        <w:rPr>
          <w:rFonts w:ascii="Times New Roman" w:hAnsi="Times New Roman"/>
        </w:rPr>
        <w:t>Osobné výdavky na rok 2012 oproti schválenému rozpočtu na rok 2011 rastú o 4,37 %, v čom je zohľadnené odmeňovanie odborných zamestnancov a zvýšenie súvisiace so zákonom č. 120/1993 Z. z. Nárast osobných výdavkov ústavných činiteľov v roku 2012 zohľadňuje v kapitole štátneho rozpočtu dopočet platových náležitostí reálne vyplácaných v roku 2011 v zmysle zákona.</w:t>
      </w:r>
    </w:p>
    <w:p w:rsidR="00CB350B" w:rsidRPr="006E0488" w:rsidP="00CB350B">
      <w:pPr>
        <w:bidi w:val="0"/>
        <w:ind w:firstLine="708"/>
        <w:jc w:val="both"/>
        <w:rPr>
          <w:rFonts w:ascii="Times New Roman" w:hAnsi="Times New Roman"/>
        </w:rPr>
      </w:pPr>
    </w:p>
    <w:p w:rsidR="00CB350B" w:rsidRPr="006E0488" w:rsidP="00CB350B">
      <w:pPr>
        <w:bidi w:val="0"/>
        <w:ind w:firstLine="708"/>
        <w:jc w:val="both"/>
        <w:rPr>
          <w:rFonts w:ascii="Times New Roman" w:hAnsi="Times New Roman"/>
        </w:rPr>
      </w:pPr>
      <w:r w:rsidRPr="006E0488">
        <w:rPr>
          <w:rFonts w:ascii="Times New Roman" w:hAnsi="Times New Roman"/>
        </w:rPr>
        <w:t xml:space="preserve">Výdavky na tovary a služby na rok 2012 klesajú oproti schválenému rozpočtu na rok 2011 o 11,6 %, pričom rastú výdavky najmä na špeciálne služby (o 105 tis. eur), naopak klesajú najmä výdavky na úlohy výskumu a vývoja (o 356 tis. eur) a obstaranie výpočtovej techniky (o 21,2 tis. eur). </w:t>
      </w:r>
    </w:p>
    <w:p w:rsidR="00CB350B" w:rsidRPr="006E0488" w:rsidP="00CB350B">
      <w:pPr>
        <w:bidi w:val="0"/>
        <w:ind w:firstLine="708"/>
        <w:jc w:val="both"/>
        <w:rPr>
          <w:rFonts w:ascii="Times New Roman" w:hAnsi="Times New Roman"/>
        </w:rPr>
      </w:pPr>
    </w:p>
    <w:p w:rsidR="00CB350B" w:rsidRPr="006E0488" w:rsidP="00CB350B">
      <w:pPr>
        <w:bidi w:val="0"/>
        <w:ind w:firstLine="708"/>
        <w:jc w:val="both"/>
        <w:rPr>
          <w:rFonts w:ascii="Times New Roman" w:hAnsi="Times New Roman"/>
        </w:rPr>
      </w:pPr>
      <w:r w:rsidRPr="006E0488">
        <w:rPr>
          <w:rFonts w:ascii="Times New Roman" w:hAnsi="Times New Roman"/>
        </w:rPr>
        <w:t>Bežné transfery v návrhu rozpočtu na rok 2012 oproti schválenému rozpočtu na rok 2011 rastú o 4,69 %, z toho transfery jednotlivcom klesajú o 5,67 tis. eur, transfery do zahraničia rastú o 37,8 tis. eur. Rozhodujúcou položkou v rámci bežných transferov sú výdavky na príspevky do medzinárodných organizácií. Nárast výdavkov na príspevky do medzinárodných organizácií vyplýva z nárastu podielu Slovenskej republiky do riadneho rozpočtu OSN, ktorý sa následne uplatnil aj pre výpočet členských príspevkov do Medzinárodnej agentúry pre atómovú energiu, Prípravnej komisie pre Organizáciu Zmluvy o všeobecnom zákaze jadrových skúšok a Organizácie pre ekonomickú spoluprácu a rozvoj -Agentúry pre jadrovú energiu.</w:t>
      </w:r>
    </w:p>
    <w:p w:rsidR="00CB350B" w:rsidRPr="006E0488" w:rsidP="00CB350B">
      <w:pPr>
        <w:bidi w:val="0"/>
        <w:rPr>
          <w:rFonts w:ascii="Times New Roman" w:hAnsi="Times New Roman"/>
        </w:rPr>
      </w:pPr>
    </w:p>
    <w:p w:rsidR="00CB350B" w:rsidRPr="006E0488" w:rsidP="00CB350B">
      <w:pPr>
        <w:bidi w:val="0"/>
        <w:ind w:firstLine="708"/>
        <w:jc w:val="both"/>
        <w:rPr>
          <w:rFonts w:ascii="Times New Roman" w:hAnsi="Times New Roman"/>
        </w:rPr>
      </w:pPr>
      <w:r w:rsidRPr="006E0488">
        <w:rPr>
          <w:rFonts w:ascii="Times New Roman" w:hAnsi="Times New Roman"/>
        </w:rPr>
        <w:t>Kapitálové výdavky v návrhu rozpočtu na rok 2012 oproti schválenému rozpočtu na rok 2011 rastú o 69,9 % (t.j. o 41,1 tis. eur) na úkor výdavkov určených na tovary a služby.</w:t>
      </w:r>
    </w:p>
    <w:p w:rsidR="00CB350B" w:rsidRPr="006E0488" w:rsidP="00CB350B">
      <w:pPr>
        <w:bidi w:val="0"/>
        <w:jc w:val="both"/>
        <w:rPr>
          <w:rFonts w:ascii="Times New Roman" w:hAnsi="Times New Roman"/>
        </w:rPr>
      </w:pPr>
    </w:p>
    <w:p w:rsidR="00CB350B" w:rsidRPr="006E0488" w:rsidP="00CB350B">
      <w:pPr>
        <w:bidi w:val="0"/>
        <w:ind w:firstLine="708"/>
        <w:jc w:val="both"/>
        <w:rPr>
          <w:rFonts w:ascii="Times New Roman" w:hAnsi="Times New Roman"/>
        </w:rPr>
      </w:pPr>
      <w:r w:rsidRPr="006E0488">
        <w:rPr>
          <w:rFonts w:ascii="Times New Roman" w:hAnsi="Times New Roman"/>
        </w:rPr>
        <w:t xml:space="preserve">Na plnenie nových úloh ÚJD SR v oblasti jadrovej bezpečnosti je v kapitole Všeobecná pokladničná správa rozpočtovaná rezerva v sume 700 tis. eur na rok 2012 </w:t>
      </w:r>
      <w:r w:rsidR="00712828">
        <w:rPr>
          <w:rFonts w:ascii="Times New Roman" w:hAnsi="Times New Roman"/>
        </w:rPr>
        <w:br/>
      </w:r>
      <w:r w:rsidRPr="006E0488">
        <w:rPr>
          <w:rFonts w:ascii="Times New Roman" w:hAnsi="Times New Roman"/>
        </w:rPr>
        <w:t xml:space="preserve">a 1,00 mil. eur na roky 2013 a 2014. </w:t>
      </w:r>
    </w:p>
    <w:p w:rsidR="00CB350B" w:rsidRPr="008B51FE" w:rsidP="00CB350B">
      <w:pPr>
        <w:bidi w:val="0"/>
        <w:jc w:val="both"/>
        <w:rPr>
          <w:rFonts w:ascii="Times New Roman" w:hAnsi="Times New Roman" w:cs="Times New Roman"/>
          <w:lang w:eastAsia="sk-SK"/>
        </w:rPr>
      </w:pPr>
      <w:r w:rsidRPr="00F43064">
        <w:rPr>
          <w:rFonts w:ascii="Times New Roman" w:hAnsi="Times New Roman" w:cs="Times New Roman"/>
          <w:b/>
          <w:bCs/>
          <w:lang w:eastAsia="sk-SK"/>
        </w:rPr>
        <w:t> </w:t>
      </w:r>
    </w:p>
    <w:p w:rsidR="00CB350B" w:rsidRPr="00FA43DF" w:rsidP="00CB350B">
      <w:pPr>
        <w:pStyle w:val="Title"/>
        <w:pBdr>
          <w:bottom w:val="single" w:sz="4" w:space="1" w:color="auto"/>
        </w:pBdr>
        <w:bidi w:val="0"/>
        <w:jc w:val="both"/>
        <w:rPr>
          <w:rFonts w:ascii="Times New Roman" w:hAnsi="Times New Roman"/>
        </w:rPr>
      </w:pPr>
      <w:r w:rsidRPr="00FA43DF">
        <w:rPr>
          <w:rFonts w:ascii="Times New Roman" w:hAnsi="Times New Roman"/>
        </w:rPr>
        <w:t>Úrad priemyselného vlastníctva SR</w:t>
      </w:r>
    </w:p>
    <w:p w:rsidR="00CB350B" w:rsidRPr="008B51FE" w:rsidP="00CB350B">
      <w:pPr>
        <w:bidi w:val="0"/>
        <w:jc w:val="both"/>
        <w:rPr>
          <w:rFonts w:ascii="Times New Roman" w:hAnsi="Times New Roman" w:cs="Times New Roman"/>
          <w:b/>
        </w:rPr>
      </w:pPr>
    </w:p>
    <w:p w:rsidR="00CB350B" w:rsidP="00CB350B">
      <w:pPr>
        <w:bidi w:val="0"/>
        <w:ind w:firstLine="708"/>
        <w:jc w:val="both"/>
        <w:rPr>
          <w:rFonts w:ascii="Times New Roman" w:hAnsi="Times New Roman" w:cs="Times New Roman"/>
          <w:color w:val="000000"/>
        </w:rPr>
      </w:pPr>
      <w:r w:rsidRPr="008B51FE">
        <w:rPr>
          <w:rFonts w:ascii="Times New Roman" w:hAnsi="Times New Roman" w:cs="Times New Roman"/>
          <w:color w:val="000000"/>
        </w:rPr>
        <w:t>Úrad priemyselného vlastníctva SR vykonáva štátnu správu v oblasti ochrany vynálezov, úžitkových vzorov, topografií polovodičových výrobkov, dizajnov, ochranných známok, označení pôvodu výrobkov a zemepisných označení výrobkov. Úrad tiež spracováva, udržiava a sprístupňuje ústredný fond priemyselnoprávnej literatúry, dokumentácie a dostupných informačných zdrojov a poskytuje verejnosti informácie a informačné služby z oblasti priemyselného vlastníctva.</w:t>
      </w:r>
    </w:p>
    <w:p w:rsidR="00CB350B" w:rsidRPr="008B51FE" w:rsidP="00CB350B">
      <w:pPr>
        <w:bidi w:val="0"/>
        <w:ind w:firstLine="708"/>
        <w:jc w:val="both"/>
        <w:rPr>
          <w:rFonts w:ascii="Times New Roman" w:hAnsi="Times New Roman" w:cs="Times New Roman"/>
        </w:rPr>
      </w:pPr>
    </w:p>
    <w:tbl>
      <w:tblPr>
        <w:tblStyle w:val="TableNormal"/>
        <w:tblW w:w="4962" w:type="pct"/>
        <w:tblInd w:w="70" w:type="dxa"/>
        <w:tblCellMar>
          <w:left w:w="70" w:type="dxa"/>
          <w:right w:w="70" w:type="dxa"/>
        </w:tblCellMar>
        <w:tblLook w:val="04A0"/>
      </w:tblPr>
      <w:tblGrid>
        <w:gridCol w:w="2751"/>
        <w:gridCol w:w="914"/>
        <w:gridCol w:w="914"/>
        <w:gridCol w:w="914"/>
        <w:gridCol w:w="914"/>
        <w:gridCol w:w="914"/>
        <w:gridCol w:w="914"/>
        <w:gridCol w:w="907"/>
      </w:tblGrid>
      <w:tr>
        <w:tblPrEx>
          <w:tblW w:w="4962" w:type="pct"/>
          <w:tblInd w:w="70" w:type="dxa"/>
          <w:tblCellMar>
            <w:left w:w="70" w:type="dxa"/>
            <w:right w:w="70" w:type="dxa"/>
          </w:tblCellMar>
          <w:tblLook w:val="04A0"/>
        </w:tblPrEx>
        <w:trPr>
          <w:trHeight w:val="255"/>
        </w:trPr>
        <w:tc>
          <w:tcPr>
            <w:tcW w:w="1504"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v eurách</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E167C4" w:rsidP="00257E12">
            <w:pPr>
              <w:bidi w:val="0"/>
              <w:jc w:val="center"/>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2009 S</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E167C4" w:rsidP="00257E12">
            <w:pPr>
              <w:bidi w:val="0"/>
              <w:jc w:val="center"/>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2010S</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E167C4" w:rsidP="00257E12">
            <w:pPr>
              <w:bidi w:val="0"/>
              <w:jc w:val="center"/>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2011 R</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E167C4" w:rsidP="00257E12">
            <w:pPr>
              <w:bidi w:val="0"/>
              <w:jc w:val="center"/>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2011 OS</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E167C4" w:rsidP="00257E12">
            <w:pPr>
              <w:bidi w:val="0"/>
              <w:jc w:val="center"/>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2012 N</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CB350B" w:rsidRPr="00E167C4" w:rsidP="00257E12">
            <w:pPr>
              <w:bidi w:val="0"/>
              <w:jc w:val="center"/>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2013 N</w:t>
            </w:r>
          </w:p>
        </w:tc>
        <w:tc>
          <w:tcPr>
            <w:tcW w:w="497" w:type="pct"/>
            <w:tcBorders>
              <w:top w:val="single" w:sz="4" w:space="0" w:color="auto"/>
              <w:left w:val="nil"/>
              <w:bottom w:val="single" w:sz="4" w:space="0" w:color="auto"/>
              <w:right w:val="single" w:sz="4" w:space="0" w:color="auto"/>
            </w:tcBorders>
            <w:noWrap/>
            <w:textDirection w:val="lrTb"/>
            <w:vAlign w:val="center"/>
            <w:hideMark/>
          </w:tcPr>
          <w:p w:rsidR="00CB350B" w:rsidRPr="00E167C4" w:rsidP="00257E12">
            <w:pPr>
              <w:bidi w:val="0"/>
              <w:jc w:val="center"/>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2014 N</w:t>
            </w:r>
          </w:p>
        </w:tc>
      </w:tr>
      <w:tr>
        <w:tblPrEx>
          <w:tblW w:w="4962" w:type="pct"/>
          <w:tblInd w:w="70" w:type="dxa"/>
          <w:tblCellMar>
            <w:left w:w="70" w:type="dxa"/>
            <w:right w:w="70" w:type="dxa"/>
          </w:tblCellMar>
          <w:tblLook w:val="04A0"/>
        </w:tblPrEx>
        <w:trPr>
          <w:trHeight w:val="255"/>
        </w:trPr>
        <w:tc>
          <w:tcPr>
            <w:tcW w:w="1504"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Zdroje príslušnej kapitoly</w:t>
            </w:r>
          </w:p>
        </w:tc>
        <w:tc>
          <w:tcPr>
            <w:tcW w:w="500"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3 175 712</w:t>
            </w:r>
          </w:p>
        </w:tc>
        <w:tc>
          <w:tcPr>
            <w:tcW w:w="500"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3 137 627</w:t>
            </w:r>
          </w:p>
        </w:tc>
        <w:tc>
          <w:tcPr>
            <w:tcW w:w="500"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2 777 698</w:t>
            </w:r>
          </w:p>
        </w:tc>
        <w:tc>
          <w:tcPr>
            <w:tcW w:w="500"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2 777 698</w:t>
            </w:r>
          </w:p>
        </w:tc>
        <w:tc>
          <w:tcPr>
            <w:tcW w:w="500"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2 759 294</w:t>
            </w:r>
          </w:p>
        </w:tc>
        <w:tc>
          <w:tcPr>
            <w:tcW w:w="500"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2 765 869</w:t>
            </w:r>
          </w:p>
        </w:tc>
        <w:tc>
          <w:tcPr>
            <w:tcW w:w="497"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2 767 942</w:t>
            </w:r>
          </w:p>
        </w:tc>
      </w:tr>
      <w:tr>
        <w:tblPrEx>
          <w:tblW w:w="4962" w:type="pct"/>
          <w:tblInd w:w="70" w:type="dxa"/>
          <w:tblCellMar>
            <w:left w:w="70" w:type="dxa"/>
            <w:right w:w="70" w:type="dxa"/>
          </w:tblCellMar>
          <w:tblLook w:val="04A0"/>
        </w:tblPrEx>
        <w:trPr>
          <w:trHeight w:val="255"/>
        </w:trPr>
        <w:tc>
          <w:tcPr>
            <w:tcW w:w="1504"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color w:val="000000"/>
                <w:sz w:val="14"/>
                <w:szCs w:val="14"/>
              </w:rPr>
            </w:pPr>
            <w:r w:rsidRPr="00E167C4">
              <w:rPr>
                <w:rFonts w:ascii="Times New Roman" w:hAnsi="Times New Roman" w:cs="Times New Roman"/>
                <w:color w:val="000000"/>
                <w:sz w:val="14"/>
                <w:szCs w:val="14"/>
              </w:rPr>
              <w:t xml:space="preserve">rozpočtové zdroje kapitoly </w:t>
            </w:r>
          </w:p>
        </w:tc>
        <w:tc>
          <w:tcPr>
            <w:tcW w:w="500"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3 175 712</w:t>
            </w:r>
          </w:p>
        </w:tc>
        <w:tc>
          <w:tcPr>
            <w:tcW w:w="500"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3 137 627</w:t>
            </w:r>
          </w:p>
        </w:tc>
        <w:tc>
          <w:tcPr>
            <w:tcW w:w="500"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2 777 698</w:t>
            </w:r>
          </w:p>
        </w:tc>
        <w:tc>
          <w:tcPr>
            <w:tcW w:w="500"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2 777 698</w:t>
            </w:r>
          </w:p>
        </w:tc>
        <w:tc>
          <w:tcPr>
            <w:tcW w:w="500"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2 759 294</w:t>
            </w:r>
          </w:p>
        </w:tc>
        <w:tc>
          <w:tcPr>
            <w:tcW w:w="500"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2 765 869</w:t>
            </w:r>
          </w:p>
        </w:tc>
        <w:tc>
          <w:tcPr>
            <w:tcW w:w="497"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2 767 942</w:t>
            </w:r>
          </w:p>
        </w:tc>
      </w:tr>
      <w:tr>
        <w:tblPrEx>
          <w:tblW w:w="4962" w:type="pct"/>
          <w:tblInd w:w="70" w:type="dxa"/>
          <w:tblCellMar>
            <w:left w:w="70" w:type="dxa"/>
            <w:right w:w="70" w:type="dxa"/>
          </w:tblCellMar>
          <w:tblLook w:val="04A0"/>
        </w:tblPrEx>
        <w:trPr>
          <w:trHeight w:val="255"/>
        </w:trPr>
        <w:tc>
          <w:tcPr>
            <w:tcW w:w="1504"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color w:val="000000"/>
                <w:sz w:val="14"/>
                <w:szCs w:val="14"/>
              </w:rPr>
            </w:pPr>
            <w:r w:rsidRPr="00E167C4">
              <w:rPr>
                <w:rFonts w:ascii="Times New Roman" w:hAnsi="Times New Roman" w:cs="Times New Roman"/>
                <w:color w:val="000000"/>
                <w:sz w:val="14"/>
                <w:szCs w:val="14"/>
              </w:rPr>
              <w:t xml:space="preserve">    v tom: bežné výdavky  600</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3 008 215</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2 920 776</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2 717 698</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2 717 698</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2 699 294</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2 705 869</w:t>
            </w:r>
          </w:p>
        </w:tc>
        <w:tc>
          <w:tcPr>
            <w:tcW w:w="497"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2 707 942</w:t>
            </w:r>
          </w:p>
        </w:tc>
      </w:tr>
      <w:tr>
        <w:tblPrEx>
          <w:tblW w:w="4962" w:type="pct"/>
          <w:tblInd w:w="70" w:type="dxa"/>
          <w:tblCellMar>
            <w:left w:w="70" w:type="dxa"/>
            <w:right w:w="70" w:type="dxa"/>
          </w:tblCellMar>
          <w:tblLook w:val="04A0"/>
        </w:tblPrEx>
        <w:trPr>
          <w:trHeight w:val="255"/>
        </w:trPr>
        <w:tc>
          <w:tcPr>
            <w:tcW w:w="1504"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color w:val="000000"/>
                <w:sz w:val="14"/>
                <w:szCs w:val="14"/>
              </w:rPr>
            </w:pPr>
            <w:r w:rsidRPr="00E167C4">
              <w:rPr>
                <w:rFonts w:ascii="Times New Roman" w:hAnsi="Times New Roman" w:cs="Times New Roman"/>
                <w:color w:val="000000"/>
                <w:sz w:val="14"/>
                <w:szCs w:val="14"/>
              </w:rPr>
              <w:t xml:space="preserve">                        610 mzdy</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1 581 966</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1 521 691</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1 456 385</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1 456 385</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1 459 154</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1 464 026</w:t>
            </w:r>
          </w:p>
        </w:tc>
        <w:tc>
          <w:tcPr>
            <w:tcW w:w="497"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1 465 562</w:t>
            </w:r>
          </w:p>
        </w:tc>
      </w:tr>
      <w:tr>
        <w:tblPrEx>
          <w:tblW w:w="4962" w:type="pct"/>
          <w:tblInd w:w="70" w:type="dxa"/>
          <w:tblCellMar>
            <w:left w:w="70" w:type="dxa"/>
            <w:right w:w="70" w:type="dxa"/>
          </w:tblCellMar>
          <w:tblLook w:val="04A0"/>
        </w:tblPrEx>
        <w:trPr>
          <w:trHeight w:val="255"/>
        </w:trPr>
        <w:tc>
          <w:tcPr>
            <w:tcW w:w="1504"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color w:val="000000"/>
                <w:sz w:val="14"/>
                <w:szCs w:val="14"/>
              </w:rPr>
            </w:pPr>
            <w:r w:rsidRPr="00E167C4">
              <w:rPr>
                <w:rFonts w:ascii="Times New Roman" w:hAnsi="Times New Roman" w:cs="Times New Roman"/>
                <w:color w:val="000000"/>
                <w:sz w:val="14"/>
                <w:szCs w:val="14"/>
              </w:rPr>
              <w:t xml:space="preserve">                        620 odvody</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579 734</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554 248</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528 007</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528 007</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528 500</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530 203</w:t>
            </w:r>
          </w:p>
        </w:tc>
        <w:tc>
          <w:tcPr>
            <w:tcW w:w="497"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530 740</w:t>
            </w:r>
          </w:p>
        </w:tc>
      </w:tr>
      <w:tr>
        <w:tblPrEx>
          <w:tblW w:w="4962" w:type="pct"/>
          <w:tblInd w:w="70" w:type="dxa"/>
          <w:tblCellMar>
            <w:left w:w="70" w:type="dxa"/>
            <w:right w:w="70" w:type="dxa"/>
          </w:tblCellMar>
          <w:tblLook w:val="04A0"/>
        </w:tblPrEx>
        <w:trPr>
          <w:trHeight w:val="255"/>
        </w:trPr>
        <w:tc>
          <w:tcPr>
            <w:tcW w:w="1504"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color w:val="000000"/>
                <w:sz w:val="14"/>
                <w:szCs w:val="14"/>
              </w:rPr>
            </w:pPr>
            <w:r w:rsidRPr="00E167C4">
              <w:rPr>
                <w:rFonts w:ascii="Times New Roman" w:hAnsi="Times New Roman" w:cs="Times New Roman"/>
                <w:color w:val="000000"/>
                <w:sz w:val="14"/>
                <w:szCs w:val="14"/>
              </w:rPr>
              <w:t xml:space="preserve">                        630 tovary a služby</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754 486</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733 832</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633 306</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633 306</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611 640</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611 640</w:t>
            </w:r>
          </w:p>
        </w:tc>
        <w:tc>
          <w:tcPr>
            <w:tcW w:w="497"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611 640</w:t>
            </w:r>
          </w:p>
        </w:tc>
      </w:tr>
      <w:tr>
        <w:tblPrEx>
          <w:tblW w:w="4962" w:type="pct"/>
          <w:tblInd w:w="70" w:type="dxa"/>
          <w:tblCellMar>
            <w:left w:w="70" w:type="dxa"/>
            <w:right w:w="70" w:type="dxa"/>
          </w:tblCellMar>
          <w:tblLook w:val="04A0"/>
        </w:tblPrEx>
        <w:trPr>
          <w:trHeight w:val="255"/>
        </w:trPr>
        <w:tc>
          <w:tcPr>
            <w:tcW w:w="1504"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color w:val="000000"/>
                <w:sz w:val="14"/>
                <w:szCs w:val="14"/>
              </w:rPr>
            </w:pPr>
            <w:r w:rsidRPr="00E167C4">
              <w:rPr>
                <w:rFonts w:ascii="Times New Roman" w:hAnsi="Times New Roman" w:cs="Times New Roman"/>
                <w:color w:val="000000"/>
                <w:sz w:val="14"/>
                <w:szCs w:val="14"/>
              </w:rPr>
              <w:t xml:space="preserve">                        640 bežné transfery</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92 029</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111 005</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100 000</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100 000</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100 000</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100 000</w:t>
            </w:r>
          </w:p>
        </w:tc>
        <w:tc>
          <w:tcPr>
            <w:tcW w:w="497"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100 000</w:t>
            </w:r>
          </w:p>
        </w:tc>
      </w:tr>
      <w:tr>
        <w:tblPrEx>
          <w:tblW w:w="4962" w:type="pct"/>
          <w:tblInd w:w="70" w:type="dxa"/>
          <w:tblCellMar>
            <w:left w:w="70" w:type="dxa"/>
            <w:right w:w="70" w:type="dxa"/>
          </w:tblCellMar>
          <w:tblLook w:val="04A0"/>
        </w:tblPrEx>
        <w:trPr>
          <w:trHeight w:val="255"/>
        </w:trPr>
        <w:tc>
          <w:tcPr>
            <w:tcW w:w="1504"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color w:val="000000"/>
                <w:sz w:val="14"/>
                <w:szCs w:val="14"/>
              </w:rPr>
            </w:pPr>
            <w:r w:rsidRPr="00E167C4">
              <w:rPr>
                <w:rFonts w:ascii="Times New Roman" w:hAnsi="Times New Roman" w:cs="Times New Roman"/>
                <w:color w:val="000000"/>
                <w:sz w:val="14"/>
                <w:szCs w:val="14"/>
              </w:rPr>
              <w:t xml:space="preserve">               kapitálové výdavky 700</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167 497</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216 851</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60 000</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60 000</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60 000</w:t>
            </w:r>
          </w:p>
        </w:tc>
        <w:tc>
          <w:tcPr>
            <w:tcW w:w="500"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60 000</w:t>
            </w:r>
          </w:p>
        </w:tc>
        <w:tc>
          <w:tcPr>
            <w:tcW w:w="497"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60 000</w:t>
            </w:r>
          </w:p>
        </w:tc>
      </w:tr>
    </w:tbl>
    <w:p w:rsidR="00CB350B" w:rsidRPr="008B51FE" w:rsidP="00CB350B">
      <w:pPr>
        <w:bidi w:val="0"/>
        <w:jc w:val="both"/>
        <w:rPr>
          <w:rFonts w:ascii="Times New Roman" w:hAnsi="Times New Roman" w:cs="Times New Roman"/>
          <w:b/>
        </w:rPr>
      </w:pPr>
    </w:p>
    <w:p w:rsidR="00CB350B" w:rsidRPr="008B51FE" w:rsidP="00CB350B">
      <w:pPr>
        <w:bidi w:val="0"/>
        <w:ind w:firstLine="708"/>
        <w:jc w:val="both"/>
        <w:rPr>
          <w:rFonts w:ascii="Times New Roman" w:hAnsi="Times New Roman" w:cs="Times New Roman"/>
          <w:bCs/>
        </w:rPr>
      </w:pPr>
      <w:r w:rsidRPr="008B51FE">
        <w:rPr>
          <w:rFonts w:ascii="Times New Roman" w:hAnsi="Times New Roman" w:cs="Times New Roman"/>
          <w:bCs/>
        </w:rPr>
        <w:t xml:space="preserve">Výdavky kapitoly sa rozpočtujú v roku 2012 v sume </w:t>
      </w:r>
      <w:r w:rsidRPr="008B51FE">
        <w:rPr>
          <w:rFonts w:ascii="Times New Roman" w:hAnsi="Times New Roman" w:cs="Times New Roman"/>
        </w:rPr>
        <w:t>2,76 mil. eur, čo predstavuje oproti schválenému rozpočtu v roku 2011 pokles o 0,7</w:t>
      </w:r>
      <w:r>
        <w:rPr>
          <w:rFonts w:ascii="Times New Roman" w:hAnsi="Times New Roman" w:cs="Times New Roman"/>
        </w:rPr>
        <w:t xml:space="preserve"> </w:t>
      </w:r>
      <w:r w:rsidRPr="008B51FE">
        <w:rPr>
          <w:rFonts w:ascii="Times New Roman" w:hAnsi="Times New Roman" w:cs="Times New Roman"/>
        </w:rPr>
        <w:t>%.</w:t>
      </w:r>
      <w:r w:rsidRPr="008B51FE">
        <w:rPr>
          <w:rFonts w:ascii="Times New Roman" w:hAnsi="Times New Roman" w:cs="Times New Roman"/>
          <w:bCs/>
        </w:rPr>
        <w:t xml:space="preserve"> </w:t>
      </w:r>
    </w:p>
    <w:p w:rsidR="00CB350B" w:rsidRPr="008B51FE" w:rsidP="00CB350B">
      <w:pPr>
        <w:bidi w:val="0"/>
        <w:ind w:firstLine="708"/>
        <w:jc w:val="both"/>
        <w:rPr>
          <w:rFonts w:ascii="Times New Roman" w:hAnsi="Times New Roman" w:cs="Times New Roman"/>
        </w:rPr>
      </w:pPr>
    </w:p>
    <w:p w:rsidR="00CB350B" w:rsidRPr="008B51FE" w:rsidP="00CB350B">
      <w:pPr>
        <w:bidi w:val="0"/>
        <w:ind w:firstLine="708"/>
        <w:jc w:val="both"/>
        <w:rPr>
          <w:rFonts w:ascii="Times New Roman" w:hAnsi="Times New Roman" w:cs="Times New Roman"/>
        </w:rPr>
      </w:pPr>
      <w:r w:rsidRPr="008B51FE">
        <w:rPr>
          <w:rFonts w:ascii="Times New Roman" w:hAnsi="Times New Roman" w:cs="Times New Roman"/>
        </w:rPr>
        <w:t xml:space="preserve">Osobné výdavky sa </w:t>
      </w:r>
      <w:r>
        <w:rPr>
          <w:rFonts w:ascii="Times New Roman" w:hAnsi="Times New Roman" w:cs="Times New Roman"/>
        </w:rPr>
        <w:t>na</w:t>
      </w:r>
      <w:r w:rsidRPr="008B51FE">
        <w:rPr>
          <w:rFonts w:ascii="Times New Roman" w:hAnsi="Times New Roman" w:cs="Times New Roman"/>
        </w:rPr>
        <w:t xml:space="preserve"> rok 2012 rozpočtujú na úrovni 1,99 mil. eur, </w:t>
      </w:r>
      <w:r w:rsidRPr="008B51FE">
        <w:rPr>
          <w:rFonts w:ascii="Times New Roman" w:hAnsi="Times New Roman" w:cs="Times New Roman"/>
          <w:bCs/>
        </w:rPr>
        <w:t>čo v porovnaní so schváleným rozpočtom v roku 2011 predstavuje rast o 0,16</w:t>
      </w:r>
      <w:r>
        <w:rPr>
          <w:rFonts w:ascii="Times New Roman" w:hAnsi="Times New Roman" w:cs="Times New Roman"/>
          <w:bCs/>
        </w:rPr>
        <w:t xml:space="preserve"> </w:t>
      </w:r>
      <w:r w:rsidRPr="008B51FE">
        <w:rPr>
          <w:rFonts w:ascii="Times New Roman" w:hAnsi="Times New Roman" w:cs="Times New Roman"/>
          <w:bCs/>
        </w:rPr>
        <w:t>%</w:t>
      </w:r>
      <w:r>
        <w:rPr>
          <w:rFonts w:ascii="Times New Roman" w:hAnsi="Times New Roman" w:cs="Times New Roman"/>
          <w:bCs/>
        </w:rPr>
        <w:t xml:space="preserve"> z dôvodu</w:t>
      </w:r>
      <w:r w:rsidRPr="008B51FE">
        <w:rPr>
          <w:rFonts w:ascii="Times New Roman" w:hAnsi="Times New Roman" w:cs="Times New Roman"/>
        </w:rPr>
        <w:t xml:space="preserve"> ich zvýšeni</w:t>
      </w:r>
      <w:r>
        <w:rPr>
          <w:rFonts w:ascii="Times New Roman" w:hAnsi="Times New Roman" w:cs="Times New Roman"/>
        </w:rPr>
        <w:t>a, ktoré</w:t>
      </w:r>
      <w:r w:rsidRPr="008B51FE">
        <w:rPr>
          <w:rFonts w:ascii="Times New Roman" w:hAnsi="Times New Roman" w:cs="Times New Roman"/>
        </w:rPr>
        <w:t xml:space="preserve"> súvis</w:t>
      </w:r>
      <w:r>
        <w:rPr>
          <w:rFonts w:ascii="Times New Roman" w:hAnsi="Times New Roman" w:cs="Times New Roman"/>
        </w:rPr>
        <w:t>í</w:t>
      </w:r>
      <w:r w:rsidRPr="008B51FE">
        <w:rPr>
          <w:rFonts w:ascii="Times New Roman" w:hAnsi="Times New Roman" w:cs="Times New Roman"/>
        </w:rPr>
        <w:t xml:space="preserve"> so zákonom č. 120/1993 Z. z. Nárast osobných výdavkov ústavných činiteľov a štátnych zamestnancov vo verejných funkciách v roku 2012 zohľadňuje v kapitole štátneho rozpočtu dopočet platových náležitostí reálne vyplácaných v roku 2011 v zmysle zákona.</w:t>
      </w:r>
    </w:p>
    <w:p w:rsidR="00CB350B" w:rsidRPr="008B51FE" w:rsidP="00CB350B">
      <w:pPr>
        <w:bidi w:val="0"/>
        <w:jc w:val="both"/>
        <w:rPr>
          <w:rFonts w:ascii="Times New Roman" w:hAnsi="Times New Roman" w:cs="Times New Roman"/>
          <w:bCs/>
        </w:rPr>
      </w:pPr>
      <w:r w:rsidRPr="008B51FE">
        <w:rPr>
          <w:rFonts w:ascii="Times New Roman" w:hAnsi="Times New Roman" w:cs="Times New Roman"/>
          <w:bCs/>
        </w:rPr>
        <w:tab/>
      </w:r>
    </w:p>
    <w:p w:rsidR="00CB350B" w:rsidRPr="008B51FE" w:rsidP="00CB350B">
      <w:pPr>
        <w:bidi w:val="0"/>
        <w:ind w:firstLine="708"/>
        <w:jc w:val="both"/>
        <w:rPr>
          <w:rFonts w:ascii="Times New Roman" w:hAnsi="Times New Roman" w:cs="Times New Roman"/>
          <w:bCs/>
        </w:rPr>
      </w:pPr>
      <w:r w:rsidRPr="008B51FE">
        <w:rPr>
          <w:rFonts w:ascii="Times New Roman" w:hAnsi="Times New Roman" w:cs="Times New Roman"/>
          <w:bCs/>
        </w:rPr>
        <w:t>Výdavky na tovary a služby v roku 2012 klesajú v porovnaní so schváleným rozpočtom v roku 2011 o 3,4</w:t>
      </w:r>
      <w:r>
        <w:rPr>
          <w:rFonts w:ascii="Times New Roman" w:hAnsi="Times New Roman" w:cs="Times New Roman"/>
          <w:bCs/>
        </w:rPr>
        <w:t xml:space="preserve"> </w:t>
      </w:r>
      <w:r w:rsidRPr="008B51FE">
        <w:rPr>
          <w:rFonts w:ascii="Times New Roman" w:hAnsi="Times New Roman" w:cs="Times New Roman"/>
          <w:bCs/>
        </w:rPr>
        <w:t>% v nadväznosti na úsporné opatrenia.</w:t>
      </w:r>
    </w:p>
    <w:p w:rsidR="00CB350B" w:rsidRPr="008B51FE" w:rsidP="00CB350B">
      <w:pPr>
        <w:bidi w:val="0"/>
        <w:ind w:firstLine="708"/>
        <w:jc w:val="both"/>
        <w:rPr>
          <w:rFonts w:ascii="Times New Roman" w:hAnsi="Times New Roman" w:cs="Times New Roman"/>
          <w:bCs/>
        </w:rPr>
      </w:pPr>
    </w:p>
    <w:p w:rsidR="00CB350B" w:rsidRPr="008B51FE" w:rsidP="00CB350B">
      <w:pPr>
        <w:bidi w:val="0"/>
        <w:ind w:firstLine="708"/>
        <w:jc w:val="both"/>
        <w:rPr>
          <w:rFonts w:ascii="Times New Roman" w:hAnsi="Times New Roman" w:cs="Times New Roman"/>
          <w:bCs/>
        </w:rPr>
      </w:pPr>
      <w:r w:rsidRPr="008B51FE">
        <w:rPr>
          <w:rFonts w:ascii="Times New Roman" w:hAnsi="Times New Roman" w:cs="Times New Roman"/>
          <w:bCs/>
        </w:rPr>
        <w:t>Rozpočtované prostriedky na bežné transfery, ktorými úrad zabezpečuje najmä poplatky do medzinárodných organizácií uhrádzaných vo švajčiarskych frankoch, sú v roku 2012 rozpočtované na rovnakej úrovni ako v roku 2011.</w:t>
      </w:r>
    </w:p>
    <w:p w:rsidR="00CB350B" w:rsidRPr="008B51FE" w:rsidP="00CB350B">
      <w:pPr>
        <w:bidi w:val="0"/>
        <w:ind w:firstLine="708"/>
        <w:jc w:val="both"/>
        <w:rPr>
          <w:rFonts w:ascii="Times New Roman" w:hAnsi="Times New Roman" w:cs="Times New Roman"/>
          <w:bCs/>
        </w:rPr>
      </w:pPr>
    </w:p>
    <w:p w:rsidR="00CB350B" w:rsidRPr="008B51FE" w:rsidP="00CB350B">
      <w:pPr>
        <w:bidi w:val="0"/>
        <w:ind w:firstLine="708"/>
        <w:jc w:val="both"/>
        <w:rPr>
          <w:rFonts w:ascii="Times New Roman" w:hAnsi="Times New Roman" w:cs="Times New Roman"/>
          <w:bCs/>
        </w:rPr>
      </w:pPr>
      <w:r w:rsidRPr="008B51FE">
        <w:rPr>
          <w:rFonts w:ascii="Times New Roman" w:hAnsi="Times New Roman" w:cs="Times New Roman"/>
          <w:bCs/>
        </w:rPr>
        <w:t>Kapitálové výdavky sú v roku 2012 rozpočtované vo výške 60 tis. eur, teda na rovnakej úrovni ako v</w:t>
      </w:r>
      <w:r>
        <w:rPr>
          <w:rFonts w:ascii="Times New Roman" w:hAnsi="Times New Roman" w:cs="Times New Roman"/>
          <w:bCs/>
        </w:rPr>
        <w:t> schválenom rozpočte</w:t>
      </w:r>
      <w:r w:rsidRPr="008B51FE">
        <w:rPr>
          <w:rFonts w:ascii="Times New Roman" w:hAnsi="Times New Roman" w:cs="Times New Roman"/>
          <w:bCs/>
        </w:rPr>
        <w:t xml:space="preserve"> roku 2011. </w:t>
      </w:r>
    </w:p>
    <w:p w:rsidR="00CB350B" w:rsidRPr="00876BAA" w:rsidP="00CB350B">
      <w:pPr>
        <w:bidi w:val="0"/>
        <w:jc w:val="both"/>
        <w:rPr>
          <w:rFonts w:ascii="Times New Roman" w:hAnsi="Times New Roman" w:cs="Times New Roman"/>
        </w:rPr>
      </w:pPr>
      <w:r w:rsidRPr="00F43064">
        <w:rPr>
          <w:rFonts w:ascii="Times New Roman" w:hAnsi="Times New Roman" w:cs="Times New Roman"/>
          <w:lang w:eastAsia="sk-SK"/>
        </w:rPr>
        <w:t xml:space="preserve">  </w:t>
      </w:r>
    </w:p>
    <w:p w:rsidR="00CB350B" w:rsidRPr="004C74B9" w:rsidP="00CB350B">
      <w:pPr>
        <w:pBdr>
          <w:bottom w:val="single" w:sz="4" w:space="1" w:color="auto"/>
        </w:pBdr>
        <w:bidi w:val="0"/>
        <w:jc w:val="both"/>
        <w:rPr>
          <w:rFonts w:ascii="Times New Roman" w:hAnsi="Times New Roman"/>
          <w:b/>
          <w:bCs/>
        </w:rPr>
      </w:pPr>
      <w:r w:rsidRPr="004C74B9">
        <w:rPr>
          <w:rFonts w:ascii="Times New Roman" w:hAnsi="Times New Roman"/>
          <w:b/>
          <w:bCs/>
        </w:rPr>
        <w:t xml:space="preserve">Úrad pre normalizáciu, metrológiu a skúšobníctvo SR </w:t>
      </w:r>
    </w:p>
    <w:p w:rsidR="00CB350B" w:rsidRPr="004C74B9" w:rsidP="00CB350B">
      <w:pPr>
        <w:bidi w:val="0"/>
        <w:ind w:firstLine="708"/>
        <w:jc w:val="both"/>
        <w:rPr>
          <w:rFonts w:ascii="Times New Roman" w:hAnsi="Times New Roman"/>
        </w:rPr>
      </w:pPr>
    </w:p>
    <w:p w:rsidR="00CB350B" w:rsidRPr="004C74B9" w:rsidP="00CB350B">
      <w:pPr>
        <w:bidi w:val="0"/>
        <w:ind w:firstLine="708"/>
        <w:jc w:val="both"/>
        <w:rPr>
          <w:rFonts w:ascii="Times New Roman" w:hAnsi="Times New Roman"/>
        </w:rPr>
      </w:pPr>
      <w:r w:rsidRPr="004C74B9">
        <w:rPr>
          <w:rFonts w:ascii="Times New Roman" w:hAnsi="Times New Roman"/>
        </w:rPr>
        <w:t xml:space="preserve">Výdavky kapitoly Úradu pre normalizáciu, metrológiu a skúšobníctvo SR (ďalej len „ÚNMS SR“) sú určené na plnenie úloh rozpočtových a príspevkových organizácií v oblasti štátnej politiky technickej normalizácie, metrológie, skúšobníctva, akreditácie a kvality. </w:t>
      </w:r>
    </w:p>
    <w:p w:rsidR="00CB350B" w:rsidRPr="004C74B9" w:rsidP="00CB350B">
      <w:pPr>
        <w:bidi w:val="0"/>
        <w:ind w:firstLine="708"/>
        <w:jc w:val="both"/>
        <w:rPr>
          <w:rFonts w:ascii="Times New Roman" w:hAnsi="Times New Roman"/>
        </w:rPr>
      </w:pPr>
    </w:p>
    <w:tbl>
      <w:tblPr>
        <w:tblStyle w:val="TableNormal"/>
        <w:tblW w:w="9015" w:type="dxa"/>
        <w:tblInd w:w="59" w:type="dxa"/>
        <w:tblCellMar>
          <w:left w:w="70" w:type="dxa"/>
          <w:right w:w="70" w:type="dxa"/>
        </w:tblCellMar>
        <w:tblLook w:val="04A0"/>
      </w:tblPr>
      <w:tblGrid>
        <w:gridCol w:w="2268"/>
        <w:gridCol w:w="1001"/>
        <w:gridCol w:w="964"/>
        <w:gridCol w:w="1000"/>
        <w:gridCol w:w="890"/>
        <w:gridCol w:w="964"/>
        <w:gridCol w:w="964"/>
        <w:gridCol w:w="964"/>
      </w:tblGrid>
      <w:tr>
        <w:tblPrEx>
          <w:tblW w:w="9015" w:type="dxa"/>
          <w:tblInd w:w="59" w:type="dxa"/>
          <w:tblCellMar>
            <w:left w:w="70" w:type="dxa"/>
            <w:right w:w="70" w:type="dxa"/>
          </w:tblCellMar>
          <w:tblLook w:val="04A0"/>
        </w:tblPrEx>
        <w:trPr>
          <w:trHeight w:val="259"/>
        </w:trPr>
        <w:tc>
          <w:tcPr>
            <w:tcW w:w="2268"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4C74B9" w:rsidP="00257E12">
            <w:pPr>
              <w:bidi w:val="0"/>
              <w:rPr>
                <w:rFonts w:ascii="Times New Roman" w:hAnsi="Times New Roman"/>
                <w:b/>
                <w:bCs/>
                <w:color w:val="000000"/>
                <w:sz w:val="14"/>
                <w:szCs w:val="14"/>
              </w:rPr>
            </w:pPr>
            <w:r w:rsidRPr="004C74B9">
              <w:rPr>
                <w:rFonts w:ascii="Times New Roman" w:hAnsi="Times New Roman"/>
                <w:b/>
                <w:bCs/>
                <w:color w:val="000000"/>
                <w:sz w:val="14"/>
                <w:szCs w:val="14"/>
              </w:rPr>
              <w:t> v eurách</w:t>
            </w:r>
          </w:p>
        </w:tc>
        <w:tc>
          <w:tcPr>
            <w:tcW w:w="1001" w:type="dxa"/>
            <w:tcBorders>
              <w:top w:val="single" w:sz="4" w:space="0" w:color="auto"/>
              <w:left w:val="nil"/>
              <w:bottom w:val="single" w:sz="4" w:space="0" w:color="auto"/>
              <w:right w:val="single" w:sz="4" w:space="0" w:color="auto"/>
            </w:tcBorders>
            <w:noWrap/>
            <w:textDirection w:val="lrTb"/>
            <w:vAlign w:val="center"/>
            <w:hideMark/>
          </w:tcPr>
          <w:p w:rsidR="00CB350B" w:rsidRPr="004C74B9" w:rsidP="00257E12">
            <w:pPr>
              <w:bidi w:val="0"/>
              <w:jc w:val="center"/>
              <w:rPr>
                <w:rFonts w:ascii="Times New Roman" w:hAnsi="Times New Roman"/>
                <w:b/>
                <w:bCs/>
                <w:color w:val="000000"/>
                <w:sz w:val="14"/>
                <w:szCs w:val="14"/>
              </w:rPr>
            </w:pPr>
            <w:r w:rsidRPr="004C74B9">
              <w:rPr>
                <w:rFonts w:ascii="Times New Roman" w:hAnsi="Times New Roman"/>
                <w:b/>
                <w:bCs/>
                <w:color w:val="000000"/>
                <w:sz w:val="14"/>
                <w:szCs w:val="14"/>
              </w:rPr>
              <w:t>2009 S</w:t>
            </w:r>
          </w:p>
        </w:tc>
        <w:tc>
          <w:tcPr>
            <w:tcW w:w="964" w:type="dxa"/>
            <w:tcBorders>
              <w:top w:val="single" w:sz="4" w:space="0" w:color="auto"/>
              <w:left w:val="nil"/>
              <w:bottom w:val="single" w:sz="4" w:space="0" w:color="auto"/>
              <w:right w:val="single" w:sz="4" w:space="0" w:color="auto"/>
            </w:tcBorders>
            <w:noWrap/>
            <w:textDirection w:val="lrTb"/>
            <w:vAlign w:val="center"/>
            <w:hideMark/>
          </w:tcPr>
          <w:p w:rsidR="00CB350B" w:rsidRPr="004C74B9" w:rsidP="00257E12">
            <w:pPr>
              <w:bidi w:val="0"/>
              <w:jc w:val="center"/>
              <w:rPr>
                <w:rFonts w:ascii="Times New Roman" w:hAnsi="Times New Roman"/>
                <w:b/>
                <w:bCs/>
                <w:color w:val="000000"/>
                <w:sz w:val="14"/>
                <w:szCs w:val="14"/>
              </w:rPr>
            </w:pPr>
            <w:r w:rsidRPr="004C74B9">
              <w:rPr>
                <w:rFonts w:ascii="Times New Roman" w:hAnsi="Times New Roman"/>
                <w:b/>
                <w:bCs/>
                <w:color w:val="000000"/>
                <w:sz w:val="14"/>
                <w:szCs w:val="14"/>
              </w:rPr>
              <w:t>2010S</w:t>
            </w:r>
          </w:p>
        </w:tc>
        <w:tc>
          <w:tcPr>
            <w:tcW w:w="1000" w:type="dxa"/>
            <w:tcBorders>
              <w:top w:val="single" w:sz="4" w:space="0" w:color="auto"/>
              <w:left w:val="nil"/>
              <w:bottom w:val="single" w:sz="4" w:space="0" w:color="auto"/>
              <w:right w:val="single" w:sz="4" w:space="0" w:color="auto"/>
            </w:tcBorders>
            <w:noWrap/>
            <w:textDirection w:val="lrTb"/>
            <w:vAlign w:val="center"/>
            <w:hideMark/>
          </w:tcPr>
          <w:p w:rsidR="00CB350B" w:rsidRPr="004C74B9" w:rsidP="00257E12">
            <w:pPr>
              <w:bidi w:val="0"/>
              <w:jc w:val="center"/>
              <w:rPr>
                <w:rFonts w:ascii="Times New Roman" w:hAnsi="Times New Roman"/>
                <w:b/>
                <w:bCs/>
                <w:color w:val="000000"/>
                <w:sz w:val="14"/>
                <w:szCs w:val="14"/>
              </w:rPr>
            </w:pPr>
            <w:r w:rsidRPr="004C74B9">
              <w:rPr>
                <w:rFonts w:ascii="Times New Roman" w:hAnsi="Times New Roman"/>
                <w:b/>
                <w:bCs/>
                <w:color w:val="000000"/>
                <w:sz w:val="14"/>
                <w:szCs w:val="14"/>
              </w:rPr>
              <w:t>2011 R</w:t>
            </w:r>
          </w:p>
        </w:tc>
        <w:tc>
          <w:tcPr>
            <w:tcW w:w="890" w:type="dxa"/>
            <w:tcBorders>
              <w:top w:val="single" w:sz="4" w:space="0" w:color="auto"/>
              <w:left w:val="nil"/>
              <w:bottom w:val="single" w:sz="4" w:space="0" w:color="auto"/>
              <w:right w:val="single" w:sz="4" w:space="0" w:color="auto"/>
            </w:tcBorders>
            <w:textDirection w:val="lrTb"/>
            <w:vAlign w:val="center"/>
          </w:tcPr>
          <w:p w:rsidR="00CB350B" w:rsidRPr="004C74B9" w:rsidP="00257E12">
            <w:pPr>
              <w:bidi w:val="0"/>
              <w:jc w:val="center"/>
              <w:rPr>
                <w:rFonts w:ascii="Times New Roman" w:hAnsi="Times New Roman"/>
                <w:b/>
                <w:bCs/>
                <w:color w:val="000000"/>
                <w:sz w:val="14"/>
                <w:szCs w:val="14"/>
              </w:rPr>
            </w:pPr>
            <w:r w:rsidRPr="004C74B9">
              <w:rPr>
                <w:rFonts w:ascii="Times New Roman" w:hAnsi="Times New Roman"/>
                <w:b/>
                <w:bCs/>
                <w:color w:val="000000"/>
                <w:sz w:val="14"/>
                <w:szCs w:val="14"/>
              </w:rPr>
              <w:t>2011 OS</w:t>
            </w:r>
          </w:p>
        </w:tc>
        <w:tc>
          <w:tcPr>
            <w:tcW w:w="964" w:type="dxa"/>
            <w:tcBorders>
              <w:top w:val="single" w:sz="4" w:space="0" w:color="auto"/>
              <w:left w:val="single" w:sz="4" w:space="0" w:color="auto"/>
              <w:bottom w:val="single" w:sz="4" w:space="0" w:color="auto"/>
              <w:right w:val="single" w:sz="4" w:space="0" w:color="auto"/>
            </w:tcBorders>
            <w:noWrap/>
            <w:textDirection w:val="lrTb"/>
            <w:vAlign w:val="center"/>
            <w:hideMark/>
          </w:tcPr>
          <w:p w:rsidR="00CB350B" w:rsidRPr="004C74B9" w:rsidP="00257E12">
            <w:pPr>
              <w:bidi w:val="0"/>
              <w:jc w:val="center"/>
              <w:rPr>
                <w:rFonts w:ascii="Times New Roman" w:hAnsi="Times New Roman"/>
                <w:b/>
                <w:bCs/>
                <w:color w:val="000000"/>
                <w:sz w:val="14"/>
                <w:szCs w:val="14"/>
              </w:rPr>
            </w:pPr>
            <w:r w:rsidRPr="004C74B9">
              <w:rPr>
                <w:rFonts w:ascii="Times New Roman" w:hAnsi="Times New Roman"/>
                <w:b/>
                <w:bCs/>
                <w:color w:val="000000"/>
                <w:sz w:val="14"/>
                <w:szCs w:val="14"/>
              </w:rPr>
              <w:t>2012 N</w:t>
            </w:r>
          </w:p>
        </w:tc>
        <w:tc>
          <w:tcPr>
            <w:tcW w:w="964" w:type="dxa"/>
            <w:tcBorders>
              <w:top w:val="single" w:sz="4" w:space="0" w:color="auto"/>
              <w:left w:val="nil"/>
              <w:bottom w:val="single" w:sz="4" w:space="0" w:color="auto"/>
              <w:right w:val="single" w:sz="4" w:space="0" w:color="auto"/>
            </w:tcBorders>
            <w:noWrap/>
            <w:textDirection w:val="lrTb"/>
            <w:vAlign w:val="center"/>
            <w:hideMark/>
          </w:tcPr>
          <w:p w:rsidR="00CB350B" w:rsidRPr="004C74B9" w:rsidP="00257E12">
            <w:pPr>
              <w:bidi w:val="0"/>
              <w:jc w:val="center"/>
              <w:rPr>
                <w:rFonts w:ascii="Times New Roman" w:hAnsi="Times New Roman"/>
                <w:b/>
                <w:bCs/>
                <w:color w:val="000000"/>
                <w:sz w:val="14"/>
                <w:szCs w:val="14"/>
              </w:rPr>
            </w:pPr>
            <w:r w:rsidRPr="004C74B9">
              <w:rPr>
                <w:rFonts w:ascii="Times New Roman" w:hAnsi="Times New Roman"/>
                <w:b/>
                <w:bCs/>
                <w:color w:val="000000"/>
                <w:sz w:val="14"/>
                <w:szCs w:val="14"/>
              </w:rPr>
              <w:t>2013 N</w:t>
            </w:r>
          </w:p>
        </w:tc>
        <w:tc>
          <w:tcPr>
            <w:tcW w:w="964" w:type="dxa"/>
            <w:tcBorders>
              <w:top w:val="single" w:sz="4" w:space="0" w:color="auto"/>
              <w:left w:val="nil"/>
              <w:bottom w:val="single" w:sz="4" w:space="0" w:color="auto"/>
              <w:right w:val="single" w:sz="4" w:space="0" w:color="auto"/>
            </w:tcBorders>
            <w:noWrap/>
            <w:textDirection w:val="lrTb"/>
            <w:vAlign w:val="center"/>
            <w:hideMark/>
          </w:tcPr>
          <w:p w:rsidR="00CB350B" w:rsidRPr="004C74B9" w:rsidP="00257E12">
            <w:pPr>
              <w:bidi w:val="0"/>
              <w:jc w:val="center"/>
              <w:rPr>
                <w:rFonts w:ascii="Times New Roman" w:hAnsi="Times New Roman"/>
                <w:b/>
                <w:bCs/>
                <w:color w:val="000000"/>
                <w:sz w:val="14"/>
                <w:szCs w:val="14"/>
              </w:rPr>
            </w:pPr>
            <w:r w:rsidRPr="004C74B9">
              <w:rPr>
                <w:rFonts w:ascii="Times New Roman" w:hAnsi="Times New Roman"/>
                <w:b/>
                <w:bCs/>
                <w:color w:val="000000"/>
                <w:sz w:val="14"/>
                <w:szCs w:val="14"/>
              </w:rPr>
              <w:t>2014 N</w:t>
            </w:r>
          </w:p>
        </w:tc>
      </w:tr>
      <w:tr>
        <w:tblPrEx>
          <w:tblW w:w="9015" w:type="dxa"/>
          <w:tblInd w:w="59" w:type="dxa"/>
          <w:tblCellMar>
            <w:left w:w="70" w:type="dxa"/>
            <w:right w:w="70" w:type="dxa"/>
          </w:tblCellMar>
          <w:tblLook w:val="04A0"/>
        </w:tblPrEx>
        <w:trPr>
          <w:trHeight w:val="259"/>
        </w:trPr>
        <w:tc>
          <w:tcPr>
            <w:tcW w:w="2268" w:type="dxa"/>
            <w:tcBorders>
              <w:top w:val="nil"/>
              <w:left w:val="single" w:sz="4" w:space="0" w:color="auto"/>
              <w:bottom w:val="single" w:sz="4" w:space="0" w:color="auto"/>
              <w:right w:val="single" w:sz="4" w:space="0" w:color="auto"/>
            </w:tcBorders>
            <w:noWrap/>
            <w:textDirection w:val="lrTb"/>
            <w:vAlign w:val="bottom"/>
            <w:hideMark/>
          </w:tcPr>
          <w:p w:rsidR="00CB350B" w:rsidRPr="004C74B9" w:rsidP="00257E12">
            <w:pPr>
              <w:bidi w:val="0"/>
              <w:rPr>
                <w:rFonts w:ascii="Times New Roman" w:hAnsi="Times New Roman"/>
                <w:b/>
                <w:bCs/>
                <w:color w:val="000000"/>
                <w:sz w:val="14"/>
                <w:szCs w:val="14"/>
              </w:rPr>
            </w:pPr>
            <w:r w:rsidRPr="004C74B9">
              <w:rPr>
                <w:rFonts w:ascii="Times New Roman" w:hAnsi="Times New Roman"/>
                <w:b/>
                <w:bCs/>
                <w:color w:val="000000"/>
                <w:sz w:val="14"/>
                <w:szCs w:val="14"/>
              </w:rPr>
              <w:t>Zdroje príslušnej kapitoly</w:t>
            </w:r>
          </w:p>
        </w:tc>
        <w:tc>
          <w:tcPr>
            <w:tcW w:w="1001"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b/>
                <w:bCs/>
                <w:color w:val="000000"/>
                <w:sz w:val="14"/>
                <w:szCs w:val="14"/>
              </w:rPr>
            </w:pPr>
            <w:r w:rsidRPr="004C74B9">
              <w:rPr>
                <w:rFonts w:ascii="Times New Roman" w:hAnsi="Times New Roman"/>
                <w:b/>
                <w:bCs/>
                <w:color w:val="000000"/>
                <w:sz w:val="14"/>
                <w:szCs w:val="14"/>
              </w:rPr>
              <w:t>7 483 372</w:t>
            </w:r>
          </w:p>
        </w:tc>
        <w:tc>
          <w:tcPr>
            <w:tcW w:w="964"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b/>
                <w:bCs/>
                <w:color w:val="000000"/>
                <w:sz w:val="14"/>
                <w:szCs w:val="14"/>
              </w:rPr>
            </w:pPr>
            <w:r w:rsidRPr="004C74B9">
              <w:rPr>
                <w:rFonts w:ascii="Times New Roman" w:hAnsi="Times New Roman"/>
                <w:b/>
                <w:bCs/>
                <w:color w:val="000000"/>
                <w:sz w:val="14"/>
                <w:szCs w:val="14"/>
              </w:rPr>
              <w:t>7 190 755</w:t>
            </w:r>
          </w:p>
        </w:tc>
        <w:tc>
          <w:tcPr>
            <w:tcW w:w="1000"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b/>
                <w:bCs/>
                <w:color w:val="000000"/>
                <w:sz w:val="14"/>
                <w:szCs w:val="14"/>
              </w:rPr>
            </w:pPr>
            <w:r w:rsidRPr="004C74B9">
              <w:rPr>
                <w:rFonts w:ascii="Times New Roman" w:hAnsi="Times New Roman"/>
                <w:b/>
                <w:bCs/>
                <w:color w:val="000000"/>
                <w:sz w:val="14"/>
                <w:szCs w:val="14"/>
              </w:rPr>
              <w:t>6 592 691</w:t>
            </w:r>
          </w:p>
        </w:tc>
        <w:tc>
          <w:tcPr>
            <w:tcW w:w="890" w:type="dxa"/>
            <w:tcBorders>
              <w:top w:val="single" w:sz="4" w:space="0" w:color="auto"/>
              <w:left w:val="nil"/>
              <w:bottom w:val="single" w:sz="4" w:space="0" w:color="auto"/>
              <w:right w:val="single" w:sz="4" w:space="0" w:color="auto"/>
            </w:tcBorders>
            <w:textDirection w:val="lrTb"/>
            <w:vAlign w:val="bottom"/>
          </w:tcPr>
          <w:p w:rsidR="00CB350B" w:rsidRPr="004C74B9" w:rsidP="00257E12">
            <w:pPr>
              <w:bidi w:val="0"/>
              <w:jc w:val="right"/>
              <w:rPr>
                <w:rFonts w:ascii="Times New Roman" w:hAnsi="Times New Roman"/>
                <w:b/>
                <w:bCs/>
                <w:color w:val="000000"/>
                <w:sz w:val="14"/>
                <w:szCs w:val="14"/>
              </w:rPr>
            </w:pPr>
            <w:r w:rsidRPr="004C74B9">
              <w:rPr>
                <w:rFonts w:ascii="Times New Roman" w:hAnsi="Times New Roman"/>
                <w:b/>
                <w:bCs/>
                <w:color w:val="000000"/>
                <w:sz w:val="14"/>
                <w:szCs w:val="14"/>
              </w:rPr>
              <w:t>6 592 691</w:t>
            </w:r>
          </w:p>
        </w:tc>
        <w:tc>
          <w:tcPr>
            <w:tcW w:w="964"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b/>
                <w:bCs/>
                <w:color w:val="000000"/>
                <w:sz w:val="14"/>
                <w:szCs w:val="14"/>
              </w:rPr>
            </w:pPr>
            <w:r w:rsidRPr="004C74B9">
              <w:rPr>
                <w:rFonts w:ascii="Times New Roman" w:hAnsi="Times New Roman"/>
                <w:b/>
                <w:bCs/>
                <w:color w:val="000000"/>
                <w:sz w:val="14"/>
                <w:szCs w:val="14"/>
              </w:rPr>
              <w:t>6 028 285</w:t>
            </w:r>
          </w:p>
        </w:tc>
        <w:tc>
          <w:tcPr>
            <w:tcW w:w="964"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b/>
                <w:bCs/>
                <w:color w:val="000000"/>
                <w:sz w:val="14"/>
                <w:szCs w:val="14"/>
              </w:rPr>
            </w:pPr>
            <w:r w:rsidRPr="004C74B9">
              <w:rPr>
                <w:rFonts w:ascii="Times New Roman" w:hAnsi="Times New Roman"/>
                <w:b/>
                <w:bCs/>
                <w:color w:val="000000"/>
                <w:sz w:val="14"/>
                <w:szCs w:val="14"/>
              </w:rPr>
              <w:t>6 034 860</w:t>
            </w:r>
          </w:p>
        </w:tc>
        <w:tc>
          <w:tcPr>
            <w:tcW w:w="964"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b/>
                <w:bCs/>
                <w:color w:val="000000"/>
                <w:sz w:val="14"/>
                <w:szCs w:val="14"/>
              </w:rPr>
            </w:pPr>
            <w:r w:rsidRPr="004C74B9">
              <w:rPr>
                <w:rFonts w:ascii="Times New Roman" w:hAnsi="Times New Roman"/>
                <w:b/>
                <w:bCs/>
                <w:color w:val="000000"/>
                <w:sz w:val="14"/>
                <w:szCs w:val="14"/>
              </w:rPr>
              <w:t>6 036 933</w:t>
            </w:r>
          </w:p>
        </w:tc>
      </w:tr>
      <w:tr>
        <w:tblPrEx>
          <w:tblW w:w="9015" w:type="dxa"/>
          <w:tblInd w:w="59" w:type="dxa"/>
          <w:tblCellMar>
            <w:left w:w="70" w:type="dxa"/>
            <w:right w:w="70" w:type="dxa"/>
          </w:tblCellMar>
          <w:tblLook w:val="04A0"/>
        </w:tblPrEx>
        <w:trPr>
          <w:trHeight w:val="259"/>
        </w:trPr>
        <w:tc>
          <w:tcPr>
            <w:tcW w:w="2268" w:type="dxa"/>
            <w:tcBorders>
              <w:top w:val="nil"/>
              <w:left w:val="single" w:sz="4" w:space="0" w:color="auto"/>
              <w:bottom w:val="single" w:sz="4" w:space="0" w:color="auto"/>
              <w:right w:val="single" w:sz="4" w:space="0" w:color="auto"/>
            </w:tcBorders>
            <w:noWrap/>
            <w:textDirection w:val="lrTb"/>
            <w:vAlign w:val="bottom"/>
            <w:hideMark/>
          </w:tcPr>
          <w:p w:rsidR="00CB350B" w:rsidRPr="004C74B9" w:rsidP="00257E12">
            <w:pPr>
              <w:bidi w:val="0"/>
              <w:rPr>
                <w:rFonts w:ascii="Times New Roman" w:hAnsi="Times New Roman"/>
                <w:color w:val="000000"/>
                <w:sz w:val="14"/>
                <w:szCs w:val="14"/>
              </w:rPr>
            </w:pPr>
            <w:r w:rsidRPr="004C74B9">
              <w:rPr>
                <w:rFonts w:ascii="Times New Roman" w:hAnsi="Times New Roman"/>
                <w:color w:val="000000"/>
                <w:sz w:val="14"/>
                <w:szCs w:val="14"/>
              </w:rPr>
              <w:t xml:space="preserve">Rozpočtové zdroje kapitoly </w:t>
            </w:r>
          </w:p>
        </w:tc>
        <w:tc>
          <w:tcPr>
            <w:tcW w:w="1001"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7 297 045</w:t>
            </w:r>
          </w:p>
        </w:tc>
        <w:tc>
          <w:tcPr>
            <w:tcW w:w="964"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7 190 755</w:t>
            </w:r>
          </w:p>
        </w:tc>
        <w:tc>
          <w:tcPr>
            <w:tcW w:w="1000"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6 592 691</w:t>
            </w:r>
          </w:p>
        </w:tc>
        <w:tc>
          <w:tcPr>
            <w:tcW w:w="890" w:type="dxa"/>
            <w:tcBorders>
              <w:top w:val="single" w:sz="4" w:space="0" w:color="auto"/>
              <w:left w:val="nil"/>
              <w:bottom w:val="single" w:sz="4" w:space="0" w:color="auto"/>
              <w:right w:val="single" w:sz="4" w:space="0" w:color="auto"/>
            </w:tcBorders>
            <w:textDirection w:val="lrTb"/>
            <w:vAlign w:val="bottom"/>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6 592 691</w:t>
            </w:r>
          </w:p>
        </w:tc>
        <w:tc>
          <w:tcPr>
            <w:tcW w:w="964"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6 028 285</w:t>
            </w:r>
          </w:p>
        </w:tc>
        <w:tc>
          <w:tcPr>
            <w:tcW w:w="964"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6 034 860</w:t>
            </w:r>
          </w:p>
        </w:tc>
        <w:tc>
          <w:tcPr>
            <w:tcW w:w="964"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6 036 933</w:t>
            </w:r>
          </w:p>
        </w:tc>
      </w:tr>
      <w:tr>
        <w:tblPrEx>
          <w:tblW w:w="9015" w:type="dxa"/>
          <w:tblInd w:w="59" w:type="dxa"/>
          <w:tblCellMar>
            <w:left w:w="70" w:type="dxa"/>
            <w:right w:w="70" w:type="dxa"/>
          </w:tblCellMar>
          <w:tblLook w:val="04A0"/>
        </w:tblPrEx>
        <w:trPr>
          <w:trHeight w:val="259"/>
        </w:trPr>
        <w:tc>
          <w:tcPr>
            <w:tcW w:w="2268" w:type="dxa"/>
            <w:tcBorders>
              <w:top w:val="nil"/>
              <w:left w:val="single" w:sz="4" w:space="0" w:color="auto"/>
              <w:bottom w:val="single" w:sz="4" w:space="0" w:color="auto"/>
              <w:right w:val="single" w:sz="4" w:space="0" w:color="auto"/>
            </w:tcBorders>
            <w:noWrap/>
            <w:textDirection w:val="lrTb"/>
            <w:vAlign w:val="bottom"/>
            <w:hideMark/>
          </w:tcPr>
          <w:p w:rsidR="00CB350B" w:rsidRPr="004C74B9" w:rsidP="00257E12">
            <w:pPr>
              <w:bidi w:val="0"/>
              <w:rPr>
                <w:rFonts w:ascii="Times New Roman" w:hAnsi="Times New Roman"/>
                <w:color w:val="000000"/>
                <w:sz w:val="14"/>
                <w:szCs w:val="14"/>
              </w:rPr>
            </w:pPr>
            <w:r w:rsidRPr="004C74B9">
              <w:rPr>
                <w:rFonts w:ascii="Times New Roman" w:hAnsi="Times New Roman"/>
                <w:color w:val="000000"/>
                <w:sz w:val="14"/>
                <w:szCs w:val="14"/>
              </w:rPr>
              <w:t xml:space="preserve">    v tom: bežné výdavky  600</w:t>
            </w:r>
          </w:p>
        </w:tc>
        <w:tc>
          <w:tcPr>
            <w:tcW w:w="1001"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7 239 300</w:t>
            </w:r>
          </w:p>
        </w:tc>
        <w:tc>
          <w:tcPr>
            <w:tcW w:w="964"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7 152 164</w:t>
            </w:r>
          </w:p>
        </w:tc>
        <w:tc>
          <w:tcPr>
            <w:tcW w:w="1000"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6 561 477</w:t>
            </w:r>
          </w:p>
        </w:tc>
        <w:tc>
          <w:tcPr>
            <w:tcW w:w="890" w:type="dxa"/>
            <w:tcBorders>
              <w:top w:val="single" w:sz="4" w:space="0" w:color="auto"/>
              <w:left w:val="nil"/>
              <w:bottom w:val="single" w:sz="4" w:space="0" w:color="auto"/>
              <w:right w:val="single" w:sz="4" w:space="0" w:color="auto"/>
            </w:tcBorders>
            <w:textDirection w:val="lrTb"/>
            <w:vAlign w:val="bottom"/>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6 561 477</w:t>
            </w:r>
          </w:p>
        </w:tc>
        <w:tc>
          <w:tcPr>
            <w:tcW w:w="964" w:type="dxa"/>
            <w:tcBorders>
              <w:top w:val="nil"/>
              <w:left w:val="single" w:sz="4" w:space="0" w:color="auto"/>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6 028 285</w:t>
            </w:r>
          </w:p>
        </w:tc>
        <w:tc>
          <w:tcPr>
            <w:tcW w:w="964"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6 034 860</w:t>
            </w:r>
          </w:p>
        </w:tc>
        <w:tc>
          <w:tcPr>
            <w:tcW w:w="964"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6 036 933</w:t>
            </w:r>
          </w:p>
        </w:tc>
      </w:tr>
      <w:tr>
        <w:tblPrEx>
          <w:tblW w:w="9015" w:type="dxa"/>
          <w:tblInd w:w="59" w:type="dxa"/>
          <w:tblCellMar>
            <w:left w:w="70" w:type="dxa"/>
            <w:right w:w="70" w:type="dxa"/>
          </w:tblCellMar>
          <w:tblLook w:val="04A0"/>
        </w:tblPrEx>
        <w:trPr>
          <w:trHeight w:val="259"/>
        </w:trPr>
        <w:tc>
          <w:tcPr>
            <w:tcW w:w="2268" w:type="dxa"/>
            <w:tcBorders>
              <w:top w:val="nil"/>
              <w:left w:val="single" w:sz="4" w:space="0" w:color="auto"/>
              <w:bottom w:val="single" w:sz="4" w:space="0" w:color="auto"/>
              <w:right w:val="single" w:sz="4" w:space="0" w:color="auto"/>
            </w:tcBorders>
            <w:noWrap/>
            <w:textDirection w:val="lrTb"/>
            <w:vAlign w:val="bottom"/>
            <w:hideMark/>
          </w:tcPr>
          <w:p w:rsidR="00CB350B" w:rsidRPr="004C74B9" w:rsidP="00257E12">
            <w:pPr>
              <w:bidi w:val="0"/>
              <w:rPr>
                <w:rFonts w:ascii="Times New Roman" w:hAnsi="Times New Roman"/>
                <w:color w:val="000000"/>
                <w:sz w:val="14"/>
                <w:szCs w:val="14"/>
              </w:rPr>
            </w:pPr>
            <w:r w:rsidRPr="004C74B9">
              <w:rPr>
                <w:rFonts w:ascii="Times New Roman" w:hAnsi="Times New Roman"/>
                <w:color w:val="000000"/>
                <w:sz w:val="14"/>
                <w:szCs w:val="14"/>
              </w:rPr>
              <w:t xml:space="preserve">               610 mzdy</w:t>
            </w:r>
          </w:p>
        </w:tc>
        <w:tc>
          <w:tcPr>
            <w:tcW w:w="1001"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965 913</w:t>
            </w:r>
          </w:p>
        </w:tc>
        <w:tc>
          <w:tcPr>
            <w:tcW w:w="964"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1 077 069</w:t>
            </w:r>
          </w:p>
        </w:tc>
        <w:tc>
          <w:tcPr>
            <w:tcW w:w="1000"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974 433</w:t>
            </w:r>
          </w:p>
        </w:tc>
        <w:tc>
          <w:tcPr>
            <w:tcW w:w="890" w:type="dxa"/>
            <w:tcBorders>
              <w:top w:val="single" w:sz="4" w:space="0" w:color="auto"/>
              <w:left w:val="nil"/>
              <w:bottom w:val="single" w:sz="4" w:space="0" w:color="auto"/>
              <w:right w:val="single" w:sz="4" w:space="0" w:color="auto"/>
            </w:tcBorders>
            <w:textDirection w:val="lrTb"/>
            <w:vAlign w:val="bottom"/>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974 433</w:t>
            </w:r>
          </w:p>
        </w:tc>
        <w:tc>
          <w:tcPr>
            <w:tcW w:w="964" w:type="dxa"/>
            <w:tcBorders>
              <w:top w:val="nil"/>
              <w:left w:val="single" w:sz="4" w:space="0" w:color="auto"/>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788 548</w:t>
            </w:r>
          </w:p>
        </w:tc>
        <w:tc>
          <w:tcPr>
            <w:tcW w:w="964"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793 420</w:t>
            </w:r>
          </w:p>
        </w:tc>
        <w:tc>
          <w:tcPr>
            <w:tcW w:w="964"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794 956</w:t>
            </w:r>
          </w:p>
        </w:tc>
      </w:tr>
      <w:tr>
        <w:tblPrEx>
          <w:tblW w:w="9015" w:type="dxa"/>
          <w:tblInd w:w="59" w:type="dxa"/>
          <w:tblCellMar>
            <w:left w:w="70" w:type="dxa"/>
            <w:right w:w="70" w:type="dxa"/>
          </w:tblCellMar>
          <w:tblLook w:val="04A0"/>
        </w:tblPrEx>
        <w:trPr>
          <w:trHeight w:val="259"/>
        </w:trPr>
        <w:tc>
          <w:tcPr>
            <w:tcW w:w="2268" w:type="dxa"/>
            <w:tcBorders>
              <w:top w:val="nil"/>
              <w:left w:val="single" w:sz="4" w:space="0" w:color="auto"/>
              <w:bottom w:val="single" w:sz="4" w:space="0" w:color="auto"/>
              <w:right w:val="single" w:sz="4" w:space="0" w:color="auto"/>
            </w:tcBorders>
            <w:noWrap/>
            <w:textDirection w:val="lrTb"/>
            <w:vAlign w:val="bottom"/>
            <w:hideMark/>
          </w:tcPr>
          <w:p w:rsidR="00CB350B" w:rsidRPr="004C74B9" w:rsidP="00257E12">
            <w:pPr>
              <w:bidi w:val="0"/>
              <w:rPr>
                <w:rFonts w:ascii="Times New Roman" w:hAnsi="Times New Roman"/>
                <w:color w:val="000000"/>
                <w:sz w:val="14"/>
                <w:szCs w:val="14"/>
              </w:rPr>
            </w:pPr>
            <w:r w:rsidRPr="004C74B9">
              <w:rPr>
                <w:rFonts w:ascii="Times New Roman" w:hAnsi="Times New Roman"/>
                <w:color w:val="000000"/>
                <w:sz w:val="14"/>
                <w:szCs w:val="14"/>
              </w:rPr>
              <w:t xml:space="preserve">               620 odvody</w:t>
            </w:r>
          </w:p>
        </w:tc>
        <w:tc>
          <w:tcPr>
            <w:tcW w:w="1001"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326 173</w:t>
            </w:r>
          </w:p>
        </w:tc>
        <w:tc>
          <w:tcPr>
            <w:tcW w:w="964"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362 216</w:t>
            </w:r>
          </w:p>
        </w:tc>
        <w:tc>
          <w:tcPr>
            <w:tcW w:w="1000"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340 672</w:t>
            </w:r>
          </w:p>
        </w:tc>
        <w:tc>
          <w:tcPr>
            <w:tcW w:w="890" w:type="dxa"/>
            <w:tcBorders>
              <w:top w:val="single" w:sz="4" w:space="0" w:color="auto"/>
              <w:left w:val="nil"/>
              <w:bottom w:val="single" w:sz="4" w:space="0" w:color="auto"/>
              <w:right w:val="single" w:sz="4" w:space="0" w:color="auto"/>
            </w:tcBorders>
            <w:textDirection w:val="lrTb"/>
            <w:vAlign w:val="bottom"/>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340 872</w:t>
            </w:r>
          </w:p>
        </w:tc>
        <w:tc>
          <w:tcPr>
            <w:tcW w:w="964" w:type="dxa"/>
            <w:tcBorders>
              <w:top w:val="nil"/>
              <w:left w:val="single" w:sz="4" w:space="0" w:color="auto"/>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283 060</w:t>
            </w:r>
          </w:p>
        </w:tc>
        <w:tc>
          <w:tcPr>
            <w:tcW w:w="964"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284 763</w:t>
            </w:r>
          </w:p>
        </w:tc>
        <w:tc>
          <w:tcPr>
            <w:tcW w:w="964"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285 300</w:t>
            </w:r>
          </w:p>
        </w:tc>
      </w:tr>
      <w:tr>
        <w:tblPrEx>
          <w:tblW w:w="9015" w:type="dxa"/>
          <w:tblInd w:w="59" w:type="dxa"/>
          <w:tblCellMar>
            <w:left w:w="70" w:type="dxa"/>
            <w:right w:w="70" w:type="dxa"/>
          </w:tblCellMar>
          <w:tblLook w:val="04A0"/>
        </w:tblPrEx>
        <w:trPr>
          <w:trHeight w:val="259"/>
        </w:trPr>
        <w:tc>
          <w:tcPr>
            <w:tcW w:w="2268" w:type="dxa"/>
            <w:tcBorders>
              <w:top w:val="nil"/>
              <w:left w:val="single" w:sz="4" w:space="0" w:color="auto"/>
              <w:bottom w:val="single" w:sz="4" w:space="0" w:color="auto"/>
              <w:right w:val="single" w:sz="4" w:space="0" w:color="auto"/>
            </w:tcBorders>
            <w:noWrap/>
            <w:textDirection w:val="lrTb"/>
            <w:vAlign w:val="bottom"/>
            <w:hideMark/>
          </w:tcPr>
          <w:p w:rsidR="00CB350B" w:rsidRPr="004C74B9" w:rsidP="00257E12">
            <w:pPr>
              <w:bidi w:val="0"/>
              <w:rPr>
                <w:rFonts w:ascii="Times New Roman" w:hAnsi="Times New Roman"/>
                <w:color w:val="000000"/>
                <w:sz w:val="14"/>
                <w:szCs w:val="14"/>
              </w:rPr>
            </w:pPr>
            <w:r w:rsidRPr="004C74B9">
              <w:rPr>
                <w:rFonts w:ascii="Times New Roman" w:hAnsi="Times New Roman"/>
                <w:color w:val="000000"/>
                <w:sz w:val="14"/>
                <w:szCs w:val="14"/>
              </w:rPr>
              <w:t xml:space="preserve">               630 tovary a služby</w:t>
            </w:r>
          </w:p>
        </w:tc>
        <w:tc>
          <w:tcPr>
            <w:tcW w:w="1001"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1 333 731</w:t>
            </w:r>
          </w:p>
        </w:tc>
        <w:tc>
          <w:tcPr>
            <w:tcW w:w="964"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1 743 276</w:t>
            </w:r>
          </w:p>
        </w:tc>
        <w:tc>
          <w:tcPr>
            <w:tcW w:w="1000"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1 655 740</w:t>
            </w:r>
          </w:p>
        </w:tc>
        <w:tc>
          <w:tcPr>
            <w:tcW w:w="890" w:type="dxa"/>
            <w:tcBorders>
              <w:top w:val="single" w:sz="4" w:space="0" w:color="auto"/>
              <w:left w:val="nil"/>
              <w:bottom w:val="single" w:sz="4" w:space="0" w:color="auto"/>
              <w:right w:val="single" w:sz="4" w:space="0" w:color="auto"/>
            </w:tcBorders>
            <w:textDirection w:val="lrTb"/>
            <w:vAlign w:val="bottom"/>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1 643 608</w:t>
            </w:r>
          </w:p>
        </w:tc>
        <w:tc>
          <w:tcPr>
            <w:tcW w:w="964" w:type="dxa"/>
            <w:tcBorders>
              <w:top w:val="nil"/>
              <w:left w:val="single" w:sz="4" w:space="0" w:color="auto"/>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1 760 120</w:t>
            </w:r>
          </w:p>
        </w:tc>
        <w:tc>
          <w:tcPr>
            <w:tcW w:w="964"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1 760 120</w:t>
            </w:r>
          </w:p>
        </w:tc>
        <w:tc>
          <w:tcPr>
            <w:tcW w:w="964"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1 760 120</w:t>
            </w:r>
          </w:p>
        </w:tc>
      </w:tr>
      <w:tr>
        <w:tblPrEx>
          <w:tblW w:w="9015" w:type="dxa"/>
          <w:tblInd w:w="59" w:type="dxa"/>
          <w:tblCellMar>
            <w:left w:w="70" w:type="dxa"/>
            <w:right w:w="70" w:type="dxa"/>
          </w:tblCellMar>
          <w:tblLook w:val="04A0"/>
        </w:tblPrEx>
        <w:trPr>
          <w:trHeight w:val="259"/>
        </w:trPr>
        <w:tc>
          <w:tcPr>
            <w:tcW w:w="2268" w:type="dxa"/>
            <w:tcBorders>
              <w:top w:val="nil"/>
              <w:left w:val="single" w:sz="4" w:space="0" w:color="auto"/>
              <w:bottom w:val="single" w:sz="4" w:space="0" w:color="auto"/>
              <w:right w:val="single" w:sz="4" w:space="0" w:color="auto"/>
            </w:tcBorders>
            <w:noWrap/>
            <w:textDirection w:val="lrTb"/>
            <w:vAlign w:val="bottom"/>
            <w:hideMark/>
          </w:tcPr>
          <w:p w:rsidR="00CB350B" w:rsidRPr="004C74B9" w:rsidP="00257E12">
            <w:pPr>
              <w:bidi w:val="0"/>
              <w:rPr>
                <w:rFonts w:ascii="Times New Roman" w:hAnsi="Times New Roman"/>
                <w:color w:val="000000"/>
                <w:sz w:val="14"/>
                <w:szCs w:val="14"/>
              </w:rPr>
            </w:pPr>
            <w:r w:rsidRPr="004C74B9">
              <w:rPr>
                <w:rFonts w:ascii="Times New Roman" w:hAnsi="Times New Roman"/>
                <w:color w:val="000000"/>
                <w:sz w:val="14"/>
                <w:szCs w:val="14"/>
              </w:rPr>
              <w:t xml:space="preserve">               640 bežné transfery</w:t>
            </w:r>
          </w:p>
        </w:tc>
        <w:tc>
          <w:tcPr>
            <w:tcW w:w="1001"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4 613 483</w:t>
            </w:r>
          </w:p>
        </w:tc>
        <w:tc>
          <w:tcPr>
            <w:tcW w:w="964"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3 969 603</w:t>
            </w:r>
          </w:p>
        </w:tc>
        <w:tc>
          <w:tcPr>
            <w:tcW w:w="1000"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3 590 632</w:t>
            </w:r>
          </w:p>
        </w:tc>
        <w:tc>
          <w:tcPr>
            <w:tcW w:w="890" w:type="dxa"/>
            <w:tcBorders>
              <w:top w:val="single" w:sz="4" w:space="0" w:color="auto"/>
              <w:left w:val="nil"/>
              <w:bottom w:val="single" w:sz="4" w:space="0" w:color="auto"/>
              <w:right w:val="single" w:sz="4" w:space="0" w:color="auto"/>
            </w:tcBorders>
            <w:textDirection w:val="lrTb"/>
            <w:vAlign w:val="bottom"/>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3 602 564</w:t>
            </w:r>
          </w:p>
        </w:tc>
        <w:tc>
          <w:tcPr>
            <w:tcW w:w="964" w:type="dxa"/>
            <w:tcBorders>
              <w:top w:val="nil"/>
              <w:left w:val="single" w:sz="4" w:space="0" w:color="auto"/>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3 196 557</w:t>
            </w:r>
          </w:p>
        </w:tc>
        <w:tc>
          <w:tcPr>
            <w:tcW w:w="964"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3 196 557</w:t>
            </w:r>
          </w:p>
        </w:tc>
        <w:tc>
          <w:tcPr>
            <w:tcW w:w="964"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3 196 557</w:t>
            </w:r>
          </w:p>
        </w:tc>
      </w:tr>
      <w:tr>
        <w:tblPrEx>
          <w:tblW w:w="9015" w:type="dxa"/>
          <w:tblInd w:w="59" w:type="dxa"/>
          <w:tblCellMar>
            <w:left w:w="70" w:type="dxa"/>
            <w:right w:w="70" w:type="dxa"/>
          </w:tblCellMar>
          <w:tblLook w:val="04A0"/>
        </w:tblPrEx>
        <w:trPr>
          <w:trHeight w:val="259"/>
        </w:trPr>
        <w:tc>
          <w:tcPr>
            <w:tcW w:w="2268" w:type="dxa"/>
            <w:tcBorders>
              <w:top w:val="nil"/>
              <w:left w:val="single" w:sz="4" w:space="0" w:color="auto"/>
              <w:bottom w:val="single" w:sz="4" w:space="0" w:color="auto"/>
              <w:right w:val="single" w:sz="4" w:space="0" w:color="auto"/>
            </w:tcBorders>
            <w:noWrap/>
            <w:textDirection w:val="lrTb"/>
            <w:vAlign w:val="bottom"/>
            <w:hideMark/>
          </w:tcPr>
          <w:p w:rsidR="00CB350B" w:rsidRPr="004C74B9" w:rsidP="00257E12">
            <w:pPr>
              <w:bidi w:val="0"/>
              <w:rPr>
                <w:rFonts w:ascii="Times New Roman" w:hAnsi="Times New Roman"/>
                <w:color w:val="000000"/>
                <w:sz w:val="14"/>
                <w:szCs w:val="14"/>
              </w:rPr>
            </w:pPr>
            <w:r w:rsidRPr="004C74B9">
              <w:rPr>
                <w:rFonts w:ascii="Times New Roman" w:hAnsi="Times New Roman"/>
                <w:color w:val="000000"/>
                <w:sz w:val="14"/>
                <w:szCs w:val="14"/>
              </w:rPr>
              <w:t xml:space="preserve">             kapitál. výdavky 700</w:t>
            </w:r>
          </w:p>
        </w:tc>
        <w:tc>
          <w:tcPr>
            <w:tcW w:w="1001"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57 745</w:t>
            </w:r>
          </w:p>
        </w:tc>
        <w:tc>
          <w:tcPr>
            <w:tcW w:w="964"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38 591</w:t>
            </w:r>
          </w:p>
        </w:tc>
        <w:tc>
          <w:tcPr>
            <w:tcW w:w="1000"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31 214</w:t>
            </w:r>
          </w:p>
        </w:tc>
        <w:tc>
          <w:tcPr>
            <w:tcW w:w="890" w:type="dxa"/>
            <w:tcBorders>
              <w:top w:val="single" w:sz="4" w:space="0" w:color="auto"/>
              <w:left w:val="nil"/>
              <w:bottom w:val="single" w:sz="4" w:space="0" w:color="auto"/>
              <w:right w:val="single" w:sz="4" w:space="0" w:color="auto"/>
            </w:tcBorders>
            <w:textDirection w:val="lrTb"/>
            <w:vAlign w:val="bottom"/>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31 214</w:t>
            </w:r>
          </w:p>
        </w:tc>
        <w:tc>
          <w:tcPr>
            <w:tcW w:w="964" w:type="dxa"/>
            <w:tcBorders>
              <w:top w:val="nil"/>
              <w:left w:val="single" w:sz="4" w:space="0" w:color="auto"/>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0</w:t>
            </w:r>
          </w:p>
        </w:tc>
        <w:tc>
          <w:tcPr>
            <w:tcW w:w="964"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0</w:t>
            </w:r>
          </w:p>
        </w:tc>
        <w:tc>
          <w:tcPr>
            <w:tcW w:w="964"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0</w:t>
            </w:r>
          </w:p>
        </w:tc>
      </w:tr>
      <w:tr>
        <w:tblPrEx>
          <w:tblW w:w="9015" w:type="dxa"/>
          <w:tblInd w:w="59" w:type="dxa"/>
          <w:tblCellMar>
            <w:left w:w="70" w:type="dxa"/>
            <w:right w:w="70" w:type="dxa"/>
          </w:tblCellMar>
          <w:tblLook w:val="04A0"/>
        </w:tblPrEx>
        <w:trPr>
          <w:trHeight w:val="259"/>
        </w:trPr>
        <w:tc>
          <w:tcPr>
            <w:tcW w:w="2268" w:type="dxa"/>
            <w:tcBorders>
              <w:top w:val="nil"/>
              <w:left w:val="single" w:sz="4" w:space="0" w:color="auto"/>
              <w:bottom w:val="single" w:sz="4" w:space="0" w:color="auto"/>
              <w:right w:val="single" w:sz="4" w:space="0" w:color="auto"/>
            </w:tcBorders>
            <w:noWrap/>
            <w:textDirection w:val="lrTb"/>
            <w:vAlign w:val="bottom"/>
            <w:hideMark/>
          </w:tcPr>
          <w:p w:rsidR="00CB350B" w:rsidRPr="004C74B9" w:rsidP="00257E12">
            <w:pPr>
              <w:bidi w:val="0"/>
              <w:rPr>
                <w:rFonts w:ascii="Times New Roman" w:hAnsi="Times New Roman"/>
                <w:color w:val="000000"/>
                <w:sz w:val="14"/>
                <w:szCs w:val="14"/>
              </w:rPr>
            </w:pPr>
            <w:r w:rsidRPr="004C74B9">
              <w:rPr>
                <w:rFonts w:ascii="Times New Roman" w:hAnsi="Times New Roman"/>
                <w:color w:val="000000"/>
                <w:sz w:val="14"/>
                <w:szCs w:val="14"/>
              </w:rPr>
              <w:t>Presun z minulých rokov § 8</w:t>
            </w:r>
          </w:p>
        </w:tc>
        <w:tc>
          <w:tcPr>
            <w:tcW w:w="1001"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177 000</w:t>
            </w:r>
          </w:p>
        </w:tc>
        <w:tc>
          <w:tcPr>
            <w:tcW w:w="964"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0</w:t>
            </w:r>
          </w:p>
        </w:tc>
        <w:tc>
          <w:tcPr>
            <w:tcW w:w="1000" w:type="dxa"/>
            <w:tcBorders>
              <w:top w:val="nil"/>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0</w:t>
            </w:r>
          </w:p>
        </w:tc>
        <w:tc>
          <w:tcPr>
            <w:tcW w:w="890" w:type="dxa"/>
            <w:tcBorders>
              <w:top w:val="single" w:sz="4" w:space="0" w:color="auto"/>
              <w:left w:val="nil"/>
              <w:bottom w:val="single" w:sz="4" w:space="0" w:color="auto"/>
              <w:right w:val="single" w:sz="4" w:space="0" w:color="auto"/>
            </w:tcBorders>
            <w:textDirection w:val="lrTb"/>
            <w:vAlign w:val="bottom"/>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0</w:t>
            </w:r>
          </w:p>
        </w:tc>
        <w:tc>
          <w:tcPr>
            <w:tcW w:w="964" w:type="dxa"/>
            <w:tcBorders>
              <w:top w:val="nil"/>
              <w:left w:val="single" w:sz="4" w:space="0" w:color="auto"/>
              <w:bottom w:val="single" w:sz="4" w:space="0" w:color="auto"/>
              <w:right w:val="single" w:sz="4" w:space="0" w:color="auto"/>
            </w:tcBorders>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0</w:t>
            </w:r>
          </w:p>
        </w:tc>
        <w:tc>
          <w:tcPr>
            <w:tcW w:w="964" w:type="dxa"/>
            <w:tcBorders>
              <w:top w:val="nil"/>
              <w:left w:val="nil"/>
              <w:bottom w:val="single" w:sz="4" w:space="0" w:color="auto"/>
              <w:right w:val="single" w:sz="4" w:space="0" w:color="auto"/>
            </w:tcBorders>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0</w:t>
            </w:r>
          </w:p>
        </w:tc>
        <w:tc>
          <w:tcPr>
            <w:tcW w:w="964" w:type="dxa"/>
            <w:tcBorders>
              <w:top w:val="nil"/>
              <w:left w:val="nil"/>
              <w:bottom w:val="single" w:sz="4" w:space="0" w:color="auto"/>
              <w:right w:val="single" w:sz="4" w:space="0" w:color="auto"/>
            </w:tcBorders>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0</w:t>
            </w:r>
          </w:p>
        </w:tc>
      </w:tr>
      <w:tr>
        <w:tblPrEx>
          <w:tblW w:w="9015" w:type="dxa"/>
          <w:tblInd w:w="59" w:type="dxa"/>
          <w:tblCellMar>
            <w:left w:w="70" w:type="dxa"/>
            <w:right w:w="70" w:type="dxa"/>
          </w:tblCellMar>
          <w:tblLook w:val="04A0"/>
        </w:tblPrEx>
        <w:trPr>
          <w:trHeight w:val="259"/>
        </w:trPr>
        <w:tc>
          <w:tcPr>
            <w:tcW w:w="2268"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4C74B9" w:rsidP="00257E12">
            <w:pPr>
              <w:bidi w:val="0"/>
              <w:rPr>
                <w:rFonts w:ascii="Times New Roman" w:hAnsi="Times New Roman"/>
                <w:color w:val="000000"/>
                <w:sz w:val="14"/>
                <w:szCs w:val="14"/>
              </w:rPr>
            </w:pPr>
            <w:r w:rsidRPr="004C74B9">
              <w:rPr>
                <w:rFonts w:ascii="Times New Roman" w:hAnsi="Times New Roman"/>
                <w:color w:val="000000"/>
                <w:sz w:val="14"/>
                <w:szCs w:val="14"/>
              </w:rPr>
              <w:t>Iné zdroje</w:t>
            </w:r>
          </w:p>
        </w:tc>
        <w:tc>
          <w:tcPr>
            <w:tcW w:w="1001" w:type="dxa"/>
            <w:tcBorders>
              <w:top w:val="single" w:sz="4" w:space="0" w:color="auto"/>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9 327</w:t>
            </w:r>
          </w:p>
        </w:tc>
        <w:tc>
          <w:tcPr>
            <w:tcW w:w="964" w:type="dxa"/>
            <w:tcBorders>
              <w:top w:val="single" w:sz="4" w:space="0" w:color="auto"/>
              <w:left w:val="nil"/>
              <w:bottom w:val="single" w:sz="4" w:space="0" w:color="auto"/>
              <w:right w:val="nil"/>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0</w:t>
            </w:r>
          </w:p>
        </w:tc>
        <w:tc>
          <w:tcPr>
            <w:tcW w:w="1000"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0</w:t>
            </w:r>
          </w:p>
        </w:tc>
        <w:tc>
          <w:tcPr>
            <w:tcW w:w="890" w:type="dxa"/>
            <w:tcBorders>
              <w:top w:val="single" w:sz="4" w:space="0" w:color="auto"/>
              <w:left w:val="nil"/>
              <w:bottom w:val="single" w:sz="4" w:space="0" w:color="auto"/>
              <w:right w:val="single" w:sz="4" w:space="0" w:color="auto"/>
            </w:tcBorders>
            <w:textDirection w:val="lrTb"/>
            <w:vAlign w:val="bottom"/>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0</w:t>
            </w:r>
          </w:p>
        </w:tc>
        <w:tc>
          <w:tcPr>
            <w:tcW w:w="964" w:type="dxa"/>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0</w:t>
            </w:r>
          </w:p>
        </w:tc>
        <w:tc>
          <w:tcPr>
            <w:tcW w:w="964" w:type="dxa"/>
            <w:tcBorders>
              <w:top w:val="single" w:sz="4" w:space="0" w:color="auto"/>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0</w:t>
            </w:r>
          </w:p>
        </w:tc>
        <w:tc>
          <w:tcPr>
            <w:tcW w:w="964" w:type="dxa"/>
            <w:tcBorders>
              <w:top w:val="single" w:sz="4" w:space="0" w:color="auto"/>
              <w:left w:val="nil"/>
              <w:bottom w:val="single" w:sz="4" w:space="0" w:color="auto"/>
              <w:right w:val="single" w:sz="4" w:space="0" w:color="auto"/>
            </w:tcBorders>
            <w:noWrap/>
            <w:textDirection w:val="lrTb"/>
            <w:vAlign w:val="bottom"/>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0</w:t>
            </w:r>
          </w:p>
        </w:tc>
      </w:tr>
    </w:tbl>
    <w:p w:rsidR="00CB350B" w:rsidRPr="004C74B9" w:rsidP="00CB350B">
      <w:pPr>
        <w:bidi w:val="0"/>
        <w:ind w:firstLine="708"/>
        <w:jc w:val="both"/>
        <w:rPr>
          <w:rFonts w:ascii="Times New Roman" w:hAnsi="Times New Roman"/>
        </w:rPr>
      </w:pPr>
    </w:p>
    <w:p w:rsidR="00CB350B" w:rsidRPr="004C74B9" w:rsidP="00CB350B">
      <w:pPr>
        <w:bidi w:val="0"/>
        <w:ind w:firstLine="708"/>
        <w:jc w:val="both"/>
        <w:rPr>
          <w:rFonts w:ascii="Times New Roman" w:hAnsi="Times New Roman"/>
        </w:rPr>
      </w:pPr>
      <w:r w:rsidRPr="004C74B9">
        <w:rPr>
          <w:rFonts w:ascii="Times New Roman" w:hAnsi="Times New Roman"/>
        </w:rPr>
        <w:t>V návrhu rozpočtu kapitoly ÚNMS SR na rok 2012 sú rozpočtované výdavky nižšie oproti schválenému rozpočtu na rok 2011 o 8,56 %.</w:t>
      </w:r>
    </w:p>
    <w:p w:rsidR="00CB350B" w:rsidRPr="004C74B9" w:rsidP="00CB350B">
      <w:pPr>
        <w:bidi w:val="0"/>
        <w:jc w:val="both"/>
        <w:rPr>
          <w:rFonts w:ascii="Times New Roman" w:hAnsi="Times New Roman"/>
        </w:rPr>
      </w:pPr>
    </w:p>
    <w:p w:rsidR="00CB350B" w:rsidRPr="004C74B9" w:rsidP="00CB350B">
      <w:pPr>
        <w:bidi w:val="0"/>
        <w:ind w:firstLine="708"/>
        <w:jc w:val="both"/>
        <w:rPr>
          <w:rFonts w:ascii="Times New Roman" w:hAnsi="Times New Roman"/>
        </w:rPr>
      </w:pPr>
      <w:r w:rsidRPr="004C74B9">
        <w:rPr>
          <w:rFonts w:ascii="Times New Roman" w:hAnsi="Times New Roman"/>
        </w:rPr>
        <w:t xml:space="preserve">Osobné výdavky v návrhu rozpočtu kapitoly ÚNMS SR na rok 2012 oproti schválenému rozpočtu na rok 2011 klesajú o 18,5 %, a to z dôvodu ukončenia financovania osobných výdavkov v nadväznosti na uznesenie vlády č. 242/2008. V súlade s cit. uznesením vlády boli dočasne prideľované osobné výdavky na dobudovanie Cyklotrónového centra SR a  stabilizáciu kľúčových zamestnancov v rokoch 2008 až 2011. V návrhu rozpočtu na rok 2012 je premietnuté zvýšenie osobných výdavkov súvisiace so zákonom </w:t>
        <w:br/>
        <w:t>č. 120/1993 Z. z. Nárast osobných výdavkov ústavných činiteľov v roku 2012 zohľadňuje v kapitole štátneho rozpočtu dopočet platových náležitostí ústavných činiteľov reálne vyplácaných v roku 2011 v zmysle zákona.</w:t>
      </w:r>
    </w:p>
    <w:p w:rsidR="00CB350B" w:rsidRPr="004C74B9" w:rsidP="00CB350B">
      <w:pPr>
        <w:bidi w:val="0"/>
        <w:jc w:val="both"/>
        <w:rPr>
          <w:rFonts w:ascii="Times New Roman" w:hAnsi="Times New Roman"/>
        </w:rPr>
      </w:pPr>
    </w:p>
    <w:p w:rsidR="00CB350B" w:rsidRPr="004C74B9" w:rsidP="00CB350B">
      <w:pPr>
        <w:bidi w:val="0"/>
        <w:ind w:firstLine="708"/>
        <w:jc w:val="both"/>
        <w:rPr>
          <w:rFonts w:ascii="Times New Roman" w:hAnsi="Times New Roman"/>
        </w:rPr>
      </w:pPr>
      <w:r w:rsidRPr="004C74B9">
        <w:rPr>
          <w:rFonts w:ascii="Times New Roman" w:hAnsi="Times New Roman"/>
        </w:rPr>
        <w:t xml:space="preserve">Výdavky na tovary a služby v návrhu rozpočtu na rok 2012 oproti schválenému rozpočtu na rok 2011 rastú o 6,30 %, pričom rastú najmä výdavky na všeobecné služby </w:t>
        <w:br/>
        <w:t xml:space="preserve">(o 36 tis. eur), špeciálne služby (o 103 tis. eur), na  údržbu budov (o 33 tis. eur), naopak klesajú najmä výdavky na interiérové vybavenie (o 37 tis. eur), údržbu výpočtovej techniky </w:t>
        <w:br/>
        <w:t>(o 21,5 tis. eur), stravovanie (o 14,2 tis. eur). Nárast výdavkov na tovary a služby je zabezpečený znížením výdavkov na bežné transfery a kapitálových výdavkov.</w:t>
      </w:r>
    </w:p>
    <w:p w:rsidR="00CB350B" w:rsidRPr="004C74B9" w:rsidP="00CB350B">
      <w:pPr>
        <w:bidi w:val="0"/>
        <w:ind w:firstLine="708"/>
        <w:jc w:val="both"/>
        <w:rPr>
          <w:rFonts w:ascii="Times New Roman" w:hAnsi="Times New Roman"/>
        </w:rPr>
      </w:pPr>
    </w:p>
    <w:p w:rsidR="00CB350B" w:rsidRPr="004C74B9" w:rsidP="00CB350B">
      <w:pPr>
        <w:bidi w:val="0"/>
        <w:ind w:firstLine="708"/>
        <w:jc w:val="both"/>
        <w:rPr>
          <w:rFonts w:ascii="Times New Roman" w:hAnsi="Times New Roman"/>
        </w:rPr>
      </w:pPr>
      <w:r w:rsidRPr="004C74B9">
        <w:rPr>
          <w:rFonts w:ascii="Times New Roman" w:hAnsi="Times New Roman"/>
        </w:rPr>
        <w:t>Bežné transfery v návrhu rozpočtu na rok 2012 oproti schválenému rozpočtu na rok 2011 klesajú o 11,0 % z dôvodu poklesu transferov príspevkovým organizáciám o </w:t>
        <w:br/>
        <w:t>398 tis. eur.</w:t>
      </w:r>
    </w:p>
    <w:p w:rsidR="00CB350B" w:rsidRPr="004C74B9" w:rsidP="00CB350B">
      <w:pPr>
        <w:bidi w:val="0"/>
        <w:ind w:firstLine="708"/>
        <w:jc w:val="both"/>
        <w:rPr>
          <w:rFonts w:ascii="Times New Roman" w:hAnsi="Times New Roman"/>
        </w:rPr>
      </w:pPr>
    </w:p>
    <w:p w:rsidR="00CB350B" w:rsidRPr="004C74B9" w:rsidP="00CB350B">
      <w:pPr>
        <w:bidi w:val="0"/>
        <w:ind w:firstLine="708"/>
        <w:jc w:val="both"/>
        <w:rPr>
          <w:rFonts w:ascii="Times New Roman" w:hAnsi="Times New Roman"/>
        </w:rPr>
      </w:pPr>
      <w:r w:rsidRPr="004C74B9">
        <w:rPr>
          <w:rFonts w:ascii="Times New Roman" w:hAnsi="Times New Roman"/>
        </w:rPr>
        <w:t>Kapitálové výdavky ÚNMS SR na rok 2012 nerozpočtuje.</w:t>
      </w:r>
    </w:p>
    <w:p w:rsidR="00CB350B" w:rsidRPr="004C74B9" w:rsidP="00CB350B">
      <w:pPr>
        <w:bidi w:val="0"/>
        <w:jc w:val="both"/>
        <w:rPr>
          <w:rFonts w:ascii="Times New Roman" w:hAnsi="Times New Roman"/>
        </w:rPr>
      </w:pPr>
    </w:p>
    <w:p w:rsidR="00CB350B" w:rsidRPr="004C74B9" w:rsidP="00CB350B">
      <w:pPr>
        <w:bidi w:val="0"/>
        <w:ind w:firstLine="708"/>
        <w:jc w:val="both"/>
        <w:rPr>
          <w:rFonts w:ascii="Times New Roman" w:hAnsi="Times New Roman"/>
        </w:rPr>
      </w:pPr>
      <w:r w:rsidRPr="004C74B9">
        <w:rPr>
          <w:rFonts w:ascii="Times New Roman" w:hAnsi="Times New Roman"/>
        </w:rPr>
        <w:t>Zdroje kapitoly sú smerované na zabezpečenie úloh ústredného orgánu, rozpočtovej organizácie a príspevkových organizácií nasledovne.</w:t>
      </w:r>
    </w:p>
    <w:p w:rsidR="00CB350B" w:rsidRPr="004C74B9" w:rsidP="00CB350B">
      <w:pPr>
        <w:bidi w:val="0"/>
        <w:jc w:val="both"/>
        <w:rPr>
          <w:rFonts w:ascii="Times New Roman" w:hAnsi="Times New Roman"/>
        </w:rPr>
      </w:pPr>
    </w:p>
    <w:tbl>
      <w:tblPr>
        <w:tblStyle w:val="TableNormal"/>
        <w:tblW w:w="9153" w:type="dxa"/>
        <w:tblInd w:w="59" w:type="dxa"/>
        <w:tblLayout w:type="fixed"/>
        <w:tblCellMar>
          <w:left w:w="70" w:type="dxa"/>
          <w:right w:w="70" w:type="dxa"/>
        </w:tblCellMar>
        <w:tblLook w:val="04A0"/>
      </w:tblPr>
      <w:tblGrid>
        <w:gridCol w:w="3130"/>
        <w:gridCol w:w="860"/>
        <w:gridCol w:w="860"/>
        <w:gridCol w:w="861"/>
        <w:gridCol w:w="860"/>
        <w:gridCol w:w="861"/>
        <w:gridCol w:w="860"/>
        <w:gridCol w:w="861"/>
      </w:tblGrid>
      <w:tr>
        <w:tblPrEx>
          <w:tblW w:w="9153" w:type="dxa"/>
          <w:tblInd w:w="59" w:type="dxa"/>
          <w:tblLayout w:type="fixed"/>
          <w:tblCellMar>
            <w:left w:w="70" w:type="dxa"/>
            <w:right w:w="70" w:type="dxa"/>
          </w:tblCellMar>
          <w:tblLook w:val="04A0"/>
        </w:tblPrEx>
        <w:trPr>
          <w:trHeight w:val="282"/>
        </w:trPr>
        <w:tc>
          <w:tcPr>
            <w:tcW w:w="3130" w:type="dxa"/>
            <w:tcBorders>
              <w:top w:val="single" w:sz="4" w:space="0" w:color="auto"/>
              <w:left w:val="single" w:sz="4" w:space="0" w:color="auto"/>
              <w:bottom w:val="single" w:sz="4" w:space="0" w:color="auto"/>
              <w:right w:val="single" w:sz="4" w:space="0" w:color="auto"/>
            </w:tcBorders>
            <w:noWrap/>
            <w:textDirection w:val="lrTb"/>
            <w:vAlign w:val="center"/>
            <w:hideMark/>
          </w:tcPr>
          <w:p w:rsidR="00CB350B" w:rsidRPr="004C74B9" w:rsidP="00257E12">
            <w:pPr>
              <w:bidi w:val="0"/>
              <w:rPr>
                <w:rFonts w:ascii="Times New Roman" w:hAnsi="Times New Roman"/>
                <w:b/>
                <w:color w:val="000000"/>
                <w:sz w:val="14"/>
                <w:szCs w:val="14"/>
                <w:lang w:eastAsia="sk-SK"/>
              </w:rPr>
            </w:pPr>
            <w:r w:rsidRPr="004C74B9">
              <w:rPr>
                <w:rFonts w:ascii="Times New Roman" w:hAnsi="Times New Roman"/>
                <w:b/>
                <w:color w:val="000000"/>
                <w:sz w:val="14"/>
                <w:szCs w:val="14"/>
                <w:lang w:eastAsia="sk-SK"/>
              </w:rPr>
              <w:t>v eurách</w:t>
            </w:r>
          </w:p>
        </w:tc>
        <w:tc>
          <w:tcPr>
            <w:tcW w:w="860" w:type="dxa"/>
            <w:tcBorders>
              <w:top w:val="single" w:sz="4" w:space="0" w:color="auto"/>
              <w:left w:val="nil"/>
              <w:bottom w:val="single" w:sz="4" w:space="0" w:color="auto"/>
              <w:right w:val="single" w:sz="4" w:space="0" w:color="auto"/>
            </w:tcBorders>
            <w:noWrap/>
            <w:textDirection w:val="lrTb"/>
            <w:vAlign w:val="center"/>
            <w:hideMark/>
          </w:tcPr>
          <w:p w:rsidR="00CB350B" w:rsidRPr="004C74B9" w:rsidP="00257E12">
            <w:pPr>
              <w:bidi w:val="0"/>
              <w:jc w:val="center"/>
              <w:rPr>
                <w:rFonts w:ascii="Times New Roman" w:hAnsi="Times New Roman"/>
                <w:b/>
                <w:color w:val="000000"/>
                <w:sz w:val="14"/>
                <w:szCs w:val="14"/>
                <w:lang w:eastAsia="sk-SK"/>
              </w:rPr>
            </w:pPr>
            <w:r w:rsidRPr="004C74B9">
              <w:rPr>
                <w:rFonts w:ascii="Times New Roman" w:hAnsi="Times New Roman"/>
                <w:b/>
                <w:color w:val="000000"/>
                <w:sz w:val="14"/>
                <w:szCs w:val="14"/>
                <w:lang w:eastAsia="sk-SK"/>
              </w:rPr>
              <w:t>2009 S</w:t>
            </w:r>
          </w:p>
        </w:tc>
        <w:tc>
          <w:tcPr>
            <w:tcW w:w="860" w:type="dxa"/>
            <w:tcBorders>
              <w:top w:val="single" w:sz="4" w:space="0" w:color="auto"/>
              <w:left w:val="nil"/>
              <w:bottom w:val="single" w:sz="4" w:space="0" w:color="auto"/>
              <w:right w:val="single" w:sz="4" w:space="0" w:color="auto"/>
            </w:tcBorders>
            <w:noWrap/>
            <w:textDirection w:val="lrTb"/>
            <w:vAlign w:val="center"/>
            <w:hideMark/>
          </w:tcPr>
          <w:p w:rsidR="00CB350B" w:rsidRPr="004C74B9" w:rsidP="00257E12">
            <w:pPr>
              <w:bidi w:val="0"/>
              <w:jc w:val="center"/>
              <w:rPr>
                <w:rFonts w:ascii="Times New Roman" w:hAnsi="Times New Roman"/>
                <w:b/>
                <w:color w:val="000000"/>
                <w:sz w:val="14"/>
                <w:szCs w:val="14"/>
                <w:lang w:eastAsia="sk-SK"/>
              </w:rPr>
            </w:pPr>
            <w:r w:rsidRPr="004C74B9">
              <w:rPr>
                <w:rFonts w:ascii="Times New Roman" w:hAnsi="Times New Roman"/>
                <w:b/>
                <w:color w:val="000000"/>
                <w:sz w:val="14"/>
                <w:szCs w:val="14"/>
                <w:lang w:eastAsia="sk-SK"/>
              </w:rPr>
              <w:t>2010 S</w:t>
            </w:r>
          </w:p>
        </w:tc>
        <w:tc>
          <w:tcPr>
            <w:tcW w:w="861" w:type="dxa"/>
            <w:tcBorders>
              <w:top w:val="single" w:sz="4" w:space="0" w:color="auto"/>
              <w:left w:val="nil"/>
              <w:bottom w:val="single" w:sz="4" w:space="0" w:color="auto"/>
              <w:right w:val="single" w:sz="4" w:space="0" w:color="auto"/>
            </w:tcBorders>
            <w:noWrap/>
            <w:textDirection w:val="lrTb"/>
            <w:vAlign w:val="center"/>
            <w:hideMark/>
          </w:tcPr>
          <w:p w:rsidR="00CB350B" w:rsidRPr="004C74B9" w:rsidP="00257E12">
            <w:pPr>
              <w:bidi w:val="0"/>
              <w:jc w:val="center"/>
              <w:rPr>
                <w:rFonts w:ascii="Times New Roman" w:hAnsi="Times New Roman"/>
                <w:b/>
                <w:color w:val="000000"/>
                <w:sz w:val="14"/>
                <w:szCs w:val="14"/>
                <w:lang w:eastAsia="sk-SK"/>
              </w:rPr>
            </w:pPr>
            <w:r w:rsidRPr="004C74B9">
              <w:rPr>
                <w:rFonts w:ascii="Times New Roman" w:hAnsi="Times New Roman"/>
                <w:b/>
                <w:color w:val="000000"/>
                <w:sz w:val="14"/>
                <w:szCs w:val="14"/>
                <w:lang w:eastAsia="sk-SK"/>
              </w:rPr>
              <w:t>2011 R</w:t>
            </w:r>
          </w:p>
        </w:tc>
        <w:tc>
          <w:tcPr>
            <w:tcW w:w="860" w:type="dxa"/>
            <w:tcBorders>
              <w:top w:val="single" w:sz="4" w:space="0" w:color="auto"/>
              <w:left w:val="nil"/>
              <w:bottom w:val="single" w:sz="4" w:space="0" w:color="auto"/>
              <w:right w:val="single" w:sz="4" w:space="0" w:color="auto"/>
            </w:tcBorders>
            <w:noWrap/>
            <w:textDirection w:val="lrTb"/>
            <w:vAlign w:val="center"/>
            <w:hideMark/>
          </w:tcPr>
          <w:p w:rsidR="00CB350B" w:rsidRPr="004C74B9" w:rsidP="00257E12">
            <w:pPr>
              <w:bidi w:val="0"/>
              <w:jc w:val="center"/>
              <w:rPr>
                <w:rFonts w:ascii="Times New Roman" w:hAnsi="Times New Roman"/>
                <w:b/>
                <w:color w:val="000000"/>
                <w:sz w:val="14"/>
                <w:szCs w:val="14"/>
                <w:lang w:eastAsia="sk-SK"/>
              </w:rPr>
            </w:pPr>
            <w:r w:rsidRPr="004C74B9">
              <w:rPr>
                <w:rFonts w:ascii="Times New Roman" w:hAnsi="Times New Roman"/>
                <w:b/>
                <w:color w:val="000000"/>
                <w:sz w:val="14"/>
                <w:szCs w:val="14"/>
                <w:lang w:eastAsia="sk-SK"/>
              </w:rPr>
              <w:t>2011 OS</w:t>
            </w:r>
          </w:p>
        </w:tc>
        <w:tc>
          <w:tcPr>
            <w:tcW w:w="861" w:type="dxa"/>
            <w:tcBorders>
              <w:top w:val="single" w:sz="4" w:space="0" w:color="auto"/>
              <w:left w:val="nil"/>
              <w:bottom w:val="single" w:sz="4" w:space="0" w:color="auto"/>
              <w:right w:val="single" w:sz="4" w:space="0" w:color="auto"/>
            </w:tcBorders>
            <w:noWrap/>
            <w:textDirection w:val="lrTb"/>
            <w:vAlign w:val="center"/>
            <w:hideMark/>
          </w:tcPr>
          <w:p w:rsidR="00CB350B" w:rsidRPr="004C74B9" w:rsidP="00257E12">
            <w:pPr>
              <w:bidi w:val="0"/>
              <w:jc w:val="center"/>
              <w:rPr>
                <w:rFonts w:ascii="Times New Roman" w:hAnsi="Times New Roman"/>
                <w:b/>
                <w:color w:val="000000"/>
                <w:sz w:val="14"/>
                <w:szCs w:val="14"/>
                <w:lang w:eastAsia="sk-SK"/>
              </w:rPr>
            </w:pPr>
            <w:r w:rsidRPr="004C74B9">
              <w:rPr>
                <w:rFonts w:ascii="Times New Roman" w:hAnsi="Times New Roman"/>
                <w:b/>
                <w:color w:val="000000"/>
                <w:sz w:val="14"/>
                <w:szCs w:val="14"/>
                <w:lang w:eastAsia="sk-SK"/>
              </w:rPr>
              <w:t>2012 N</w:t>
            </w:r>
          </w:p>
        </w:tc>
        <w:tc>
          <w:tcPr>
            <w:tcW w:w="860" w:type="dxa"/>
            <w:tcBorders>
              <w:top w:val="single" w:sz="4" w:space="0" w:color="auto"/>
              <w:left w:val="nil"/>
              <w:bottom w:val="single" w:sz="4" w:space="0" w:color="auto"/>
              <w:right w:val="single" w:sz="4" w:space="0" w:color="auto"/>
            </w:tcBorders>
            <w:noWrap/>
            <w:textDirection w:val="lrTb"/>
            <w:vAlign w:val="center"/>
            <w:hideMark/>
          </w:tcPr>
          <w:p w:rsidR="00CB350B" w:rsidRPr="004C74B9" w:rsidP="00257E12">
            <w:pPr>
              <w:bidi w:val="0"/>
              <w:jc w:val="center"/>
              <w:rPr>
                <w:rFonts w:ascii="Times New Roman" w:hAnsi="Times New Roman"/>
                <w:b/>
                <w:color w:val="000000"/>
                <w:sz w:val="14"/>
                <w:szCs w:val="14"/>
                <w:lang w:eastAsia="sk-SK"/>
              </w:rPr>
            </w:pPr>
            <w:r w:rsidRPr="004C74B9">
              <w:rPr>
                <w:rFonts w:ascii="Times New Roman" w:hAnsi="Times New Roman"/>
                <w:b/>
                <w:color w:val="000000"/>
                <w:sz w:val="14"/>
                <w:szCs w:val="14"/>
                <w:lang w:eastAsia="sk-SK"/>
              </w:rPr>
              <w:t>2013 N</w:t>
            </w:r>
          </w:p>
        </w:tc>
        <w:tc>
          <w:tcPr>
            <w:tcW w:w="861" w:type="dxa"/>
            <w:tcBorders>
              <w:top w:val="single" w:sz="4" w:space="0" w:color="auto"/>
              <w:left w:val="nil"/>
              <w:bottom w:val="single" w:sz="4" w:space="0" w:color="auto"/>
              <w:right w:val="single" w:sz="4" w:space="0" w:color="auto"/>
            </w:tcBorders>
            <w:noWrap/>
            <w:textDirection w:val="lrTb"/>
            <w:vAlign w:val="center"/>
            <w:hideMark/>
          </w:tcPr>
          <w:p w:rsidR="00CB350B" w:rsidRPr="004C74B9" w:rsidP="00257E12">
            <w:pPr>
              <w:bidi w:val="0"/>
              <w:jc w:val="center"/>
              <w:rPr>
                <w:rFonts w:ascii="Times New Roman" w:hAnsi="Times New Roman"/>
                <w:b/>
                <w:color w:val="000000"/>
                <w:sz w:val="14"/>
                <w:szCs w:val="14"/>
                <w:lang w:eastAsia="sk-SK"/>
              </w:rPr>
            </w:pPr>
            <w:r w:rsidRPr="004C74B9">
              <w:rPr>
                <w:rFonts w:ascii="Times New Roman" w:hAnsi="Times New Roman"/>
                <w:b/>
                <w:color w:val="000000"/>
                <w:sz w:val="14"/>
                <w:szCs w:val="14"/>
                <w:lang w:eastAsia="sk-SK"/>
              </w:rPr>
              <w:t>2014 N</w:t>
            </w:r>
          </w:p>
        </w:tc>
      </w:tr>
      <w:tr>
        <w:tblPrEx>
          <w:tblW w:w="9153" w:type="dxa"/>
          <w:tblInd w:w="59" w:type="dxa"/>
          <w:tblLayout w:type="fixed"/>
          <w:tblCellMar>
            <w:left w:w="70" w:type="dxa"/>
            <w:right w:w="70" w:type="dxa"/>
          </w:tblCellMar>
          <w:tblLook w:val="04A0"/>
        </w:tblPrEx>
        <w:trPr>
          <w:trHeight w:val="282"/>
        </w:trPr>
        <w:tc>
          <w:tcPr>
            <w:tcW w:w="3130" w:type="dxa"/>
            <w:tcBorders>
              <w:top w:val="nil"/>
              <w:left w:val="single" w:sz="4" w:space="0" w:color="auto"/>
              <w:bottom w:val="single" w:sz="4" w:space="0" w:color="auto"/>
              <w:right w:val="single" w:sz="4" w:space="0" w:color="auto"/>
            </w:tcBorders>
            <w:noWrap/>
            <w:textDirection w:val="lrTb"/>
            <w:vAlign w:val="center"/>
            <w:hideMark/>
          </w:tcPr>
          <w:p w:rsidR="00CB350B" w:rsidRPr="004C74B9" w:rsidP="00257E12">
            <w:pPr>
              <w:bidi w:val="0"/>
              <w:rPr>
                <w:rFonts w:ascii="Times New Roman" w:hAnsi="Times New Roman"/>
                <w:b/>
                <w:color w:val="000000"/>
                <w:sz w:val="14"/>
                <w:szCs w:val="14"/>
                <w:lang w:eastAsia="sk-SK"/>
              </w:rPr>
            </w:pPr>
            <w:r w:rsidRPr="004C74B9">
              <w:rPr>
                <w:rFonts w:ascii="Times New Roman" w:hAnsi="Times New Roman"/>
                <w:b/>
                <w:color w:val="000000"/>
                <w:sz w:val="14"/>
                <w:szCs w:val="14"/>
                <w:lang w:eastAsia="sk-SK"/>
              </w:rPr>
              <w:t> Úrad pre norm., metrológiu a skúšobníctvo SR</w:t>
            </w:r>
          </w:p>
        </w:tc>
        <w:tc>
          <w:tcPr>
            <w:tcW w:w="860"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b/>
                <w:color w:val="000000"/>
                <w:sz w:val="14"/>
                <w:szCs w:val="14"/>
                <w:lang w:eastAsia="sk-SK"/>
              </w:rPr>
            </w:pPr>
            <w:r w:rsidRPr="004C74B9">
              <w:rPr>
                <w:rFonts w:ascii="Times New Roman" w:hAnsi="Times New Roman"/>
                <w:b/>
                <w:color w:val="000000"/>
                <w:sz w:val="14"/>
                <w:szCs w:val="14"/>
                <w:lang w:eastAsia="sk-SK"/>
              </w:rPr>
              <w:t>7 483 372</w:t>
            </w:r>
          </w:p>
        </w:tc>
        <w:tc>
          <w:tcPr>
            <w:tcW w:w="860"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b/>
                <w:color w:val="000000"/>
                <w:sz w:val="14"/>
                <w:szCs w:val="14"/>
                <w:lang w:eastAsia="sk-SK"/>
              </w:rPr>
            </w:pPr>
            <w:r w:rsidRPr="004C74B9">
              <w:rPr>
                <w:rFonts w:ascii="Times New Roman" w:hAnsi="Times New Roman"/>
                <w:b/>
                <w:color w:val="000000"/>
                <w:sz w:val="14"/>
                <w:szCs w:val="14"/>
                <w:lang w:eastAsia="sk-SK"/>
              </w:rPr>
              <w:t>7 190 755</w:t>
            </w:r>
          </w:p>
        </w:tc>
        <w:tc>
          <w:tcPr>
            <w:tcW w:w="861"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b/>
                <w:color w:val="000000"/>
                <w:sz w:val="14"/>
                <w:szCs w:val="14"/>
                <w:lang w:eastAsia="sk-SK"/>
              </w:rPr>
            </w:pPr>
            <w:r w:rsidRPr="004C74B9">
              <w:rPr>
                <w:rFonts w:ascii="Times New Roman" w:hAnsi="Times New Roman"/>
                <w:b/>
                <w:color w:val="000000"/>
                <w:sz w:val="14"/>
                <w:szCs w:val="14"/>
                <w:lang w:eastAsia="sk-SK"/>
              </w:rPr>
              <w:t>6 592 691</w:t>
            </w:r>
          </w:p>
        </w:tc>
        <w:tc>
          <w:tcPr>
            <w:tcW w:w="860"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b/>
                <w:color w:val="000000"/>
                <w:sz w:val="14"/>
                <w:szCs w:val="14"/>
                <w:lang w:eastAsia="sk-SK"/>
              </w:rPr>
            </w:pPr>
            <w:r w:rsidRPr="004C74B9">
              <w:rPr>
                <w:rFonts w:ascii="Times New Roman" w:hAnsi="Times New Roman"/>
                <w:b/>
                <w:color w:val="000000"/>
                <w:sz w:val="14"/>
                <w:szCs w:val="14"/>
                <w:lang w:eastAsia="sk-SK"/>
              </w:rPr>
              <w:t>6 592 691</w:t>
            </w:r>
          </w:p>
        </w:tc>
        <w:tc>
          <w:tcPr>
            <w:tcW w:w="861"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b/>
                <w:color w:val="000000"/>
                <w:sz w:val="14"/>
                <w:szCs w:val="14"/>
              </w:rPr>
            </w:pPr>
            <w:r w:rsidRPr="004C74B9">
              <w:rPr>
                <w:rFonts w:ascii="Times New Roman" w:hAnsi="Times New Roman"/>
                <w:b/>
                <w:color w:val="000000"/>
                <w:sz w:val="14"/>
                <w:szCs w:val="14"/>
              </w:rPr>
              <w:t>6 028 285</w:t>
            </w:r>
          </w:p>
        </w:tc>
        <w:tc>
          <w:tcPr>
            <w:tcW w:w="860"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b/>
                <w:color w:val="000000"/>
                <w:sz w:val="14"/>
                <w:szCs w:val="14"/>
              </w:rPr>
            </w:pPr>
            <w:r w:rsidRPr="004C74B9">
              <w:rPr>
                <w:rFonts w:ascii="Times New Roman" w:hAnsi="Times New Roman"/>
                <w:b/>
                <w:color w:val="000000"/>
                <w:sz w:val="14"/>
                <w:szCs w:val="14"/>
              </w:rPr>
              <w:t>6 034 860</w:t>
            </w:r>
          </w:p>
        </w:tc>
        <w:tc>
          <w:tcPr>
            <w:tcW w:w="861"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b/>
                <w:color w:val="000000"/>
                <w:sz w:val="14"/>
                <w:szCs w:val="14"/>
              </w:rPr>
            </w:pPr>
            <w:r w:rsidRPr="004C74B9">
              <w:rPr>
                <w:rFonts w:ascii="Times New Roman" w:hAnsi="Times New Roman"/>
                <w:b/>
                <w:color w:val="000000"/>
                <w:sz w:val="14"/>
                <w:szCs w:val="14"/>
              </w:rPr>
              <w:t>6 036 933</w:t>
            </w:r>
          </w:p>
        </w:tc>
      </w:tr>
      <w:tr>
        <w:tblPrEx>
          <w:tblW w:w="9153" w:type="dxa"/>
          <w:tblInd w:w="59" w:type="dxa"/>
          <w:tblLayout w:type="fixed"/>
          <w:tblCellMar>
            <w:left w:w="70" w:type="dxa"/>
            <w:right w:w="70" w:type="dxa"/>
          </w:tblCellMar>
          <w:tblLook w:val="04A0"/>
        </w:tblPrEx>
        <w:trPr>
          <w:trHeight w:val="284"/>
        </w:trPr>
        <w:tc>
          <w:tcPr>
            <w:tcW w:w="3130" w:type="dxa"/>
            <w:tcBorders>
              <w:top w:val="nil"/>
              <w:left w:val="single" w:sz="4" w:space="0" w:color="auto"/>
              <w:bottom w:val="single" w:sz="4" w:space="0" w:color="auto"/>
              <w:right w:val="single" w:sz="4" w:space="0" w:color="auto"/>
            </w:tcBorders>
            <w:textDirection w:val="lrTb"/>
            <w:vAlign w:val="center"/>
            <w:hideMark/>
          </w:tcPr>
          <w:p w:rsidR="00CB350B" w:rsidRPr="004C74B9" w:rsidP="00257E12">
            <w:pPr>
              <w:bidi w:val="0"/>
              <w:rPr>
                <w:rFonts w:ascii="Times New Roman" w:hAnsi="Times New Roman"/>
                <w:color w:val="000000"/>
                <w:sz w:val="14"/>
                <w:szCs w:val="14"/>
                <w:lang w:eastAsia="sk-SK"/>
              </w:rPr>
            </w:pPr>
            <w:r w:rsidRPr="004C74B9">
              <w:rPr>
                <w:rFonts w:ascii="Times New Roman" w:hAnsi="Times New Roman"/>
                <w:color w:val="000000"/>
                <w:sz w:val="14"/>
                <w:szCs w:val="14"/>
                <w:lang w:eastAsia="sk-SK"/>
              </w:rPr>
              <w:t>Riadenie činnosti úradu</w:t>
            </w:r>
          </w:p>
        </w:tc>
        <w:tc>
          <w:tcPr>
            <w:tcW w:w="860"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2 454 384</w:t>
            </w:r>
          </w:p>
        </w:tc>
        <w:tc>
          <w:tcPr>
            <w:tcW w:w="860"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2 813 173</w:t>
            </w:r>
          </w:p>
        </w:tc>
        <w:tc>
          <w:tcPr>
            <w:tcW w:w="861"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2 738 237</w:t>
            </w:r>
          </w:p>
        </w:tc>
        <w:tc>
          <w:tcPr>
            <w:tcW w:w="860"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2 738 237</w:t>
            </w:r>
          </w:p>
        </w:tc>
        <w:tc>
          <w:tcPr>
            <w:tcW w:w="861"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2 570 343</w:t>
            </w:r>
          </w:p>
        </w:tc>
        <w:tc>
          <w:tcPr>
            <w:tcW w:w="860"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2 576 918</w:t>
            </w:r>
          </w:p>
        </w:tc>
        <w:tc>
          <w:tcPr>
            <w:tcW w:w="861"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2 578 991</w:t>
            </w:r>
          </w:p>
        </w:tc>
      </w:tr>
      <w:tr>
        <w:tblPrEx>
          <w:tblW w:w="9153" w:type="dxa"/>
          <w:tblInd w:w="59" w:type="dxa"/>
          <w:tblLayout w:type="fixed"/>
          <w:tblCellMar>
            <w:left w:w="70" w:type="dxa"/>
            <w:right w:w="70" w:type="dxa"/>
          </w:tblCellMar>
          <w:tblLook w:val="04A0"/>
        </w:tblPrEx>
        <w:trPr>
          <w:trHeight w:val="284"/>
        </w:trPr>
        <w:tc>
          <w:tcPr>
            <w:tcW w:w="3130" w:type="dxa"/>
            <w:tcBorders>
              <w:top w:val="nil"/>
              <w:left w:val="single" w:sz="4" w:space="0" w:color="auto"/>
              <w:bottom w:val="single" w:sz="4" w:space="0" w:color="auto"/>
              <w:right w:val="single" w:sz="4" w:space="0" w:color="auto"/>
            </w:tcBorders>
            <w:textDirection w:val="lrTb"/>
            <w:vAlign w:val="center"/>
            <w:hideMark/>
          </w:tcPr>
          <w:p w:rsidR="00CB350B" w:rsidRPr="004C74B9" w:rsidP="00257E12">
            <w:pPr>
              <w:bidi w:val="0"/>
              <w:rPr>
                <w:rFonts w:ascii="Times New Roman" w:hAnsi="Times New Roman"/>
                <w:color w:val="000000"/>
                <w:sz w:val="14"/>
                <w:szCs w:val="14"/>
                <w:lang w:eastAsia="sk-SK"/>
              </w:rPr>
            </w:pPr>
            <w:r w:rsidRPr="004C74B9">
              <w:rPr>
                <w:rFonts w:ascii="Times New Roman" w:hAnsi="Times New Roman"/>
                <w:color w:val="000000"/>
                <w:sz w:val="14"/>
                <w:szCs w:val="14"/>
                <w:lang w:eastAsia="sk-SK"/>
              </w:rPr>
              <w:t>Výstavba Cyklotrónového centra</w:t>
            </w:r>
          </w:p>
        </w:tc>
        <w:tc>
          <w:tcPr>
            <w:tcW w:w="860"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81 449</w:t>
            </w:r>
          </w:p>
        </w:tc>
        <w:tc>
          <w:tcPr>
            <w:tcW w:w="860"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184 462</w:t>
            </w:r>
          </w:p>
        </w:tc>
        <w:tc>
          <w:tcPr>
            <w:tcW w:w="861"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0</w:t>
            </w:r>
          </w:p>
        </w:tc>
        <w:tc>
          <w:tcPr>
            <w:tcW w:w="860"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0</w:t>
            </w:r>
          </w:p>
        </w:tc>
        <w:tc>
          <w:tcPr>
            <w:tcW w:w="861"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0</w:t>
            </w:r>
          </w:p>
        </w:tc>
        <w:tc>
          <w:tcPr>
            <w:tcW w:w="860"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0</w:t>
            </w:r>
          </w:p>
        </w:tc>
        <w:tc>
          <w:tcPr>
            <w:tcW w:w="861"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0</w:t>
            </w:r>
          </w:p>
        </w:tc>
      </w:tr>
      <w:tr>
        <w:tblPrEx>
          <w:tblW w:w="9153" w:type="dxa"/>
          <w:tblInd w:w="59" w:type="dxa"/>
          <w:tblLayout w:type="fixed"/>
          <w:tblCellMar>
            <w:left w:w="70" w:type="dxa"/>
            <w:right w:w="70" w:type="dxa"/>
          </w:tblCellMar>
          <w:tblLook w:val="04A0"/>
        </w:tblPrEx>
        <w:trPr>
          <w:trHeight w:val="284"/>
        </w:trPr>
        <w:tc>
          <w:tcPr>
            <w:tcW w:w="3130" w:type="dxa"/>
            <w:tcBorders>
              <w:top w:val="nil"/>
              <w:left w:val="single" w:sz="4" w:space="0" w:color="auto"/>
              <w:bottom w:val="single" w:sz="4" w:space="0" w:color="auto"/>
              <w:right w:val="single" w:sz="4" w:space="0" w:color="auto"/>
            </w:tcBorders>
            <w:textDirection w:val="lrTb"/>
            <w:vAlign w:val="center"/>
            <w:hideMark/>
          </w:tcPr>
          <w:p w:rsidR="00CB350B" w:rsidRPr="004C74B9" w:rsidP="00257E12">
            <w:pPr>
              <w:bidi w:val="0"/>
              <w:rPr>
                <w:rFonts w:ascii="Times New Roman" w:hAnsi="Times New Roman"/>
                <w:color w:val="000000"/>
                <w:sz w:val="14"/>
                <w:szCs w:val="14"/>
                <w:lang w:eastAsia="sk-SK"/>
              </w:rPr>
            </w:pPr>
            <w:r w:rsidRPr="004C74B9">
              <w:rPr>
                <w:rFonts w:ascii="Times New Roman" w:hAnsi="Times New Roman"/>
                <w:color w:val="000000"/>
                <w:sz w:val="14"/>
                <w:szCs w:val="14"/>
                <w:lang w:eastAsia="sk-SK"/>
              </w:rPr>
              <w:t>Národný program kvality</w:t>
            </w:r>
          </w:p>
        </w:tc>
        <w:tc>
          <w:tcPr>
            <w:tcW w:w="860"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140 635</w:t>
            </w:r>
          </w:p>
        </w:tc>
        <w:tc>
          <w:tcPr>
            <w:tcW w:w="860"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129 112</w:t>
            </w:r>
          </w:p>
        </w:tc>
        <w:tc>
          <w:tcPr>
            <w:tcW w:w="861"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146 350</w:t>
            </w:r>
          </w:p>
        </w:tc>
        <w:tc>
          <w:tcPr>
            <w:tcW w:w="860"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146 350</w:t>
            </w:r>
          </w:p>
        </w:tc>
        <w:tc>
          <w:tcPr>
            <w:tcW w:w="861"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146 550</w:t>
            </w:r>
          </w:p>
        </w:tc>
        <w:tc>
          <w:tcPr>
            <w:tcW w:w="860"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146 550</w:t>
            </w:r>
          </w:p>
        </w:tc>
        <w:tc>
          <w:tcPr>
            <w:tcW w:w="861"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146 550</w:t>
            </w:r>
          </w:p>
        </w:tc>
      </w:tr>
      <w:tr>
        <w:tblPrEx>
          <w:tblW w:w="9153" w:type="dxa"/>
          <w:tblInd w:w="59" w:type="dxa"/>
          <w:tblLayout w:type="fixed"/>
          <w:tblCellMar>
            <w:left w:w="70" w:type="dxa"/>
            <w:right w:w="70" w:type="dxa"/>
          </w:tblCellMar>
          <w:tblLook w:val="04A0"/>
        </w:tblPrEx>
        <w:trPr>
          <w:trHeight w:val="284"/>
        </w:trPr>
        <w:tc>
          <w:tcPr>
            <w:tcW w:w="3130" w:type="dxa"/>
            <w:tcBorders>
              <w:top w:val="nil"/>
              <w:left w:val="single" w:sz="4" w:space="0" w:color="auto"/>
              <w:bottom w:val="single" w:sz="4" w:space="0" w:color="auto"/>
              <w:right w:val="single" w:sz="4" w:space="0" w:color="auto"/>
            </w:tcBorders>
            <w:textDirection w:val="lrTb"/>
            <w:vAlign w:val="center"/>
            <w:hideMark/>
          </w:tcPr>
          <w:p w:rsidR="00CB350B" w:rsidRPr="004C74B9" w:rsidP="00257E12">
            <w:pPr>
              <w:bidi w:val="0"/>
              <w:rPr>
                <w:rFonts w:ascii="Times New Roman" w:hAnsi="Times New Roman"/>
                <w:color w:val="000000"/>
                <w:sz w:val="14"/>
                <w:szCs w:val="14"/>
                <w:lang w:eastAsia="sk-SK"/>
              </w:rPr>
            </w:pPr>
            <w:r w:rsidRPr="004C74B9">
              <w:rPr>
                <w:rFonts w:ascii="Times New Roman" w:hAnsi="Times New Roman"/>
                <w:color w:val="000000"/>
                <w:sz w:val="14"/>
                <w:szCs w:val="14"/>
                <w:lang w:eastAsia="sk-SK"/>
              </w:rPr>
              <w:t xml:space="preserve">Slovenský metrologický ústav </w:t>
            </w:r>
          </w:p>
        </w:tc>
        <w:tc>
          <w:tcPr>
            <w:tcW w:w="860"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2 826 496</w:t>
            </w:r>
          </w:p>
        </w:tc>
        <w:tc>
          <w:tcPr>
            <w:tcW w:w="860"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2 378 418</w:t>
            </w:r>
          </w:p>
        </w:tc>
        <w:tc>
          <w:tcPr>
            <w:tcW w:w="861"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2 140 576</w:t>
            </w:r>
          </w:p>
        </w:tc>
        <w:tc>
          <w:tcPr>
            <w:tcW w:w="860"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2 140 576</w:t>
            </w:r>
          </w:p>
        </w:tc>
        <w:tc>
          <w:tcPr>
            <w:tcW w:w="861"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2 031 407</w:t>
            </w:r>
          </w:p>
        </w:tc>
        <w:tc>
          <w:tcPr>
            <w:tcW w:w="860"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2 031 407</w:t>
            </w:r>
          </w:p>
        </w:tc>
        <w:tc>
          <w:tcPr>
            <w:tcW w:w="861"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2 031 407</w:t>
            </w:r>
          </w:p>
        </w:tc>
      </w:tr>
      <w:tr>
        <w:tblPrEx>
          <w:tblW w:w="9153" w:type="dxa"/>
          <w:tblInd w:w="59" w:type="dxa"/>
          <w:tblLayout w:type="fixed"/>
          <w:tblCellMar>
            <w:left w:w="70" w:type="dxa"/>
            <w:right w:w="70" w:type="dxa"/>
          </w:tblCellMar>
          <w:tblLook w:val="04A0"/>
        </w:tblPrEx>
        <w:trPr>
          <w:trHeight w:val="284"/>
        </w:trPr>
        <w:tc>
          <w:tcPr>
            <w:tcW w:w="3130" w:type="dxa"/>
            <w:tcBorders>
              <w:top w:val="nil"/>
              <w:left w:val="single" w:sz="4" w:space="0" w:color="auto"/>
              <w:bottom w:val="single" w:sz="4" w:space="0" w:color="auto"/>
              <w:right w:val="single" w:sz="4" w:space="0" w:color="auto"/>
            </w:tcBorders>
            <w:textDirection w:val="lrTb"/>
            <w:vAlign w:val="center"/>
            <w:hideMark/>
          </w:tcPr>
          <w:p w:rsidR="00CB350B" w:rsidRPr="004C74B9" w:rsidP="00257E12">
            <w:pPr>
              <w:bidi w:val="0"/>
              <w:rPr>
                <w:rFonts w:ascii="Times New Roman" w:hAnsi="Times New Roman"/>
                <w:color w:val="000000"/>
                <w:sz w:val="14"/>
                <w:szCs w:val="14"/>
                <w:lang w:eastAsia="sk-SK"/>
              </w:rPr>
            </w:pPr>
            <w:r w:rsidRPr="004C74B9">
              <w:rPr>
                <w:rFonts w:ascii="Times New Roman" w:hAnsi="Times New Roman"/>
                <w:color w:val="000000"/>
                <w:sz w:val="14"/>
                <w:szCs w:val="14"/>
                <w:lang w:eastAsia="sk-SK"/>
              </w:rPr>
              <w:t xml:space="preserve">Slovenský metr. inšpektorát </w:t>
            </w:r>
          </w:p>
        </w:tc>
        <w:tc>
          <w:tcPr>
            <w:tcW w:w="860"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361 008</w:t>
            </w:r>
          </w:p>
        </w:tc>
        <w:tc>
          <w:tcPr>
            <w:tcW w:w="860"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333 640</w:t>
            </w:r>
          </w:p>
        </w:tc>
        <w:tc>
          <w:tcPr>
            <w:tcW w:w="861"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341 352</w:t>
            </w:r>
          </w:p>
        </w:tc>
        <w:tc>
          <w:tcPr>
            <w:tcW w:w="860"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341 352</w:t>
            </w:r>
          </w:p>
        </w:tc>
        <w:tc>
          <w:tcPr>
            <w:tcW w:w="861"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341 352</w:t>
            </w:r>
          </w:p>
        </w:tc>
        <w:tc>
          <w:tcPr>
            <w:tcW w:w="860"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341 352</w:t>
            </w:r>
          </w:p>
        </w:tc>
        <w:tc>
          <w:tcPr>
            <w:tcW w:w="861"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341 352</w:t>
            </w:r>
          </w:p>
        </w:tc>
      </w:tr>
      <w:tr>
        <w:tblPrEx>
          <w:tblW w:w="9153" w:type="dxa"/>
          <w:tblInd w:w="59" w:type="dxa"/>
          <w:tblLayout w:type="fixed"/>
          <w:tblCellMar>
            <w:left w:w="70" w:type="dxa"/>
            <w:right w:w="70" w:type="dxa"/>
          </w:tblCellMar>
          <w:tblLook w:val="04A0"/>
        </w:tblPrEx>
        <w:trPr>
          <w:trHeight w:val="284"/>
        </w:trPr>
        <w:tc>
          <w:tcPr>
            <w:tcW w:w="3130" w:type="dxa"/>
            <w:tcBorders>
              <w:top w:val="nil"/>
              <w:left w:val="single" w:sz="4" w:space="0" w:color="auto"/>
              <w:bottom w:val="single" w:sz="4" w:space="0" w:color="auto"/>
              <w:right w:val="single" w:sz="4" w:space="0" w:color="auto"/>
            </w:tcBorders>
            <w:textDirection w:val="lrTb"/>
            <w:vAlign w:val="center"/>
            <w:hideMark/>
          </w:tcPr>
          <w:p w:rsidR="00CB350B" w:rsidRPr="004C74B9" w:rsidP="00257E12">
            <w:pPr>
              <w:bidi w:val="0"/>
              <w:rPr>
                <w:rFonts w:ascii="Times New Roman" w:hAnsi="Times New Roman"/>
                <w:color w:val="000000"/>
                <w:sz w:val="14"/>
                <w:szCs w:val="14"/>
                <w:lang w:eastAsia="sk-SK"/>
              </w:rPr>
            </w:pPr>
            <w:r w:rsidRPr="004C74B9">
              <w:rPr>
                <w:rFonts w:ascii="Times New Roman" w:hAnsi="Times New Roman"/>
                <w:color w:val="000000"/>
                <w:sz w:val="14"/>
                <w:szCs w:val="14"/>
                <w:lang w:eastAsia="sk-SK"/>
              </w:rPr>
              <w:t xml:space="preserve">Slov. ústav tech. normalizácie </w:t>
            </w:r>
          </w:p>
        </w:tc>
        <w:tc>
          <w:tcPr>
            <w:tcW w:w="860"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1 548 605</w:t>
            </w:r>
          </w:p>
        </w:tc>
        <w:tc>
          <w:tcPr>
            <w:tcW w:w="860"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1 279 301</w:t>
            </w:r>
          </w:p>
        </w:tc>
        <w:tc>
          <w:tcPr>
            <w:tcW w:w="861"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1 151 371</w:t>
            </w:r>
          </w:p>
        </w:tc>
        <w:tc>
          <w:tcPr>
            <w:tcW w:w="860"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1 151 371</w:t>
            </w:r>
          </w:p>
        </w:tc>
        <w:tc>
          <w:tcPr>
            <w:tcW w:w="861"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862 377</w:t>
            </w:r>
          </w:p>
        </w:tc>
        <w:tc>
          <w:tcPr>
            <w:tcW w:w="860"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862 377</w:t>
            </w:r>
          </w:p>
        </w:tc>
        <w:tc>
          <w:tcPr>
            <w:tcW w:w="861"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rPr>
            </w:pPr>
            <w:r w:rsidRPr="004C74B9">
              <w:rPr>
                <w:rFonts w:ascii="Times New Roman" w:hAnsi="Times New Roman"/>
                <w:color w:val="000000"/>
                <w:sz w:val="14"/>
                <w:szCs w:val="14"/>
              </w:rPr>
              <w:t>862 377</w:t>
            </w:r>
          </w:p>
        </w:tc>
      </w:tr>
      <w:tr>
        <w:tblPrEx>
          <w:tblW w:w="9153" w:type="dxa"/>
          <w:tblInd w:w="59" w:type="dxa"/>
          <w:tblLayout w:type="fixed"/>
          <w:tblCellMar>
            <w:left w:w="70" w:type="dxa"/>
            <w:right w:w="70" w:type="dxa"/>
          </w:tblCellMar>
          <w:tblLook w:val="04A0"/>
        </w:tblPrEx>
        <w:trPr>
          <w:trHeight w:val="284"/>
        </w:trPr>
        <w:tc>
          <w:tcPr>
            <w:tcW w:w="3130" w:type="dxa"/>
            <w:tcBorders>
              <w:top w:val="nil"/>
              <w:left w:val="single" w:sz="4" w:space="0" w:color="auto"/>
              <w:bottom w:val="single" w:sz="4" w:space="0" w:color="auto"/>
              <w:right w:val="single" w:sz="4" w:space="0" w:color="auto"/>
            </w:tcBorders>
            <w:textDirection w:val="lrTb"/>
            <w:vAlign w:val="center"/>
            <w:hideMark/>
          </w:tcPr>
          <w:p w:rsidR="00CB350B" w:rsidRPr="004C74B9" w:rsidP="00257E12">
            <w:pPr>
              <w:bidi w:val="0"/>
              <w:rPr>
                <w:rFonts w:ascii="Times New Roman" w:hAnsi="Times New Roman"/>
                <w:color w:val="000000"/>
                <w:sz w:val="14"/>
                <w:szCs w:val="14"/>
                <w:lang w:eastAsia="sk-SK"/>
              </w:rPr>
            </w:pPr>
            <w:r w:rsidRPr="004C74B9">
              <w:rPr>
                <w:rFonts w:ascii="Times New Roman" w:hAnsi="Times New Roman"/>
                <w:color w:val="000000"/>
                <w:sz w:val="14"/>
                <w:szCs w:val="14"/>
                <w:lang w:eastAsia="sk-SK"/>
              </w:rPr>
              <w:t>Príspevky SR do MO</w:t>
            </w:r>
          </w:p>
        </w:tc>
        <w:tc>
          <w:tcPr>
            <w:tcW w:w="860"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70 795</w:t>
            </w:r>
          </w:p>
        </w:tc>
        <w:tc>
          <w:tcPr>
            <w:tcW w:w="860"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72 649</w:t>
            </w:r>
          </w:p>
        </w:tc>
        <w:tc>
          <w:tcPr>
            <w:tcW w:w="861"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74 805</w:t>
            </w:r>
          </w:p>
        </w:tc>
        <w:tc>
          <w:tcPr>
            <w:tcW w:w="860"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74 805</w:t>
            </w:r>
          </w:p>
        </w:tc>
        <w:tc>
          <w:tcPr>
            <w:tcW w:w="861"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76 256</w:t>
            </w:r>
          </w:p>
        </w:tc>
        <w:tc>
          <w:tcPr>
            <w:tcW w:w="860"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76 256</w:t>
            </w:r>
          </w:p>
        </w:tc>
        <w:tc>
          <w:tcPr>
            <w:tcW w:w="861" w:type="dxa"/>
            <w:tcBorders>
              <w:top w:val="nil"/>
              <w:left w:val="nil"/>
              <w:bottom w:val="single" w:sz="4" w:space="0" w:color="auto"/>
              <w:right w:val="single" w:sz="4" w:space="0" w:color="auto"/>
            </w:tcBorders>
            <w:textDirection w:val="lrTb"/>
            <w:vAlign w:val="center"/>
            <w:hideMark/>
          </w:tcPr>
          <w:p w:rsidR="00CB350B" w:rsidRPr="004C74B9" w:rsidP="00257E12">
            <w:pPr>
              <w:bidi w:val="0"/>
              <w:jc w:val="right"/>
              <w:rPr>
                <w:rFonts w:ascii="Times New Roman" w:hAnsi="Times New Roman"/>
                <w:color w:val="000000"/>
                <w:sz w:val="14"/>
                <w:szCs w:val="14"/>
                <w:lang w:eastAsia="sk-SK"/>
              </w:rPr>
            </w:pPr>
            <w:r w:rsidRPr="004C74B9">
              <w:rPr>
                <w:rFonts w:ascii="Times New Roman" w:hAnsi="Times New Roman"/>
                <w:color w:val="000000"/>
                <w:sz w:val="14"/>
                <w:szCs w:val="14"/>
                <w:lang w:eastAsia="sk-SK"/>
              </w:rPr>
              <w:t>76 256</w:t>
            </w:r>
          </w:p>
        </w:tc>
      </w:tr>
    </w:tbl>
    <w:p w:rsidR="00CB350B" w:rsidP="00CB350B">
      <w:pPr>
        <w:bidi w:val="0"/>
        <w:ind w:firstLine="708"/>
        <w:jc w:val="both"/>
        <w:rPr>
          <w:rFonts w:ascii="Times New Roman" w:hAnsi="Times New Roman"/>
        </w:rPr>
      </w:pPr>
    </w:p>
    <w:p w:rsidR="00CB350B" w:rsidRPr="004C74B9" w:rsidP="00CB350B">
      <w:pPr>
        <w:bidi w:val="0"/>
        <w:ind w:firstLine="708"/>
        <w:jc w:val="both"/>
        <w:rPr>
          <w:rFonts w:ascii="Times New Roman" w:hAnsi="Times New Roman"/>
        </w:rPr>
      </w:pPr>
      <w:r w:rsidRPr="004C74B9">
        <w:rPr>
          <w:rFonts w:ascii="Times New Roman" w:hAnsi="Times New Roman"/>
        </w:rPr>
        <w:t xml:space="preserve">Výdavky ÚNMS SR ako ústredného orgánu štátnej správy sú určené na plnenie úloha a cieľov zameraných na tvorbu a udržiavanie nástrojov infraštruktúry kvality pre konkurencieschopné podnikateľské prostredie, pričom štandardnými nástrojmi infraštruktúry kvality v európskom ponímaní sú normalizácia, metrológia, posudzovanie zhody, akreditácia a trhový dozor v rozsahu, v ktorom vykonáva činnosti zamerané na vymožiteľnosť smerníc. </w:t>
      </w:r>
    </w:p>
    <w:p w:rsidR="00CB350B" w:rsidRPr="004C74B9" w:rsidP="00CB350B">
      <w:pPr>
        <w:bidi w:val="0"/>
        <w:ind w:firstLine="708"/>
        <w:jc w:val="both"/>
        <w:rPr>
          <w:rFonts w:ascii="Times New Roman" w:hAnsi="Times New Roman"/>
        </w:rPr>
      </w:pPr>
    </w:p>
    <w:p w:rsidR="00CB350B" w:rsidRPr="004C74B9" w:rsidP="00CB350B">
      <w:pPr>
        <w:bidi w:val="0"/>
        <w:ind w:firstLine="708"/>
        <w:jc w:val="both"/>
        <w:rPr>
          <w:rFonts w:ascii="Times New Roman" w:hAnsi="Times New Roman"/>
        </w:rPr>
      </w:pPr>
      <w:r w:rsidRPr="004C74B9">
        <w:rPr>
          <w:rFonts w:ascii="Times New Roman" w:hAnsi="Times New Roman"/>
        </w:rPr>
        <w:t>Na Cyklotrónové centrum SR nie sú na roky 2012 – 2014 rozpočtované žiadne finančné prostriedky.</w:t>
      </w:r>
    </w:p>
    <w:p w:rsidR="00CB350B" w:rsidRPr="008B51FE" w:rsidP="00CB350B">
      <w:pPr>
        <w:bidi w:val="0"/>
        <w:jc w:val="both"/>
        <w:rPr>
          <w:rFonts w:ascii="Times New Roman" w:hAnsi="Times New Roman" w:cs="Times New Roman"/>
          <w:lang w:eastAsia="sk-SK"/>
        </w:rPr>
      </w:pPr>
      <w:bookmarkStart w:id="66" w:name="_Toc108849140"/>
      <w:bookmarkEnd w:id="66"/>
      <w:r w:rsidRPr="00F43064">
        <w:rPr>
          <w:rFonts w:ascii="Times New Roman" w:hAnsi="Times New Roman" w:cs="Times New Roman"/>
          <w:lang w:eastAsia="sk-SK"/>
        </w:rPr>
        <w:t> </w:t>
      </w:r>
    </w:p>
    <w:p w:rsidR="00CB350B" w:rsidRPr="008B51FE" w:rsidP="00CB350B">
      <w:pPr>
        <w:bidi w:val="0"/>
        <w:jc w:val="both"/>
        <w:rPr>
          <w:rFonts w:ascii="Times New Roman" w:hAnsi="Times New Roman" w:cs="Times New Roman"/>
          <w:b/>
        </w:rPr>
      </w:pPr>
      <w:r w:rsidRPr="00F43064">
        <w:rPr>
          <w:rFonts w:ascii="Times New Roman" w:hAnsi="Times New Roman" w:cs="Times New Roman"/>
          <w:lang w:eastAsia="sk-SK"/>
        </w:rPr>
        <w:t> </w:t>
      </w:r>
      <w:r w:rsidRPr="008B51FE">
        <w:rPr>
          <w:rFonts w:ascii="Times New Roman" w:hAnsi="Times New Roman" w:cs="Times New Roman"/>
          <w:b/>
        </w:rPr>
        <w:t>Protimonopolný úrad SR</w:t>
      </w:r>
    </w:p>
    <w:p w:rsidR="00CB350B" w:rsidRPr="008B51FE" w:rsidP="00CB350B">
      <w:pPr>
        <w:bidi w:val="0"/>
        <w:jc w:val="both"/>
        <w:rPr>
          <w:rFonts w:ascii="Times New Roman" w:hAnsi="Times New Roman" w:cs="Times New Roman"/>
          <w:b/>
        </w:rPr>
      </w:pPr>
      <w:r>
        <w:rPr>
          <w:rFonts w:ascii="Times New Roman" w:hAnsi="Times New Roman" w:cs="Times New Roman"/>
          <w:b/>
          <w:noProof/>
          <w:lang w:eastAsia="sk-SK"/>
        </w:rPr>
        <w:pict>
          <v:shapetype id="_x0000_t32" coordsize="21600,21600" o:spt="32" o:oned="t" path="m,l21600,21600e" filled="f">
            <v:path arrowok="t" fillok="f" o:connecttype="none"/>
            <o:lock v:ext="edit" shapetype="t"/>
          </v:shapetype>
          <v:shape id="AutoShape 5" o:spid="_x0000_s1031" type="#_x0000_t32" style="width:453.75pt;height:0;margin-top:1.15pt;margin-left:0.4pt;position:absolute;visibility:visible;z-index:251661312"/>
        </w:pict>
      </w:r>
    </w:p>
    <w:p w:rsidR="00CB350B" w:rsidRPr="008B51FE" w:rsidP="00CB350B">
      <w:pPr>
        <w:bidi w:val="0"/>
        <w:ind w:firstLine="708"/>
        <w:jc w:val="both"/>
        <w:rPr>
          <w:rFonts w:ascii="Times New Roman" w:hAnsi="Times New Roman" w:cs="Times New Roman"/>
        </w:rPr>
      </w:pPr>
      <w:r w:rsidRPr="008B51FE">
        <w:rPr>
          <w:rFonts w:ascii="Times New Roman" w:hAnsi="Times New Roman" w:cs="Times New Roman"/>
          <w:color w:val="000000"/>
        </w:rPr>
        <w:t xml:space="preserve">Hlavnou náplňou činnosti Protimonopolného úradu SR je ochrana hospodárskej súťaže. Cieľom ochrany hospodárskej súťaže je chrániť a napomáhať rozvíjaniu konkurenčných podmienok. </w:t>
      </w:r>
    </w:p>
    <w:tbl>
      <w:tblPr>
        <w:tblStyle w:val="TableNormal"/>
        <w:tblW w:w="5000" w:type="pct"/>
        <w:tblCellMar>
          <w:left w:w="70" w:type="dxa"/>
          <w:right w:w="70" w:type="dxa"/>
        </w:tblCellMar>
        <w:tblLook w:val="04A0"/>
      </w:tblPr>
      <w:tblGrid>
        <w:gridCol w:w="2818"/>
        <w:gridCol w:w="914"/>
        <w:gridCol w:w="914"/>
        <w:gridCol w:w="914"/>
        <w:gridCol w:w="914"/>
        <w:gridCol w:w="914"/>
        <w:gridCol w:w="914"/>
        <w:gridCol w:w="910"/>
      </w:tblGrid>
      <w:tr>
        <w:tblPrEx>
          <w:tblW w:w="5000" w:type="pct"/>
          <w:tblCellMar>
            <w:left w:w="70" w:type="dxa"/>
            <w:right w:w="70" w:type="dxa"/>
          </w:tblCellMar>
          <w:tblLook w:val="04A0"/>
        </w:tblPrEx>
        <w:trPr>
          <w:trHeight w:val="255"/>
        </w:trPr>
        <w:tc>
          <w:tcPr>
            <w:tcW w:w="1530"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v eurách</w:t>
            </w:r>
          </w:p>
        </w:tc>
        <w:tc>
          <w:tcPr>
            <w:tcW w:w="496" w:type="pct"/>
            <w:tcBorders>
              <w:top w:val="single" w:sz="4" w:space="0" w:color="auto"/>
              <w:left w:val="nil"/>
              <w:bottom w:val="single" w:sz="4" w:space="0" w:color="auto"/>
              <w:right w:val="single" w:sz="4" w:space="0" w:color="auto"/>
            </w:tcBorders>
            <w:noWrap/>
            <w:textDirection w:val="lrTb"/>
            <w:vAlign w:val="center"/>
            <w:hideMark/>
          </w:tcPr>
          <w:p w:rsidR="00CB350B" w:rsidRPr="00E167C4" w:rsidP="00257E12">
            <w:pPr>
              <w:bidi w:val="0"/>
              <w:jc w:val="center"/>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2009 S</w:t>
            </w:r>
          </w:p>
        </w:tc>
        <w:tc>
          <w:tcPr>
            <w:tcW w:w="496" w:type="pct"/>
            <w:tcBorders>
              <w:top w:val="single" w:sz="4" w:space="0" w:color="auto"/>
              <w:left w:val="nil"/>
              <w:bottom w:val="single" w:sz="4" w:space="0" w:color="auto"/>
              <w:right w:val="single" w:sz="4" w:space="0" w:color="auto"/>
            </w:tcBorders>
            <w:noWrap/>
            <w:textDirection w:val="lrTb"/>
            <w:vAlign w:val="center"/>
            <w:hideMark/>
          </w:tcPr>
          <w:p w:rsidR="00CB350B" w:rsidRPr="00E167C4" w:rsidP="00257E12">
            <w:pPr>
              <w:bidi w:val="0"/>
              <w:jc w:val="center"/>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2010S</w:t>
            </w:r>
          </w:p>
        </w:tc>
        <w:tc>
          <w:tcPr>
            <w:tcW w:w="496" w:type="pct"/>
            <w:tcBorders>
              <w:top w:val="single" w:sz="4" w:space="0" w:color="auto"/>
              <w:left w:val="nil"/>
              <w:bottom w:val="single" w:sz="4" w:space="0" w:color="auto"/>
              <w:right w:val="single" w:sz="4" w:space="0" w:color="auto"/>
            </w:tcBorders>
            <w:noWrap/>
            <w:textDirection w:val="lrTb"/>
            <w:vAlign w:val="center"/>
            <w:hideMark/>
          </w:tcPr>
          <w:p w:rsidR="00CB350B" w:rsidRPr="00E167C4" w:rsidP="00257E12">
            <w:pPr>
              <w:bidi w:val="0"/>
              <w:jc w:val="center"/>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2011 R</w:t>
            </w:r>
          </w:p>
        </w:tc>
        <w:tc>
          <w:tcPr>
            <w:tcW w:w="496" w:type="pct"/>
            <w:tcBorders>
              <w:top w:val="single" w:sz="4" w:space="0" w:color="auto"/>
              <w:left w:val="nil"/>
              <w:bottom w:val="single" w:sz="4" w:space="0" w:color="auto"/>
              <w:right w:val="single" w:sz="4" w:space="0" w:color="auto"/>
            </w:tcBorders>
            <w:noWrap/>
            <w:textDirection w:val="lrTb"/>
            <w:vAlign w:val="center"/>
            <w:hideMark/>
          </w:tcPr>
          <w:p w:rsidR="00CB350B" w:rsidRPr="00E167C4" w:rsidP="00257E12">
            <w:pPr>
              <w:bidi w:val="0"/>
              <w:jc w:val="center"/>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2011 OS</w:t>
            </w:r>
          </w:p>
        </w:tc>
        <w:tc>
          <w:tcPr>
            <w:tcW w:w="496" w:type="pct"/>
            <w:tcBorders>
              <w:top w:val="single" w:sz="4" w:space="0" w:color="auto"/>
              <w:left w:val="nil"/>
              <w:bottom w:val="single" w:sz="4" w:space="0" w:color="auto"/>
              <w:right w:val="single" w:sz="4" w:space="0" w:color="auto"/>
            </w:tcBorders>
            <w:noWrap/>
            <w:textDirection w:val="lrTb"/>
            <w:vAlign w:val="center"/>
            <w:hideMark/>
          </w:tcPr>
          <w:p w:rsidR="00CB350B" w:rsidRPr="00E167C4" w:rsidP="00257E12">
            <w:pPr>
              <w:bidi w:val="0"/>
              <w:jc w:val="center"/>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2012 N</w:t>
            </w:r>
          </w:p>
        </w:tc>
        <w:tc>
          <w:tcPr>
            <w:tcW w:w="496" w:type="pct"/>
            <w:tcBorders>
              <w:top w:val="single" w:sz="4" w:space="0" w:color="auto"/>
              <w:left w:val="nil"/>
              <w:bottom w:val="single" w:sz="4" w:space="0" w:color="auto"/>
              <w:right w:val="single" w:sz="4" w:space="0" w:color="auto"/>
            </w:tcBorders>
            <w:noWrap/>
            <w:textDirection w:val="lrTb"/>
            <w:vAlign w:val="center"/>
            <w:hideMark/>
          </w:tcPr>
          <w:p w:rsidR="00CB350B" w:rsidRPr="00E167C4" w:rsidP="00257E12">
            <w:pPr>
              <w:bidi w:val="0"/>
              <w:jc w:val="center"/>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2013 N</w:t>
            </w:r>
          </w:p>
        </w:tc>
        <w:tc>
          <w:tcPr>
            <w:tcW w:w="494" w:type="pct"/>
            <w:tcBorders>
              <w:top w:val="single" w:sz="4" w:space="0" w:color="auto"/>
              <w:left w:val="nil"/>
              <w:bottom w:val="single" w:sz="4" w:space="0" w:color="auto"/>
              <w:right w:val="single" w:sz="4" w:space="0" w:color="auto"/>
            </w:tcBorders>
            <w:noWrap/>
            <w:textDirection w:val="lrTb"/>
            <w:vAlign w:val="center"/>
            <w:hideMark/>
          </w:tcPr>
          <w:p w:rsidR="00CB350B" w:rsidRPr="00E167C4" w:rsidP="00257E12">
            <w:pPr>
              <w:bidi w:val="0"/>
              <w:jc w:val="center"/>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2014 N</w:t>
            </w:r>
          </w:p>
        </w:tc>
      </w:tr>
      <w:tr>
        <w:tblPrEx>
          <w:tblW w:w="5000" w:type="pct"/>
          <w:tblCellMar>
            <w:left w:w="70" w:type="dxa"/>
            <w:right w:w="70" w:type="dxa"/>
          </w:tblCellMar>
          <w:tblLook w:val="04A0"/>
        </w:tblPrEx>
        <w:trPr>
          <w:trHeight w:val="255"/>
        </w:trPr>
        <w:tc>
          <w:tcPr>
            <w:tcW w:w="1530"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Zdroje príslušnej kapitoly</w:t>
            </w:r>
          </w:p>
        </w:tc>
        <w:tc>
          <w:tcPr>
            <w:tcW w:w="496"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5 668 729</w:t>
            </w:r>
          </w:p>
        </w:tc>
        <w:tc>
          <w:tcPr>
            <w:tcW w:w="496"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2 374 019</w:t>
            </w:r>
          </w:p>
        </w:tc>
        <w:tc>
          <w:tcPr>
            <w:tcW w:w="496"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2 145 056</w:t>
            </w:r>
          </w:p>
        </w:tc>
        <w:tc>
          <w:tcPr>
            <w:tcW w:w="496"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2 147 846</w:t>
            </w:r>
          </w:p>
        </w:tc>
        <w:tc>
          <w:tcPr>
            <w:tcW w:w="496"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2 119 136</w:t>
            </w:r>
          </w:p>
        </w:tc>
        <w:tc>
          <w:tcPr>
            <w:tcW w:w="496"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2 125 711</w:t>
            </w:r>
          </w:p>
        </w:tc>
        <w:tc>
          <w:tcPr>
            <w:tcW w:w="494"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b/>
                <w:bCs/>
                <w:color w:val="000000"/>
                <w:sz w:val="14"/>
                <w:szCs w:val="14"/>
              </w:rPr>
            </w:pPr>
            <w:r w:rsidRPr="00E167C4">
              <w:rPr>
                <w:rFonts w:ascii="Times New Roman" w:hAnsi="Times New Roman" w:cs="Times New Roman"/>
                <w:b/>
                <w:bCs/>
                <w:color w:val="000000"/>
                <w:sz w:val="14"/>
                <w:szCs w:val="14"/>
              </w:rPr>
              <w:t>2 127 784</w:t>
            </w:r>
          </w:p>
        </w:tc>
      </w:tr>
      <w:tr>
        <w:tblPrEx>
          <w:tblW w:w="5000" w:type="pct"/>
          <w:tblCellMar>
            <w:left w:w="70" w:type="dxa"/>
            <w:right w:w="70" w:type="dxa"/>
          </w:tblCellMar>
          <w:tblLook w:val="04A0"/>
        </w:tblPrEx>
        <w:trPr>
          <w:trHeight w:val="255"/>
        </w:trPr>
        <w:tc>
          <w:tcPr>
            <w:tcW w:w="1530"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color w:val="000000"/>
                <w:sz w:val="14"/>
                <w:szCs w:val="14"/>
              </w:rPr>
            </w:pPr>
            <w:r w:rsidRPr="00E167C4">
              <w:rPr>
                <w:rFonts w:ascii="Times New Roman" w:hAnsi="Times New Roman" w:cs="Times New Roman"/>
                <w:color w:val="000000"/>
                <w:sz w:val="14"/>
                <w:szCs w:val="14"/>
              </w:rPr>
              <w:t xml:space="preserve">rozpočtové zdroje kapitoly </w:t>
            </w:r>
          </w:p>
        </w:tc>
        <w:tc>
          <w:tcPr>
            <w:tcW w:w="496"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5 654 755</w:t>
            </w:r>
          </w:p>
        </w:tc>
        <w:tc>
          <w:tcPr>
            <w:tcW w:w="496"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2 374 019</w:t>
            </w:r>
          </w:p>
        </w:tc>
        <w:tc>
          <w:tcPr>
            <w:tcW w:w="496"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2 145 056</w:t>
            </w:r>
          </w:p>
        </w:tc>
        <w:tc>
          <w:tcPr>
            <w:tcW w:w="496"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2 147 846</w:t>
            </w:r>
          </w:p>
        </w:tc>
        <w:tc>
          <w:tcPr>
            <w:tcW w:w="496"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2 119 136</w:t>
            </w:r>
          </w:p>
        </w:tc>
        <w:tc>
          <w:tcPr>
            <w:tcW w:w="496"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2 125 711</w:t>
            </w:r>
          </w:p>
        </w:tc>
        <w:tc>
          <w:tcPr>
            <w:tcW w:w="494"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2 127 784</w:t>
            </w:r>
          </w:p>
        </w:tc>
      </w:tr>
      <w:tr>
        <w:tblPrEx>
          <w:tblW w:w="5000" w:type="pct"/>
          <w:tblCellMar>
            <w:left w:w="70" w:type="dxa"/>
            <w:right w:w="70" w:type="dxa"/>
          </w:tblCellMar>
          <w:tblLook w:val="04A0"/>
        </w:tblPrEx>
        <w:trPr>
          <w:trHeight w:val="255"/>
        </w:trPr>
        <w:tc>
          <w:tcPr>
            <w:tcW w:w="1530"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color w:val="000000"/>
                <w:sz w:val="14"/>
                <w:szCs w:val="14"/>
              </w:rPr>
            </w:pPr>
            <w:r w:rsidRPr="00E167C4">
              <w:rPr>
                <w:rFonts w:ascii="Times New Roman" w:hAnsi="Times New Roman" w:cs="Times New Roman"/>
                <w:color w:val="000000"/>
                <w:sz w:val="14"/>
                <w:szCs w:val="14"/>
              </w:rPr>
              <w:t xml:space="preserve">     v tom: bežné výdavky  600</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5 630 491</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2 330 112</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2 125 631</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2 106 721</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2 099 220</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2 105 795</w:t>
            </w:r>
          </w:p>
        </w:tc>
        <w:tc>
          <w:tcPr>
            <w:tcW w:w="494"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2 107 868</w:t>
            </w:r>
          </w:p>
        </w:tc>
      </w:tr>
      <w:tr>
        <w:tblPrEx>
          <w:tblW w:w="5000" w:type="pct"/>
          <w:tblCellMar>
            <w:left w:w="70" w:type="dxa"/>
            <w:right w:w="70" w:type="dxa"/>
          </w:tblCellMar>
          <w:tblLook w:val="04A0"/>
        </w:tblPrEx>
        <w:trPr>
          <w:trHeight w:val="255"/>
        </w:trPr>
        <w:tc>
          <w:tcPr>
            <w:tcW w:w="1530"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color w:val="000000"/>
                <w:sz w:val="14"/>
                <w:szCs w:val="14"/>
              </w:rPr>
            </w:pPr>
            <w:r w:rsidRPr="00E167C4">
              <w:rPr>
                <w:rFonts w:ascii="Times New Roman" w:hAnsi="Times New Roman" w:cs="Times New Roman"/>
                <w:color w:val="000000"/>
                <w:sz w:val="14"/>
                <w:szCs w:val="14"/>
              </w:rPr>
              <w:t xml:space="preserve">                           610 mzdy</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1 261 468</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1 241 154</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1 128 579</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1 128 579</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1 131 348</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1 136 220</w:t>
            </w:r>
          </w:p>
        </w:tc>
        <w:tc>
          <w:tcPr>
            <w:tcW w:w="494"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1 137 756</w:t>
            </w:r>
          </w:p>
        </w:tc>
      </w:tr>
      <w:tr>
        <w:tblPrEx>
          <w:tblW w:w="5000" w:type="pct"/>
          <w:tblCellMar>
            <w:left w:w="70" w:type="dxa"/>
            <w:right w:w="70" w:type="dxa"/>
          </w:tblCellMar>
          <w:tblLook w:val="04A0"/>
        </w:tblPrEx>
        <w:trPr>
          <w:trHeight w:val="255"/>
        </w:trPr>
        <w:tc>
          <w:tcPr>
            <w:tcW w:w="1530"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color w:val="000000"/>
                <w:sz w:val="14"/>
                <w:szCs w:val="14"/>
              </w:rPr>
            </w:pPr>
            <w:r w:rsidRPr="00E167C4">
              <w:rPr>
                <w:rFonts w:ascii="Times New Roman" w:hAnsi="Times New Roman" w:cs="Times New Roman"/>
                <w:color w:val="000000"/>
                <w:sz w:val="14"/>
                <w:szCs w:val="14"/>
              </w:rPr>
              <w:t xml:space="preserve">                           620 odvody</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441 196</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443 356</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389 133</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389 133</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389 626</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391 329</w:t>
            </w:r>
          </w:p>
        </w:tc>
        <w:tc>
          <w:tcPr>
            <w:tcW w:w="494"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391 866</w:t>
            </w:r>
          </w:p>
        </w:tc>
      </w:tr>
      <w:tr>
        <w:tblPrEx>
          <w:tblW w:w="5000" w:type="pct"/>
          <w:tblCellMar>
            <w:left w:w="70" w:type="dxa"/>
            <w:right w:w="70" w:type="dxa"/>
          </w:tblCellMar>
          <w:tblLook w:val="04A0"/>
        </w:tblPrEx>
        <w:trPr>
          <w:trHeight w:val="255"/>
        </w:trPr>
        <w:tc>
          <w:tcPr>
            <w:tcW w:w="1530"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color w:val="000000"/>
                <w:sz w:val="14"/>
                <w:szCs w:val="14"/>
              </w:rPr>
            </w:pPr>
            <w:r w:rsidRPr="00E167C4">
              <w:rPr>
                <w:rFonts w:ascii="Times New Roman" w:hAnsi="Times New Roman" w:cs="Times New Roman"/>
                <w:color w:val="000000"/>
                <w:sz w:val="14"/>
                <w:szCs w:val="14"/>
              </w:rPr>
              <w:t xml:space="preserve">                           630 tovary a služby</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3 918 056</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605 004</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583 639</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564 729</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553 966</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553 966</w:t>
            </w:r>
          </w:p>
        </w:tc>
        <w:tc>
          <w:tcPr>
            <w:tcW w:w="494"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553 966</w:t>
            </w:r>
          </w:p>
        </w:tc>
      </w:tr>
      <w:tr>
        <w:tblPrEx>
          <w:tblW w:w="5000" w:type="pct"/>
          <w:tblCellMar>
            <w:left w:w="70" w:type="dxa"/>
            <w:right w:w="70" w:type="dxa"/>
          </w:tblCellMar>
          <w:tblLook w:val="04A0"/>
        </w:tblPrEx>
        <w:trPr>
          <w:trHeight w:val="255"/>
        </w:trPr>
        <w:tc>
          <w:tcPr>
            <w:tcW w:w="1530"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color w:val="000000"/>
                <w:sz w:val="14"/>
                <w:szCs w:val="14"/>
              </w:rPr>
            </w:pPr>
            <w:r w:rsidRPr="00E167C4">
              <w:rPr>
                <w:rFonts w:ascii="Times New Roman" w:hAnsi="Times New Roman" w:cs="Times New Roman"/>
                <w:color w:val="000000"/>
                <w:sz w:val="14"/>
                <w:szCs w:val="14"/>
              </w:rPr>
              <w:t xml:space="preserve">                           640 bežné transfery</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9 771</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40 598</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24 280</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24 280</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24 280</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24 280</w:t>
            </w:r>
          </w:p>
        </w:tc>
        <w:tc>
          <w:tcPr>
            <w:tcW w:w="494"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24 280</w:t>
            </w:r>
          </w:p>
        </w:tc>
      </w:tr>
      <w:tr>
        <w:tblPrEx>
          <w:tblW w:w="5000" w:type="pct"/>
          <w:tblCellMar>
            <w:left w:w="70" w:type="dxa"/>
            <w:right w:w="70" w:type="dxa"/>
          </w:tblCellMar>
          <w:tblLook w:val="04A0"/>
        </w:tblPrEx>
        <w:trPr>
          <w:trHeight w:val="255"/>
        </w:trPr>
        <w:tc>
          <w:tcPr>
            <w:tcW w:w="1530"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color w:val="000000"/>
                <w:sz w:val="14"/>
                <w:szCs w:val="14"/>
              </w:rPr>
            </w:pPr>
            <w:r w:rsidRPr="00E167C4">
              <w:rPr>
                <w:rFonts w:ascii="Times New Roman" w:hAnsi="Times New Roman" w:cs="Times New Roman"/>
                <w:color w:val="000000"/>
                <w:sz w:val="14"/>
                <w:szCs w:val="14"/>
              </w:rPr>
              <w:t xml:space="preserve">               kapitálové výdavky 700</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24 264</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43 907</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19 425</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41 125</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19 916</w:t>
            </w:r>
          </w:p>
        </w:tc>
        <w:tc>
          <w:tcPr>
            <w:tcW w:w="496"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19 916</w:t>
            </w:r>
          </w:p>
        </w:tc>
        <w:tc>
          <w:tcPr>
            <w:tcW w:w="494" w:type="pct"/>
            <w:tcBorders>
              <w:top w:val="nil"/>
              <w:left w:val="nil"/>
              <w:bottom w:val="single" w:sz="4" w:space="0" w:color="auto"/>
              <w:right w:val="single" w:sz="4" w:space="0" w:color="auto"/>
            </w:tcBorders>
            <w:noWrap/>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19 916</w:t>
            </w:r>
          </w:p>
        </w:tc>
      </w:tr>
      <w:tr>
        <w:tblPrEx>
          <w:tblW w:w="5000" w:type="pct"/>
          <w:tblCellMar>
            <w:left w:w="70" w:type="dxa"/>
            <w:right w:w="70" w:type="dxa"/>
          </w:tblCellMar>
          <w:tblLook w:val="04A0"/>
        </w:tblPrEx>
        <w:trPr>
          <w:trHeight w:val="255"/>
        </w:trPr>
        <w:tc>
          <w:tcPr>
            <w:tcW w:w="1530"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color w:val="000000"/>
                <w:sz w:val="14"/>
                <w:szCs w:val="14"/>
              </w:rPr>
            </w:pPr>
            <w:r w:rsidRPr="00E167C4">
              <w:rPr>
                <w:rFonts w:ascii="Times New Roman" w:hAnsi="Times New Roman" w:cs="Times New Roman"/>
                <w:color w:val="000000"/>
                <w:sz w:val="14"/>
                <w:szCs w:val="14"/>
              </w:rPr>
              <w:t>presun z minulých rokov</w:t>
            </w:r>
          </w:p>
        </w:tc>
        <w:tc>
          <w:tcPr>
            <w:tcW w:w="496"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7 974</w:t>
            </w:r>
          </w:p>
        </w:tc>
        <w:tc>
          <w:tcPr>
            <w:tcW w:w="496"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0</w:t>
            </w:r>
          </w:p>
        </w:tc>
        <w:tc>
          <w:tcPr>
            <w:tcW w:w="496"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0</w:t>
            </w:r>
          </w:p>
        </w:tc>
        <w:tc>
          <w:tcPr>
            <w:tcW w:w="496"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0</w:t>
            </w:r>
          </w:p>
        </w:tc>
        <w:tc>
          <w:tcPr>
            <w:tcW w:w="496"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0</w:t>
            </w:r>
          </w:p>
        </w:tc>
        <w:tc>
          <w:tcPr>
            <w:tcW w:w="496"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0</w:t>
            </w:r>
          </w:p>
        </w:tc>
        <w:tc>
          <w:tcPr>
            <w:tcW w:w="494"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val="255"/>
        </w:trPr>
        <w:tc>
          <w:tcPr>
            <w:tcW w:w="1530" w:type="pct"/>
            <w:tcBorders>
              <w:top w:val="nil"/>
              <w:left w:val="single" w:sz="4" w:space="0" w:color="auto"/>
              <w:bottom w:val="single" w:sz="4" w:space="0" w:color="auto"/>
              <w:right w:val="single" w:sz="4" w:space="0" w:color="auto"/>
            </w:tcBorders>
            <w:noWrap/>
            <w:textDirection w:val="lrTb"/>
            <w:vAlign w:val="bottom"/>
            <w:hideMark/>
          </w:tcPr>
          <w:p w:rsidR="00CB350B" w:rsidRPr="00E167C4" w:rsidP="00257E12">
            <w:pPr>
              <w:bidi w:val="0"/>
              <w:rPr>
                <w:rFonts w:ascii="Times New Roman" w:hAnsi="Times New Roman" w:cs="Times New Roman"/>
                <w:color w:val="000000"/>
                <w:sz w:val="14"/>
                <w:szCs w:val="14"/>
              </w:rPr>
            </w:pPr>
            <w:r w:rsidRPr="00E167C4">
              <w:rPr>
                <w:rFonts w:ascii="Times New Roman" w:hAnsi="Times New Roman" w:cs="Times New Roman"/>
                <w:color w:val="000000"/>
                <w:sz w:val="14"/>
                <w:szCs w:val="14"/>
              </w:rPr>
              <w:t>iné zdroje</w:t>
            </w:r>
          </w:p>
        </w:tc>
        <w:tc>
          <w:tcPr>
            <w:tcW w:w="496"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6 000</w:t>
            </w:r>
          </w:p>
        </w:tc>
        <w:tc>
          <w:tcPr>
            <w:tcW w:w="496"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0</w:t>
            </w:r>
          </w:p>
        </w:tc>
        <w:tc>
          <w:tcPr>
            <w:tcW w:w="496"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0</w:t>
            </w:r>
          </w:p>
        </w:tc>
        <w:tc>
          <w:tcPr>
            <w:tcW w:w="496"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0</w:t>
            </w:r>
          </w:p>
        </w:tc>
        <w:tc>
          <w:tcPr>
            <w:tcW w:w="496"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0</w:t>
            </w:r>
          </w:p>
        </w:tc>
        <w:tc>
          <w:tcPr>
            <w:tcW w:w="496"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0</w:t>
            </w:r>
          </w:p>
        </w:tc>
        <w:tc>
          <w:tcPr>
            <w:tcW w:w="494" w:type="pct"/>
            <w:tcBorders>
              <w:top w:val="nil"/>
              <w:left w:val="nil"/>
              <w:bottom w:val="single" w:sz="4" w:space="0" w:color="auto"/>
              <w:right w:val="single" w:sz="4" w:space="0" w:color="auto"/>
            </w:tcBorders>
            <w:textDirection w:val="lrTb"/>
            <w:vAlign w:val="bottom"/>
            <w:hideMark/>
          </w:tcPr>
          <w:p w:rsidR="00CB350B" w:rsidRPr="00E167C4" w:rsidP="00257E12">
            <w:pPr>
              <w:bidi w:val="0"/>
              <w:jc w:val="right"/>
              <w:rPr>
                <w:rFonts w:ascii="Times New Roman" w:hAnsi="Times New Roman" w:cs="Times New Roman"/>
                <w:color w:val="000000"/>
                <w:sz w:val="14"/>
                <w:szCs w:val="14"/>
              </w:rPr>
            </w:pPr>
            <w:r w:rsidRPr="00E167C4">
              <w:rPr>
                <w:rFonts w:ascii="Times New Roman" w:hAnsi="Times New Roman" w:cs="Times New Roman"/>
                <w:color w:val="000000"/>
                <w:sz w:val="14"/>
                <w:szCs w:val="14"/>
              </w:rPr>
              <w:t>0</w:t>
            </w:r>
          </w:p>
        </w:tc>
      </w:tr>
    </w:tbl>
    <w:p w:rsidR="00CB350B" w:rsidRPr="008B51FE" w:rsidP="00CB350B">
      <w:pPr>
        <w:bidi w:val="0"/>
        <w:jc w:val="both"/>
        <w:rPr>
          <w:rFonts w:ascii="Times New Roman" w:hAnsi="Times New Roman" w:cs="Times New Roman"/>
        </w:rPr>
      </w:pPr>
    </w:p>
    <w:p w:rsidR="00CB350B" w:rsidRPr="008B51FE" w:rsidP="00CB350B">
      <w:pPr>
        <w:bidi w:val="0"/>
        <w:ind w:firstLine="708"/>
        <w:jc w:val="both"/>
        <w:rPr>
          <w:rFonts w:ascii="Times New Roman" w:hAnsi="Times New Roman" w:cs="Times New Roman"/>
          <w:bCs/>
        </w:rPr>
      </w:pPr>
      <w:r w:rsidRPr="008B51FE">
        <w:rPr>
          <w:rFonts w:ascii="Times New Roman" w:hAnsi="Times New Roman" w:cs="Times New Roman"/>
          <w:bCs/>
        </w:rPr>
        <w:t>Výdavky úradu sa v roku 2012 rozpočtujú v sume 2,12</w:t>
      </w:r>
      <w:r w:rsidRPr="008B51FE">
        <w:rPr>
          <w:rFonts w:ascii="Times New Roman" w:hAnsi="Times New Roman" w:cs="Times New Roman"/>
        </w:rPr>
        <w:t xml:space="preserve"> mil. eur, čo v porovnaní so schváleným rozpočtom v roku 2011 predstavuje pokles o 1,21</w:t>
      </w:r>
      <w:r>
        <w:rPr>
          <w:rFonts w:ascii="Times New Roman" w:hAnsi="Times New Roman" w:cs="Times New Roman"/>
        </w:rPr>
        <w:t xml:space="preserve"> </w:t>
      </w:r>
      <w:r w:rsidRPr="008B51FE">
        <w:rPr>
          <w:rFonts w:ascii="Times New Roman" w:hAnsi="Times New Roman" w:cs="Times New Roman"/>
        </w:rPr>
        <w:t>%</w:t>
      </w:r>
      <w:r w:rsidRPr="008B51FE">
        <w:rPr>
          <w:rFonts w:ascii="Times New Roman" w:hAnsi="Times New Roman" w:cs="Times New Roman"/>
          <w:bCs/>
        </w:rPr>
        <w:t>.</w:t>
      </w:r>
    </w:p>
    <w:p w:rsidR="00CB350B" w:rsidRPr="008B51FE" w:rsidP="00CB350B">
      <w:pPr>
        <w:bidi w:val="0"/>
        <w:ind w:firstLine="708"/>
        <w:jc w:val="both"/>
        <w:rPr>
          <w:rFonts w:ascii="Times New Roman" w:hAnsi="Times New Roman" w:cs="Times New Roman"/>
          <w:bCs/>
        </w:rPr>
      </w:pPr>
    </w:p>
    <w:p w:rsidR="00CB350B" w:rsidRPr="008B51FE" w:rsidP="00CB350B">
      <w:pPr>
        <w:bidi w:val="0"/>
        <w:ind w:firstLine="708"/>
        <w:jc w:val="both"/>
        <w:rPr>
          <w:rFonts w:ascii="Times New Roman" w:hAnsi="Times New Roman" w:cs="Times New Roman"/>
        </w:rPr>
      </w:pPr>
      <w:r w:rsidRPr="008B51FE">
        <w:rPr>
          <w:rFonts w:ascii="Times New Roman" w:hAnsi="Times New Roman" w:cs="Times New Roman"/>
          <w:bCs/>
        </w:rPr>
        <w:t xml:space="preserve">Objem osobných výdavkov sa </w:t>
      </w:r>
      <w:r>
        <w:rPr>
          <w:rFonts w:ascii="Times New Roman" w:hAnsi="Times New Roman" w:cs="Times New Roman"/>
          <w:bCs/>
        </w:rPr>
        <w:t>na</w:t>
      </w:r>
      <w:r w:rsidRPr="008B51FE">
        <w:rPr>
          <w:rFonts w:ascii="Times New Roman" w:hAnsi="Times New Roman" w:cs="Times New Roman"/>
          <w:bCs/>
        </w:rPr>
        <w:t xml:space="preserve"> rok 2012 rozpočtuje na úrovni 1,52 mil. eur, čo v porovnaní so schváleným rozpočtom v roku 2011 predstavuje rast o 0,21</w:t>
      </w:r>
      <w:r>
        <w:rPr>
          <w:rFonts w:ascii="Times New Roman" w:hAnsi="Times New Roman" w:cs="Times New Roman"/>
          <w:bCs/>
        </w:rPr>
        <w:t xml:space="preserve"> </w:t>
      </w:r>
      <w:r w:rsidRPr="008B51FE">
        <w:rPr>
          <w:rFonts w:ascii="Times New Roman" w:hAnsi="Times New Roman" w:cs="Times New Roman"/>
          <w:bCs/>
        </w:rPr>
        <w:t>%</w:t>
      </w:r>
      <w:r>
        <w:rPr>
          <w:rFonts w:ascii="Times New Roman" w:hAnsi="Times New Roman" w:cs="Times New Roman"/>
          <w:bCs/>
        </w:rPr>
        <w:t xml:space="preserve"> z dôvodu</w:t>
      </w:r>
      <w:r w:rsidRPr="008B51FE">
        <w:rPr>
          <w:rFonts w:ascii="Times New Roman" w:hAnsi="Times New Roman" w:cs="Times New Roman"/>
          <w:bCs/>
        </w:rPr>
        <w:t xml:space="preserve"> </w:t>
      </w:r>
      <w:r w:rsidRPr="008B51FE">
        <w:rPr>
          <w:rFonts w:ascii="Times New Roman" w:hAnsi="Times New Roman" w:cs="Times New Roman"/>
        </w:rPr>
        <w:t>ich zvýšeni</w:t>
      </w:r>
      <w:r>
        <w:rPr>
          <w:rFonts w:ascii="Times New Roman" w:hAnsi="Times New Roman" w:cs="Times New Roman"/>
        </w:rPr>
        <w:t xml:space="preserve">a, ktoré </w:t>
      </w:r>
      <w:r w:rsidRPr="008B51FE">
        <w:rPr>
          <w:rFonts w:ascii="Times New Roman" w:hAnsi="Times New Roman" w:cs="Times New Roman"/>
        </w:rPr>
        <w:t>súvis</w:t>
      </w:r>
      <w:r>
        <w:rPr>
          <w:rFonts w:ascii="Times New Roman" w:hAnsi="Times New Roman" w:cs="Times New Roman"/>
        </w:rPr>
        <w:t>í so zákonom č. 120/1993 Z. z.</w:t>
      </w:r>
      <w:r w:rsidRPr="008B51FE">
        <w:rPr>
          <w:rFonts w:ascii="Times New Roman" w:hAnsi="Times New Roman" w:cs="Times New Roman"/>
        </w:rPr>
        <w:t xml:space="preserve"> Nárast osobných výdavkov ústavných činiteľov a štátnych zamestnancov vo verejných funkciách v roku 2012 zohľadňuje v kapitole štátneho rozpočtu dopočet platových náležitostí reálne vyplácaných v roku 2011 v zmysle zákona.</w:t>
      </w:r>
    </w:p>
    <w:p w:rsidR="00CB350B" w:rsidRPr="008B51FE" w:rsidP="00CB350B">
      <w:pPr>
        <w:bidi w:val="0"/>
        <w:ind w:firstLine="709"/>
        <w:jc w:val="both"/>
        <w:rPr>
          <w:rFonts w:ascii="Times New Roman" w:hAnsi="Times New Roman" w:cs="Times New Roman"/>
          <w:bCs/>
        </w:rPr>
      </w:pPr>
    </w:p>
    <w:p w:rsidR="00CB350B" w:rsidRPr="008B51FE" w:rsidP="00CB350B">
      <w:pPr>
        <w:bidi w:val="0"/>
        <w:ind w:firstLine="708"/>
        <w:jc w:val="both"/>
        <w:rPr>
          <w:rFonts w:ascii="Times New Roman" w:hAnsi="Times New Roman" w:cs="Times New Roman"/>
          <w:bCs/>
        </w:rPr>
      </w:pPr>
      <w:r w:rsidRPr="008B51FE">
        <w:rPr>
          <w:rFonts w:ascii="Times New Roman" w:hAnsi="Times New Roman" w:cs="Times New Roman"/>
          <w:bCs/>
        </w:rPr>
        <w:t>Výdavky na prevádzku v roku 2012 oproti schválenému rozpočtu v roku 2011 klesajú o</w:t>
      </w:r>
      <w:r>
        <w:rPr>
          <w:rFonts w:ascii="Times New Roman" w:hAnsi="Times New Roman" w:cs="Times New Roman"/>
          <w:bCs/>
        </w:rPr>
        <w:t> </w:t>
      </w:r>
      <w:r w:rsidRPr="008B51FE">
        <w:rPr>
          <w:rFonts w:ascii="Times New Roman" w:hAnsi="Times New Roman" w:cs="Times New Roman"/>
          <w:bCs/>
        </w:rPr>
        <w:t>5</w:t>
      </w:r>
      <w:r>
        <w:rPr>
          <w:rFonts w:ascii="Times New Roman" w:hAnsi="Times New Roman" w:cs="Times New Roman"/>
          <w:bCs/>
        </w:rPr>
        <w:t xml:space="preserve"> </w:t>
      </w:r>
      <w:r w:rsidRPr="008B51FE">
        <w:rPr>
          <w:rFonts w:ascii="Times New Roman" w:hAnsi="Times New Roman" w:cs="Times New Roman"/>
          <w:bCs/>
        </w:rPr>
        <w:t>%, v nadväznosti na úsporné opatrenia.</w:t>
      </w:r>
    </w:p>
    <w:p w:rsidR="00CB350B" w:rsidRPr="008B51FE" w:rsidP="00CB350B">
      <w:pPr>
        <w:bidi w:val="0"/>
        <w:ind w:firstLine="708"/>
        <w:jc w:val="both"/>
        <w:rPr>
          <w:rFonts w:ascii="Times New Roman" w:hAnsi="Times New Roman" w:cs="Times New Roman"/>
          <w:bCs/>
        </w:rPr>
      </w:pPr>
    </w:p>
    <w:p w:rsidR="00CB350B" w:rsidRPr="008B51FE" w:rsidP="00CB350B">
      <w:pPr>
        <w:bidi w:val="0"/>
        <w:ind w:firstLine="708"/>
        <w:jc w:val="both"/>
        <w:rPr>
          <w:rFonts w:ascii="Times New Roman" w:hAnsi="Times New Roman" w:cs="Times New Roman"/>
          <w:bCs/>
        </w:rPr>
      </w:pPr>
      <w:r w:rsidRPr="008B51FE">
        <w:rPr>
          <w:rFonts w:ascii="Times New Roman" w:hAnsi="Times New Roman" w:cs="Times New Roman"/>
          <w:bCs/>
        </w:rPr>
        <w:t>Výdavky na bežné transfery v roku 2012 sú rozpočtované na úrovni</w:t>
      </w:r>
      <w:r>
        <w:rPr>
          <w:rFonts w:ascii="Times New Roman" w:hAnsi="Times New Roman" w:cs="Times New Roman"/>
          <w:bCs/>
        </w:rPr>
        <w:t xml:space="preserve"> schváleného rozpočtu roku 2011</w:t>
      </w:r>
      <w:r w:rsidRPr="008B51FE">
        <w:rPr>
          <w:rFonts w:ascii="Times New Roman" w:hAnsi="Times New Roman" w:cs="Times New Roman"/>
          <w:bCs/>
        </w:rPr>
        <w:t>.</w:t>
      </w:r>
    </w:p>
    <w:p w:rsidR="00CB350B" w:rsidRPr="008B51FE" w:rsidP="00CB350B">
      <w:pPr>
        <w:bidi w:val="0"/>
        <w:ind w:firstLine="708"/>
        <w:jc w:val="both"/>
        <w:rPr>
          <w:rFonts w:ascii="Times New Roman" w:hAnsi="Times New Roman" w:cs="Times New Roman"/>
          <w:bCs/>
        </w:rPr>
      </w:pPr>
    </w:p>
    <w:p w:rsidR="00CB350B" w:rsidRPr="008B51FE" w:rsidP="00CB350B">
      <w:pPr>
        <w:bidi w:val="0"/>
        <w:ind w:firstLine="708"/>
        <w:jc w:val="both"/>
        <w:rPr>
          <w:rFonts w:ascii="Times New Roman" w:hAnsi="Times New Roman" w:cs="Times New Roman"/>
          <w:bCs/>
        </w:rPr>
      </w:pPr>
      <w:r w:rsidRPr="008B51FE">
        <w:rPr>
          <w:rFonts w:ascii="Times New Roman" w:hAnsi="Times New Roman" w:cs="Times New Roman"/>
          <w:bCs/>
        </w:rPr>
        <w:t xml:space="preserve">Objem kapitálových výdavkov rozpočtovaných na rok 2012 </w:t>
      </w:r>
      <w:r>
        <w:rPr>
          <w:rFonts w:ascii="Times New Roman" w:hAnsi="Times New Roman" w:cs="Times New Roman"/>
          <w:bCs/>
        </w:rPr>
        <w:t xml:space="preserve">je na porovnateľnej úrovni </w:t>
      </w:r>
      <w:r w:rsidRPr="008B51FE">
        <w:rPr>
          <w:rFonts w:ascii="Times New Roman" w:hAnsi="Times New Roman" w:cs="Times New Roman"/>
          <w:bCs/>
        </w:rPr>
        <w:t>so schváleným rozpočtom na rok 2011.</w:t>
      </w:r>
    </w:p>
    <w:p w:rsidR="00CB350B" w:rsidRPr="00F43064" w:rsidP="00CB350B">
      <w:pPr>
        <w:bidi w:val="0"/>
        <w:jc w:val="both"/>
        <w:rPr>
          <w:rFonts w:ascii="Times New Roman" w:hAnsi="Times New Roman" w:cs="Times New Roman"/>
          <w:lang w:eastAsia="sk-SK"/>
        </w:rPr>
      </w:pPr>
      <w:r w:rsidRPr="00F43064">
        <w:rPr>
          <w:rFonts w:ascii="Times New Roman" w:hAnsi="Times New Roman" w:cs="Times New Roman"/>
          <w:lang w:eastAsia="sk-SK"/>
        </w:rPr>
        <w:t>  </w:t>
      </w:r>
    </w:p>
    <w:p w:rsidR="00CB350B" w:rsidRPr="00D20DC1" w:rsidP="00CB350B">
      <w:pPr>
        <w:pBdr>
          <w:bottom w:val="single" w:sz="4" w:space="1" w:color="000000"/>
        </w:pBdr>
        <w:bidi w:val="0"/>
        <w:jc w:val="both"/>
        <w:rPr>
          <w:rFonts w:ascii="Times New Roman" w:hAnsi="Times New Roman" w:cs="Times New Roman"/>
          <w:lang w:eastAsia="sk-SK"/>
        </w:rPr>
      </w:pPr>
      <w:bookmarkStart w:id="67" w:name="_Toc108849143"/>
      <w:bookmarkEnd w:id="67"/>
      <w:r w:rsidRPr="00D20DC1">
        <w:rPr>
          <w:rFonts w:ascii="Times New Roman" w:hAnsi="Times New Roman" w:cs="Times New Roman"/>
          <w:b/>
          <w:bCs/>
          <w:lang w:eastAsia="sk-SK"/>
        </w:rPr>
        <w:t>Národný bezpečnostný úrad</w:t>
      </w:r>
    </w:p>
    <w:p w:rsidR="00CB350B" w:rsidRPr="00D20DC1" w:rsidP="00CB350B">
      <w:pPr>
        <w:bidi w:val="0"/>
        <w:jc w:val="both"/>
        <w:rPr>
          <w:rFonts w:ascii="Times New Roman" w:hAnsi="Times New Roman" w:cs="Times New Roman"/>
          <w:lang w:eastAsia="sk-SK"/>
        </w:rPr>
      </w:pPr>
      <w:r w:rsidRPr="00D20DC1">
        <w:rPr>
          <w:rFonts w:ascii="Times New Roman" w:hAnsi="Times New Roman" w:cs="Times New Roman"/>
          <w:b/>
          <w:bCs/>
          <w:lang w:eastAsia="sk-SK"/>
        </w:rPr>
        <w:t> </w:t>
      </w:r>
    </w:p>
    <w:tbl>
      <w:tblPr>
        <w:tblStyle w:val="TableNormal"/>
        <w:tblW w:w="9228" w:type="dxa"/>
        <w:tblCellMar>
          <w:left w:w="0" w:type="dxa"/>
          <w:right w:w="0" w:type="dxa"/>
        </w:tblCellMar>
        <w:tblLook w:val="04A0"/>
      </w:tblPr>
      <w:tblGrid>
        <w:gridCol w:w="2566"/>
        <w:gridCol w:w="951"/>
        <w:gridCol w:w="952"/>
        <w:gridCol w:w="952"/>
        <w:gridCol w:w="951"/>
        <w:gridCol w:w="952"/>
        <w:gridCol w:w="952"/>
        <w:gridCol w:w="952"/>
      </w:tblGrid>
      <w:tr>
        <w:tblPrEx>
          <w:tblW w:w="9228" w:type="dxa"/>
          <w:tblCellMar>
            <w:left w:w="0" w:type="dxa"/>
            <w:right w:w="0" w:type="dxa"/>
          </w:tblCellMar>
          <w:tblLook w:val="04A0"/>
        </w:tblPrEx>
        <w:trPr>
          <w:trHeight w:val="259"/>
        </w:trPr>
        <w:tc>
          <w:tcPr>
            <w:tcW w:w="25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rPr>
                <w:rFonts w:ascii="Times New Roman" w:hAnsi="Times New Roman" w:cs="Times New Roman"/>
                <w:lang w:eastAsia="sk-SK"/>
              </w:rPr>
            </w:pPr>
            <w:r w:rsidRPr="00D20DC1">
              <w:rPr>
                <w:rFonts w:ascii="Times New Roman" w:hAnsi="Times New Roman" w:cs="Times New Roman"/>
                <w:b/>
                <w:bCs/>
                <w:color w:val="000000"/>
                <w:sz w:val="14"/>
                <w:szCs w:val="14"/>
                <w:lang w:eastAsia="sk-SK"/>
              </w:rPr>
              <w:t>v eurách</w:t>
            </w:r>
          </w:p>
        </w:tc>
        <w:tc>
          <w:tcPr>
            <w:tcW w:w="95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D20DC1" w:rsidP="00257E12">
            <w:pPr>
              <w:bidi w:val="0"/>
              <w:jc w:val="center"/>
              <w:rPr>
                <w:rFonts w:ascii="Times New Roman" w:hAnsi="Times New Roman" w:cs="Times New Roman"/>
                <w:lang w:eastAsia="sk-SK"/>
              </w:rPr>
            </w:pPr>
            <w:r w:rsidRPr="00D20DC1">
              <w:rPr>
                <w:rFonts w:ascii="Times New Roman" w:hAnsi="Times New Roman" w:cs="Times New Roman"/>
                <w:b/>
                <w:bCs/>
                <w:color w:val="000000"/>
                <w:sz w:val="14"/>
                <w:szCs w:val="14"/>
                <w:lang w:eastAsia="sk-SK"/>
              </w:rPr>
              <w:t>2009 S</w:t>
            </w:r>
          </w:p>
        </w:tc>
        <w:tc>
          <w:tcPr>
            <w:tcW w:w="95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D20DC1" w:rsidP="00257E12">
            <w:pPr>
              <w:bidi w:val="0"/>
              <w:jc w:val="center"/>
              <w:rPr>
                <w:rFonts w:ascii="Times New Roman" w:hAnsi="Times New Roman" w:cs="Times New Roman"/>
                <w:lang w:eastAsia="sk-SK"/>
              </w:rPr>
            </w:pPr>
            <w:r w:rsidRPr="00D20DC1">
              <w:rPr>
                <w:rFonts w:ascii="Times New Roman" w:hAnsi="Times New Roman" w:cs="Times New Roman"/>
                <w:b/>
                <w:bCs/>
                <w:color w:val="000000"/>
                <w:sz w:val="14"/>
                <w:szCs w:val="14"/>
                <w:lang w:eastAsia="sk-SK"/>
              </w:rPr>
              <w:t>2010S</w:t>
            </w:r>
          </w:p>
        </w:tc>
        <w:tc>
          <w:tcPr>
            <w:tcW w:w="95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D20DC1" w:rsidP="00257E12">
            <w:pPr>
              <w:bidi w:val="0"/>
              <w:jc w:val="center"/>
              <w:rPr>
                <w:rFonts w:ascii="Times New Roman" w:hAnsi="Times New Roman" w:cs="Times New Roman"/>
                <w:lang w:eastAsia="sk-SK"/>
              </w:rPr>
            </w:pPr>
            <w:r w:rsidRPr="00D20DC1">
              <w:rPr>
                <w:rFonts w:ascii="Times New Roman" w:hAnsi="Times New Roman" w:cs="Times New Roman"/>
                <w:b/>
                <w:bCs/>
                <w:color w:val="000000"/>
                <w:sz w:val="14"/>
                <w:szCs w:val="14"/>
                <w:lang w:eastAsia="sk-SK"/>
              </w:rPr>
              <w:t>2011 R</w:t>
            </w:r>
          </w:p>
        </w:tc>
        <w:tc>
          <w:tcPr>
            <w:tcW w:w="95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D20DC1" w:rsidP="00257E12">
            <w:pPr>
              <w:bidi w:val="0"/>
              <w:jc w:val="center"/>
              <w:rPr>
                <w:rFonts w:ascii="Times New Roman" w:hAnsi="Times New Roman" w:cs="Times New Roman"/>
                <w:lang w:eastAsia="sk-SK"/>
              </w:rPr>
            </w:pPr>
            <w:r w:rsidRPr="00D20DC1">
              <w:rPr>
                <w:rFonts w:ascii="Times New Roman" w:hAnsi="Times New Roman" w:cs="Times New Roman"/>
                <w:b/>
                <w:bCs/>
                <w:color w:val="000000"/>
                <w:sz w:val="14"/>
                <w:szCs w:val="14"/>
                <w:lang w:eastAsia="sk-SK"/>
              </w:rPr>
              <w:t>2011 OS</w:t>
            </w:r>
          </w:p>
        </w:tc>
        <w:tc>
          <w:tcPr>
            <w:tcW w:w="95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D20DC1" w:rsidP="00257E12">
            <w:pPr>
              <w:bidi w:val="0"/>
              <w:jc w:val="center"/>
              <w:rPr>
                <w:rFonts w:ascii="Times New Roman" w:hAnsi="Times New Roman" w:cs="Times New Roman"/>
                <w:lang w:eastAsia="sk-SK"/>
              </w:rPr>
            </w:pPr>
            <w:r w:rsidRPr="00D20DC1">
              <w:rPr>
                <w:rFonts w:ascii="Times New Roman" w:hAnsi="Times New Roman" w:cs="Times New Roman"/>
                <w:b/>
                <w:bCs/>
                <w:color w:val="000000"/>
                <w:sz w:val="14"/>
                <w:szCs w:val="14"/>
                <w:lang w:eastAsia="sk-SK"/>
              </w:rPr>
              <w:t>2012 N</w:t>
            </w:r>
          </w:p>
        </w:tc>
        <w:tc>
          <w:tcPr>
            <w:tcW w:w="95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D20DC1" w:rsidP="00257E12">
            <w:pPr>
              <w:bidi w:val="0"/>
              <w:jc w:val="center"/>
              <w:rPr>
                <w:rFonts w:ascii="Times New Roman" w:hAnsi="Times New Roman" w:cs="Times New Roman"/>
                <w:lang w:eastAsia="sk-SK"/>
              </w:rPr>
            </w:pPr>
            <w:r w:rsidRPr="00D20DC1">
              <w:rPr>
                <w:rFonts w:ascii="Times New Roman" w:hAnsi="Times New Roman" w:cs="Times New Roman"/>
                <w:b/>
                <w:bCs/>
                <w:color w:val="000000"/>
                <w:sz w:val="14"/>
                <w:szCs w:val="14"/>
                <w:lang w:eastAsia="sk-SK"/>
              </w:rPr>
              <w:t>2013 N</w:t>
            </w:r>
          </w:p>
        </w:tc>
        <w:tc>
          <w:tcPr>
            <w:tcW w:w="95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D20DC1" w:rsidP="00257E12">
            <w:pPr>
              <w:bidi w:val="0"/>
              <w:jc w:val="center"/>
              <w:rPr>
                <w:rFonts w:ascii="Times New Roman" w:hAnsi="Times New Roman" w:cs="Times New Roman"/>
                <w:lang w:eastAsia="sk-SK"/>
              </w:rPr>
            </w:pPr>
            <w:r w:rsidRPr="00D20DC1">
              <w:rPr>
                <w:rFonts w:ascii="Times New Roman" w:hAnsi="Times New Roman" w:cs="Times New Roman"/>
                <w:b/>
                <w:bCs/>
                <w:color w:val="000000"/>
                <w:sz w:val="14"/>
                <w:szCs w:val="14"/>
                <w:lang w:eastAsia="sk-SK"/>
              </w:rPr>
              <w:t>2014 N</w:t>
            </w:r>
          </w:p>
        </w:tc>
      </w:tr>
      <w:tr>
        <w:tblPrEx>
          <w:tblW w:w="9228" w:type="dxa"/>
          <w:tblCellMar>
            <w:left w:w="0" w:type="dxa"/>
            <w:right w:w="0" w:type="dxa"/>
          </w:tblCellMar>
          <w:tblLook w:val="04A0"/>
        </w:tblPrEx>
        <w:trPr>
          <w:trHeight w:val="259"/>
        </w:trPr>
        <w:tc>
          <w:tcPr>
            <w:tcW w:w="2566"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rPr>
                <w:rFonts w:ascii="Times New Roman" w:hAnsi="Times New Roman" w:cs="Times New Roman"/>
                <w:lang w:eastAsia="sk-SK"/>
              </w:rPr>
            </w:pPr>
            <w:r w:rsidRPr="00D20DC1">
              <w:rPr>
                <w:rFonts w:ascii="Times New Roman" w:hAnsi="Times New Roman" w:cs="Times New Roman"/>
                <w:b/>
                <w:bCs/>
                <w:color w:val="000000"/>
                <w:sz w:val="14"/>
                <w:szCs w:val="14"/>
                <w:lang w:eastAsia="sk-SK"/>
              </w:rPr>
              <w:t>Zdroje príslušnej kapitoly</w:t>
            </w:r>
          </w:p>
        </w:tc>
        <w:tc>
          <w:tcPr>
            <w:tcW w:w="9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b/>
                <w:bCs/>
                <w:color w:val="000000"/>
                <w:sz w:val="14"/>
                <w:szCs w:val="14"/>
                <w:lang w:eastAsia="sk-SK"/>
              </w:rPr>
              <w:t>8 690 038</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b/>
                <w:bCs/>
                <w:color w:val="000000"/>
                <w:sz w:val="14"/>
                <w:szCs w:val="14"/>
                <w:lang w:eastAsia="sk-SK"/>
              </w:rPr>
              <w:t>8 528 649</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b/>
                <w:bCs/>
                <w:color w:val="000000"/>
                <w:sz w:val="14"/>
                <w:szCs w:val="14"/>
                <w:lang w:eastAsia="sk-SK"/>
              </w:rPr>
              <w:t>7 989 756</w:t>
            </w:r>
          </w:p>
        </w:tc>
        <w:tc>
          <w:tcPr>
            <w:tcW w:w="9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b/>
                <w:bCs/>
                <w:color w:val="000000"/>
                <w:sz w:val="14"/>
                <w:szCs w:val="14"/>
                <w:lang w:eastAsia="sk-SK"/>
              </w:rPr>
              <w:t>7 989 756</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Pr>
                <w:rFonts w:ascii="Times New Roman" w:hAnsi="Times New Roman" w:cs="Times New Roman"/>
                <w:b/>
                <w:bCs/>
                <w:color w:val="000000"/>
                <w:sz w:val="14"/>
                <w:szCs w:val="14"/>
                <w:lang w:eastAsia="sk-SK"/>
              </w:rPr>
              <w:t>8 312 733</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Pr>
                <w:rFonts w:ascii="Times New Roman" w:hAnsi="Times New Roman" w:cs="Times New Roman"/>
                <w:b/>
                <w:bCs/>
                <w:color w:val="000000"/>
                <w:sz w:val="14"/>
                <w:szCs w:val="14"/>
                <w:lang w:eastAsia="sk-SK"/>
              </w:rPr>
              <w:t>8 321 940</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Pr>
                <w:rFonts w:ascii="Times New Roman" w:hAnsi="Times New Roman" w:cs="Times New Roman"/>
                <w:b/>
                <w:bCs/>
                <w:color w:val="000000"/>
                <w:sz w:val="14"/>
                <w:szCs w:val="14"/>
                <w:lang w:eastAsia="sk-SK"/>
              </w:rPr>
              <w:t>8 324 842</w:t>
            </w:r>
          </w:p>
        </w:tc>
      </w:tr>
      <w:tr>
        <w:tblPrEx>
          <w:tblW w:w="9228" w:type="dxa"/>
          <w:tblCellMar>
            <w:left w:w="0" w:type="dxa"/>
            <w:right w:w="0" w:type="dxa"/>
          </w:tblCellMar>
          <w:tblLook w:val="04A0"/>
        </w:tblPrEx>
        <w:trPr>
          <w:trHeight w:val="259"/>
        </w:trPr>
        <w:tc>
          <w:tcPr>
            <w:tcW w:w="2566"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rPr>
                <w:rFonts w:ascii="Times New Roman" w:hAnsi="Times New Roman" w:cs="Times New Roman"/>
                <w:lang w:eastAsia="sk-SK"/>
              </w:rPr>
            </w:pPr>
            <w:r w:rsidRPr="00D20DC1">
              <w:rPr>
                <w:rFonts w:ascii="Times New Roman" w:hAnsi="Times New Roman" w:cs="Times New Roman"/>
                <w:color w:val="000000"/>
                <w:sz w:val="14"/>
                <w:szCs w:val="14"/>
                <w:lang w:eastAsia="sk-SK"/>
              </w:rPr>
              <w:t xml:space="preserve">rozpočtové zdroje kapitoly </w:t>
            </w:r>
          </w:p>
        </w:tc>
        <w:tc>
          <w:tcPr>
            <w:tcW w:w="9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8 462 643</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8 528 649</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7 989 756</w:t>
            </w:r>
          </w:p>
        </w:tc>
        <w:tc>
          <w:tcPr>
            <w:tcW w:w="9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7 989 756</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8 312 733</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8 321 940</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8 324 842</w:t>
            </w:r>
          </w:p>
        </w:tc>
      </w:tr>
      <w:tr>
        <w:tblPrEx>
          <w:tblW w:w="9228" w:type="dxa"/>
          <w:tblCellMar>
            <w:left w:w="0" w:type="dxa"/>
            <w:right w:w="0" w:type="dxa"/>
          </w:tblCellMar>
          <w:tblLook w:val="04A0"/>
        </w:tblPrEx>
        <w:trPr>
          <w:trHeight w:val="259"/>
        </w:trPr>
        <w:tc>
          <w:tcPr>
            <w:tcW w:w="2566"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rPr>
                <w:rFonts w:ascii="Times New Roman" w:hAnsi="Times New Roman" w:cs="Times New Roman"/>
                <w:lang w:eastAsia="sk-SK"/>
              </w:rPr>
            </w:pPr>
            <w:r w:rsidRPr="00D20DC1">
              <w:rPr>
                <w:rFonts w:ascii="Times New Roman" w:hAnsi="Times New Roman" w:cs="Times New Roman"/>
                <w:color w:val="000000"/>
                <w:sz w:val="14"/>
                <w:szCs w:val="14"/>
                <w:lang w:eastAsia="sk-SK"/>
              </w:rPr>
              <w:t>    v tom: bežné výdavky  600</w:t>
            </w:r>
          </w:p>
        </w:tc>
        <w:tc>
          <w:tcPr>
            <w:tcW w:w="9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7 921 829</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8 226 683</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7 939 965</w:t>
            </w:r>
          </w:p>
        </w:tc>
        <w:tc>
          <w:tcPr>
            <w:tcW w:w="9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7 939 965</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8 262 942</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8 272 149</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8 275 051</w:t>
            </w:r>
          </w:p>
        </w:tc>
      </w:tr>
      <w:tr>
        <w:tblPrEx>
          <w:tblW w:w="9228" w:type="dxa"/>
          <w:tblCellMar>
            <w:left w:w="0" w:type="dxa"/>
            <w:right w:w="0" w:type="dxa"/>
          </w:tblCellMar>
          <w:tblLook w:val="04A0"/>
        </w:tblPrEx>
        <w:trPr>
          <w:trHeight w:val="259"/>
        </w:trPr>
        <w:tc>
          <w:tcPr>
            <w:tcW w:w="2566"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rPr>
                <w:rFonts w:ascii="Times New Roman" w:hAnsi="Times New Roman" w:cs="Times New Roman"/>
                <w:lang w:eastAsia="sk-SK"/>
              </w:rPr>
            </w:pPr>
            <w:r w:rsidRPr="00D20DC1">
              <w:rPr>
                <w:rFonts w:ascii="Times New Roman" w:hAnsi="Times New Roman" w:cs="Times New Roman"/>
                <w:color w:val="000000"/>
                <w:sz w:val="14"/>
                <w:szCs w:val="14"/>
                <w:lang w:eastAsia="sk-SK"/>
              </w:rPr>
              <w:t>                      610 mzdy</w:t>
            </w:r>
          </w:p>
        </w:tc>
        <w:tc>
          <w:tcPr>
            <w:tcW w:w="9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4 498 137</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4 628 834</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4 379 784</w:t>
            </w:r>
          </w:p>
        </w:tc>
        <w:tc>
          <w:tcPr>
            <w:tcW w:w="9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4 379 784</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4 381 552</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4 389 055</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4 391 420</w:t>
            </w:r>
          </w:p>
        </w:tc>
      </w:tr>
      <w:tr>
        <w:tblPrEx>
          <w:tblW w:w="9228" w:type="dxa"/>
          <w:tblCellMar>
            <w:left w:w="0" w:type="dxa"/>
            <w:right w:w="0" w:type="dxa"/>
          </w:tblCellMar>
          <w:tblLook w:val="04A0"/>
        </w:tblPrEx>
        <w:trPr>
          <w:trHeight w:val="259"/>
        </w:trPr>
        <w:tc>
          <w:tcPr>
            <w:tcW w:w="2566"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rPr>
                <w:rFonts w:ascii="Times New Roman" w:hAnsi="Times New Roman" w:cs="Times New Roman"/>
                <w:lang w:eastAsia="sk-SK"/>
              </w:rPr>
            </w:pPr>
            <w:r w:rsidRPr="00D20DC1">
              <w:rPr>
                <w:rFonts w:ascii="Times New Roman" w:hAnsi="Times New Roman" w:cs="Times New Roman"/>
                <w:color w:val="000000"/>
                <w:sz w:val="14"/>
                <w:szCs w:val="14"/>
                <w:lang w:eastAsia="sk-SK"/>
              </w:rPr>
              <w:t>                      620 odvody</w:t>
            </w:r>
          </w:p>
        </w:tc>
        <w:tc>
          <w:tcPr>
            <w:tcW w:w="9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1 283 699</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1 450 009</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1 454 109</w:t>
            </w:r>
          </w:p>
        </w:tc>
        <w:tc>
          <w:tcPr>
            <w:tcW w:w="9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1 454 109</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1 877 655</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1 879 359</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1 879 896</w:t>
            </w:r>
          </w:p>
        </w:tc>
      </w:tr>
      <w:tr>
        <w:tblPrEx>
          <w:tblW w:w="9228" w:type="dxa"/>
          <w:tblCellMar>
            <w:left w:w="0" w:type="dxa"/>
            <w:right w:w="0" w:type="dxa"/>
          </w:tblCellMar>
          <w:tblLook w:val="04A0"/>
        </w:tblPrEx>
        <w:trPr>
          <w:trHeight w:val="259"/>
        </w:trPr>
        <w:tc>
          <w:tcPr>
            <w:tcW w:w="2566"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rPr>
                <w:rFonts w:ascii="Times New Roman" w:hAnsi="Times New Roman" w:cs="Times New Roman"/>
                <w:lang w:eastAsia="sk-SK"/>
              </w:rPr>
            </w:pPr>
            <w:r w:rsidRPr="00D20DC1">
              <w:rPr>
                <w:rFonts w:ascii="Times New Roman" w:hAnsi="Times New Roman" w:cs="Times New Roman"/>
                <w:color w:val="000000"/>
                <w:sz w:val="14"/>
                <w:szCs w:val="14"/>
                <w:lang w:eastAsia="sk-SK"/>
              </w:rPr>
              <w:t>                      630 tovary a služby</w:t>
            </w:r>
          </w:p>
        </w:tc>
        <w:tc>
          <w:tcPr>
            <w:tcW w:w="9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2 082 940</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1 955 487</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2 046 739</w:t>
            </w:r>
          </w:p>
        </w:tc>
        <w:tc>
          <w:tcPr>
            <w:tcW w:w="9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2 046 739</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1 944 402</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1 944 402</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1 944 402</w:t>
            </w:r>
          </w:p>
        </w:tc>
      </w:tr>
      <w:tr>
        <w:tblPrEx>
          <w:tblW w:w="9228" w:type="dxa"/>
          <w:tblCellMar>
            <w:left w:w="0" w:type="dxa"/>
            <w:right w:w="0" w:type="dxa"/>
          </w:tblCellMar>
          <w:tblLook w:val="04A0"/>
        </w:tblPrEx>
        <w:trPr>
          <w:trHeight w:val="259"/>
        </w:trPr>
        <w:tc>
          <w:tcPr>
            <w:tcW w:w="2566"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rPr>
                <w:rFonts w:ascii="Times New Roman" w:hAnsi="Times New Roman" w:cs="Times New Roman"/>
                <w:lang w:eastAsia="sk-SK"/>
              </w:rPr>
            </w:pPr>
            <w:r w:rsidRPr="00D20DC1">
              <w:rPr>
                <w:rFonts w:ascii="Times New Roman" w:hAnsi="Times New Roman" w:cs="Times New Roman"/>
                <w:color w:val="000000"/>
                <w:sz w:val="14"/>
                <w:szCs w:val="14"/>
                <w:lang w:eastAsia="sk-SK"/>
              </w:rPr>
              <w:t>                      640 bežné transfery</w:t>
            </w:r>
          </w:p>
        </w:tc>
        <w:tc>
          <w:tcPr>
            <w:tcW w:w="9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57 053</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192 353</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59 333</w:t>
            </w:r>
          </w:p>
        </w:tc>
        <w:tc>
          <w:tcPr>
            <w:tcW w:w="9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59 333</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59 333</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59 333</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59 333</w:t>
            </w:r>
          </w:p>
        </w:tc>
      </w:tr>
      <w:tr>
        <w:tblPrEx>
          <w:tblW w:w="9228" w:type="dxa"/>
          <w:tblCellMar>
            <w:left w:w="0" w:type="dxa"/>
            <w:right w:w="0" w:type="dxa"/>
          </w:tblCellMar>
          <w:tblLook w:val="04A0"/>
        </w:tblPrEx>
        <w:trPr>
          <w:trHeight w:val="259"/>
        </w:trPr>
        <w:tc>
          <w:tcPr>
            <w:tcW w:w="2566"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rPr>
                <w:rFonts w:ascii="Times New Roman" w:hAnsi="Times New Roman" w:cs="Times New Roman"/>
                <w:lang w:eastAsia="sk-SK"/>
              </w:rPr>
            </w:pPr>
            <w:r w:rsidRPr="00D20DC1">
              <w:rPr>
                <w:rFonts w:ascii="Times New Roman" w:hAnsi="Times New Roman" w:cs="Times New Roman"/>
                <w:color w:val="000000"/>
                <w:sz w:val="14"/>
                <w:szCs w:val="14"/>
                <w:lang w:eastAsia="sk-SK"/>
              </w:rPr>
              <w:t>               kapitálové výdavky 700</w:t>
            </w:r>
          </w:p>
        </w:tc>
        <w:tc>
          <w:tcPr>
            <w:tcW w:w="9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540 814</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301 965</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49 791</w:t>
            </w:r>
          </w:p>
        </w:tc>
        <w:tc>
          <w:tcPr>
            <w:tcW w:w="9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49 791</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49 791</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49 791</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49 791</w:t>
            </w:r>
          </w:p>
        </w:tc>
      </w:tr>
      <w:tr>
        <w:tblPrEx>
          <w:tblW w:w="9228" w:type="dxa"/>
          <w:tblCellMar>
            <w:left w:w="0" w:type="dxa"/>
            <w:right w:w="0" w:type="dxa"/>
          </w:tblCellMar>
          <w:tblLook w:val="04A0"/>
        </w:tblPrEx>
        <w:trPr>
          <w:trHeight w:val="259"/>
        </w:trPr>
        <w:tc>
          <w:tcPr>
            <w:tcW w:w="2566"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rPr>
                <w:rFonts w:ascii="Times New Roman" w:hAnsi="Times New Roman" w:cs="Times New Roman"/>
                <w:lang w:eastAsia="sk-SK"/>
              </w:rPr>
            </w:pPr>
            <w:r w:rsidRPr="00D20DC1">
              <w:rPr>
                <w:rFonts w:ascii="Times New Roman" w:hAnsi="Times New Roman" w:cs="Times New Roman"/>
                <w:color w:val="000000"/>
                <w:sz w:val="14"/>
                <w:szCs w:val="14"/>
                <w:lang w:eastAsia="sk-SK"/>
              </w:rPr>
              <w:t>presun z minulých rokov</w:t>
            </w:r>
          </w:p>
        </w:tc>
        <w:tc>
          <w:tcPr>
            <w:tcW w:w="9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227 395</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0</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0</w:t>
            </w:r>
          </w:p>
        </w:tc>
        <w:tc>
          <w:tcPr>
            <w:tcW w:w="95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0</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0</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0</w:t>
            </w:r>
          </w:p>
        </w:tc>
        <w:tc>
          <w:tcPr>
            <w:tcW w:w="95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0</w:t>
            </w:r>
          </w:p>
        </w:tc>
      </w:tr>
    </w:tbl>
    <w:p w:rsidR="00CB350B" w:rsidRPr="00D20DC1" w:rsidP="00CB350B">
      <w:pPr>
        <w:bidi w:val="0"/>
        <w:jc w:val="both"/>
        <w:rPr>
          <w:rFonts w:ascii="Times New Roman" w:hAnsi="Times New Roman" w:cs="Times New Roman"/>
          <w:lang w:eastAsia="sk-SK"/>
        </w:rPr>
      </w:pPr>
      <w:r w:rsidRPr="00D20DC1">
        <w:rPr>
          <w:rFonts w:ascii="Times New Roman" w:hAnsi="Times New Roman" w:cs="Times New Roman"/>
          <w:lang w:eastAsia="sk-SK"/>
        </w:rPr>
        <w:t> </w:t>
      </w:r>
    </w:p>
    <w:p w:rsidR="00CB350B" w:rsidRPr="00D20DC1" w:rsidP="00CB350B">
      <w:pPr>
        <w:bidi w:val="0"/>
        <w:ind w:firstLine="708"/>
        <w:jc w:val="both"/>
        <w:rPr>
          <w:rFonts w:ascii="Times New Roman" w:hAnsi="Times New Roman" w:cs="Times New Roman"/>
          <w:lang w:eastAsia="sk-SK"/>
        </w:rPr>
      </w:pPr>
      <w:r w:rsidRPr="00D20DC1">
        <w:rPr>
          <w:rFonts w:ascii="Times New Roman" w:hAnsi="Times New Roman" w:cs="Times New Roman"/>
          <w:lang w:eastAsia="sk-SK"/>
        </w:rPr>
        <w:t>Celkové výdavky kapitoly na</w:t>
      </w:r>
      <w:r>
        <w:rPr>
          <w:rFonts w:ascii="Times New Roman" w:hAnsi="Times New Roman" w:cs="Times New Roman"/>
          <w:lang w:eastAsia="sk-SK"/>
        </w:rPr>
        <w:t xml:space="preserve"> rok 2012 sa rozpočtujú v sume 8,31 </w:t>
      </w:r>
      <w:r w:rsidRPr="00D20DC1">
        <w:rPr>
          <w:rFonts w:ascii="Times New Roman" w:hAnsi="Times New Roman" w:cs="Times New Roman"/>
          <w:lang w:eastAsia="sk-SK"/>
        </w:rPr>
        <w:t xml:space="preserve">mil. eur, čo predstavuje oproti schválenému rozpočtu roku 2011 </w:t>
      </w:r>
      <w:r>
        <w:rPr>
          <w:rFonts w:ascii="Times New Roman" w:hAnsi="Times New Roman" w:cs="Times New Roman"/>
          <w:lang w:eastAsia="sk-SK"/>
        </w:rPr>
        <w:t>nárast o 4,04</w:t>
      </w:r>
      <w:r w:rsidRPr="00D20DC1">
        <w:rPr>
          <w:rFonts w:ascii="Times New Roman" w:hAnsi="Times New Roman" w:cs="Times New Roman"/>
          <w:lang w:eastAsia="sk-SK"/>
        </w:rPr>
        <w:t xml:space="preserve"> %.</w:t>
      </w:r>
    </w:p>
    <w:p w:rsidR="00CB350B" w:rsidRPr="00D20DC1" w:rsidP="00CB350B">
      <w:pPr>
        <w:bidi w:val="0"/>
        <w:jc w:val="both"/>
        <w:rPr>
          <w:rFonts w:ascii="Times New Roman" w:hAnsi="Times New Roman" w:cs="Times New Roman"/>
          <w:lang w:eastAsia="sk-SK"/>
        </w:rPr>
      </w:pPr>
      <w:r w:rsidRPr="00D20DC1">
        <w:rPr>
          <w:rFonts w:ascii="Times New Roman" w:hAnsi="Times New Roman" w:cs="Times New Roman"/>
          <w:lang w:eastAsia="sk-SK"/>
        </w:rPr>
        <w:t> </w:t>
      </w:r>
    </w:p>
    <w:p w:rsidR="00CB350B" w:rsidRPr="00D20DC1" w:rsidP="00CB350B">
      <w:pPr>
        <w:bidi w:val="0"/>
        <w:ind w:firstLine="708"/>
        <w:jc w:val="both"/>
        <w:rPr>
          <w:rFonts w:ascii="Times New Roman" w:hAnsi="Times New Roman" w:cs="Times New Roman"/>
          <w:lang w:eastAsia="sk-SK"/>
        </w:rPr>
      </w:pPr>
      <w:r w:rsidRPr="00D20DC1">
        <w:rPr>
          <w:rFonts w:ascii="Times New Roman" w:hAnsi="Times New Roman" w:cs="Times New Roman"/>
          <w:lang w:eastAsia="sk-SK"/>
        </w:rPr>
        <w:t>Osobné výdavky</w:t>
      </w:r>
      <w:r>
        <w:rPr>
          <w:rFonts w:ascii="Times New Roman" w:hAnsi="Times New Roman" w:cs="Times New Roman"/>
          <w:lang w:eastAsia="sk-SK"/>
        </w:rPr>
        <w:t xml:space="preserve"> na rok 2012</w:t>
      </w:r>
      <w:r w:rsidRPr="00D20DC1">
        <w:rPr>
          <w:rFonts w:ascii="Times New Roman" w:hAnsi="Times New Roman" w:cs="Times New Roman"/>
          <w:lang w:eastAsia="sk-SK"/>
        </w:rPr>
        <w:t xml:space="preserve"> sa rozpočtujú</w:t>
      </w:r>
      <w:r>
        <w:rPr>
          <w:rFonts w:ascii="Times New Roman" w:hAnsi="Times New Roman" w:cs="Times New Roman"/>
          <w:lang w:eastAsia="sk-SK"/>
        </w:rPr>
        <w:t xml:space="preserve"> v sume 6,26 mil. eur, čo predstavuje oproti schválenému rozpočtu roku 2011 nárast o 7,29 %. </w:t>
      </w:r>
      <w:r w:rsidRPr="00D20DC1">
        <w:rPr>
          <w:rFonts w:ascii="Times New Roman" w:hAnsi="Times New Roman" w:cs="Times New Roman"/>
          <w:lang w:eastAsia="sk-SK"/>
        </w:rPr>
        <w:t xml:space="preserve">V porovnaní so schváleným rozpočtom na rok 2011 rozhodujúcou zmenou v rozpočte osobných výdavkov v roku 2012 je ich zvýšenie súvisiace so zákonom č. 120/1993 Z. z. Nárast osobných výdavkov ústavných činiteľov v roku 2012 zohľadňuje v kapitole štátneho rozpočtu dopočet platových náležitostí reálne vyplácaných v roku 2011 v zmysle zákona. </w:t>
      </w:r>
    </w:p>
    <w:p w:rsidR="00CB350B" w:rsidRPr="00D20DC1" w:rsidP="00CB350B">
      <w:pPr>
        <w:bidi w:val="0"/>
        <w:jc w:val="both"/>
        <w:rPr>
          <w:rFonts w:ascii="Times New Roman" w:hAnsi="Times New Roman" w:cs="Times New Roman"/>
          <w:lang w:eastAsia="sk-SK"/>
        </w:rPr>
      </w:pPr>
      <w:r w:rsidRPr="00D20DC1">
        <w:rPr>
          <w:rFonts w:ascii="Times New Roman" w:hAnsi="Times New Roman" w:cs="Times New Roman"/>
          <w:lang w:eastAsia="sk-SK"/>
        </w:rPr>
        <w:t> </w:t>
      </w:r>
    </w:p>
    <w:p w:rsidR="00CB350B" w:rsidRPr="00D20DC1" w:rsidP="00CB350B">
      <w:pPr>
        <w:bidi w:val="0"/>
        <w:ind w:firstLine="708"/>
        <w:jc w:val="both"/>
        <w:rPr>
          <w:rFonts w:ascii="Times New Roman" w:hAnsi="Times New Roman" w:cs="Times New Roman"/>
          <w:lang w:eastAsia="sk-SK"/>
        </w:rPr>
      </w:pPr>
      <w:r w:rsidRPr="00D20DC1">
        <w:rPr>
          <w:rFonts w:ascii="Times New Roman" w:hAnsi="Times New Roman" w:cs="Times New Roman"/>
          <w:lang w:eastAsia="sk-SK"/>
        </w:rPr>
        <w:t xml:space="preserve">Na tovary a služby sa na rok 2012 oproti schválenému rozpočtu roku 2011 rozpočtuje menej o 102 tis. eur, čo predstavuje pokles o 5 %. </w:t>
      </w:r>
    </w:p>
    <w:p w:rsidR="00CB350B" w:rsidRPr="00D20DC1" w:rsidP="00CB350B">
      <w:pPr>
        <w:bidi w:val="0"/>
        <w:jc w:val="both"/>
        <w:rPr>
          <w:rFonts w:ascii="Times New Roman" w:hAnsi="Times New Roman" w:cs="Times New Roman"/>
          <w:lang w:eastAsia="sk-SK"/>
        </w:rPr>
      </w:pPr>
      <w:r w:rsidRPr="00D20DC1">
        <w:rPr>
          <w:rFonts w:ascii="Times New Roman" w:hAnsi="Times New Roman" w:cs="Times New Roman"/>
          <w:lang w:eastAsia="sk-SK"/>
        </w:rPr>
        <w:t> </w:t>
      </w:r>
    </w:p>
    <w:p w:rsidR="00CB350B" w:rsidRPr="00D20DC1" w:rsidP="00CB350B">
      <w:pPr>
        <w:bidi w:val="0"/>
        <w:ind w:firstLine="708"/>
        <w:jc w:val="both"/>
        <w:rPr>
          <w:rFonts w:ascii="Times New Roman" w:hAnsi="Times New Roman" w:cs="Times New Roman"/>
          <w:lang w:eastAsia="sk-SK"/>
        </w:rPr>
      </w:pPr>
      <w:r w:rsidRPr="00D20DC1">
        <w:rPr>
          <w:rFonts w:ascii="Times New Roman" w:hAnsi="Times New Roman" w:cs="Times New Roman"/>
          <w:lang w:eastAsia="sk-SK"/>
        </w:rPr>
        <w:t xml:space="preserve">Bežné transfery a kapitálové výdavky sa rozpočtujú na úrovni schváleného rozpočtu roku 2011. </w:t>
      </w:r>
    </w:p>
    <w:p w:rsidR="00CB350B" w:rsidRPr="00D20DC1" w:rsidP="00CB350B">
      <w:pPr>
        <w:bidi w:val="0"/>
        <w:jc w:val="both"/>
        <w:rPr>
          <w:rFonts w:ascii="Times New Roman" w:hAnsi="Times New Roman" w:cs="Times New Roman"/>
          <w:lang w:eastAsia="sk-SK"/>
        </w:rPr>
      </w:pPr>
      <w:r w:rsidRPr="00D20DC1">
        <w:rPr>
          <w:rFonts w:ascii="Times New Roman" w:hAnsi="Times New Roman" w:cs="Times New Roman"/>
          <w:lang w:eastAsia="sk-SK"/>
        </w:rPr>
        <w:t> </w:t>
      </w:r>
    </w:p>
    <w:p w:rsidR="00CB350B" w:rsidRPr="00D20DC1" w:rsidP="00CB350B">
      <w:pPr>
        <w:bidi w:val="0"/>
        <w:ind w:firstLine="708"/>
        <w:jc w:val="both"/>
        <w:rPr>
          <w:rFonts w:ascii="Times New Roman" w:hAnsi="Times New Roman" w:cs="Times New Roman"/>
          <w:lang w:eastAsia="sk-SK"/>
        </w:rPr>
      </w:pPr>
      <w:r w:rsidRPr="00D20DC1">
        <w:rPr>
          <w:rFonts w:ascii="Times New Roman" w:hAnsi="Times New Roman" w:cs="Times New Roman"/>
          <w:lang w:eastAsia="sk-SK"/>
        </w:rPr>
        <w:t>Kapitálové výdavky sú v celom objeme rozpísané na investičnej akcii CSIRT.SK a rozpočtujú sa na úrovni schváleného rozpočtu roku 2011.</w:t>
      </w:r>
    </w:p>
    <w:p w:rsidR="00CB350B" w:rsidRPr="00D20DC1" w:rsidP="00CB350B">
      <w:pPr>
        <w:bidi w:val="0"/>
        <w:jc w:val="both"/>
        <w:rPr>
          <w:rFonts w:ascii="Times New Roman" w:hAnsi="Times New Roman" w:cs="Times New Roman"/>
          <w:lang w:eastAsia="sk-SK"/>
        </w:rPr>
      </w:pPr>
      <w:r w:rsidRPr="00D20DC1">
        <w:rPr>
          <w:rFonts w:ascii="Times New Roman" w:hAnsi="Times New Roman" w:cs="Times New Roman"/>
          <w:lang w:eastAsia="sk-SK"/>
        </w:rPr>
        <w:t> </w:t>
      </w:r>
    </w:p>
    <w:p w:rsidR="00CB350B" w:rsidRPr="00D20DC1" w:rsidP="00CB350B">
      <w:pPr>
        <w:bidi w:val="0"/>
        <w:ind w:firstLine="708"/>
        <w:jc w:val="both"/>
        <w:rPr>
          <w:rFonts w:ascii="Times New Roman" w:hAnsi="Times New Roman" w:cs="Times New Roman"/>
          <w:lang w:eastAsia="sk-SK"/>
        </w:rPr>
      </w:pPr>
      <w:r w:rsidRPr="00D20DC1">
        <w:rPr>
          <w:rFonts w:ascii="Times New Roman" w:hAnsi="Times New Roman" w:cs="Times New Roman"/>
          <w:lang w:eastAsia="sk-SK"/>
        </w:rPr>
        <w:t xml:space="preserve">Výdavky kapitoly zabezpečujú plnenie úloh na úseku ochrany utajovaných skutočností, bezpečnosti komunikačných a informačných systémov a elektronického podpisu. </w:t>
      </w:r>
    </w:p>
    <w:p w:rsidR="00CB350B" w:rsidRPr="00D20DC1" w:rsidP="00CB350B">
      <w:pPr>
        <w:bidi w:val="0"/>
        <w:jc w:val="both"/>
        <w:rPr>
          <w:rFonts w:ascii="Times New Roman" w:hAnsi="Times New Roman" w:cs="Times New Roman"/>
          <w:lang w:eastAsia="sk-SK"/>
        </w:rPr>
      </w:pPr>
      <w:r w:rsidRPr="00D20DC1">
        <w:rPr>
          <w:rFonts w:ascii="Times New Roman" w:hAnsi="Times New Roman" w:cs="Times New Roman"/>
          <w:lang w:eastAsia="sk-SK"/>
        </w:rPr>
        <w:t> </w:t>
      </w:r>
    </w:p>
    <w:tbl>
      <w:tblPr>
        <w:tblStyle w:val="TableNormal"/>
        <w:tblW w:w="9228" w:type="dxa"/>
        <w:tblCellMar>
          <w:left w:w="0" w:type="dxa"/>
          <w:right w:w="0" w:type="dxa"/>
        </w:tblCellMar>
        <w:tblLook w:val="04A0"/>
      </w:tblPr>
      <w:tblGrid>
        <w:gridCol w:w="2849"/>
        <w:gridCol w:w="911"/>
        <w:gridCol w:w="911"/>
        <w:gridCol w:w="911"/>
        <w:gridCol w:w="912"/>
        <w:gridCol w:w="911"/>
        <w:gridCol w:w="911"/>
        <w:gridCol w:w="912"/>
      </w:tblGrid>
      <w:tr>
        <w:tblPrEx>
          <w:tblW w:w="9228" w:type="dxa"/>
          <w:tblCellMar>
            <w:left w:w="0" w:type="dxa"/>
            <w:right w:w="0" w:type="dxa"/>
          </w:tblCellMar>
          <w:tblLook w:val="04A0"/>
        </w:tblPrEx>
        <w:trPr>
          <w:trHeight w:val="261"/>
        </w:trPr>
        <w:tc>
          <w:tcPr>
            <w:tcW w:w="2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rPr>
                <w:rFonts w:ascii="Times New Roman" w:hAnsi="Times New Roman" w:cs="Times New Roman"/>
                <w:lang w:eastAsia="sk-SK"/>
              </w:rPr>
            </w:pPr>
            <w:r w:rsidRPr="00D20DC1">
              <w:rPr>
                <w:rFonts w:ascii="Times New Roman" w:hAnsi="Times New Roman" w:cs="Times New Roman"/>
                <w:b/>
                <w:bCs/>
                <w:color w:val="000000"/>
                <w:sz w:val="14"/>
                <w:szCs w:val="14"/>
                <w:lang w:eastAsia="sk-SK"/>
              </w:rPr>
              <w:t>v eurách</w:t>
            </w:r>
          </w:p>
        </w:tc>
        <w:tc>
          <w:tcPr>
            <w:tcW w:w="91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center"/>
              <w:rPr>
                <w:rFonts w:ascii="Times New Roman" w:hAnsi="Times New Roman" w:cs="Times New Roman"/>
                <w:lang w:eastAsia="sk-SK"/>
              </w:rPr>
            </w:pPr>
            <w:r w:rsidRPr="00D20DC1">
              <w:rPr>
                <w:rFonts w:ascii="Times New Roman" w:hAnsi="Times New Roman" w:cs="Times New Roman"/>
                <w:b/>
                <w:bCs/>
                <w:color w:val="000000"/>
                <w:sz w:val="14"/>
                <w:szCs w:val="14"/>
                <w:lang w:eastAsia="sk-SK"/>
              </w:rPr>
              <w:t>2009 S</w:t>
            </w:r>
          </w:p>
        </w:tc>
        <w:tc>
          <w:tcPr>
            <w:tcW w:w="91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center"/>
              <w:rPr>
                <w:rFonts w:ascii="Times New Roman" w:hAnsi="Times New Roman" w:cs="Times New Roman"/>
                <w:lang w:eastAsia="sk-SK"/>
              </w:rPr>
            </w:pPr>
            <w:r w:rsidRPr="00D20DC1">
              <w:rPr>
                <w:rFonts w:ascii="Times New Roman" w:hAnsi="Times New Roman" w:cs="Times New Roman"/>
                <w:b/>
                <w:bCs/>
                <w:color w:val="000000"/>
                <w:sz w:val="14"/>
                <w:szCs w:val="14"/>
                <w:lang w:eastAsia="sk-SK"/>
              </w:rPr>
              <w:t>2010 S</w:t>
            </w:r>
          </w:p>
        </w:tc>
        <w:tc>
          <w:tcPr>
            <w:tcW w:w="91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center"/>
              <w:rPr>
                <w:rFonts w:ascii="Times New Roman" w:hAnsi="Times New Roman" w:cs="Times New Roman"/>
                <w:lang w:eastAsia="sk-SK"/>
              </w:rPr>
            </w:pPr>
            <w:r w:rsidRPr="00D20DC1">
              <w:rPr>
                <w:rFonts w:ascii="Times New Roman" w:hAnsi="Times New Roman" w:cs="Times New Roman"/>
                <w:b/>
                <w:bCs/>
                <w:color w:val="000000"/>
                <w:sz w:val="14"/>
                <w:szCs w:val="14"/>
                <w:lang w:eastAsia="sk-SK"/>
              </w:rPr>
              <w:t>2011 R</w:t>
            </w:r>
          </w:p>
        </w:tc>
        <w:tc>
          <w:tcPr>
            <w:tcW w:w="91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center"/>
              <w:rPr>
                <w:rFonts w:ascii="Times New Roman" w:hAnsi="Times New Roman" w:cs="Times New Roman"/>
                <w:lang w:eastAsia="sk-SK"/>
              </w:rPr>
            </w:pPr>
            <w:r w:rsidRPr="00D20DC1">
              <w:rPr>
                <w:rFonts w:ascii="Times New Roman" w:hAnsi="Times New Roman" w:cs="Times New Roman"/>
                <w:b/>
                <w:bCs/>
                <w:color w:val="000000"/>
                <w:sz w:val="14"/>
                <w:szCs w:val="14"/>
                <w:lang w:eastAsia="sk-SK"/>
              </w:rPr>
              <w:t>2011 OS</w:t>
            </w:r>
          </w:p>
        </w:tc>
        <w:tc>
          <w:tcPr>
            <w:tcW w:w="91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center"/>
              <w:rPr>
                <w:rFonts w:ascii="Times New Roman" w:hAnsi="Times New Roman" w:cs="Times New Roman"/>
                <w:lang w:eastAsia="sk-SK"/>
              </w:rPr>
            </w:pPr>
            <w:r w:rsidRPr="00D20DC1">
              <w:rPr>
                <w:rFonts w:ascii="Times New Roman" w:hAnsi="Times New Roman" w:cs="Times New Roman"/>
                <w:b/>
                <w:bCs/>
                <w:color w:val="000000"/>
                <w:sz w:val="14"/>
                <w:szCs w:val="14"/>
                <w:lang w:eastAsia="sk-SK"/>
              </w:rPr>
              <w:t>2012 N</w:t>
            </w:r>
          </w:p>
        </w:tc>
        <w:tc>
          <w:tcPr>
            <w:tcW w:w="91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center"/>
              <w:rPr>
                <w:rFonts w:ascii="Times New Roman" w:hAnsi="Times New Roman" w:cs="Times New Roman"/>
                <w:lang w:eastAsia="sk-SK"/>
              </w:rPr>
            </w:pPr>
            <w:r w:rsidRPr="00D20DC1">
              <w:rPr>
                <w:rFonts w:ascii="Times New Roman" w:hAnsi="Times New Roman" w:cs="Times New Roman"/>
                <w:b/>
                <w:bCs/>
                <w:color w:val="000000"/>
                <w:sz w:val="14"/>
                <w:szCs w:val="14"/>
                <w:lang w:eastAsia="sk-SK"/>
              </w:rPr>
              <w:t>2013 N</w:t>
            </w:r>
          </w:p>
        </w:tc>
        <w:tc>
          <w:tcPr>
            <w:tcW w:w="91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center"/>
              <w:rPr>
                <w:rFonts w:ascii="Times New Roman" w:hAnsi="Times New Roman" w:cs="Times New Roman"/>
                <w:lang w:eastAsia="sk-SK"/>
              </w:rPr>
            </w:pPr>
            <w:r w:rsidRPr="00D20DC1">
              <w:rPr>
                <w:rFonts w:ascii="Times New Roman" w:hAnsi="Times New Roman" w:cs="Times New Roman"/>
                <w:b/>
                <w:bCs/>
                <w:color w:val="000000"/>
                <w:sz w:val="14"/>
                <w:szCs w:val="14"/>
                <w:lang w:eastAsia="sk-SK"/>
              </w:rPr>
              <w:t>2014 N</w:t>
            </w:r>
          </w:p>
        </w:tc>
      </w:tr>
      <w:tr>
        <w:tblPrEx>
          <w:tblW w:w="9228" w:type="dxa"/>
          <w:tblCellMar>
            <w:left w:w="0" w:type="dxa"/>
            <w:right w:w="0" w:type="dxa"/>
          </w:tblCellMar>
          <w:tblLook w:val="04A0"/>
        </w:tblPrEx>
        <w:trPr>
          <w:trHeight w:val="261"/>
        </w:trPr>
        <w:tc>
          <w:tcPr>
            <w:tcW w:w="2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rPr>
                <w:rFonts w:ascii="Times New Roman" w:hAnsi="Times New Roman" w:cs="Times New Roman"/>
                <w:lang w:eastAsia="sk-SK"/>
              </w:rPr>
            </w:pPr>
            <w:r w:rsidRPr="00D20DC1">
              <w:rPr>
                <w:rFonts w:ascii="Times New Roman" w:hAnsi="Times New Roman" w:cs="Times New Roman"/>
                <w:b/>
                <w:bCs/>
                <w:color w:val="000000"/>
                <w:sz w:val="14"/>
                <w:szCs w:val="14"/>
                <w:lang w:eastAsia="sk-SK"/>
              </w:rPr>
              <w:t>Bezpečnosť informácií</w:t>
            </w:r>
          </w:p>
        </w:tc>
        <w:tc>
          <w:tcPr>
            <w:tcW w:w="91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b/>
                <w:bCs/>
                <w:sz w:val="14"/>
                <w:szCs w:val="14"/>
                <w:lang w:eastAsia="sk-SK"/>
              </w:rPr>
              <w:t>8 690 038</w:t>
            </w:r>
          </w:p>
        </w:tc>
        <w:tc>
          <w:tcPr>
            <w:tcW w:w="91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b/>
                <w:bCs/>
                <w:sz w:val="14"/>
                <w:szCs w:val="14"/>
                <w:lang w:eastAsia="sk-SK"/>
              </w:rPr>
              <w:t>8 528 649</w:t>
            </w:r>
          </w:p>
        </w:tc>
        <w:tc>
          <w:tcPr>
            <w:tcW w:w="91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b/>
                <w:bCs/>
                <w:sz w:val="14"/>
                <w:szCs w:val="14"/>
                <w:lang w:eastAsia="sk-SK"/>
              </w:rPr>
              <w:t>7 989 756</w:t>
            </w:r>
          </w:p>
        </w:tc>
        <w:tc>
          <w:tcPr>
            <w:tcW w:w="91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b/>
                <w:bCs/>
                <w:sz w:val="14"/>
                <w:szCs w:val="14"/>
                <w:lang w:eastAsia="sk-SK"/>
              </w:rPr>
              <w:t>7 989 756</w:t>
            </w:r>
          </w:p>
        </w:tc>
        <w:tc>
          <w:tcPr>
            <w:tcW w:w="91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170185" w:rsidP="00257E12">
            <w:pPr>
              <w:pStyle w:val="NoSpacing"/>
              <w:bidi w:val="0"/>
              <w:jc w:val="right"/>
              <w:rPr>
                <w:rFonts w:ascii="Times New Roman" w:hAnsi="Times New Roman" w:cs="Times New Roman"/>
                <w:b/>
                <w:sz w:val="14"/>
                <w:szCs w:val="14"/>
              </w:rPr>
            </w:pPr>
            <w:r w:rsidRPr="00170185">
              <w:rPr>
                <w:rFonts w:ascii="Times New Roman" w:hAnsi="Times New Roman" w:cs="Times New Roman"/>
                <w:b/>
                <w:sz w:val="14"/>
                <w:szCs w:val="14"/>
              </w:rPr>
              <w:t>8 312 733</w:t>
            </w:r>
          </w:p>
        </w:tc>
        <w:tc>
          <w:tcPr>
            <w:tcW w:w="91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170185" w:rsidP="00257E12">
            <w:pPr>
              <w:pStyle w:val="NoSpacing"/>
              <w:bidi w:val="0"/>
              <w:jc w:val="right"/>
              <w:rPr>
                <w:rFonts w:ascii="Times New Roman" w:hAnsi="Times New Roman" w:cs="Times New Roman"/>
                <w:b/>
                <w:sz w:val="14"/>
                <w:szCs w:val="14"/>
              </w:rPr>
            </w:pPr>
            <w:r w:rsidRPr="00170185">
              <w:rPr>
                <w:rFonts w:ascii="Times New Roman" w:hAnsi="Times New Roman" w:cs="Times New Roman"/>
                <w:b/>
                <w:sz w:val="14"/>
                <w:szCs w:val="14"/>
              </w:rPr>
              <w:t>8 321 940</w:t>
            </w:r>
          </w:p>
        </w:tc>
        <w:tc>
          <w:tcPr>
            <w:tcW w:w="91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170185" w:rsidP="00257E12">
            <w:pPr>
              <w:pStyle w:val="NoSpacing"/>
              <w:bidi w:val="0"/>
              <w:jc w:val="right"/>
              <w:rPr>
                <w:rFonts w:ascii="Times New Roman" w:hAnsi="Times New Roman" w:cs="Times New Roman"/>
                <w:b/>
                <w:sz w:val="14"/>
                <w:szCs w:val="14"/>
              </w:rPr>
            </w:pPr>
            <w:r w:rsidRPr="00170185">
              <w:rPr>
                <w:rFonts w:ascii="Times New Roman" w:hAnsi="Times New Roman" w:cs="Times New Roman"/>
                <w:b/>
                <w:sz w:val="14"/>
                <w:szCs w:val="14"/>
              </w:rPr>
              <w:t>8 324 842</w:t>
            </w:r>
          </w:p>
        </w:tc>
      </w:tr>
      <w:tr>
        <w:tblPrEx>
          <w:tblW w:w="9228" w:type="dxa"/>
          <w:tblCellMar>
            <w:left w:w="0" w:type="dxa"/>
            <w:right w:w="0" w:type="dxa"/>
          </w:tblCellMar>
          <w:tblLook w:val="04A0"/>
        </w:tblPrEx>
        <w:trPr>
          <w:trHeight w:val="261"/>
        </w:trPr>
        <w:tc>
          <w:tcPr>
            <w:tcW w:w="2849"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rPr>
                <w:rFonts w:ascii="Times New Roman" w:hAnsi="Times New Roman" w:cs="Times New Roman"/>
                <w:lang w:eastAsia="sk-SK"/>
              </w:rPr>
            </w:pPr>
            <w:r w:rsidRPr="00D20DC1">
              <w:rPr>
                <w:rFonts w:ascii="Times New Roman" w:hAnsi="Times New Roman" w:cs="Times New Roman"/>
                <w:color w:val="000000"/>
                <w:sz w:val="14"/>
                <w:szCs w:val="14"/>
                <w:lang w:eastAsia="sk-SK"/>
              </w:rPr>
              <w:t>Riadenie a podpora programov</w:t>
            </w:r>
          </w:p>
        </w:tc>
        <w:tc>
          <w:tcPr>
            <w:tcW w:w="91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4 049 034</w:t>
            </w:r>
          </w:p>
        </w:tc>
        <w:tc>
          <w:tcPr>
            <w:tcW w:w="91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3 720 467</w:t>
            </w:r>
          </w:p>
        </w:tc>
        <w:tc>
          <w:tcPr>
            <w:tcW w:w="91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3 734 713</w:t>
            </w:r>
          </w:p>
        </w:tc>
        <w:tc>
          <w:tcPr>
            <w:tcW w:w="91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3 734 713</w:t>
            </w:r>
          </w:p>
        </w:tc>
        <w:tc>
          <w:tcPr>
            <w:tcW w:w="91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1529A7" w:rsidP="00257E12">
            <w:pPr>
              <w:pStyle w:val="NoSpacing"/>
              <w:bidi w:val="0"/>
              <w:jc w:val="right"/>
              <w:rPr>
                <w:rFonts w:ascii="Times New Roman" w:hAnsi="Times New Roman" w:cs="Times New Roman"/>
                <w:sz w:val="14"/>
                <w:szCs w:val="14"/>
              </w:rPr>
            </w:pPr>
            <w:r w:rsidRPr="001529A7">
              <w:rPr>
                <w:rFonts w:ascii="Times New Roman" w:hAnsi="Times New Roman" w:cs="Times New Roman"/>
                <w:sz w:val="14"/>
                <w:szCs w:val="14"/>
              </w:rPr>
              <w:t>4 184 805</w:t>
            </w:r>
          </w:p>
        </w:tc>
        <w:tc>
          <w:tcPr>
            <w:tcW w:w="91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1529A7" w:rsidP="00257E12">
            <w:pPr>
              <w:pStyle w:val="NoSpacing"/>
              <w:bidi w:val="0"/>
              <w:jc w:val="right"/>
              <w:rPr>
                <w:rFonts w:ascii="Times New Roman" w:hAnsi="Times New Roman" w:cs="Times New Roman"/>
                <w:sz w:val="14"/>
                <w:szCs w:val="14"/>
              </w:rPr>
            </w:pPr>
            <w:r w:rsidRPr="001529A7">
              <w:rPr>
                <w:rFonts w:ascii="Times New Roman" w:hAnsi="Times New Roman" w:cs="Times New Roman"/>
                <w:sz w:val="14"/>
                <w:szCs w:val="14"/>
              </w:rPr>
              <w:t>4 216 812</w:t>
            </w:r>
          </w:p>
        </w:tc>
        <w:tc>
          <w:tcPr>
            <w:tcW w:w="91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1529A7" w:rsidP="00257E12">
            <w:pPr>
              <w:pStyle w:val="NoSpacing"/>
              <w:bidi w:val="0"/>
              <w:jc w:val="right"/>
              <w:rPr>
                <w:rFonts w:ascii="Times New Roman" w:hAnsi="Times New Roman" w:cs="Times New Roman"/>
                <w:sz w:val="14"/>
                <w:szCs w:val="14"/>
              </w:rPr>
            </w:pPr>
            <w:r w:rsidRPr="001529A7">
              <w:rPr>
                <w:rFonts w:ascii="Times New Roman" w:hAnsi="Times New Roman" w:cs="Times New Roman"/>
                <w:sz w:val="14"/>
                <w:szCs w:val="14"/>
              </w:rPr>
              <w:t>4 219 714</w:t>
            </w:r>
          </w:p>
        </w:tc>
      </w:tr>
      <w:tr>
        <w:tblPrEx>
          <w:tblW w:w="9228" w:type="dxa"/>
          <w:tblCellMar>
            <w:left w:w="0" w:type="dxa"/>
            <w:right w:w="0" w:type="dxa"/>
          </w:tblCellMar>
          <w:tblLook w:val="04A0"/>
        </w:tblPrEx>
        <w:trPr>
          <w:trHeight w:val="261"/>
        </w:trPr>
        <w:tc>
          <w:tcPr>
            <w:tcW w:w="2849"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rPr>
                <w:rFonts w:ascii="Times New Roman" w:hAnsi="Times New Roman" w:cs="Times New Roman"/>
                <w:lang w:eastAsia="sk-SK"/>
              </w:rPr>
            </w:pPr>
            <w:r w:rsidRPr="00D20DC1">
              <w:rPr>
                <w:rFonts w:ascii="Times New Roman" w:hAnsi="Times New Roman" w:cs="Times New Roman"/>
                <w:color w:val="000000"/>
                <w:sz w:val="14"/>
                <w:szCs w:val="14"/>
                <w:lang w:eastAsia="sk-SK"/>
              </w:rPr>
              <w:t>Ochrana utajovaných skutočností</w:t>
            </w:r>
          </w:p>
        </w:tc>
        <w:tc>
          <w:tcPr>
            <w:tcW w:w="91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1 702 536</w:t>
            </w:r>
          </w:p>
        </w:tc>
        <w:tc>
          <w:tcPr>
            <w:tcW w:w="91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1 808 834</w:t>
            </w:r>
          </w:p>
        </w:tc>
        <w:tc>
          <w:tcPr>
            <w:tcW w:w="91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1 693 974</w:t>
            </w:r>
          </w:p>
        </w:tc>
        <w:tc>
          <w:tcPr>
            <w:tcW w:w="91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1 693 974</w:t>
            </w:r>
          </w:p>
        </w:tc>
        <w:tc>
          <w:tcPr>
            <w:tcW w:w="91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1529A7" w:rsidP="00257E12">
            <w:pPr>
              <w:pStyle w:val="NoSpacing"/>
              <w:bidi w:val="0"/>
              <w:jc w:val="right"/>
              <w:rPr>
                <w:rFonts w:ascii="Times New Roman" w:hAnsi="Times New Roman" w:cs="Times New Roman"/>
                <w:sz w:val="14"/>
                <w:szCs w:val="14"/>
              </w:rPr>
            </w:pPr>
            <w:r w:rsidRPr="001529A7">
              <w:rPr>
                <w:rFonts w:ascii="Times New Roman" w:hAnsi="Times New Roman" w:cs="Times New Roman"/>
                <w:sz w:val="14"/>
                <w:szCs w:val="14"/>
              </w:rPr>
              <w:t>1 704 923</w:t>
            </w:r>
          </w:p>
        </w:tc>
        <w:tc>
          <w:tcPr>
            <w:tcW w:w="91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1529A7" w:rsidP="00257E12">
            <w:pPr>
              <w:pStyle w:val="NoSpacing"/>
              <w:bidi w:val="0"/>
              <w:jc w:val="right"/>
              <w:rPr>
                <w:rFonts w:ascii="Times New Roman" w:hAnsi="Times New Roman" w:cs="Times New Roman"/>
                <w:sz w:val="14"/>
                <w:szCs w:val="14"/>
              </w:rPr>
            </w:pPr>
            <w:r w:rsidRPr="001529A7">
              <w:rPr>
                <w:rFonts w:ascii="Times New Roman" w:hAnsi="Times New Roman" w:cs="Times New Roman"/>
                <w:sz w:val="14"/>
                <w:szCs w:val="14"/>
              </w:rPr>
              <w:t>1 682 123</w:t>
            </w:r>
          </w:p>
        </w:tc>
        <w:tc>
          <w:tcPr>
            <w:tcW w:w="91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1529A7" w:rsidP="00257E12">
            <w:pPr>
              <w:pStyle w:val="NoSpacing"/>
              <w:bidi w:val="0"/>
              <w:jc w:val="right"/>
              <w:rPr>
                <w:rFonts w:ascii="Times New Roman" w:hAnsi="Times New Roman" w:cs="Times New Roman"/>
                <w:sz w:val="14"/>
                <w:szCs w:val="14"/>
              </w:rPr>
            </w:pPr>
            <w:r w:rsidRPr="001529A7">
              <w:rPr>
                <w:rFonts w:ascii="Times New Roman" w:hAnsi="Times New Roman" w:cs="Times New Roman"/>
                <w:sz w:val="14"/>
                <w:szCs w:val="14"/>
              </w:rPr>
              <w:t>1 682 123</w:t>
            </w:r>
          </w:p>
        </w:tc>
      </w:tr>
      <w:tr>
        <w:tblPrEx>
          <w:tblW w:w="9228" w:type="dxa"/>
          <w:tblCellMar>
            <w:left w:w="0" w:type="dxa"/>
            <w:right w:w="0" w:type="dxa"/>
          </w:tblCellMar>
          <w:tblLook w:val="04A0"/>
        </w:tblPrEx>
        <w:trPr>
          <w:trHeight w:val="261"/>
        </w:trPr>
        <w:tc>
          <w:tcPr>
            <w:tcW w:w="2849"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rPr>
                <w:rFonts w:ascii="Times New Roman" w:hAnsi="Times New Roman" w:cs="Times New Roman"/>
                <w:lang w:eastAsia="sk-SK"/>
              </w:rPr>
            </w:pPr>
            <w:r w:rsidRPr="00D20DC1">
              <w:rPr>
                <w:rFonts w:ascii="Times New Roman" w:hAnsi="Times New Roman" w:cs="Times New Roman"/>
                <w:color w:val="000000"/>
                <w:sz w:val="14"/>
                <w:szCs w:val="14"/>
                <w:lang w:eastAsia="sk-SK"/>
              </w:rPr>
              <w:t>Bezpečnosť kom. a informačných systémov</w:t>
            </w:r>
          </w:p>
        </w:tc>
        <w:tc>
          <w:tcPr>
            <w:tcW w:w="91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1 814 927</w:t>
            </w:r>
          </w:p>
        </w:tc>
        <w:tc>
          <w:tcPr>
            <w:tcW w:w="91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1 967 192</w:t>
            </w:r>
          </w:p>
        </w:tc>
        <w:tc>
          <w:tcPr>
            <w:tcW w:w="91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1 671 546</w:t>
            </w:r>
          </w:p>
        </w:tc>
        <w:tc>
          <w:tcPr>
            <w:tcW w:w="91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1 671 546</w:t>
            </w:r>
          </w:p>
        </w:tc>
        <w:tc>
          <w:tcPr>
            <w:tcW w:w="91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1529A7" w:rsidP="00257E12">
            <w:pPr>
              <w:pStyle w:val="NoSpacing"/>
              <w:bidi w:val="0"/>
              <w:jc w:val="right"/>
              <w:rPr>
                <w:rFonts w:ascii="Times New Roman" w:hAnsi="Times New Roman" w:cs="Times New Roman"/>
                <w:sz w:val="14"/>
                <w:szCs w:val="14"/>
              </w:rPr>
            </w:pPr>
            <w:r w:rsidRPr="001529A7">
              <w:rPr>
                <w:rFonts w:ascii="Times New Roman" w:hAnsi="Times New Roman" w:cs="Times New Roman"/>
                <w:sz w:val="14"/>
                <w:szCs w:val="14"/>
              </w:rPr>
              <w:t>1 510 668</w:t>
            </w:r>
          </w:p>
        </w:tc>
        <w:tc>
          <w:tcPr>
            <w:tcW w:w="91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1529A7" w:rsidP="00257E12">
            <w:pPr>
              <w:pStyle w:val="NoSpacing"/>
              <w:bidi w:val="0"/>
              <w:jc w:val="right"/>
              <w:rPr>
                <w:rFonts w:ascii="Times New Roman" w:hAnsi="Times New Roman" w:cs="Times New Roman"/>
                <w:sz w:val="14"/>
                <w:szCs w:val="14"/>
              </w:rPr>
            </w:pPr>
            <w:r w:rsidRPr="001529A7">
              <w:rPr>
                <w:rFonts w:ascii="Times New Roman" w:hAnsi="Times New Roman" w:cs="Times New Roman"/>
                <w:sz w:val="14"/>
                <w:szCs w:val="14"/>
              </w:rPr>
              <w:t>1 510 668</w:t>
            </w:r>
          </w:p>
        </w:tc>
        <w:tc>
          <w:tcPr>
            <w:tcW w:w="91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1529A7" w:rsidP="00257E12">
            <w:pPr>
              <w:pStyle w:val="NoSpacing"/>
              <w:bidi w:val="0"/>
              <w:jc w:val="right"/>
              <w:rPr>
                <w:rFonts w:ascii="Times New Roman" w:hAnsi="Times New Roman" w:cs="Times New Roman"/>
                <w:sz w:val="14"/>
                <w:szCs w:val="14"/>
              </w:rPr>
            </w:pPr>
            <w:r w:rsidRPr="001529A7">
              <w:rPr>
                <w:rFonts w:ascii="Times New Roman" w:hAnsi="Times New Roman" w:cs="Times New Roman"/>
                <w:sz w:val="14"/>
                <w:szCs w:val="14"/>
              </w:rPr>
              <w:t>1 510 668</w:t>
            </w:r>
          </w:p>
        </w:tc>
      </w:tr>
      <w:tr>
        <w:tblPrEx>
          <w:tblW w:w="9228" w:type="dxa"/>
          <w:tblCellMar>
            <w:left w:w="0" w:type="dxa"/>
            <w:right w:w="0" w:type="dxa"/>
          </w:tblCellMar>
          <w:tblLook w:val="04A0"/>
        </w:tblPrEx>
        <w:trPr>
          <w:trHeight w:val="261"/>
        </w:trPr>
        <w:tc>
          <w:tcPr>
            <w:tcW w:w="2849"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rPr>
                <w:rFonts w:ascii="Times New Roman" w:hAnsi="Times New Roman" w:cs="Times New Roman"/>
                <w:lang w:eastAsia="sk-SK"/>
              </w:rPr>
            </w:pPr>
            <w:r w:rsidRPr="00D20DC1">
              <w:rPr>
                <w:rFonts w:ascii="Times New Roman" w:hAnsi="Times New Roman" w:cs="Times New Roman"/>
                <w:color w:val="000000"/>
                <w:sz w:val="14"/>
                <w:szCs w:val="14"/>
                <w:lang w:eastAsia="sk-SK"/>
              </w:rPr>
              <w:t>Elektronický podpis</w:t>
            </w:r>
          </w:p>
        </w:tc>
        <w:tc>
          <w:tcPr>
            <w:tcW w:w="91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1 123 541</w:t>
            </w:r>
          </w:p>
        </w:tc>
        <w:tc>
          <w:tcPr>
            <w:tcW w:w="91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1 032 155</w:t>
            </w:r>
          </w:p>
        </w:tc>
        <w:tc>
          <w:tcPr>
            <w:tcW w:w="91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889 523</w:t>
            </w:r>
          </w:p>
        </w:tc>
        <w:tc>
          <w:tcPr>
            <w:tcW w:w="91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D20DC1" w:rsidP="00257E12">
            <w:pPr>
              <w:bidi w:val="0"/>
              <w:jc w:val="right"/>
              <w:rPr>
                <w:rFonts w:ascii="Times New Roman" w:hAnsi="Times New Roman" w:cs="Times New Roman"/>
                <w:lang w:eastAsia="sk-SK"/>
              </w:rPr>
            </w:pPr>
            <w:r w:rsidRPr="00D20DC1">
              <w:rPr>
                <w:rFonts w:ascii="Times New Roman" w:hAnsi="Times New Roman" w:cs="Times New Roman"/>
                <w:color w:val="000000"/>
                <w:sz w:val="14"/>
                <w:szCs w:val="14"/>
                <w:lang w:eastAsia="sk-SK"/>
              </w:rPr>
              <w:t>889 523</w:t>
            </w:r>
          </w:p>
        </w:tc>
        <w:tc>
          <w:tcPr>
            <w:tcW w:w="91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1529A7" w:rsidP="00257E12">
            <w:pPr>
              <w:pStyle w:val="NoSpacing"/>
              <w:bidi w:val="0"/>
              <w:jc w:val="right"/>
              <w:rPr>
                <w:rFonts w:ascii="Times New Roman" w:hAnsi="Times New Roman" w:cs="Times New Roman"/>
                <w:sz w:val="14"/>
                <w:szCs w:val="14"/>
              </w:rPr>
            </w:pPr>
            <w:r w:rsidRPr="001529A7">
              <w:rPr>
                <w:rFonts w:ascii="Times New Roman" w:hAnsi="Times New Roman" w:cs="Times New Roman"/>
                <w:sz w:val="14"/>
                <w:szCs w:val="14"/>
              </w:rPr>
              <w:t>912 337</w:t>
            </w:r>
          </w:p>
        </w:tc>
        <w:tc>
          <w:tcPr>
            <w:tcW w:w="91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1529A7" w:rsidP="00257E12">
            <w:pPr>
              <w:pStyle w:val="NoSpacing"/>
              <w:bidi w:val="0"/>
              <w:jc w:val="right"/>
              <w:rPr>
                <w:rFonts w:ascii="Times New Roman" w:hAnsi="Times New Roman" w:cs="Times New Roman"/>
                <w:sz w:val="14"/>
                <w:szCs w:val="14"/>
              </w:rPr>
            </w:pPr>
            <w:r w:rsidRPr="001529A7">
              <w:rPr>
                <w:rFonts w:ascii="Times New Roman" w:hAnsi="Times New Roman" w:cs="Times New Roman"/>
                <w:sz w:val="14"/>
                <w:szCs w:val="14"/>
              </w:rPr>
              <w:t>912 337</w:t>
            </w:r>
          </w:p>
        </w:tc>
        <w:tc>
          <w:tcPr>
            <w:tcW w:w="91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1529A7" w:rsidP="00257E12">
            <w:pPr>
              <w:pStyle w:val="NoSpacing"/>
              <w:bidi w:val="0"/>
              <w:jc w:val="right"/>
              <w:rPr>
                <w:rFonts w:ascii="Times New Roman" w:hAnsi="Times New Roman" w:cs="Times New Roman"/>
                <w:sz w:val="14"/>
                <w:szCs w:val="14"/>
              </w:rPr>
            </w:pPr>
            <w:r w:rsidRPr="001529A7">
              <w:rPr>
                <w:rFonts w:ascii="Times New Roman" w:hAnsi="Times New Roman" w:cs="Times New Roman"/>
                <w:sz w:val="14"/>
                <w:szCs w:val="14"/>
              </w:rPr>
              <w:t>912 337</w:t>
            </w:r>
          </w:p>
        </w:tc>
      </w:tr>
    </w:tbl>
    <w:p w:rsidR="00CB350B" w:rsidRPr="00F43064" w:rsidP="00CB350B">
      <w:pPr>
        <w:bidi w:val="0"/>
        <w:jc w:val="both"/>
        <w:rPr>
          <w:rFonts w:ascii="Times New Roman" w:hAnsi="Times New Roman" w:cs="Times New Roman"/>
          <w:lang w:eastAsia="sk-SK"/>
        </w:rPr>
      </w:pPr>
      <w:r w:rsidRPr="00F43064">
        <w:rPr>
          <w:rFonts w:ascii="Times New Roman" w:hAnsi="Times New Roman" w:cs="Times New Roman"/>
          <w:lang w:eastAsia="sk-SK"/>
        </w:rPr>
        <w:t>  </w:t>
      </w:r>
    </w:p>
    <w:p w:rsidR="00CB350B" w:rsidRPr="00E01B24" w:rsidP="00CB350B">
      <w:pPr>
        <w:pBdr>
          <w:bottom w:val="single" w:sz="4" w:space="1" w:color="000000"/>
        </w:pBdr>
        <w:bidi w:val="0"/>
        <w:jc w:val="both"/>
        <w:rPr>
          <w:rFonts w:ascii="Times New Roman" w:hAnsi="Times New Roman" w:cs="Times New Roman"/>
          <w:lang w:eastAsia="sk-SK"/>
        </w:rPr>
      </w:pPr>
      <w:r w:rsidRPr="00E01B24">
        <w:rPr>
          <w:rFonts w:ascii="Times New Roman" w:hAnsi="Times New Roman" w:cs="Times New Roman"/>
          <w:b/>
          <w:bCs/>
          <w:lang w:eastAsia="sk-SK"/>
        </w:rPr>
        <w:t>Správa štátnych hmotných rezerv SR</w:t>
      </w:r>
    </w:p>
    <w:p w:rsidR="00CB350B" w:rsidRPr="00E01B24" w:rsidP="00CB350B">
      <w:pPr>
        <w:bidi w:val="0"/>
        <w:rPr>
          <w:rFonts w:ascii="Times New Roman" w:hAnsi="Times New Roman" w:cs="Times New Roman"/>
          <w:lang w:eastAsia="sk-SK"/>
        </w:rPr>
      </w:pPr>
      <w:r w:rsidRPr="00E01B24">
        <w:rPr>
          <w:rFonts w:ascii="Times New Roman" w:hAnsi="Times New Roman" w:cs="Times New Roman"/>
          <w:lang w:eastAsia="sk-SK"/>
        </w:rPr>
        <w:t> </w:t>
      </w:r>
    </w:p>
    <w:tbl>
      <w:tblPr>
        <w:tblStyle w:val="TableNormal"/>
        <w:tblW w:w="9229" w:type="dxa"/>
        <w:tblCellMar>
          <w:left w:w="0" w:type="dxa"/>
          <w:right w:w="0" w:type="dxa"/>
        </w:tblCellMar>
        <w:tblLook w:val="04A0"/>
      </w:tblPr>
      <w:tblGrid>
        <w:gridCol w:w="2425"/>
        <w:gridCol w:w="972"/>
        <w:gridCol w:w="972"/>
        <w:gridCol w:w="972"/>
        <w:gridCol w:w="972"/>
        <w:gridCol w:w="972"/>
        <w:gridCol w:w="972"/>
        <w:gridCol w:w="972"/>
      </w:tblGrid>
      <w:tr>
        <w:tblPrEx>
          <w:tblW w:w="9229" w:type="dxa"/>
          <w:tblCellMar>
            <w:left w:w="0" w:type="dxa"/>
            <w:right w:w="0" w:type="dxa"/>
          </w:tblCellMar>
          <w:tblLook w:val="04A0"/>
        </w:tblPrEx>
        <w:trPr>
          <w:trHeight w:val="255"/>
        </w:trPr>
        <w:tc>
          <w:tcPr>
            <w:tcW w:w="2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v eurách</w:t>
            </w:r>
          </w:p>
        </w:tc>
        <w:tc>
          <w:tcPr>
            <w:tcW w:w="97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center"/>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2009 S</w:t>
            </w:r>
          </w:p>
        </w:tc>
        <w:tc>
          <w:tcPr>
            <w:tcW w:w="97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center"/>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2010 S</w:t>
            </w:r>
          </w:p>
        </w:tc>
        <w:tc>
          <w:tcPr>
            <w:tcW w:w="97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center"/>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2011 R</w:t>
            </w:r>
          </w:p>
        </w:tc>
        <w:tc>
          <w:tcPr>
            <w:tcW w:w="97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center"/>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2011 OS</w:t>
            </w:r>
          </w:p>
        </w:tc>
        <w:tc>
          <w:tcPr>
            <w:tcW w:w="97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center"/>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2012 N</w:t>
            </w:r>
          </w:p>
        </w:tc>
        <w:tc>
          <w:tcPr>
            <w:tcW w:w="97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center"/>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2013 N</w:t>
            </w:r>
          </w:p>
        </w:tc>
        <w:tc>
          <w:tcPr>
            <w:tcW w:w="97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center"/>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2014 N</w:t>
            </w:r>
          </w:p>
        </w:tc>
      </w:tr>
      <w:tr>
        <w:tblPrEx>
          <w:tblW w:w="9229" w:type="dxa"/>
          <w:tblCellMar>
            <w:left w:w="0" w:type="dxa"/>
            <w:right w:w="0" w:type="dxa"/>
          </w:tblCellMar>
          <w:tblLook w:val="04A0"/>
        </w:tblPrEx>
        <w:trPr>
          <w:trHeight w:val="255"/>
        </w:trPr>
        <w:tc>
          <w:tcPr>
            <w:tcW w:w="242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Zdroje príslušnej kapitoly</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20 287 463</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51 969 745</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42 383 720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42 383 720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33 191 887</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33 198 462</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33 200 535</w:t>
            </w:r>
          </w:p>
        </w:tc>
      </w:tr>
      <w:tr>
        <w:tblPrEx>
          <w:tblW w:w="9229" w:type="dxa"/>
          <w:tblCellMar>
            <w:left w:w="0" w:type="dxa"/>
            <w:right w:w="0" w:type="dxa"/>
          </w:tblCellMar>
          <w:tblLook w:val="04A0"/>
        </w:tblPrEx>
        <w:trPr>
          <w:trHeight w:val="255"/>
        </w:trPr>
        <w:tc>
          <w:tcPr>
            <w:tcW w:w="242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rPr>
                <w:rFonts w:ascii="Times New Roman" w:hAnsi="Times New Roman" w:cs="Times New Roman"/>
                <w:lang w:eastAsia="sk-SK"/>
              </w:rPr>
            </w:pPr>
            <w:r w:rsidRPr="00E01B24">
              <w:rPr>
                <w:rFonts w:ascii="Times New Roman" w:hAnsi="Times New Roman" w:cs="Times New Roman"/>
                <w:color w:val="000000"/>
                <w:sz w:val="14"/>
                <w:szCs w:val="14"/>
                <w:lang w:eastAsia="sk-SK"/>
              </w:rPr>
              <w:t xml:space="preserve">rozpočtové zdroje kapitoly </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20 287 463</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33 478 891</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42 383 720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42 383 720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33 191 887</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33 198 462</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33 200 535</w:t>
            </w:r>
          </w:p>
        </w:tc>
      </w:tr>
      <w:tr>
        <w:tblPrEx>
          <w:tblW w:w="9229" w:type="dxa"/>
          <w:tblCellMar>
            <w:left w:w="0" w:type="dxa"/>
            <w:right w:w="0" w:type="dxa"/>
          </w:tblCellMar>
          <w:tblLook w:val="04A0"/>
        </w:tblPrEx>
        <w:trPr>
          <w:trHeight w:val="255"/>
        </w:trPr>
        <w:tc>
          <w:tcPr>
            <w:tcW w:w="242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rPr>
                <w:rFonts w:ascii="Times New Roman" w:hAnsi="Times New Roman" w:cs="Times New Roman"/>
                <w:lang w:eastAsia="sk-SK"/>
              </w:rPr>
            </w:pPr>
            <w:r w:rsidRPr="00E01B24">
              <w:rPr>
                <w:rFonts w:ascii="Times New Roman" w:hAnsi="Times New Roman" w:cs="Times New Roman"/>
                <w:color w:val="000000"/>
                <w:sz w:val="14"/>
                <w:szCs w:val="14"/>
                <w:lang w:eastAsia="sk-SK"/>
              </w:rPr>
              <w:t>   bežné výdavky 600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14 746 323</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28 697 683</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31 823 263</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31 823 263</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30 316 430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30 323 005</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30 325 078</w:t>
            </w:r>
          </w:p>
        </w:tc>
      </w:tr>
      <w:tr>
        <w:tblPrEx>
          <w:tblW w:w="9229" w:type="dxa"/>
          <w:tblCellMar>
            <w:left w:w="0" w:type="dxa"/>
            <w:right w:w="0" w:type="dxa"/>
          </w:tblCellMar>
          <w:tblLook w:val="04A0"/>
        </w:tblPrEx>
        <w:trPr>
          <w:trHeight w:val="255"/>
        </w:trPr>
        <w:tc>
          <w:tcPr>
            <w:tcW w:w="242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rPr>
                <w:rFonts w:ascii="Times New Roman" w:hAnsi="Times New Roman" w:cs="Times New Roman"/>
                <w:lang w:eastAsia="sk-SK"/>
              </w:rPr>
            </w:pPr>
            <w:r w:rsidRPr="00E01B24">
              <w:rPr>
                <w:rFonts w:ascii="Times New Roman" w:hAnsi="Times New Roman" w:cs="Times New Roman"/>
                <w:color w:val="000000"/>
                <w:sz w:val="14"/>
                <w:szCs w:val="14"/>
                <w:lang w:eastAsia="sk-SK"/>
              </w:rPr>
              <w:t>       610 mzdy</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1 488 079</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1 404 708</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1 159 080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1 159 080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1 161 851</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1 166 723</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1 168 259</w:t>
            </w:r>
          </w:p>
        </w:tc>
      </w:tr>
      <w:tr>
        <w:tblPrEx>
          <w:tblW w:w="9229" w:type="dxa"/>
          <w:tblCellMar>
            <w:left w:w="0" w:type="dxa"/>
            <w:right w:w="0" w:type="dxa"/>
          </w:tblCellMar>
          <w:tblLook w:val="04A0"/>
        </w:tblPrEx>
        <w:trPr>
          <w:trHeight w:val="255"/>
        </w:trPr>
        <w:tc>
          <w:tcPr>
            <w:tcW w:w="242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rPr>
                <w:rFonts w:ascii="Times New Roman" w:hAnsi="Times New Roman" w:cs="Times New Roman"/>
                <w:lang w:eastAsia="sk-SK"/>
              </w:rPr>
            </w:pPr>
            <w:r w:rsidRPr="00E01B24">
              <w:rPr>
                <w:rFonts w:ascii="Times New Roman" w:hAnsi="Times New Roman" w:cs="Times New Roman"/>
                <w:color w:val="000000"/>
                <w:sz w:val="14"/>
                <w:szCs w:val="14"/>
                <w:lang w:eastAsia="sk-SK"/>
              </w:rPr>
              <w:t>      620 odvody</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534 668</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507 302</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439 871</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439 871</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440 387</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442 090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442 627</w:t>
            </w:r>
          </w:p>
        </w:tc>
      </w:tr>
      <w:tr>
        <w:tblPrEx>
          <w:tblW w:w="9229" w:type="dxa"/>
          <w:tblCellMar>
            <w:left w:w="0" w:type="dxa"/>
            <w:right w:w="0" w:type="dxa"/>
          </w:tblCellMar>
          <w:tblLook w:val="04A0"/>
        </w:tblPrEx>
        <w:trPr>
          <w:trHeight w:val="255"/>
        </w:trPr>
        <w:tc>
          <w:tcPr>
            <w:tcW w:w="242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rPr>
                <w:rFonts w:ascii="Times New Roman" w:hAnsi="Times New Roman" w:cs="Times New Roman"/>
                <w:lang w:eastAsia="sk-SK"/>
              </w:rPr>
            </w:pPr>
            <w:r w:rsidRPr="00E01B24">
              <w:rPr>
                <w:rFonts w:ascii="Times New Roman" w:hAnsi="Times New Roman" w:cs="Times New Roman"/>
                <w:color w:val="000000"/>
                <w:sz w:val="14"/>
                <w:szCs w:val="14"/>
                <w:lang w:eastAsia="sk-SK"/>
              </w:rPr>
              <w:t>      630 tovary a služby</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12 693 524</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26 729 389</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30 202 408</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30 198 974</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28 688 969</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28 688 969</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28 688 969</w:t>
            </w:r>
          </w:p>
        </w:tc>
      </w:tr>
      <w:tr>
        <w:tblPrEx>
          <w:tblW w:w="9229" w:type="dxa"/>
          <w:tblCellMar>
            <w:left w:w="0" w:type="dxa"/>
            <w:right w:w="0" w:type="dxa"/>
          </w:tblCellMar>
          <w:tblLook w:val="04A0"/>
        </w:tblPrEx>
        <w:trPr>
          <w:trHeight w:val="255"/>
        </w:trPr>
        <w:tc>
          <w:tcPr>
            <w:tcW w:w="242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rPr>
                <w:rFonts w:ascii="Times New Roman" w:hAnsi="Times New Roman" w:cs="Times New Roman"/>
                <w:lang w:eastAsia="sk-SK"/>
              </w:rPr>
            </w:pPr>
            <w:r w:rsidRPr="00E01B24">
              <w:rPr>
                <w:rFonts w:ascii="Times New Roman" w:hAnsi="Times New Roman" w:cs="Times New Roman"/>
                <w:color w:val="000000"/>
                <w:sz w:val="14"/>
                <w:szCs w:val="14"/>
                <w:lang w:eastAsia="sk-SK"/>
              </w:rPr>
              <w:t>      640 bežné transfery</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30 052</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56 284</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21 904</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25 338</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25 223</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25 223</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25 223</w:t>
            </w:r>
          </w:p>
        </w:tc>
      </w:tr>
      <w:tr>
        <w:tblPrEx>
          <w:tblW w:w="9229" w:type="dxa"/>
          <w:tblCellMar>
            <w:left w:w="0" w:type="dxa"/>
            <w:right w:w="0" w:type="dxa"/>
          </w:tblCellMar>
          <w:tblLook w:val="04A0"/>
        </w:tblPrEx>
        <w:trPr>
          <w:trHeight w:val="255"/>
        </w:trPr>
        <w:tc>
          <w:tcPr>
            <w:tcW w:w="242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rPr>
                <w:rFonts w:ascii="Times New Roman" w:hAnsi="Times New Roman" w:cs="Times New Roman"/>
                <w:lang w:eastAsia="sk-SK"/>
              </w:rPr>
            </w:pPr>
            <w:r w:rsidRPr="00E01B24">
              <w:rPr>
                <w:rFonts w:ascii="Times New Roman" w:hAnsi="Times New Roman" w:cs="Times New Roman"/>
                <w:color w:val="000000"/>
                <w:sz w:val="14"/>
                <w:szCs w:val="14"/>
                <w:lang w:eastAsia="sk-SK"/>
              </w:rPr>
              <w:t>   kapitálové výdavky 700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5 541 140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4 781 208</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10 560 457</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10 560 457</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2 875 457</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2 875 457</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Pr>
                <w:rFonts w:ascii="Times New Roman" w:hAnsi="Times New Roman" w:cs="Times New Roman"/>
                <w:color w:val="000000"/>
                <w:sz w:val="14"/>
                <w:szCs w:val="14"/>
                <w:lang w:eastAsia="sk-SK"/>
              </w:rPr>
              <w:t>2 875 457</w:t>
            </w:r>
          </w:p>
        </w:tc>
      </w:tr>
      <w:tr>
        <w:tblPrEx>
          <w:tblW w:w="9229" w:type="dxa"/>
          <w:tblCellMar>
            <w:left w:w="0" w:type="dxa"/>
            <w:right w:w="0" w:type="dxa"/>
          </w:tblCellMar>
          <w:tblLook w:val="04A0"/>
        </w:tblPrEx>
        <w:trPr>
          <w:trHeight w:val="255"/>
        </w:trPr>
        <w:tc>
          <w:tcPr>
            <w:tcW w:w="242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rPr>
                <w:rFonts w:ascii="Times New Roman" w:hAnsi="Times New Roman" w:cs="Times New Roman"/>
                <w:lang w:eastAsia="sk-SK"/>
              </w:rPr>
            </w:pPr>
            <w:r w:rsidRPr="00E01B24">
              <w:rPr>
                <w:rFonts w:ascii="Times New Roman" w:hAnsi="Times New Roman" w:cs="Times New Roman"/>
                <w:color w:val="000000"/>
                <w:sz w:val="14"/>
                <w:szCs w:val="14"/>
                <w:lang w:eastAsia="sk-SK"/>
              </w:rPr>
              <w:t>presun z minulých rokov</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 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18 490 854</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 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rPr>
                <w:rFonts w:ascii="Times New Roman" w:hAnsi="Times New Roman" w:cs="Times New Roman"/>
                <w:lang w:eastAsia="sk-SK"/>
              </w:rPr>
            </w:pPr>
            <w:r w:rsidRPr="00E01B24">
              <w:rPr>
                <w:rFonts w:ascii="Times New Roman" w:hAnsi="Times New Roman" w:cs="Times New Roman"/>
                <w:color w:val="000000"/>
                <w:sz w:val="14"/>
                <w:szCs w:val="14"/>
                <w:lang w:eastAsia="sk-SK"/>
              </w:rPr>
              <w:t> </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rPr>
                <w:rFonts w:ascii="Times New Roman" w:hAnsi="Times New Roman" w:cs="Times New Roman"/>
                <w:lang w:eastAsia="sk-SK"/>
              </w:rPr>
            </w:pPr>
            <w:r w:rsidRPr="00E01B24">
              <w:rPr>
                <w:rFonts w:ascii="Times New Roman" w:hAnsi="Times New Roman" w:cs="Times New Roman"/>
                <w:color w:val="000000"/>
                <w:sz w:val="14"/>
                <w:szCs w:val="14"/>
                <w:lang w:eastAsia="sk-SK"/>
              </w:rPr>
              <w:t> </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rPr>
                <w:rFonts w:ascii="Times New Roman" w:hAnsi="Times New Roman" w:cs="Times New Roman"/>
                <w:lang w:eastAsia="sk-SK"/>
              </w:rPr>
            </w:pPr>
            <w:r w:rsidRPr="00E01B24">
              <w:rPr>
                <w:rFonts w:ascii="Times New Roman" w:hAnsi="Times New Roman" w:cs="Times New Roman"/>
                <w:color w:val="000000"/>
                <w:sz w:val="14"/>
                <w:szCs w:val="14"/>
                <w:lang w:eastAsia="sk-SK"/>
              </w:rPr>
              <w:t> </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rPr>
                <w:rFonts w:ascii="Times New Roman" w:hAnsi="Times New Roman" w:cs="Times New Roman"/>
                <w:lang w:eastAsia="sk-SK"/>
              </w:rPr>
            </w:pPr>
            <w:r w:rsidRPr="00E01B24">
              <w:rPr>
                <w:rFonts w:ascii="Times New Roman" w:hAnsi="Times New Roman" w:cs="Times New Roman"/>
                <w:color w:val="000000"/>
                <w:sz w:val="14"/>
                <w:szCs w:val="14"/>
                <w:lang w:eastAsia="sk-SK"/>
              </w:rPr>
              <w:t> </w:t>
            </w:r>
          </w:p>
        </w:tc>
      </w:tr>
    </w:tbl>
    <w:p w:rsidR="00CB350B" w:rsidRPr="00E01B24" w:rsidP="00CB350B">
      <w:pPr>
        <w:bidi w:val="0"/>
        <w:jc w:val="both"/>
        <w:rPr>
          <w:rFonts w:ascii="Times New Roman" w:hAnsi="Times New Roman" w:cs="Times New Roman"/>
          <w:lang w:eastAsia="sk-SK"/>
        </w:rPr>
      </w:pPr>
    </w:p>
    <w:p w:rsidR="00CB350B" w:rsidRPr="00E01B24" w:rsidP="00CB350B">
      <w:pPr>
        <w:bidi w:val="0"/>
        <w:ind w:firstLine="708"/>
        <w:jc w:val="both"/>
        <w:rPr>
          <w:rFonts w:ascii="Times New Roman" w:hAnsi="Times New Roman" w:cs="Times New Roman"/>
          <w:lang w:eastAsia="sk-SK"/>
        </w:rPr>
      </w:pPr>
      <w:r w:rsidRPr="00E01B24">
        <w:rPr>
          <w:rFonts w:ascii="Times New Roman" w:hAnsi="Times New Roman" w:cs="Times New Roman"/>
          <w:lang w:eastAsia="sk-SK"/>
        </w:rPr>
        <w:t xml:space="preserve">Celkové výdavky kapitoly na rok 2012 sa rozpočtujú v sume 33,2 mil. eur, čo predstavuje oproti schválenému rozpočtu roku 2011 pokles o  21,7 %. Nakoľko v roku 2011 boli v rámci kapitálových výdavkov rozpočtované jednorazové výdavky na antivirotickú linku v sume 7,65 mil. eur, celkové výdavky reálne medziročne klesajú o 4,45 %, čo je spôsobené 5% viazaním prevádzkových výdavkov. </w:t>
      </w:r>
    </w:p>
    <w:p w:rsidR="00CB350B" w:rsidRPr="00E01B24" w:rsidP="00CB350B">
      <w:pPr>
        <w:bidi w:val="0"/>
        <w:jc w:val="both"/>
        <w:rPr>
          <w:rFonts w:ascii="Times New Roman" w:hAnsi="Times New Roman" w:cs="Times New Roman"/>
          <w:lang w:eastAsia="sk-SK"/>
        </w:rPr>
      </w:pPr>
      <w:r w:rsidRPr="00E01B24">
        <w:rPr>
          <w:rFonts w:ascii="Times New Roman" w:hAnsi="Times New Roman" w:cs="Times New Roman"/>
          <w:lang w:eastAsia="sk-SK"/>
        </w:rPr>
        <w:t> </w:t>
      </w:r>
    </w:p>
    <w:p w:rsidR="00CB350B" w:rsidRPr="00E01B24" w:rsidP="00CB350B">
      <w:pPr>
        <w:bidi w:val="0"/>
        <w:ind w:firstLine="708"/>
        <w:jc w:val="both"/>
        <w:rPr>
          <w:rFonts w:ascii="Times New Roman" w:hAnsi="Times New Roman" w:cs="Times New Roman"/>
          <w:lang w:eastAsia="sk-SK"/>
        </w:rPr>
      </w:pPr>
      <w:r w:rsidRPr="00E01B24">
        <w:rPr>
          <w:rFonts w:ascii="Times New Roman" w:hAnsi="Times New Roman" w:cs="Times New Roman"/>
          <w:lang w:eastAsia="sk-SK"/>
        </w:rPr>
        <w:t>Bežné</w:t>
      </w:r>
      <w:r>
        <w:rPr>
          <w:rFonts w:ascii="Times New Roman" w:hAnsi="Times New Roman" w:cs="Times New Roman"/>
          <w:lang w:eastAsia="sk-SK"/>
        </w:rPr>
        <w:t xml:space="preserve"> výdavky na rok 2012 sa rozpočtujú v sume 30,3</w:t>
      </w:r>
      <w:r w:rsidRPr="00E01B24">
        <w:rPr>
          <w:rFonts w:ascii="Times New Roman" w:hAnsi="Times New Roman" w:cs="Times New Roman"/>
          <w:lang w:eastAsia="sk-SK"/>
        </w:rPr>
        <w:t xml:space="preserve"> mil. eur, čo predstavuje oproti schválenému </w:t>
      </w:r>
      <w:r>
        <w:rPr>
          <w:rFonts w:ascii="Times New Roman" w:hAnsi="Times New Roman" w:cs="Times New Roman"/>
          <w:lang w:eastAsia="sk-SK"/>
        </w:rPr>
        <w:t>rozpočtu roku 2011 pokles o 4,74 %.</w:t>
      </w:r>
      <w:r w:rsidRPr="00E01B24">
        <w:rPr>
          <w:rFonts w:ascii="Times New Roman" w:hAnsi="Times New Roman" w:cs="Times New Roman"/>
          <w:lang w:eastAsia="sk-SK"/>
        </w:rPr>
        <w:t xml:space="preserve"> </w:t>
      </w:r>
    </w:p>
    <w:p w:rsidR="00CB350B" w:rsidRPr="00E01B24" w:rsidP="00CB350B">
      <w:pPr>
        <w:bidi w:val="0"/>
        <w:jc w:val="both"/>
        <w:rPr>
          <w:rFonts w:ascii="Times New Roman" w:hAnsi="Times New Roman" w:cs="Times New Roman"/>
          <w:lang w:eastAsia="sk-SK"/>
        </w:rPr>
      </w:pPr>
      <w:r w:rsidRPr="00E01B24">
        <w:rPr>
          <w:rFonts w:ascii="Times New Roman" w:hAnsi="Times New Roman" w:cs="Times New Roman"/>
          <w:lang w:eastAsia="sk-SK"/>
        </w:rPr>
        <w:t> </w:t>
      </w:r>
    </w:p>
    <w:p w:rsidR="00CB350B" w:rsidRPr="00E01B24" w:rsidP="00CB350B">
      <w:pPr>
        <w:bidi w:val="0"/>
        <w:ind w:firstLine="708"/>
        <w:jc w:val="both"/>
        <w:rPr>
          <w:rFonts w:ascii="Times New Roman" w:hAnsi="Times New Roman" w:cs="Times New Roman"/>
          <w:lang w:eastAsia="sk-SK"/>
        </w:rPr>
      </w:pPr>
      <w:r w:rsidRPr="00E01B24">
        <w:rPr>
          <w:rFonts w:ascii="Times New Roman" w:hAnsi="Times New Roman" w:cs="Times New Roman"/>
          <w:lang w:eastAsia="sk-SK"/>
        </w:rPr>
        <w:t>Osobné výdavky</w:t>
      </w:r>
      <w:r>
        <w:rPr>
          <w:rFonts w:ascii="Times New Roman" w:hAnsi="Times New Roman" w:cs="Times New Roman"/>
          <w:lang w:eastAsia="sk-SK"/>
        </w:rPr>
        <w:t xml:space="preserve"> na rok 2012 </w:t>
      </w:r>
      <w:r w:rsidRPr="00E01B24">
        <w:rPr>
          <w:rFonts w:ascii="Times New Roman" w:hAnsi="Times New Roman" w:cs="Times New Roman"/>
          <w:lang w:eastAsia="sk-SK"/>
        </w:rPr>
        <w:t xml:space="preserve">sa rozpočtujú v sume 1,60 mil. eur, čo predstavuje približne úroveň schváleného rozpočtu roku 2011. V porovnaní so schváleným rozpočtom na rok 2011 rozhodujúcou zmenou v rozpočte osobných výdavkov v roku 2012 je ich zvýšenie súvisiace so zákonom č. 120/1993 Z. z. Nárast osobných výdavkov ústavných činiteľov v roku 2012 zohľadňuje v kapitole štátneho rozpočtu dopočet platových náležitostí reálne vyplácaných v roku 2011 v zmysle zákona. </w:t>
      </w:r>
    </w:p>
    <w:p w:rsidR="00CB350B" w:rsidRPr="00E01B24" w:rsidP="00CB350B">
      <w:pPr>
        <w:bidi w:val="0"/>
        <w:jc w:val="both"/>
        <w:rPr>
          <w:rFonts w:ascii="Times New Roman" w:hAnsi="Times New Roman" w:cs="Times New Roman"/>
          <w:lang w:eastAsia="sk-SK"/>
        </w:rPr>
      </w:pPr>
      <w:r w:rsidRPr="00E01B24">
        <w:rPr>
          <w:rFonts w:ascii="Times New Roman" w:hAnsi="Times New Roman" w:cs="Times New Roman"/>
          <w:lang w:eastAsia="sk-SK"/>
        </w:rPr>
        <w:t> </w:t>
      </w:r>
    </w:p>
    <w:p w:rsidR="00CB350B" w:rsidRPr="00E01B24" w:rsidP="00CB350B">
      <w:pPr>
        <w:bidi w:val="0"/>
        <w:ind w:firstLine="708"/>
        <w:jc w:val="both"/>
        <w:rPr>
          <w:rFonts w:ascii="Times New Roman" w:hAnsi="Times New Roman" w:cs="Times New Roman"/>
          <w:lang w:eastAsia="sk-SK"/>
        </w:rPr>
      </w:pPr>
      <w:r w:rsidRPr="00E01B24">
        <w:rPr>
          <w:rFonts w:ascii="Times New Roman" w:hAnsi="Times New Roman" w:cs="Times New Roman"/>
          <w:lang w:eastAsia="sk-SK"/>
        </w:rPr>
        <w:t>Výdavky na tovary</w:t>
      </w:r>
      <w:r>
        <w:rPr>
          <w:rFonts w:ascii="Times New Roman" w:hAnsi="Times New Roman" w:cs="Times New Roman"/>
          <w:lang w:eastAsia="sk-SK"/>
        </w:rPr>
        <w:t xml:space="preserve"> a služby</w:t>
      </w:r>
      <w:r w:rsidRPr="009E3ED3">
        <w:rPr>
          <w:rFonts w:ascii="Times New Roman" w:hAnsi="Times New Roman" w:cs="Times New Roman"/>
          <w:lang w:eastAsia="sk-SK"/>
        </w:rPr>
        <w:t xml:space="preserve"> </w:t>
      </w:r>
      <w:r>
        <w:rPr>
          <w:rFonts w:ascii="Times New Roman" w:hAnsi="Times New Roman" w:cs="Times New Roman"/>
          <w:lang w:eastAsia="sk-SK"/>
        </w:rPr>
        <w:t>na rok 2012 sa rozpočtujú v sume 28,7</w:t>
      </w:r>
      <w:r w:rsidRPr="00E01B24">
        <w:rPr>
          <w:rFonts w:ascii="Times New Roman" w:hAnsi="Times New Roman" w:cs="Times New Roman"/>
          <w:lang w:eastAsia="sk-SK"/>
        </w:rPr>
        <w:t xml:space="preserve"> mil. eur, čo predstavuje oproti schválenému </w:t>
      </w:r>
      <w:r>
        <w:rPr>
          <w:rFonts w:ascii="Times New Roman" w:hAnsi="Times New Roman" w:cs="Times New Roman"/>
          <w:lang w:eastAsia="sk-SK"/>
        </w:rPr>
        <w:t>rozpočtu roku 2011 pokles o 5,01</w:t>
      </w:r>
      <w:r w:rsidRPr="00E01B24">
        <w:rPr>
          <w:rFonts w:ascii="Times New Roman" w:hAnsi="Times New Roman" w:cs="Times New Roman"/>
          <w:lang w:eastAsia="sk-SK"/>
        </w:rPr>
        <w:t xml:space="preserve"> %. </w:t>
      </w:r>
    </w:p>
    <w:p w:rsidR="00CB350B" w:rsidRPr="00E01B24" w:rsidP="00CB350B">
      <w:pPr>
        <w:bidi w:val="0"/>
        <w:jc w:val="both"/>
        <w:rPr>
          <w:rFonts w:ascii="Times New Roman" w:hAnsi="Times New Roman" w:cs="Times New Roman"/>
          <w:lang w:eastAsia="sk-SK"/>
        </w:rPr>
      </w:pPr>
      <w:r w:rsidRPr="00E01B24">
        <w:rPr>
          <w:rFonts w:ascii="Times New Roman" w:hAnsi="Times New Roman" w:cs="Times New Roman"/>
          <w:lang w:eastAsia="sk-SK"/>
        </w:rPr>
        <w:t> </w:t>
      </w:r>
    </w:p>
    <w:p w:rsidR="00CB350B" w:rsidRPr="00E01B24" w:rsidP="00CB350B">
      <w:pPr>
        <w:bidi w:val="0"/>
        <w:ind w:firstLine="708"/>
        <w:jc w:val="both"/>
        <w:rPr>
          <w:rFonts w:ascii="Times New Roman" w:hAnsi="Times New Roman" w:cs="Times New Roman"/>
          <w:lang w:eastAsia="sk-SK"/>
        </w:rPr>
      </w:pPr>
      <w:r>
        <w:rPr>
          <w:rFonts w:ascii="Times New Roman" w:hAnsi="Times New Roman" w:cs="Times New Roman"/>
          <w:lang w:eastAsia="sk-SK"/>
        </w:rPr>
        <w:t xml:space="preserve">Bežné transfery na rok 2012 </w:t>
      </w:r>
      <w:r w:rsidRPr="00E01B24">
        <w:rPr>
          <w:rFonts w:ascii="Times New Roman" w:hAnsi="Times New Roman" w:cs="Times New Roman"/>
          <w:lang w:eastAsia="sk-SK"/>
        </w:rPr>
        <w:t xml:space="preserve">sa rozpočtujú v sume 25,2 tis. eur, čo predstavuje oproti schválenému rozpočtu roku 2011 nárast o 15,2 % z dôvodu zvýšenia výdavkov na odstupné. </w:t>
      </w:r>
    </w:p>
    <w:p w:rsidR="00CB350B" w:rsidRPr="00E01B24" w:rsidP="00CB350B">
      <w:pPr>
        <w:bidi w:val="0"/>
        <w:jc w:val="both"/>
        <w:rPr>
          <w:rFonts w:ascii="Times New Roman" w:hAnsi="Times New Roman" w:cs="Times New Roman"/>
          <w:lang w:eastAsia="sk-SK"/>
        </w:rPr>
      </w:pPr>
      <w:r w:rsidRPr="00E01B24">
        <w:rPr>
          <w:rFonts w:ascii="Times New Roman" w:hAnsi="Times New Roman" w:cs="Times New Roman"/>
          <w:lang w:eastAsia="sk-SK"/>
        </w:rPr>
        <w:t> </w:t>
      </w:r>
    </w:p>
    <w:p w:rsidR="00CB350B" w:rsidRPr="00E01B24" w:rsidP="00CB350B">
      <w:pPr>
        <w:bidi w:val="0"/>
        <w:ind w:firstLine="708"/>
        <w:jc w:val="both"/>
        <w:rPr>
          <w:rFonts w:ascii="Times New Roman" w:hAnsi="Times New Roman" w:cs="Times New Roman"/>
          <w:lang w:eastAsia="sk-SK"/>
        </w:rPr>
      </w:pPr>
      <w:r w:rsidRPr="00E01B24">
        <w:rPr>
          <w:rFonts w:ascii="Times New Roman" w:hAnsi="Times New Roman" w:cs="Times New Roman"/>
          <w:lang w:eastAsia="sk-SK"/>
        </w:rPr>
        <w:t>Kapitálové v</w:t>
      </w:r>
      <w:r>
        <w:rPr>
          <w:rFonts w:ascii="Times New Roman" w:hAnsi="Times New Roman" w:cs="Times New Roman"/>
          <w:lang w:eastAsia="sk-SK"/>
        </w:rPr>
        <w:t>ýdavky na rok 2012 sa rozpočtujú v sume 2,88</w:t>
      </w:r>
      <w:r w:rsidRPr="00E01B24">
        <w:rPr>
          <w:rFonts w:ascii="Times New Roman" w:hAnsi="Times New Roman" w:cs="Times New Roman"/>
          <w:lang w:eastAsia="sk-SK"/>
        </w:rPr>
        <w:t xml:space="preserve"> mil. eur, čo predstavuje oproti schválené</w:t>
      </w:r>
      <w:r>
        <w:rPr>
          <w:rFonts w:ascii="Times New Roman" w:hAnsi="Times New Roman" w:cs="Times New Roman"/>
          <w:lang w:eastAsia="sk-SK"/>
        </w:rPr>
        <w:t xml:space="preserve">mu rozpočtu roku 2011 pokles o 72,8 %. Pokles je spôsobený </w:t>
      </w:r>
      <w:r w:rsidRPr="00E01B24">
        <w:rPr>
          <w:rFonts w:ascii="Times New Roman" w:hAnsi="Times New Roman" w:cs="Times New Roman"/>
          <w:lang w:eastAsia="sk-SK"/>
        </w:rPr>
        <w:t>jednorazovým rozpočtovaním výdavkov na</w:t>
      </w:r>
      <w:r>
        <w:rPr>
          <w:rFonts w:ascii="Times New Roman" w:hAnsi="Times New Roman" w:cs="Times New Roman"/>
          <w:lang w:eastAsia="sk-SK"/>
        </w:rPr>
        <w:t xml:space="preserve"> antivirotickú linku v roku 2011.</w:t>
      </w:r>
      <w:r w:rsidRPr="00E01B24">
        <w:rPr>
          <w:rFonts w:ascii="Times New Roman" w:hAnsi="Times New Roman" w:cs="Times New Roman"/>
          <w:lang w:eastAsia="sk-SK"/>
        </w:rPr>
        <w:t xml:space="preserve"> </w:t>
      </w:r>
    </w:p>
    <w:p w:rsidR="00CB350B" w:rsidRPr="00E01B24" w:rsidP="00CB350B">
      <w:pPr>
        <w:bidi w:val="0"/>
        <w:jc w:val="both"/>
        <w:rPr>
          <w:rFonts w:ascii="Times New Roman" w:hAnsi="Times New Roman" w:cs="Times New Roman"/>
          <w:lang w:eastAsia="sk-SK"/>
        </w:rPr>
      </w:pPr>
      <w:r w:rsidRPr="00E01B24">
        <w:rPr>
          <w:rFonts w:ascii="Times New Roman" w:hAnsi="Times New Roman" w:cs="Times New Roman"/>
          <w:b/>
          <w:bCs/>
          <w:lang w:eastAsia="sk-SK"/>
        </w:rPr>
        <w:t> </w:t>
      </w:r>
    </w:p>
    <w:p w:rsidR="00CB350B" w:rsidP="00CB350B">
      <w:pPr>
        <w:bidi w:val="0"/>
        <w:ind w:firstLine="708"/>
        <w:jc w:val="both"/>
        <w:rPr>
          <w:rFonts w:ascii="Times New Roman" w:hAnsi="Times New Roman" w:cs="Times New Roman"/>
          <w:lang w:eastAsia="sk-SK"/>
        </w:rPr>
      </w:pPr>
      <w:r w:rsidRPr="00E01B24">
        <w:rPr>
          <w:rFonts w:ascii="Times New Roman" w:hAnsi="Times New Roman" w:cs="Times New Roman"/>
          <w:lang w:eastAsia="sk-SK"/>
        </w:rPr>
        <w:t xml:space="preserve">Okrem zdrojov zo štátneho rozpočtu kapitola disponuje mimorozpočtovými bežnými účtami obmien, zámen a pôžičiek štátnych hmotných rezerv. Prostredníctvom daného účtu sa zabezpečuje hospodárenie, t. j. obchodná činnosť pri nákupe a predaji štátnych hmotných rezerv v rámci obmien, zámen a pôžičiek. Uvedený účet sa používa tiež na pravidelné mesačné uhrádzanie spotrebnej dane z minerálneho oleja a dane z pridanej hodnoty. </w:t>
      </w:r>
    </w:p>
    <w:p w:rsidR="00CB350B" w:rsidRPr="00E01B24" w:rsidP="00CB350B">
      <w:pPr>
        <w:bidi w:val="0"/>
        <w:ind w:firstLine="708"/>
        <w:jc w:val="both"/>
        <w:rPr>
          <w:rFonts w:ascii="Times New Roman" w:hAnsi="Times New Roman" w:cs="Times New Roman"/>
          <w:lang w:eastAsia="sk-SK"/>
        </w:rPr>
      </w:pPr>
    </w:p>
    <w:p w:rsidR="00CB350B" w:rsidRPr="00E01B24" w:rsidP="00CB350B">
      <w:pPr>
        <w:bidi w:val="0"/>
        <w:ind w:firstLine="708"/>
        <w:jc w:val="both"/>
        <w:rPr>
          <w:rFonts w:ascii="Times New Roman" w:hAnsi="Times New Roman" w:cs="Times New Roman"/>
          <w:lang w:eastAsia="sk-SK"/>
        </w:rPr>
      </w:pPr>
      <w:r w:rsidRPr="00E01B24">
        <w:rPr>
          <w:rFonts w:ascii="Times New Roman" w:hAnsi="Times New Roman" w:cs="Times New Roman"/>
          <w:lang w:eastAsia="sk-SK"/>
        </w:rPr>
        <w:t>Skutočný a očakávaný stav mimorozpočtových prostriedkov kapitoly.</w:t>
      </w:r>
    </w:p>
    <w:p w:rsidR="00CB350B" w:rsidRPr="00E01B24" w:rsidP="00CB350B">
      <w:pPr>
        <w:bidi w:val="0"/>
        <w:jc w:val="both"/>
        <w:rPr>
          <w:rFonts w:ascii="Times New Roman" w:hAnsi="Times New Roman" w:cs="Times New Roman"/>
          <w:lang w:eastAsia="sk-SK"/>
        </w:rPr>
      </w:pPr>
      <w:r w:rsidRPr="00E01B24">
        <w:rPr>
          <w:rFonts w:ascii="Times New Roman" w:hAnsi="Times New Roman" w:cs="Times New Roman"/>
          <w:lang w:eastAsia="sk-SK"/>
        </w:rPr>
        <w:t> </w:t>
      </w:r>
    </w:p>
    <w:tbl>
      <w:tblPr>
        <w:tblStyle w:val="TableNormal"/>
        <w:tblW w:w="9397" w:type="dxa"/>
        <w:tblCellMar>
          <w:left w:w="0" w:type="dxa"/>
          <w:right w:w="0" w:type="dxa"/>
        </w:tblCellMar>
        <w:tblLook w:val="04A0"/>
      </w:tblPr>
      <w:tblGrid>
        <w:gridCol w:w="2425"/>
        <w:gridCol w:w="996"/>
        <w:gridCol w:w="996"/>
        <w:gridCol w:w="996"/>
        <w:gridCol w:w="996"/>
        <w:gridCol w:w="996"/>
        <w:gridCol w:w="996"/>
        <w:gridCol w:w="996"/>
      </w:tblGrid>
      <w:tr>
        <w:tblPrEx>
          <w:tblW w:w="9397" w:type="dxa"/>
          <w:tblCellMar>
            <w:left w:w="0" w:type="dxa"/>
            <w:right w:w="0" w:type="dxa"/>
          </w:tblCellMar>
          <w:tblLook w:val="04A0"/>
        </w:tblPrEx>
        <w:trPr>
          <w:trHeight w:val="217"/>
        </w:trPr>
        <w:tc>
          <w:tcPr>
            <w:tcW w:w="2425" w:type="dxa"/>
            <w:tcBorders>
              <w:top w:val="single" w:sz="4" w:space="0" w:color="000000"/>
              <w:left w:val="single" w:sz="4" w:space="0" w:color="000000"/>
              <w:bottom w:val="none" w:sz="0" w:space="0" w:color="auto"/>
              <w:right w:val="none" w:sz="0" w:space="0" w:color="auto"/>
            </w:tcBorders>
            <w:tcMar>
              <w:top w:w="0" w:type="dxa"/>
              <w:left w:w="70" w:type="dxa"/>
              <w:bottom w:w="0" w:type="dxa"/>
              <w:right w:w="70" w:type="dxa"/>
            </w:tcMar>
            <w:textDirection w:val="lrTb"/>
            <w:vAlign w:val="bottom"/>
            <w:hideMark/>
          </w:tcPr>
          <w:p w:rsidR="00CB350B" w:rsidRPr="00E01B24" w:rsidP="00257E12">
            <w:pPr>
              <w:bidi w:val="0"/>
              <w:spacing w:line="217" w:lineRule="atLeast"/>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v eurách</w:t>
            </w:r>
          </w:p>
        </w:tc>
        <w:tc>
          <w:tcPr>
            <w:tcW w:w="996" w:type="dxa"/>
            <w:tcBorders>
              <w:top w:val="single" w:sz="4" w:space="0" w:color="000000"/>
              <w:left w:val="single" w:sz="4" w:space="0" w:color="000000"/>
              <w:bottom w:val="none" w:sz="0" w:space="0" w:color="auto"/>
              <w:right w:val="none" w:sz="0" w:space="0" w:color="auto"/>
            </w:tcBorders>
            <w:tcMar>
              <w:top w:w="0" w:type="dxa"/>
              <w:left w:w="70" w:type="dxa"/>
              <w:bottom w:w="0" w:type="dxa"/>
              <w:right w:w="70" w:type="dxa"/>
            </w:tcMar>
            <w:textDirection w:val="lrTb"/>
            <w:vAlign w:val="bottom"/>
            <w:hideMark/>
          </w:tcPr>
          <w:p w:rsidR="00CB350B" w:rsidRPr="00E01B24" w:rsidP="00257E12">
            <w:pPr>
              <w:bidi w:val="0"/>
              <w:spacing w:line="217" w:lineRule="atLeast"/>
              <w:jc w:val="center"/>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skutočnosť k</w:t>
            </w:r>
          </w:p>
        </w:tc>
        <w:tc>
          <w:tcPr>
            <w:tcW w:w="996" w:type="dxa"/>
            <w:tcBorders>
              <w:top w:val="single" w:sz="4" w:space="0" w:color="000000"/>
              <w:left w:val="single" w:sz="4" w:space="0" w:color="000000"/>
              <w:bottom w:val="none" w:sz="0" w:space="0" w:color="auto"/>
              <w:right w:val="none" w:sz="0" w:space="0" w:color="auto"/>
            </w:tcBorders>
            <w:tcMar>
              <w:top w:w="0" w:type="dxa"/>
              <w:left w:w="70" w:type="dxa"/>
              <w:bottom w:w="0" w:type="dxa"/>
              <w:right w:w="70" w:type="dxa"/>
            </w:tcMar>
            <w:textDirection w:val="lrTb"/>
            <w:vAlign w:val="bottom"/>
            <w:hideMark/>
          </w:tcPr>
          <w:p w:rsidR="00CB350B" w:rsidRPr="00E01B24" w:rsidP="00257E12">
            <w:pPr>
              <w:bidi w:val="0"/>
              <w:spacing w:line="217" w:lineRule="atLeast"/>
              <w:jc w:val="center"/>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skutočnosť k</w:t>
            </w:r>
          </w:p>
        </w:tc>
        <w:tc>
          <w:tcPr>
            <w:tcW w:w="996" w:type="dxa"/>
            <w:tcBorders>
              <w:top w:val="single" w:sz="4" w:space="0" w:color="000000"/>
              <w:left w:val="single" w:sz="4" w:space="0" w:color="000000"/>
              <w:bottom w:val="none" w:sz="0" w:space="0" w:color="auto"/>
              <w:right w:val="none" w:sz="0" w:space="0" w:color="auto"/>
            </w:tcBorders>
            <w:tcMar>
              <w:top w:w="0" w:type="dxa"/>
              <w:left w:w="70" w:type="dxa"/>
              <w:bottom w:w="0" w:type="dxa"/>
              <w:right w:w="70" w:type="dxa"/>
            </w:tcMar>
            <w:textDirection w:val="lrTb"/>
            <w:vAlign w:val="bottom"/>
            <w:hideMark/>
          </w:tcPr>
          <w:p w:rsidR="00CB350B" w:rsidRPr="00E01B24" w:rsidP="00257E12">
            <w:pPr>
              <w:bidi w:val="0"/>
              <w:spacing w:line="217" w:lineRule="atLeast"/>
              <w:jc w:val="center"/>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skutočnosť k</w:t>
            </w:r>
          </w:p>
        </w:tc>
        <w:tc>
          <w:tcPr>
            <w:tcW w:w="996" w:type="dxa"/>
            <w:tcBorders>
              <w:top w:val="single" w:sz="4" w:space="0" w:color="000000"/>
              <w:left w:val="single" w:sz="4" w:space="0" w:color="000000"/>
              <w:bottom w:val="none" w:sz="0" w:space="0" w:color="auto"/>
              <w:right w:val="none" w:sz="0" w:space="0" w:color="auto"/>
            </w:tcBorders>
            <w:tcMar>
              <w:top w:w="0" w:type="dxa"/>
              <w:left w:w="70" w:type="dxa"/>
              <w:bottom w:w="0" w:type="dxa"/>
              <w:right w:w="70" w:type="dxa"/>
            </w:tcMar>
            <w:textDirection w:val="lrTb"/>
            <w:vAlign w:val="bottom"/>
            <w:hideMark/>
          </w:tcPr>
          <w:p w:rsidR="00CB350B" w:rsidRPr="00E01B24" w:rsidP="00257E12">
            <w:pPr>
              <w:bidi w:val="0"/>
              <w:spacing w:line="217" w:lineRule="atLeast"/>
              <w:jc w:val="center"/>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očakávaná</w:t>
            </w:r>
          </w:p>
        </w:tc>
        <w:tc>
          <w:tcPr>
            <w:tcW w:w="996" w:type="dxa"/>
            <w:tcBorders>
              <w:top w:val="single" w:sz="4" w:space="0" w:color="000000"/>
              <w:left w:val="single" w:sz="4" w:space="0" w:color="000000"/>
              <w:bottom w:val="none" w:sz="0" w:space="0" w:color="auto"/>
              <w:right w:val="none" w:sz="0" w:space="0" w:color="auto"/>
            </w:tcBorders>
            <w:tcMar>
              <w:top w:w="0" w:type="dxa"/>
              <w:left w:w="70" w:type="dxa"/>
              <w:bottom w:w="0" w:type="dxa"/>
              <w:right w:w="70" w:type="dxa"/>
            </w:tcMar>
            <w:textDirection w:val="lrTb"/>
            <w:vAlign w:val="bottom"/>
            <w:hideMark/>
          </w:tcPr>
          <w:p w:rsidR="00CB350B" w:rsidRPr="00E01B24" w:rsidP="00257E12">
            <w:pPr>
              <w:bidi w:val="0"/>
              <w:spacing w:line="217" w:lineRule="atLeast"/>
              <w:jc w:val="center"/>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očakávaná</w:t>
            </w:r>
          </w:p>
        </w:tc>
        <w:tc>
          <w:tcPr>
            <w:tcW w:w="996" w:type="dxa"/>
            <w:tcBorders>
              <w:top w:val="single" w:sz="4" w:space="0" w:color="000000"/>
              <w:left w:val="single" w:sz="4" w:space="0" w:color="000000"/>
              <w:bottom w:val="none" w:sz="0" w:space="0" w:color="auto"/>
              <w:right w:val="none" w:sz="0" w:space="0" w:color="auto"/>
            </w:tcBorders>
            <w:tcMar>
              <w:top w:w="0" w:type="dxa"/>
              <w:left w:w="70" w:type="dxa"/>
              <w:bottom w:w="0" w:type="dxa"/>
              <w:right w:w="70" w:type="dxa"/>
            </w:tcMar>
            <w:textDirection w:val="lrTb"/>
            <w:vAlign w:val="bottom"/>
            <w:hideMark/>
          </w:tcPr>
          <w:p w:rsidR="00CB350B" w:rsidRPr="00E01B24" w:rsidP="00257E12">
            <w:pPr>
              <w:bidi w:val="0"/>
              <w:spacing w:line="217" w:lineRule="atLeast"/>
              <w:jc w:val="center"/>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očakávaná</w:t>
            </w:r>
          </w:p>
        </w:tc>
        <w:tc>
          <w:tcPr>
            <w:tcW w:w="996" w:type="dxa"/>
            <w:tcBorders>
              <w:top w:val="single" w:sz="4" w:space="0" w:color="000000"/>
              <w:left w:val="single" w:sz="4" w:space="0" w:color="000000"/>
              <w:bottom w:val="none" w:sz="0" w:space="0" w:color="auto"/>
              <w:right w:val="single" w:sz="4" w:space="0" w:color="000000"/>
            </w:tcBorders>
            <w:tcMar>
              <w:top w:w="0" w:type="dxa"/>
              <w:left w:w="70" w:type="dxa"/>
              <w:bottom w:w="0" w:type="dxa"/>
              <w:right w:w="70" w:type="dxa"/>
            </w:tcMar>
            <w:textDirection w:val="lrTb"/>
            <w:vAlign w:val="bottom"/>
            <w:hideMark/>
          </w:tcPr>
          <w:p w:rsidR="00CB350B" w:rsidRPr="00E01B24" w:rsidP="00257E12">
            <w:pPr>
              <w:bidi w:val="0"/>
              <w:spacing w:line="217" w:lineRule="atLeast"/>
              <w:jc w:val="center"/>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očakávaná</w:t>
            </w:r>
          </w:p>
        </w:tc>
      </w:tr>
      <w:tr>
        <w:tblPrEx>
          <w:tblW w:w="9397" w:type="dxa"/>
          <w:tblCellMar>
            <w:left w:w="0" w:type="dxa"/>
            <w:right w:w="0" w:type="dxa"/>
          </w:tblCellMar>
          <w:tblLook w:val="04A0"/>
        </w:tblPrEx>
        <w:trPr>
          <w:trHeight w:val="217"/>
        </w:trPr>
        <w:tc>
          <w:tcPr>
            <w:tcW w:w="2425" w:type="dxa"/>
            <w:tcBorders>
              <w:top w:val="none" w:sz="0" w:space="0" w:color="auto"/>
              <w:left w:val="single" w:sz="4" w:space="0" w:color="000000"/>
              <w:bottom w:val="none" w:sz="0" w:space="0" w:color="auto"/>
              <w:right w:val="none" w:sz="0" w:space="0" w:color="auto"/>
            </w:tcBorders>
            <w:tcMar>
              <w:top w:w="0" w:type="dxa"/>
              <w:left w:w="70" w:type="dxa"/>
              <w:bottom w:w="0" w:type="dxa"/>
              <w:right w:w="70" w:type="dxa"/>
            </w:tcMar>
            <w:textDirection w:val="lrTb"/>
            <w:vAlign w:val="bottom"/>
            <w:hideMark/>
          </w:tcPr>
          <w:p w:rsidR="00CB350B" w:rsidRPr="00E01B24" w:rsidP="00257E12">
            <w:pPr>
              <w:bidi w:val="0"/>
              <w:spacing w:line="217" w:lineRule="atLeast"/>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 </w:t>
            </w:r>
          </w:p>
        </w:tc>
        <w:tc>
          <w:tcPr>
            <w:tcW w:w="996" w:type="dxa"/>
            <w:tcBorders>
              <w:top w:val="none" w:sz="0" w:space="0" w:color="auto"/>
              <w:left w:val="single" w:sz="4" w:space="0" w:color="000000"/>
              <w:bottom w:val="none" w:sz="0" w:space="0" w:color="auto"/>
              <w:right w:val="none" w:sz="0" w:space="0" w:color="auto"/>
            </w:tcBorders>
            <w:tcMar>
              <w:top w:w="0" w:type="dxa"/>
              <w:left w:w="70" w:type="dxa"/>
              <w:bottom w:w="0" w:type="dxa"/>
              <w:right w:w="70" w:type="dxa"/>
            </w:tcMar>
            <w:textDirection w:val="lrTb"/>
            <w:vAlign w:val="bottom"/>
            <w:hideMark/>
          </w:tcPr>
          <w:p w:rsidR="00CB350B" w:rsidRPr="00E01B24" w:rsidP="00257E12">
            <w:pPr>
              <w:bidi w:val="0"/>
              <w:spacing w:line="217" w:lineRule="atLeast"/>
              <w:jc w:val="center"/>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 </w:t>
            </w:r>
          </w:p>
        </w:tc>
        <w:tc>
          <w:tcPr>
            <w:tcW w:w="996" w:type="dxa"/>
            <w:tcBorders>
              <w:top w:val="none" w:sz="0" w:space="0" w:color="auto"/>
              <w:left w:val="single" w:sz="4" w:space="0" w:color="000000"/>
              <w:bottom w:val="none" w:sz="0" w:space="0" w:color="auto"/>
              <w:right w:val="none" w:sz="0" w:space="0" w:color="auto"/>
            </w:tcBorders>
            <w:tcMar>
              <w:top w:w="0" w:type="dxa"/>
              <w:left w:w="70" w:type="dxa"/>
              <w:bottom w:w="0" w:type="dxa"/>
              <w:right w:w="70" w:type="dxa"/>
            </w:tcMar>
            <w:textDirection w:val="lrTb"/>
            <w:vAlign w:val="bottom"/>
            <w:hideMark/>
          </w:tcPr>
          <w:p w:rsidR="00CB350B" w:rsidRPr="00E01B24" w:rsidP="00257E12">
            <w:pPr>
              <w:bidi w:val="0"/>
              <w:spacing w:line="217" w:lineRule="atLeast"/>
              <w:jc w:val="center"/>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 </w:t>
            </w:r>
          </w:p>
        </w:tc>
        <w:tc>
          <w:tcPr>
            <w:tcW w:w="996" w:type="dxa"/>
            <w:tcBorders>
              <w:top w:val="none" w:sz="0" w:space="0" w:color="auto"/>
              <w:left w:val="single" w:sz="4" w:space="0" w:color="000000"/>
              <w:bottom w:val="none" w:sz="0" w:space="0" w:color="auto"/>
              <w:right w:val="none" w:sz="0" w:space="0" w:color="auto"/>
            </w:tcBorders>
            <w:tcMar>
              <w:top w:w="0" w:type="dxa"/>
              <w:left w:w="70" w:type="dxa"/>
              <w:bottom w:w="0" w:type="dxa"/>
              <w:right w:w="70" w:type="dxa"/>
            </w:tcMar>
            <w:textDirection w:val="lrTb"/>
            <w:vAlign w:val="bottom"/>
            <w:hideMark/>
          </w:tcPr>
          <w:p w:rsidR="00CB350B" w:rsidRPr="00E01B24" w:rsidP="00257E12">
            <w:pPr>
              <w:bidi w:val="0"/>
              <w:spacing w:line="217" w:lineRule="atLeast"/>
              <w:jc w:val="center"/>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 </w:t>
            </w:r>
          </w:p>
        </w:tc>
        <w:tc>
          <w:tcPr>
            <w:tcW w:w="996" w:type="dxa"/>
            <w:tcBorders>
              <w:top w:val="none" w:sz="0" w:space="0" w:color="auto"/>
              <w:left w:val="single" w:sz="4" w:space="0" w:color="000000"/>
              <w:bottom w:val="none" w:sz="0" w:space="0" w:color="auto"/>
              <w:right w:val="none" w:sz="0" w:space="0" w:color="auto"/>
            </w:tcBorders>
            <w:tcMar>
              <w:top w:w="0" w:type="dxa"/>
              <w:left w:w="70" w:type="dxa"/>
              <w:bottom w:w="0" w:type="dxa"/>
              <w:right w:w="70" w:type="dxa"/>
            </w:tcMar>
            <w:textDirection w:val="lrTb"/>
            <w:vAlign w:val="bottom"/>
            <w:hideMark/>
          </w:tcPr>
          <w:p w:rsidR="00CB350B" w:rsidRPr="00E01B24" w:rsidP="00257E12">
            <w:pPr>
              <w:bidi w:val="0"/>
              <w:spacing w:line="217" w:lineRule="atLeast"/>
              <w:jc w:val="center"/>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skutočnosť k</w:t>
            </w:r>
          </w:p>
        </w:tc>
        <w:tc>
          <w:tcPr>
            <w:tcW w:w="996" w:type="dxa"/>
            <w:tcBorders>
              <w:top w:val="none" w:sz="0" w:space="0" w:color="auto"/>
              <w:left w:val="single" w:sz="4" w:space="0" w:color="000000"/>
              <w:bottom w:val="none" w:sz="0" w:space="0" w:color="auto"/>
              <w:right w:val="none" w:sz="0" w:space="0" w:color="auto"/>
            </w:tcBorders>
            <w:tcMar>
              <w:top w:w="0" w:type="dxa"/>
              <w:left w:w="70" w:type="dxa"/>
              <w:bottom w:w="0" w:type="dxa"/>
              <w:right w:w="70" w:type="dxa"/>
            </w:tcMar>
            <w:textDirection w:val="lrTb"/>
            <w:vAlign w:val="bottom"/>
            <w:hideMark/>
          </w:tcPr>
          <w:p w:rsidR="00CB350B" w:rsidRPr="00E01B24" w:rsidP="00257E12">
            <w:pPr>
              <w:bidi w:val="0"/>
              <w:spacing w:line="217" w:lineRule="atLeast"/>
              <w:jc w:val="center"/>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skutočnosť k</w:t>
            </w:r>
          </w:p>
        </w:tc>
        <w:tc>
          <w:tcPr>
            <w:tcW w:w="996" w:type="dxa"/>
            <w:tcBorders>
              <w:top w:val="none" w:sz="0" w:space="0" w:color="auto"/>
              <w:left w:val="single" w:sz="4" w:space="0" w:color="000000"/>
              <w:bottom w:val="none" w:sz="0" w:space="0" w:color="auto"/>
              <w:right w:val="none" w:sz="0" w:space="0" w:color="auto"/>
            </w:tcBorders>
            <w:tcMar>
              <w:top w:w="0" w:type="dxa"/>
              <w:left w:w="70" w:type="dxa"/>
              <w:bottom w:w="0" w:type="dxa"/>
              <w:right w:w="70" w:type="dxa"/>
            </w:tcMar>
            <w:textDirection w:val="lrTb"/>
            <w:vAlign w:val="bottom"/>
            <w:hideMark/>
          </w:tcPr>
          <w:p w:rsidR="00CB350B" w:rsidRPr="00E01B24" w:rsidP="00257E12">
            <w:pPr>
              <w:bidi w:val="0"/>
              <w:spacing w:line="217" w:lineRule="atLeast"/>
              <w:jc w:val="center"/>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skutočnosť k</w:t>
            </w:r>
          </w:p>
        </w:tc>
        <w:tc>
          <w:tcPr>
            <w:tcW w:w="996" w:type="dxa"/>
            <w:tcBorders>
              <w:top w:val="none" w:sz="0" w:space="0" w:color="auto"/>
              <w:left w:val="single" w:sz="4" w:space="0" w:color="000000"/>
              <w:bottom w:val="none" w:sz="0" w:space="0" w:color="auto"/>
              <w:right w:val="single" w:sz="4" w:space="0" w:color="000000"/>
            </w:tcBorders>
            <w:tcMar>
              <w:top w:w="0" w:type="dxa"/>
              <w:left w:w="70" w:type="dxa"/>
              <w:bottom w:w="0" w:type="dxa"/>
              <w:right w:w="70" w:type="dxa"/>
            </w:tcMar>
            <w:textDirection w:val="lrTb"/>
            <w:vAlign w:val="bottom"/>
            <w:hideMark/>
          </w:tcPr>
          <w:p w:rsidR="00CB350B" w:rsidRPr="00E01B24" w:rsidP="00257E12">
            <w:pPr>
              <w:bidi w:val="0"/>
              <w:spacing w:line="217" w:lineRule="atLeast"/>
              <w:jc w:val="center"/>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skutočnosť k</w:t>
            </w:r>
          </w:p>
        </w:tc>
      </w:tr>
      <w:tr>
        <w:tblPrEx>
          <w:tblW w:w="9397" w:type="dxa"/>
          <w:tblCellMar>
            <w:left w:w="0" w:type="dxa"/>
            <w:right w:w="0" w:type="dxa"/>
          </w:tblCellMar>
          <w:tblLook w:val="04A0"/>
        </w:tblPrEx>
        <w:trPr>
          <w:trHeight w:val="217"/>
        </w:trPr>
        <w:tc>
          <w:tcPr>
            <w:tcW w:w="2425" w:type="dxa"/>
            <w:tcBorders>
              <w:top w:val="none" w:sz="0" w:space="0" w:color="auto"/>
              <w:left w:val="single" w:sz="4" w:space="0" w:color="000000"/>
              <w:bottom w:val="single" w:sz="4" w:space="0" w:color="000000"/>
              <w:right w:val="none" w:sz="0" w:space="0" w:color="auto"/>
            </w:tcBorders>
            <w:tcMar>
              <w:top w:w="0" w:type="dxa"/>
              <w:left w:w="70" w:type="dxa"/>
              <w:bottom w:w="0" w:type="dxa"/>
              <w:right w:w="70" w:type="dxa"/>
            </w:tcMar>
            <w:textDirection w:val="lrTb"/>
            <w:vAlign w:val="bottom"/>
            <w:hideMark/>
          </w:tcPr>
          <w:p w:rsidR="00CB350B" w:rsidRPr="00E01B24" w:rsidP="00257E12">
            <w:pPr>
              <w:bidi w:val="0"/>
              <w:spacing w:line="217" w:lineRule="atLeast"/>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 </w:t>
            </w:r>
          </w:p>
        </w:tc>
        <w:tc>
          <w:tcPr>
            <w:tcW w:w="996" w:type="dxa"/>
            <w:tcBorders>
              <w:top w:val="none" w:sz="0" w:space="0" w:color="auto"/>
              <w:left w:val="single" w:sz="4" w:space="0" w:color="000000"/>
              <w:bottom w:val="single" w:sz="4" w:space="0" w:color="000000"/>
              <w:right w:val="none" w:sz="0" w:space="0" w:color="auto"/>
            </w:tcBorders>
            <w:tcMar>
              <w:top w:w="0" w:type="dxa"/>
              <w:left w:w="70" w:type="dxa"/>
              <w:bottom w:w="0" w:type="dxa"/>
              <w:right w:w="70" w:type="dxa"/>
            </w:tcMar>
            <w:textDirection w:val="lrTb"/>
            <w:vAlign w:val="bottom"/>
            <w:hideMark/>
          </w:tcPr>
          <w:p w:rsidR="00CB350B" w:rsidRPr="00E01B24" w:rsidP="00257E12">
            <w:pPr>
              <w:bidi w:val="0"/>
              <w:spacing w:line="217" w:lineRule="atLeast"/>
              <w:jc w:val="center"/>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31.12.2009</w:t>
            </w:r>
          </w:p>
        </w:tc>
        <w:tc>
          <w:tcPr>
            <w:tcW w:w="996" w:type="dxa"/>
            <w:tcBorders>
              <w:top w:val="none" w:sz="0" w:space="0" w:color="auto"/>
              <w:left w:val="single" w:sz="4" w:space="0" w:color="000000"/>
              <w:bottom w:val="single" w:sz="4" w:space="0" w:color="000000"/>
              <w:right w:val="none" w:sz="0" w:space="0" w:color="auto"/>
            </w:tcBorders>
            <w:tcMar>
              <w:top w:w="0" w:type="dxa"/>
              <w:left w:w="70" w:type="dxa"/>
              <w:bottom w:w="0" w:type="dxa"/>
              <w:right w:w="70" w:type="dxa"/>
            </w:tcMar>
            <w:textDirection w:val="lrTb"/>
            <w:vAlign w:val="bottom"/>
            <w:hideMark/>
          </w:tcPr>
          <w:p w:rsidR="00CB350B" w:rsidRPr="00E01B24" w:rsidP="00257E12">
            <w:pPr>
              <w:bidi w:val="0"/>
              <w:spacing w:line="217" w:lineRule="atLeast"/>
              <w:jc w:val="center"/>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31.12.2010</w:t>
            </w:r>
          </w:p>
        </w:tc>
        <w:tc>
          <w:tcPr>
            <w:tcW w:w="996" w:type="dxa"/>
            <w:tcBorders>
              <w:top w:val="none" w:sz="0" w:space="0" w:color="auto"/>
              <w:left w:val="single" w:sz="4" w:space="0" w:color="000000"/>
              <w:bottom w:val="single" w:sz="4" w:space="0" w:color="000000"/>
              <w:right w:val="none" w:sz="0" w:space="0" w:color="auto"/>
            </w:tcBorders>
            <w:tcMar>
              <w:top w:w="0" w:type="dxa"/>
              <w:left w:w="70" w:type="dxa"/>
              <w:bottom w:w="0" w:type="dxa"/>
              <w:right w:w="70" w:type="dxa"/>
            </w:tcMar>
            <w:textDirection w:val="lrTb"/>
            <w:vAlign w:val="bottom"/>
            <w:hideMark/>
          </w:tcPr>
          <w:p w:rsidR="00CB350B" w:rsidRPr="00E01B24" w:rsidP="00257E12">
            <w:pPr>
              <w:bidi w:val="0"/>
              <w:spacing w:line="217" w:lineRule="atLeast"/>
              <w:jc w:val="center"/>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30.6.2011</w:t>
            </w:r>
          </w:p>
        </w:tc>
        <w:tc>
          <w:tcPr>
            <w:tcW w:w="996" w:type="dxa"/>
            <w:tcBorders>
              <w:top w:val="none" w:sz="0" w:space="0" w:color="auto"/>
              <w:left w:val="single" w:sz="4" w:space="0" w:color="000000"/>
              <w:bottom w:val="single" w:sz="4" w:space="0" w:color="000000"/>
              <w:right w:val="none" w:sz="0" w:space="0" w:color="auto"/>
            </w:tcBorders>
            <w:tcMar>
              <w:top w:w="0" w:type="dxa"/>
              <w:left w:w="70" w:type="dxa"/>
              <w:bottom w:w="0" w:type="dxa"/>
              <w:right w:w="70" w:type="dxa"/>
            </w:tcMar>
            <w:textDirection w:val="lrTb"/>
            <w:vAlign w:val="bottom"/>
            <w:hideMark/>
          </w:tcPr>
          <w:p w:rsidR="00CB350B" w:rsidRPr="00E01B24" w:rsidP="00257E12">
            <w:pPr>
              <w:bidi w:val="0"/>
              <w:spacing w:line="217" w:lineRule="atLeast"/>
              <w:jc w:val="center"/>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31.12.2011</w:t>
            </w:r>
          </w:p>
        </w:tc>
        <w:tc>
          <w:tcPr>
            <w:tcW w:w="996" w:type="dxa"/>
            <w:tcBorders>
              <w:top w:val="none" w:sz="0" w:space="0" w:color="auto"/>
              <w:left w:val="single" w:sz="4" w:space="0" w:color="000000"/>
              <w:bottom w:val="single" w:sz="4" w:space="0" w:color="000000"/>
              <w:right w:val="none" w:sz="0" w:space="0" w:color="auto"/>
            </w:tcBorders>
            <w:tcMar>
              <w:top w:w="0" w:type="dxa"/>
              <w:left w:w="70" w:type="dxa"/>
              <w:bottom w:w="0" w:type="dxa"/>
              <w:right w:w="70" w:type="dxa"/>
            </w:tcMar>
            <w:textDirection w:val="lrTb"/>
            <w:vAlign w:val="bottom"/>
            <w:hideMark/>
          </w:tcPr>
          <w:p w:rsidR="00CB350B" w:rsidRPr="00E01B24" w:rsidP="00257E12">
            <w:pPr>
              <w:bidi w:val="0"/>
              <w:spacing w:line="217" w:lineRule="atLeast"/>
              <w:jc w:val="center"/>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31.12.2012</w:t>
            </w:r>
          </w:p>
        </w:tc>
        <w:tc>
          <w:tcPr>
            <w:tcW w:w="996" w:type="dxa"/>
            <w:tcBorders>
              <w:top w:val="none" w:sz="0" w:space="0" w:color="auto"/>
              <w:left w:val="single" w:sz="4" w:space="0" w:color="000000"/>
              <w:bottom w:val="single" w:sz="4" w:space="0" w:color="000000"/>
              <w:right w:val="none" w:sz="0" w:space="0" w:color="auto"/>
            </w:tcBorders>
            <w:tcMar>
              <w:top w:w="0" w:type="dxa"/>
              <w:left w:w="70" w:type="dxa"/>
              <w:bottom w:w="0" w:type="dxa"/>
              <w:right w:w="70" w:type="dxa"/>
            </w:tcMar>
            <w:textDirection w:val="lrTb"/>
            <w:vAlign w:val="bottom"/>
            <w:hideMark/>
          </w:tcPr>
          <w:p w:rsidR="00CB350B" w:rsidRPr="00E01B24" w:rsidP="00257E12">
            <w:pPr>
              <w:bidi w:val="0"/>
              <w:spacing w:line="217" w:lineRule="atLeast"/>
              <w:jc w:val="center"/>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31.12.2013</w:t>
            </w:r>
          </w:p>
        </w:tc>
        <w:tc>
          <w:tcPr>
            <w:tcW w:w="996"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spacing w:line="217" w:lineRule="atLeast"/>
              <w:jc w:val="center"/>
              <w:rPr>
                <w:rFonts w:ascii="Times New Roman" w:hAnsi="Times New Roman" w:cs="Times New Roman"/>
                <w:lang w:eastAsia="sk-SK"/>
              </w:rPr>
            </w:pPr>
            <w:r w:rsidRPr="00E01B24">
              <w:rPr>
                <w:rFonts w:ascii="Times New Roman" w:hAnsi="Times New Roman" w:cs="Times New Roman"/>
                <w:b/>
                <w:bCs/>
                <w:color w:val="000000"/>
                <w:sz w:val="14"/>
                <w:szCs w:val="14"/>
                <w:lang w:eastAsia="sk-SK"/>
              </w:rPr>
              <w:t>31.12.2014</w:t>
            </w:r>
          </w:p>
        </w:tc>
      </w:tr>
      <w:tr>
        <w:tblPrEx>
          <w:tblW w:w="9397" w:type="dxa"/>
          <w:tblCellMar>
            <w:left w:w="0" w:type="dxa"/>
            <w:right w:w="0" w:type="dxa"/>
          </w:tblCellMar>
          <w:tblLook w:val="04A0"/>
        </w:tblPrEx>
        <w:trPr>
          <w:trHeight w:val="255"/>
        </w:trPr>
        <w:tc>
          <w:tcPr>
            <w:tcW w:w="2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rPr>
                <w:rFonts w:ascii="Times New Roman" w:hAnsi="Times New Roman" w:cs="Times New Roman"/>
                <w:lang w:eastAsia="sk-SK"/>
              </w:rPr>
            </w:pPr>
            <w:r w:rsidRPr="00E01B24">
              <w:rPr>
                <w:rFonts w:ascii="Times New Roman" w:hAnsi="Times New Roman" w:cs="Times New Roman"/>
                <w:color w:val="000000"/>
                <w:sz w:val="14"/>
                <w:szCs w:val="14"/>
                <w:lang w:eastAsia="sk-SK"/>
              </w:rPr>
              <w:t>Mimorozpočtové prostriedky</w:t>
            </w:r>
          </w:p>
        </w:tc>
        <w:tc>
          <w:tcPr>
            <w:tcW w:w="996"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23 781 514</w:t>
            </w:r>
          </w:p>
        </w:tc>
        <w:tc>
          <w:tcPr>
            <w:tcW w:w="996"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26 543 764</w:t>
            </w:r>
          </w:p>
        </w:tc>
        <w:tc>
          <w:tcPr>
            <w:tcW w:w="996"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20 875 851</w:t>
            </w:r>
          </w:p>
        </w:tc>
        <w:tc>
          <w:tcPr>
            <w:tcW w:w="996"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45 490 000</w:t>
            </w:r>
          </w:p>
        </w:tc>
        <w:tc>
          <w:tcPr>
            <w:tcW w:w="996"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37 019 000</w:t>
            </w:r>
          </w:p>
        </w:tc>
        <w:tc>
          <w:tcPr>
            <w:tcW w:w="996"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17 086 000</w:t>
            </w:r>
          </w:p>
        </w:tc>
        <w:tc>
          <w:tcPr>
            <w:tcW w:w="996"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E01B24" w:rsidP="00257E12">
            <w:pPr>
              <w:bidi w:val="0"/>
              <w:jc w:val="right"/>
              <w:rPr>
                <w:rFonts w:ascii="Times New Roman" w:hAnsi="Times New Roman" w:cs="Times New Roman"/>
                <w:lang w:eastAsia="sk-SK"/>
              </w:rPr>
            </w:pPr>
            <w:r w:rsidRPr="00E01B24">
              <w:rPr>
                <w:rFonts w:ascii="Times New Roman" w:hAnsi="Times New Roman" w:cs="Times New Roman"/>
                <w:color w:val="000000"/>
                <w:sz w:val="14"/>
                <w:szCs w:val="14"/>
                <w:lang w:eastAsia="sk-SK"/>
              </w:rPr>
              <w:t>14 533 000</w:t>
            </w:r>
          </w:p>
        </w:tc>
      </w:tr>
    </w:tbl>
    <w:p w:rsidR="00CB350B" w:rsidRPr="00F43064" w:rsidP="00CB350B">
      <w:pPr>
        <w:bidi w:val="0"/>
        <w:rPr>
          <w:rFonts w:ascii="Times New Roman" w:hAnsi="Times New Roman" w:cs="Times New Roman"/>
          <w:lang w:eastAsia="sk-SK"/>
        </w:rPr>
      </w:pPr>
      <w:r w:rsidRPr="00F43064">
        <w:rPr>
          <w:rFonts w:ascii="Times New Roman" w:hAnsi="Times New Roman" w:cs="Times New Roman"/>
          <w:b/>
          <w:bCs/>
          <w:lang w:eastAsia="sk-SK"/>
        </w:rPr>
        <w:t>  </w:t>
      </w:r>
      <w:r w:rsidRPr="00F43064">
        <w:rPr>
          <w:rFonts w:ascii="Times New Roman" w:hAnsi="Times New Roman" w:cs="Times New Roman"/>
          <w:lang w:eastAsia="sk-SK"/>
        </w:rPr>
        <w:t> </w:t>
      </w:r>
    </w:p>
    <w:p w:rsidR="00CB350B" w:rsidRPr="00F43064" w:rsidP="00CB350B">
      <w:pPr>
        <w:pBdr>
          <w:bottom w:val="single" w:sz="4" w:space="1" w:color="000000"/>
        </w:pBdr>
        <w:bidi w:val="0"/>
        <w:jc w:val="both"/>
        <w:rPr>
          <w:rFonts w:ascii="Times New Roman" w:hAnsi="Times New Roman" w:cs="Times New Roman"/>
          <w:lang w:eastAsia="sk-SK"/>
        </w:rPr>
      </w:pPr>
      <w:r w:rsidRPr="00F43064">
        <w:rPr>
          <w:rFonts w:ascii="Times New Roman" w:hAnsi="Times New Roman" w:cs="Times New Roman"/>
          <w:b/>
          <w:bCs/>
          <w:lang w:eastAsia="sk-SK"/>
        </w:rPr>
        <w:t>Slovenská akadémia vied</w:t>
      </w:r>
    </w:p>
    <w:p w:rsidR="00CB350B" w:rsidRPr="00F43064" w:rsidP="00CB350B">
      <w:pPr>
        <w:bidi w:val="0"/>
        <w:jc w:val="both"/>
        <w:rPr>
          <w:rFonts w:ascii="Times New Roman" w:hAnsi="Times New Roman" w:cs="Times New Roman"/>
          <w:lang w:eastAsia="sk-SK"/>
        </w:rPr>
      </w:pPr>
      <w:r w:rsidRPr="00F43064">
        <w:rPr>
          <w:rFonts w:ascii="Times New Roman" w:hAnsi="Times New Roman" w:cs="Times New Roman"/>
          <w:lang w:eastAsia="sk-SK"/>
        </w:rPr>
        <w:t> </w:t>
      </w:r>
    </w:p>
    <w:tbl>
      <w:tblPr>
        <w:tblStyle w:val="TableNormal"/>
        <w:tblW w:w="5118" w:type="pct"/>
        <w:tblCellMar>
          <w:left w:w="0" w:type="dxa"/>
          <w:right w:w="0" w:type="dxa"/>
        </w:tblCellMar>
        <w:tblLook w:val="04A0"/>
      </w:tblPr>
      <w:tblGrid>
        <w:gridCol w:w="2841"/>
        <w:gridCol w:w="942"/>
        <w:gridCol w:w="941"/>
        <w:gridCol w:w="941"/>
        <w:gridCol w:w="941"/>
        <w:gridCol w:w="941"/>
        <w:gridCol w:w="941"/>
        <w:gridCol w:w="941"/>
      </w:tblGrid>
      <w:tr>
        <w:tblPrEx>
          <w:tblW w:w="5118" w:type="pct"/>
          <w:tblCellMar>
            <w:left w:w="0" w:type="dxa"/>
            <w:right w:w="0" w:type="dxa"/>
          </w:tblCellMar>
          <w:tblLook w:val="04A0"/>
        </w:tblPrEx>
        <w:trPr>
          <w:trHeight w:val="259"/>
        </w:trPr>
        <w:tc>
          <w:tcPr>
            <w:tcW w:w="150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b/>
                <w:bCs/>
                <w:sz w:val="14"/>
                <w:szCs w:val="14"/>
                <w:lang w:eastAsia="sk-SK"/>
              </w:rPr>
              <w:t>v eurách</w:t>
            </w:r>
          </w:p>
        </w:tc>
        <w:tc>
          <w:tcPr>
            <w:tcW w:w="499"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center"/>
              <w:rPr>
                <w:rFonts w:ascii="Times New Roman" w:hAnsi="Times New Roman" w:cs="Times New Roman"/>
                <w:lang w:eastAsia="sk-SK"/>
              </w:rPr>
            </w:pPr>
            <w:r w:rsidRPr="00F43064">
              <w:rPr>
                <w:rFonts w:ascii="Times New Roman" w:hAnsi="Times New Roman" w:cs="Times New Roman"/>
                <w:b/>
                <w:bCs/>
                <w:sz w:val="14"/>
                <w:szCs w:val="14"/>
                <w:lang w:eastAsia="sk-SK"/>
              </w:rPr>
              <w:t>2009 S</w:t>
            </w:r>
          </w:p>
        </w:tc>
        <w:tc>
          <w:tcPr>
            <w:tcW w:w="499"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center"/>
              <w:rPr>
                <w:rFonts w:ascii="Times New Roman" w:hAnsi="Times New Roman" w:cs="Times New Roman"/>
                <w:lang w:eastAsia="sk-SK"/>
              </w:rPr>
            </w:pPr>
            <w:r w:rsidRPr="00F43064">
              <w:rPr>
                <w:rFonts w:ascii="Times New Roman" w:hAnsi="Times New Roman" w:cs="Times New Roman"/>
                <w:b/>
                <w:bCs/>
                <w:sz w:val="14"/>
                <w:szCs w:val="14"/>
                <w:lang w:eastAsia="sk-SK"/>
              </w:rPr>
              <w:t>2010 S</w:t>
            </w:r>
          </w:p>
        </w:tc>
        <w:tc>
          <w:tcPr>
            <w:tcW w:w="499"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center"/>
              <w:rPr>
                <w:rFonts w:ascii="Times New Roman" w:hAnsi="Times New Roman" w:cs="Times New Roman"/>
                <w:lang w:eastAsia="sk-SK"/>
              </w:rPr>
            </w:pPr>
            <w:r w:rsidRPr="00F43064">
              <w:rPr>
                <w:rFonts w:ascii="Times New Roman" w:hAnsi="Times New Roman" w:cs="Times New Roman"/>
                <w:b/>
                <w:bCs/>
                <w:sz w:val="14"/>
                <w:szCs w:val="14"/>
                <w:lang w:eastAsia="sk-SK"/>
              </w:rPr>
              <w:t>2011 R</w:t>
            </w:r>
          </w:p>
        </w:tc>
        <w:tc>
          <w:tcPr>
            <w:tcW w:w="499"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center"/>
              <w:rPr>
                <w:rFonts w:ascii="Times New Roman" w:hAnsi="Times New Roman" w:cs="Times New Roman"/>
                <w:lang w:eastAsia="sk-SK"/>
              </w:rPr>
            </w:pPr>
            <w:r w:rsidRPr="00F43064">
              <w:rPr>
                <w:rFonts w:ascii="Times New Roman" w:hAnsi="Times New Roman" w:cs="Times New Roman"/>
                <w:b/>
                <w:bCs/>
                <w:sz w:val="14"/>
                <w:szCs w:val="14"/>
                <w:lang w:eastAsia="sk-SK"/>
              </w:rPr>
              <w:t>2011 OS</w:t>
            </w:r>
          </w:p>
        </w:tc>
        <w:tc>
          <w:tcPr>
            <w:tcW w:w="499"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center"/>
              <w:rPr>
                <w:rFonts w:ascii="Times New Roman" w:hAnsi="Times New Roman" w:cs="Times New Roman"/>
                <w:lang w:eastAsia="sk-SK"/>
              </w:rPr>
            </w:pPr>
            <w:r w:rsidRPr="00F43064">
              <w:rPr>
                <w:rFonts w:ascii="Times New Roman" w:hAnsi="Times New Roman" w:cs="Times New Roman"/>
                <w:b/>
                <w:bCs/>
                <w:sz w:val="14"/>
                <w:szCs w:val="14"/>
                <w:lang w:eastAsia="sk-SK"/>
              </w:rPr>
              <w:t>2012 N</w:t>
            </w:r>
          </w:p>
        </w:tc>
        <w:tc>
          <w:tcPr>
            <w:tcW w:w="499"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center"/>
              <w:rPr>
                <w:rFonts w:ascii="Times New Roman" w:hAnsi="Times New Roman" w:cs="Times New Roman"/>
                <w:lang w:eastAsia="sk-SK"/>
              </w:rPr>
            </w:pPr>
            <w:r w:rsidRPr="00F43064">
              <w:rPr>
                <w:rFonts w:ascii="Times New Roman" w:hAnsi="Times New Roman" w:cs="Times New Roman"/>
                <w:b/>
                <w:bCs/>
                <w:sz w:val="14"/>
                <w:szCs w:val="14"/>
                <w:lang w:eastAsia="sk-SK"/>
              </w:rPr>
              <w:t>2013 N</w:t>
            </w:r>
          </w:p>
        </w:tc>
        <w:tc>
          <w:tcPr>
            <w:tcW w:w="499"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center"/>
              <w:rPr>
                <w:rFonts w:ascii="Times New Roman" w:hAnsi="Times New Roman" w:cs="Times New Roman"/>
                <w:lang w:eastAsia="sk-SK"/>
              </w:rPr>
            </w:pPr>
            <w:r w:rsidRPr="00F43064">
              <w:rPr>
                <w:rFonts w:ascii="Times New Roman" w:hAnsi="Times New Roman" w:cs="Times New Roman"/>
                <w:b/>
                <w:bCs/>
                <w:sz w:val="14"/>
                <w:szCs w:val="14"/>
                <w:lang w:eastAsia="sk-SK"/>
              </w:rPr>
              <w:t>2014 N</w:t>
            </w:r>
          </w:p>
        </w:tc>
      </w:tr>
      <w:tr>
        <w:tblPrEx>
          <w:tblW w:w="5118" w:type="pct"/>
          <w:tblCellMar>
            <w:left w:w="0" w:type="dxa"/>
            <w:right w:w="0" w:type="dxa"/>
          </w:tblCellMar>
          <w:tblLook w:val="04A0"/>
        </w:tblPrEx>
        <w:trPr>
          <w:trHeight w:val="259"/>
        </w:trPr>
        <w:tc>
          <w:tcPr>
            <w:tcW w:w="1506"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b/>
                <w:bCs/>
                <w:sz w:val="14"/>
                <w:szCs w:val="14"/>
                <w:lang w:eastAsia="sk-SK"/>
              </w:rPr>
              <w:t>Zdroje kapitoly</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72 873 550</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83 840 025</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59 551 028</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78 333 071</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58 985 607</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58 922 738</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58 922 738</w:t>
            </w:r>
          </w:p>
        </w:tc>
      </w:tr>
      <w:tr>
        <w:tblPrEx>
          <w:tblW w:w="5118" w:type="pct"/>
          <w:tblCellMar>
            <w:left w:w="0" w:type="dxa"/>
            <w:right w:w="0" w:type="dxa"/>
          </w:tblCellMar>
          <w:tblLook w:val="04A0"/>
        </w:tblPrEx>
        <w:trPr>
          <w:trHeight w:val="259"/>
        </w:trPr>
        <w:tc>
          <w:tcPr>
            <w:tcW w:w="1506"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sz w:val="14"/>
                <w:szCs w:val="14"/>
                <w:lang w:eastAsia="sk-SK"/>
              </w:rPr>
              <w:t xml:space="preserve">rozpočtové zdroje kapitoly </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64 438 872</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67 650 616</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59 551 028</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62 612 033</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58 985 607</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58 922 738</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58 922 738</w:t>
            </w:r>
          </w:p>
        </w:tc>
      </w:tr>
      <w:tr>
        <w:tblPrEx>
          <w:tblW w:w="5118" w:type="pct"/>
          <w:tblCellMar>
            <w:left w:w="0" w:type="dxa"/>
            <w:right w:w="0" w:type="dxa"/>
          </w:tblCellMar>
          <w:tblLook w:val="04A0"/>
        </w:tblPrEx>
        <w:trPr>
          <w:trHeight w:val="259"/>
        </w:trPr>
        <w:tc>
          <w:tcPr>
            <w:tcW w:w="1506"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sz w:val="14"/>
                <w:szCs w:val="14"/>
                <w:lang w:eastAsia="sk-SK"/>
              </w:rPr>
              <w:t>     tom: bežné výdavky 600</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sz w:val="14"/>
                <w:szCs w:val="14"/>
                <w:lang w:eastAsia="sk-SK"/>
              </w:rPr>
              <w:t>56 964 255</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sz w:val="14"/>
                <w:szCs w:val="14"/>
                <w:lang w:eastAsia="sk-SK"/>
              </w:rPr>
              <w:t>61 219 905</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sz w:val="14"/>
                <w:szCs w:val="14"/>
                <w:lang w:eastAsia="sk-SK"/>
              </w:rPr>
              <w:t>59 011 395</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sz w:val="14"/>
                <w:szCs w:val="14"/>
                <w:lang w:eastAsia="sk-SK"/>
              </w:rPr>
              <w:t>59 072 400</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sz w:val="14"/>
                <w:szCs w:val="14"/>
                <w:lang w:eastAsia="sk-SK"/>
              </w:rPr>
              <w:t>58 445 974</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sz w:val="14"/>
                <w:szCs w:val="14"/>
                <w:lang w:eastAsia="sk-SK"/>
              </w:rPr>
              <w:t>58 383 105</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sz w:val="14"/>
                <w:szCs w:val="14"/>
                <w:lang w:eastAsia="sk-SK"/>
              </w:rPr>
              <w:t>58 383 105</w:t>
            </w:r>
          </w:p>
        </w:tc>
      </w:tr>
      <w:tr>
        <w:tblPrEx>
          <w:tblW w:w="5118" w:type="pct"/>
          <w:tblCellMar>
            <w:left w:w="0" w:type="dxa"/>
            <w:right w:w="0" w:type="dxa"/>
          </w:tblCellMar>
          <w:tblLook w:val="04A0"/>
        </w:tblPrEx>
        <w:trPr>
          <w:trHeight w:val="259"/>
        </w:trPr>
        <w:tc>
          <w:tcPr>
            <w:tcW w:w="1506"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                        610 mzdy</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19 695 334</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sz w:val="14"/>
                <w:szCs w:val="14"/>
                <w:lang w:eastAsia="sk-SK"/>
              </w:rPr>
              <w:t>20 350 095</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19 236 664</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19 236 664</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19 236 664</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19 190 077</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19 190 077</w:t>
            </w:r>
          </w:p>
        </w:tc>
      </w:tr>
      <w:tr>
        <w:tblPrEx>
          <w:tblW w:w="5118" w:type="pct"/>
          <w:tblCellMar>
            <w:left w:w="0" w:type="dxa"/>
            <w:right w:w="0" w:type="dxa"/>
          </w:tblCellMar>
          <w:tblLook w:val="04A0"/>
        </w:tblPrEx>
        <w:trPr>
          <w:trHeight w:val="259"/>
        </w:trPr>
        <w:tc>
          <w:tcPr>
            <w:tcW w:w="1506"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                        620 odvody</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6 633 451</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sz w:val="14"/>
                <w:szCs w:val="14"/>
                <w:lang w:eastAsia="sk-SK"/>
              </w:rPr>
              <w:t>6 891 107</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6 328 122</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6 675 122</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6 675 122</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6 658 840</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6 658 840</w:t>
            </w:r>
          </w:p>
        </w:tc>
      </w:tr>
      <w:tr>
        <w:tblPrEx>
          <w:tblW w:w="5118" w:type="pct"/>
          <w:tblCellMar>
            <w:left w:w="0" w:type="dxa"/>
            <w:right w:w="0" w:type="dxa"/>
          </w:tblCellMar>
          <w:tblLook w:val="04A0"/>
        </w:tblPrEx>
        <w:trPr>
          <w:trHeight w:val="259"/>
        </w:trPr>
        <w:tc>
          <w:tcPr>
            <w:tcW w:w="1506"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                        630 tovary a služby</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8 374 157</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sz w:val="14"/>
                <w:szCs w:val="14"/>
                <w:lang w:eastAsia="sk-SK"/>
              </w:rPr>
              <w:t>10 642 912</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11 308 423</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10 082 122</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10 396 002</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10 396 002</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10 396 002</w:t>
            </w:r>
          </w:p>
        </w:tc>
      </w:tr>
      <w:tr>
        <w:tblPrEx>
          <w:tblW w:w="5118" w:type="pct"/>
          <w:tblCellMar>
            <w:left w:w="0" w:type="dxa"/>
            <w:right w:w="0" w:type="dxa"/>
          </w:tblCellMar>
          <w:tblLook w:val="04A0"/>
        </w:tblPrEx>
        <w:trPr>
          <w:trHeight w:val="259"/>
        </w:trPr>
        <w:tc>
          <w:tcPr>
            <w:tcW w:w="1506"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                        640 bežné transfery</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22 261 313</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sz w:val="14"/>
                <w:szCs w:val="14"/>
                <w:lang w:eastAsia="sk-SK"/>
              </w:rPr>
              <w:t>23 335 791</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22 138 186</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23 078 492</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22 138 186</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22 138 186</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22 138 186</w:t>
            </w:r>
          </w:p>
        </w:tc>
      </w:tr>
      <w:tr>
        <w:tblPrEx>
          <w:tblW w:w="5118" w:type="pct"/>
          <w:tblCellMar>
            <w:left w:w="0" w:type="dxa"/>
            <w:right w:w="0" w:type="dxa"/>
          </w:tblCellMar>
          <w:tblLook w:val="04A0"/>
        </w:tblPrEx>
        <w:trPr>
          <w:trHeight w:val="259"/>
        </w:trPr>
        <w:tc>
          <w:tcPr>
            <w:tcW w:w="1506"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sz w:val="14"/>
                <w:szCs w:val="14"/>
                <w:lang w:eastAsia="sk-SK"/>
              </w:rPr>
              <w:t>              kapitálové výdavky 700</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7 474 617</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sz w:val="14"/>
                <w:szCs w:val="14"/>
                <w:lang w:eastAsia="sk-SK"/>
              </w:rPr>
              <w:t>6 430 711</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539 633</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3 539 633</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539 633</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539 633</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539 633</w:t>
            </w:r>
          </w:p>
        </w:tc>
      </w:tr>
      <w:tr>
        <w:tblPrEx>
          <w:tblW w:w="5118" w:type="pct"/>
          <w:tblCellMar>
            <w:left w:w="0" w:type="dxa"/>
            <w:right w:w="0" w:type="dxa"/>
          </w:tblCellMar>
          <w:tblLook w:val="04A0"/>
        </w:tblPrEx>
        <w:trPr>
          <w:trHeight w:val="259"/>
        </w:trPr>
        <w:tc>
          <w:tcPr>
            <w:tcW w:w="1506"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sz w:val="14"/>
                <w:szCs w:val="14"/>
                <w:lang w:eastAsia="sk-SK"/>
              </w:rPr>
              <w:t>zdroje  EU</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1 398 972</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7 360 182</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0</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10 136 235</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0</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0</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0</w:t>
            </w:r>
          </w:p>
        </w:tc>
      </w:tr>
      <w:tr>
        <w:tblPrEx>
          <w:tblW w:w="5118" w:type="pct"/>
          <w:tblCellMar>
            <w:left w:w="0" w:type="dxa"/>
            <w:right w:w="0" w:type="dxa"/>
          </w:tblCellMar>
          <w:tblLook w:val="04A0"/>
        </w:tblPrEx>
        <w:trPr>
          <w:trHeight w:val="259"/>
        </w:trPr>
        <w:tc>
          <w:tcPr>
            <w:tcW w:w="1506"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sz w:val="14"/>
                <w:szCs w:val="14"/>
                <w:lang w:eastAsia="sk-SK"/>
              </w:rPr>
              <w:t>spolufinancovanie zo ŠR</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314 883</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1 286 493</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0</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1 809 944</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0</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0</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0</w:t>
            </w:r>
          </w:p>
        </w:tc>
      </w:tr>
      <w:tr>
        <w:tblPrEx>
          <w:tblW w:w="5118" w:type="pct"/>
          <w:tblCellMar>
            <w:left w:w="0" w:type="dxa"/>
            <w:right w:w="0" w:type="dxa"/>
          </w:tblCellMar>
          <w:tblLook w:val="04A0"/>
        </w:tblPrEx>
        <w:trPr>
          <w:trHeight w:val="259"/>
        </w:trPr>
        <w:tc>
          <w:tcPr>
            <w:tcW w:w="1506" w:type="pct"/>
            <w:tcBorders>
              <w:top w:val="none" w:sz="0" w:space="0" w:color="auto"/>
              <w:left w:val="single" w:sz="4" w:space="0" w:color="000000"/>
              <w:bottom w:val="single" w:sz="4" w:space="0" w:color="000000"/>
              <w:right w:val="none" w:sz="0" w:space="0" w:color="auto"/>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presun z minulých rokov § 8 ŠR</w:t>
            </w:r>
          </w:p>
        </w:tc>
        <w:tc>
          <w:tcPr>
            <w:tcW w:w="499"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98 950</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2 092 650</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0</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441 939</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0</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0</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0</w:t>
            </w:r>
          </w:p>
        </w:tc>
      </w:tr>
      <w:tr>
        <w:tblPrEx>
          <w:tblW w:w="5118" w:type="pct"/>
          <w:tblCellMar>
            <w:left w:w="0" w:type="dxa"/>
            <w:right w:w="0" w:type="dxa"/>
          </w:tblCellMar>
          <w:tblLook w:val="04A0"/>
        </w:tblPrEx>
        <w:trPr>
          <w:trHeight w:val="259"/>
        </w:trPr>
        <w:tc>
          <w:tcPr>
            <w:tcW w:w="1506"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sz w:val="14"/>
                <w:szCs w:val="14"/>
                <w:lang w:eastAsia="sk-SK"/>
              </w:rPr>
              <w:t>iné zdroje*</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6 621 873</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5 450 084</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0</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3 332 920</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0</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0</w:t>
            </w:r>
          </w:p>
        </w:tc>
        <w:tc>
          <w:tcPr>
            <w:tcW w:w="49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0</w:t>
            </w:r>
          </w:p>
        </w:tc>
      </w:tr>
    </w:tbl>
    <w:p w:rsidR="00CB350B" w:rsidRPr="00F43064" w:rsidP="00CB350B">
      <w:pPr>
        <w:bidi w:val="0"/>
        <w:jc w:val="both"/>
        <w:rPr>
          <w:rFonts w:ascii="Times New Roman" w:hAnsi="Times New Roman" w:cs="Times New Roman"/>
          <w:lang w:eastAsia="sk-SK"/>
        </w:rPr>
      </w:pPr>
      <w:r w:rsidRPr="00F43064">
        <w:rPr>
          <w:rFonts w:ascii="Times New Roman" w:hAnsi="Times New Roman" w:cs="Times New Roman"/>
          <w:color w:val="000000"/>
          <w:sz w:val="14"/>
          <w:szCs w:val="14"/>
          <w:lang w:eastAsia="sk-SK"/>
        </w:rPr>
        <w:t>*Zdroje z presunu od ostatných rozpočtových kapitol, zo zahraničia a mimorozpočtové zdroje</w:t>
      </w:r>
    </w:p>
    <w:p w:rsidR="00CB350B" w:rsidRPr="00F43064" w:rsidP="00CB350B">
      <w:pPr>
        <w:bidi w:val="0"/>
        <w:jc w:val="both"/>
        <w:rPr>
          <w:rFonts w:ascii="Times New Roman" w:hAnsi="Times New Roman" w:cs="Times New Roman"/>
          <w:lang w:eastAsia="sk-SK"/>
        </w:rPr>
      </w:pPr>
      <w:r w:rsidRPr="00F43064">
        <w:rPr>
          <w:rFonts w:ascii="Times New Roman" w:hAnsi="Times New Roman" w:cs="Times New Roman"/>
          <w:lang w:eastAsia="sk-SK"/>
        </w:rPr>
        <w:t> </w:t>
      </w:r>
    </w:p>
    <w:p w:rsidR="00CB350B" w:rsidRPr="00F43064" w:rsidP="00CB350B">
      <w:pPr>
        <w:bidi w:val="0"/>
        <w:ind w:firstLine="708"/>
        <w:jc w:val="both"/>
        <w:rPr>
          <w:rFonts w:ascii="Times New Roman" w:hAnsi="Times New Roman" w:cs="Times New Roman"/>
          <w:lang w:eastAsia="sk-SK"/>
        </w:rPr>
      </w:pPr>
      <w:r w:rsidRPr="00F43064">
        <w:rPr>
          <w:rFonts w:ascii="Times New Roman" w:hAnsi="Times New Roman" w:cs="Times New Roman"/>
          <w:lang w:eastAsia="sk-SK"/>
        </w:rPr>
        <w:t xml:space="preserve">Celkové zdroje SAV na rok 2012 sa rozpočtujú  v sume 58,9 mil. eur, čo predstavuje pokles oproti schválenému rozpočtu roku 2011 o 0,95 %. </w:t>
      </w:r>
    </w:p>
    <w:p w:rsidR="00CB350B" w:rsidRPr="00F43064" w:rsidP="00CB350B">
      <w:pPr>
        <w:bidi w:val="0"/>
        <w:jc w:val="both"/>
        <w:rPr>
          <w:rFonts w:ascii="Times New Roman" w:hAnsi="Times New Roman" w:cs="Times New Roman"/>
          <w:lang w:eastAsia="sk-SK"/>
        </w:rPr>
      </w:pPr>
      <w:r w:rsidRPr="00F43064">
        <w:rPr>
          <w:rFonts w:ascii="Times New Roman" w:hAnsi="Times New Roman" w:cs="Times New Roman"/>
          <w:lang w:eastAsia="sk-SK"/>
        </w:rPr>
        <w:t> </w:t>
      </w:r>
    </w:p>
    <w:p w:rsidR="00CB350B" w:rsidRPr="00F43064" w:rsidP="00CB350B">
      <w:pPr>
        <w:bidi w:val="0"/>
        <w:ind w:firstLine="708"/>
        <w:jc w:val="both"/>
        <w:rPr>
          <w:rFonts w:ascii="Times New Roman" w:hAnsi="Times New Roman" w:cs="Times New Roman"/>
          <w:lang w:eastAsia="sk-SK"/>
        </w:rPr>
      </w:pPr>
      <w:r w:rsidRPr="00F43064">
        <w:rPr>
          <w:rFonts w:ascii="Times New Roman" w:hAnsi="Times New Roman" w:cs="Times New Roman"/>
          <w:lang w:eastAsia="sk-SK"/>
        </w:rPr>
        <w:t xml:space="preserve">Bežné výdavky na rok 2012 v sume 58,4 mil. eur klesajú oproti schválenému rozpočtu roku 2011 o 0,96 %. </w:t>
      </w:r>
    </w:p>
    <w:p w:rsidR="00CB350B" w:rsidRPr="00F43064" w:rsidP="00CB350B">
      <w:pPr>
        <w:bidi w:val="0"/>
        <w:jc w:val="both"/>
        <w:rPr>
          <w:rFonts w:ascii="Times New Roman" w:hAnsi="Times New Roman" w:cs="Times New Roman"/>
          <w:lang w:eastAsia="sk-SK"/>
        </w:rPr>
      </w:pPr>
      <w:r w:rsidRPr="00F43064">
        <w:rPr>
          <w:rFonts w:ascii="Times New Roman" w:hAnsi="Times New Roman" w:cs="Times New Roman"/>
          <w:lang w:eastAsia="sk-SK"/>
        </w:rPr>
        <w:t> </w:t>
      </w:r>
    </w:p>
    <w:p w:rsidR="00CB350B" w:rsidRPr="00F43064" w:rsidP="00CB350B">
      <w:pPr>
        <w:bidi w:val="0"/>
        <w:ind w:firstLine="708"/>
        <w:jc w:val="both"/>
        <w:rPr>
          <w:rFonts w:ascii="Times New Roman" w:hAnsi="Times New Roman" w:cs="Times New Roman"/>
          <w:lang w:eastAsia="sk-SK"/>
        </w:rPr>
      </w:pPr>
      <w:r w:rsidRPr="00F43064">
        <w:rPr>
          <w:rFonts w:ascii="Times New Roman" w:hAnsi="Times New Roman" w:cs="Times New Roman"/>
          <w:lang w:eastAsia="sk-SK"/>
        </w:rPr>
        <w:t>Osobné výdavky sa rozpočtujú v sume 25,9 mil. eur, čo je o 347 tis. eur viac ako bol schválený rozpočet roku 2011. Nárast je spôsobený rozpisom  kategórie  odvody, kapitola navrhla  sumu  347 tis. eur, čo je o 5,48 % viac  oproti schválenému rozpočtu na rok 2011 z dôvodu zabezpečenia potrieb na zdravotné a sociálne poistenie zákonom stanovenej úrovni  pre rozpočtové organizácie.</w:t>
      </w:r>
    </w:p>
    <w:p w:rsidR="00CB350B" w:rsidRPr="00F43064" w:rsidP="00257E12">
      <w:pPr>
        <w:bidi w:val="0"/>
        <w:jc w:val="both"/>
        <w:rPr>
          <w:rFonts w:ascii="Times New Roman" w:hAnsi="Times New Roman" w:cs="Times New Roman"/>
          <w:lang w:eastAsia="sk-SK"/>
        </w:rPr>
      </w:pPr>
      <w:r w:rsidRPr="00F43064">
        <w:rPr>
          <w:rFonts w:ascii="Times New Roman" w:hAnsi="Times New Roman" w:cs="Times New Roman"/>
          <w:lang w:eastAsia="sk-SK"/>
        </w:rPr>
        <w:t> </w:t>
      </w:r>
      <w:r w:rsidR="00257E12">
        <w:rPr>
          <w:rFonts w:ascii="Times New Roman" w:hAnsi="Times New Roman" w:cs="Times New Roman"/>
          <w:lang w:eastAsia="sk-SK"/>
        </w:rPr>
        <w:tab/>
      </w:r>
      <w:r w:rsidRPr="00F43064">
        <w:rPr>
          <w:rFonts w:ascii="Times New Roman" w:hAnsi="Times New Roman" w:cs="Times New Roman"/>
          <w:lang w:eastAsia="sk-SK"/>
        </w:rPr>
        <w:t xml:space="preserve">Výdavky na tovary a služby na rok 2012 sa navrhujú v sume 10,4 mil. eur, čo predstavuje pokles o 8,07 % oproti schválenému rozpočtu roku 2011. Na poklese sa prejavuje prijaté úsporné opatrenie vo forme  5% viazania výdavkov, ako aj presun finančných prostriedkov, ktorými kapitola navrhla posilniť kategóriu odvody. </w:t>
      </w:r>
    </w:p>
    <w:p w:rsidR="00CB350B" w:rsidRPr="00F43064" w:rsidP="00CB350B">
      <w:pPr>
        <w:bidi w:val="0"/>
        <w:jc w:val="both"/>
        <w:rPr>
          <w:rFonts w:ascii="Times New Roman" w:hAnsi="Times New Roman" w:cs="Times New Roman"/>
          <w:lang w:eastAsia="sk-SK"/>
        </w:rPr>
      </w:pPr>
      <w:r w:rsidRPr="00F43064">
        <w:rPr>
          <w:rFonts w:ascii="Times New Roman" w:hAnsi="Times New Roman" w:cs="Times New Roman"/>
          <w:lang w:eastAsia="sk-SK"/>
        </w:rPr>
        <w:t> </w:t>
      </w:r>
    </w:p>
    <w:p w:rsidR="00CB350B" w:rsidRPr="00F43064" w:rsidP="00CB350B">
      <w:pPr>
        <w:bidi w:val="0"/>
        <w:ind w:firstLine="708"/>
        <w:jc w:val="both"/>
        <w:rPr>
          <w:rFonts w:ascii="Times New Roman" w:hAnsi="Times New Roman" w:cs="Times New Roman"/>
          <w:lang w:eastAsia="sk-SK"/>
        </w:rPr>
      </w:pPr>
      <w:r w:rsidRPr="00F43064">
        <w:rPr>
          <w:rFonts w:ascii="Times New Roman" w:hAnsi="Times New Roman" w:cs="Times New Roman"/>
          <w:lang w:eastAsia="sk-SK"/>
        </w:rPr>
        <w:t>Rozpočtovaná úroveň bežných transferov na rok 2012 v sume 22,1 mil. eur zodpovedá schválenému rozpočtu roku 2011. Prostriedky sú určené pre podporu výskumu v príspevkových organizáciách SAV a na financovanie štipendií doktorandov.</w:t>
      </w:r>
    </w:p>
    <w:p w:rsidR="00CB350B" w:rsidRPr="00F43064" w:rsidP="00CB350B">
      <w:pPr>
        <w:bidi w:val="0"/>
        <w:jc w:val="both"/>
        <w:rPr>
          <w:rFonts w:ascii="Times New Roman" w:hAnsi="Times New Roman" w:cs="Times New Roman"/>
          <w:lang w:eastAsia="sk-SK"/>
        </w:rPr>
      </w:pPr>
      <w:r w:rsidRPr="00F43064">
        <w:rPr>
          <w:rFonts w:ascii="Times New Roman" w:hAnsi="Times New Roman" w:cs="Times New Roman"/>
          <w:lang w:eastAsia="sk-SK"/>
        </w:rPr>
        <w:t> </w:t>
      </w:r>
    </w:p>
    <w:p w:rsidR="00CB350B" w:rsidRPr="00F43064" w:rsidP="00CB350B">
      <w:pPr>
        <w:bidi w:val="0"/>
        <w:ind w:firstLine="708"/>
        <w:jc w:val="both"/>
        <w:rPr>
          <w:rFonts w:ascii="Times New Roman" w:hAnsi="Times New Roman" w:cs="Times New Roman"/>
          <w:lang w:eastAsia="sk-SK"/>
        </w:rPr>
      </w:pPr>
      <w:r w:rsidRPr="00F43064">
        <w:rPr>
          <w:rFonts w:ascii="Times New Roman" w:hAnsi="Times New Roman" w:cs="Times New Roman"/>
          <w:lang w:eastAsia="sk-SK"/>
        </w:rPr>
        <w:t>Kapitálové výdavky v sume 539 tis. eur predstavujú úroveň schváleného rozpočtu roku 2011.</w:t>
      </w:r>
    </w:p>
    <w:p w:rsidR="00CB350B" w:rsidRPr="00F43064" w:rsidP="00CB350B">
      <w:pPr>
        <w:bidi w:val="0"/>
        <w:jc w:val="both"/>
        <w:rPr>
          <w:rFonts w:ascii="Times New Roman" w:hAnsi="Times New Roman" w:cs="Times New Roman"/>
          <w:lang w:eastAsia="sk-SK"/>
        </w:rPr>
      </w:pPr>
      <w:r w:rsidRPr="00F43064">
        <w:rPr>
          <w:rFonts w:ascii="Times New Roman" w:hAnsi="Times New Roman" w:cs="Times New Roman"/>
          <w:b/>
          <w:bCs/>
          <w:lang w:eastAsia="sk-SK"/>
        </w:rPr>
        <w:t> </w:t>
      </w:r>
    </w:p>
    <w:p w:rsidR="00CB350B" w:rsidRPr="00F43064" w:rsidP="00CB350B">
      <w:pPr>
        <w:bidi w:val="0"/>
        <w:ind w:firstLine="708"/>
        <w:jc w:val="both"/>
        <w:rPr>
          <w:rFonts w:ascii="Times New Roman" w:hAnsi="Times New Roman" w:cs="Times New Roman"/>
          <w:lang w:eastAsia="sk-SK"/>
        </w:rPr>
      </w:pPr>
      <w:r w:rsidRPr="00F43064">
        <w:rPr>
          <w:rFonts w:ascii="Times New Roman" w:hAnsi="Times New Roman" w:cs="Times New Roman"/>
          <w:lang w:eastAsia="sk-SK"/>
        </w:rPr>
        <w:t>Činnosť akadémie je zameraná na základný výskum, zúčastňuje sa aj na aplikovanom výskume a zabezpečuje tretí stupeň vysokoškolského vzdelávania.</w:t>
      </w:r>
    </w:p>
    <w:p w:rsidR="00CB350B" w:rsidP="00CB350B">
      <w:pPr>
        <w:bidi w:val="0"/>
        <w:jc w:val="both"/>
        <w:rPr>
          <w:rFonts w:ascii="Times New Roman" w:hAnsi="Times New Roman" w:cs="Times New Roman"/>
          <w:b/>
          <w:bCs/>
          <w:lang w:eastAsia="sk-SK"/>
        </w:rPr>
      </w:pPr>
    </w:p>
    <w:p w:rsidR="00CB350B" w:rsidRPr="00F43064" w:rsidP="00CB350B">
      <w:pPr>
        <w:bidi w:val="0"/>
        <w:jc w:val="both"/>
        <w:rPr>
          <w:rFonts w:ascii="Times New Roman" w:hAnsi="Times New Roman" w:cs="Times New Roman"/>
          <w:lang w:eastAsia="sk-SK"/>
        </w:rPr>
      </w:pPr>
      <w:r w:rsidRPr="00F43064">
        <w:rPr>
          <w:rFonts w:ascii="Times New Roman" w:hAnsi="Times New Roman" w:cs="Times New Roman"/>
          <w:b/>
          <w:bCs/>
          <w:lang w:eastAsia="sk-SK"/>
        </w:rPr>
        <w:t>Financovanie základného a aplikovaného výskumu</w:t>
      </w:r>
    </w:p>
    <w:p w:rsidR="00CB350B" w:rsidRPr="00F43064" w:rsidP="00CB350B">
      <w:pPr>
        <w:bidi w:val="0"/>
        <w:jc w:val="both"/>
        <w:rPr>
          <w:rFonts w:ascii="Times New Roman" w:hAnsi="Times New Roman" w:cs="Times New Roman"/>
          <w:lang w:eastAsia="sk-SK"/>
        </w:rPr>
      </w:pPr>
      <w:r w:rsidRPr="00F43064">
        <w:rPr>
          <w:rFonts w:ascii="Times New Roman" w:hAnsi="Times New Roman" w:cs="Times New Roman"/>
          <w:b/>
          <w:bCs/>
          <w:lang w:eastAsia="sk-SK"/>
        </w:rPr>
        <w:t> </w:t>
      </w:r>
    </w:p>
    <w:p w:rsidR="00CB350B" w:rsidRPr="00F43064" w:rsidP="00CB350B">
      <w:pPr>
        <w:bidi w:val="0"/>
        <w:ind w:firstLine="708"/>
        <w:jc w:val="both"/>
        <w:rPr>
          <w:rFonts w:ascii="Times New Roman" w:hAnsi="Times New Roman" w:cs="Times New Roman"/>
          <w:lang w:eastAsia="sk-SK"/>
        </w:rPr>
      </w:pPr>
      <w:r w:rsidRPr="00F43064">
        <w:rPr>
          <w:rFonts w:ascii="Times New Roman" w:hAnsi="Times New Roman" w:cs="Times New Roman"/>
          <w:lang w:eastAsia="sk-SK"/>
        </w:rPr>
        <w:t xml:space="preserve">SAV prostredníctvom svojich 48 rozpočtových organizácií a 21 príspevkových organizácií zabezpečuje riešenie úloh základného výskumu a aplikovaného výskumu. Na realizáciu výskumných úloh v roku 2012 kapitola rozpísala celkové výdavky v sume </w:t>
        <w:br/>
        <w:t xml:space="preserve">55,8 mil. eur, čo je oproti schválenému rozpočtu roku 2011 menej o 560 tis. eur, t. j.  </w:t>
        <w:br/>
        <w:t xml:space="preserve">o 0,99 %. </w:t>
      </w:r>
    </w:p>
    <w:p w:rsidR="00CB350B" w:rsidRPr="00F43064" w:rsidP="00CB350B">
      <w:pPr>
        <w:bidi w:val="0"/>
        <w:jc w:val="both"/>
        <w:rPr>
          <w:rFonts w:ascii="Times New Roman" w:hAnsi="Times New Roman" w:cs="Times New Roman"/>
          <w:lang w:eastAsia="sk-SK"/>
        </w:rPr>
      </w:pPr>
      <w:r w:rsidRPr="00F43064">
        <w:rPr>
          <w:rFonts w:ascii="Times New Roman" w:hAnsi="Times New Roman" w:cs="Times New Roman"/>
          <w:lang w:eastAsia="sk-SK"/>
        </w:rPr>
        <w:t> </w:t>
      </w:r>
    </w:p>
    <w:tbl>
      <w:tblPr>
        <w:tblStyle w:val="TableNormal"/>
        <w:tblW w:w="5000" w:type="pct"/>
        <w:tblCellMar>
          <w:left w:w="70" w:type="dxa"/>
          <w:right w:w="70" w:type="dxa"/>
        </w:tblCellMar>
        <w:tblLook w:val="04A0"/>
      </w:tblPr>
      <w:tblGrid>
        <w:gridCol w:w="3493"/>
        <w:gridCol w:w="846"/>
        <w:gridCol w:w="846"/>
        <w:gridCol w:w="846"/>
        <w:gridCol w:w="846"/>
        <w:gridCol w:w="779"/>
        <w:gridCol w:w="779"/>
        <w:gridCol w:w="777"/>
      </w:tblGrid>
      <w:tr>
        <w:tblPrEx>
          <w:tblW w:w="5000" w:type="pct"/>
          <w:tblCellMar>
            <w:left w:w="70" w:type="dxa"/>
            <w:right w:w="70" w:type="dxa"/>
          </w:tblCellMar>
          <w:tblLook w:val="04A0"/>
        </w:tblPrEx>
        <w:trPr>
          <w:trHeight w:val="330"/>
        </w:trPr>
        <w:tc>
          <w:tcPr>
            <w:tcW w:w="1896" w:type="pct"/>
            <w:tcBorders>
              <w:top w:val="single" w:sz="4" w:space="0" w:color="auto"/>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b/>
                <w:color w:val="000000"/>
                <w:sz w:val="14"/>
                <w:szCs w:val="16"/>
                <w:lang w:eastAsia="sk-SK"/>
              </w:rPr>
            </w:pPr>
            <w:r>
              <w:rPr>
                <w:rFonts w:ascii="Times New Roman" w:hAnsi="Times New Roman" w:cs="Times New Roman"/>
                <w:b/>
                <w:color w:val="000000"/>
                <w:sz w:val="14"/>
                <w:szCs w:val="16"/>
                <w:lang w:eastAsia="sk-SK"/>
              </w:rPr>
              <w:t>v eurách</w:t>
            </w:r>
          </w:p>
        </w:tc>
        <w:tc>
          <w:tcPr>
            <w:tcW w:w="459" w:type="pct"/>
            <w:tcBorders>
              <w:top w:val="single" w:sz="4" w:space="0" w:color="auto"/>
              <w:left w:val="nil"/>
              <w:bottom w:val="single" w:sz="4" w:space="0" w:color="auto"/>
              <w:right w:val="single" w:sz="4" w:space="0" w:color="auto"/>
            </w:tcBorders>
            <w:noWrap/>
            <w:textDirection w:val="lrTb"/>
            <w:vAlign w:val="bottom"/>
            <w:hideMark/>
          </w:tcPr>
          <w:p w:rsidR="00CB350B" w:rsidRPr="00784AAF" w:rsidP="00257E12">
            <w:pPr>
              <w:bidi w:val="0"/>
              <w:jc w:val="center"/>
              <w:rPr>
                <w:rFonts w:ascii="Times New Roman" w:hAnsi="Times New Roman" w:cs="Times New Roman"/>
                <w:b/>
                <w:color w:val="000000"/>
                <w:sz w:val="14"/>
                <w:szCs w:val="16"/>
                <w:lang w:eastAsia="sk-SK"/>
              </w:rPr>
            </w:pPr>
            <w:r w:rsidRPr="00784AAF">
              <w:rPr>
                <w:rFonts w:ascii="Times New Roman" w:hAnsi="Times New Roman" w:cs="Times New Roman"/>
                <w:b/>
                <w:color w:val="000000"/>
                <w:sz w:val="14"/>
                <w:szCs w:val="16"/>
                <w:lang w:eastAsia="sk-SK"/>
              </w:rPr>
              <w:t xml:space="preserve">2009S </w:t>
            </w:r>
          </w:p>
        </w:tc>
        <w:tc>
          <w:tcPr>
            <w:tcW w:w="459" w:type="pct"/>
            <w:tcBorders>
              <w:top w:val="single" w:sz="4" w:space="0" w:color="auto"/>
              <w:left w:val="nil"/>
              <w:bottom w:val="single" w:sz="4" w:space="0" w:color="auto"/>
              <w:right w:val="single" w:sz="4" w:space="0" w:color="auto"/>
            </w:tcBorders>
            <w:noWrap/>
            <w:textDirection w:val="lrTb"/>
            <w:vAlign w:val="bottom"/>
            <w:hideMark/>
          </w:tcPr>
          <w:p w:rsidR="00CB350B" w:rsidRPr="00784AAF" w:rsidP="00257E12">
            <w:pPr>
              <w:bidi w:val="0"/>
              <w:jc w:val="center"/>
              <w:rPr>
                <w:rFonts w:ascii="Times New Roman" w:hAnsi="Times New Roman" w:cs="Times New Roman"/>
                <w:b/>
                <w:color w:val="000000"/>
                <w:sz w:val="14"/>
                <w:szCs w:val="16"/>
                <w:lang w:eastAsia="sk-SK"/>
              </w:rPr>
            </w:pPr>
            <w:r w:rsidRPr="00784AAF">
              <w:rPr>
                <w:rFonts w:ascii="Times New Roman" w:hAnsi="Times New Roman" w:cs="Times New Roman"/>
                <w:b/>
                <w:color w:val="000000"/>
                <w:sz w:val="14"/>
                <w:szCs w:val="16"/>
                <w:lang w:eastAsia="sk-SK"/>
              </w:rPr>
              <w:t xml:space="preserve">2010S </w:t>
            </w:r>
          </w:p>
        </w:tc>
        <w:tc>
          <w:tcPr>
            <w:tcW w:w="459" w:type="pct"/>
            <w:tcBorders>
              <w:top w:val="single" w:sz="4" w:space="0" w:color="auto"/>
              <w:left w:val="nil"/>
              <w:bottom w:val="single" w:sz="4" w:space="0" w:color="auto"/>
              <w:right w:val="single" w:sz="4" w:space="0" w:color="auto"/>
            </w:tcBorders>
            <w:noWrap/>
            <w:textDirection w:val="lrTb"/>
            <w:vAlign w:val="bottom"/>
            <w:hideMark/>
          </w:tcPr>
          <w:p w:rsidR="00CB350B" w:rsidRPr="00784AAF" w:rsidP="00257E12">
            <w:pPr>
              <w:bidi w:val="0"/>
              <w:jc w:val="center"/>
              <w:rPr>
                <w:rFonts w:ascii="Times New Roman" w:hAnsi="Times New Roman" w:cs="Times New Roman"/>
                <w:b/>
                <w:color w:val="000000"/>
                <w:sz w:val="14"/>
                <w:szCs w:val="16"/>
                <w:lang w:eastAsia="sk-SK"/>
              </w:rPr>
            </w:pPr>
            <w:r w:rsidRPr="00784AAF">
              <w:rPr>
                <w:rFonts w:ascii="Times New Roman" w:hAnsi="Times New Roman" w:cs="Times New Roman"/>
                <w:b/>
                <w:color w:val="000000"/>
                <w:sz w:val="14"/>
                <w:szCs w:val="16"/>
                <w:lang w:eastAsia="sk-SK"/>
              </w:rPr>
              <w:t>2011 R</w:t>
            </w:r>
          </w:p>
        </w:tc>
        <w:tc>
          <w:tcPr>
            <w:tcW w:w="459" w:type="pct"/>
            <w:tcBorders>
              <w:top w:val="single" w:sz="4" w:space="0" w:color="auto"/>
              <w:left w:val="nil"/>
              <w:bottom w:val="single" w:sz="4" w:space="0" w:color="auto"/>
              <w:right w:val="single" w:sz="4" w:space="0" w:color="auto"/>
            </w:tcBorders>
            <w:noWrap/>
            <w:textDirection w:val="lrTb"/>
            <w:vAlign w:val="bottom"/>
            <w:hideMark/>
          </w:tcPr>
          <w:p w:rsidR="00CB350B" w:rsidRPr="00784AAF" w:rsidP="00257E12">
            <w:pPr>
              <w:bidi w:val="0"/>
              <w:jc w:val="center"/>
              <w:rPr>
                <w:rFonts w:ascii="Times New Roman" w:hAnsi="Times New Roman" w:cs="Times New Roman"/>
                <w:b/>
                <w:color w:val="000000"/>
                <w:sz w:val="14"/>
                <w:szCs w:val="16"/>
                <w:lang w:eastAsia="sk-SK"/>
              </w:rPr>
            </w:pPr>
            <w:r w:rsidRPr="00784AAF">
              <w:rPr>
                <w:rFonts w:ascii="Times New Roman" w:hAnsi="Times New Roman" w:cs="Times New Roman"/>
                <w:b/>
                <w:color w:val="000000"/>
                <w:sz w:val="14"/>
                <w:szCs w:val="16"/>
                <w:lang w:eastAsia="sk-SK"/>
              </w:rPr>
              <w:t>2011 OS</w:t>
            </w:r>
          </w:p>
        </w:tc>
        <w:tc>
          <w:tcPr>
            <w:tcW w:w="423" w:type="pct"/>
            <w:tcBorders>
              <w:top w:val="single" w:sz="4" w:space="0" w:color="auto"/>
              <w:left w:val="nil"/>
              <w:bottom w:val="single" w:sz="4" w:space="0" w:color="auto"/>
              <w:right w:val="single" w:sz="4" w:space="0" w:color="auto"/>
            </w:tcBorders>
            <w:noWrap/>
            <w:textDirection w:val="lrTb"/>
            <w:vAlign w:val="bottom"/>
            <w:hideMark/>
          </w:tcPr>
          <w:p w:rsidR="00CB350B" w:rsidRPr="00784AAF" w:rsidP="00257E12">
            <w:pPr>
              <w:bidi w:val="0"/>
              <w:jc w:val="center"/>
              <w:rPr>
                <w:rFonts w:ascii="Times New Roman" w:hAnsi="Times New Roman" w:cs="Times New Roman"/>
                <w:b/>
                <w:color w:val="000000"/>
                <w:sz w:val="14"/>
                <w:szCs w:val="16"/>
                <w:lang w:eastAsia="sk-SK"/>
              </w:rPr>
            </w:pPr>
            <w:r w:rsidRPr="00784AAF">
              <w:rPr>
                <w:rFonts w:ascii="Times New Roman" w:hAnsi="Times New Roman" w:cs="Times New Roman"/>
                <w:b/>
                <w:color w:val="000000"/>
                <w:sz w:val="14"/>
                <w:szCs w:val="16"/>
                <w:lang w:eastAsia="sk-SK"/>
              </w:rPr>
              <w:t xml:space="preserve">2012 N </w:t>
            </w:r>
          </w:p>
        </w:tc>
        <w:tc>
          <w:tcPr>
            <w:tcW w:w="423" w:type="pct"/>
            <w:tcBorders>
              <w:top w:val="single" w:sz="4" w:space="0" w:color="auto"/>
              <w:left w:val="nil"/>
              <w:bottom w:val="single" w:sz="4" w:space="0" w:color="auto"/>
              <w:right w:val="single" w:sz="4" w:space="0" w:color="auto"/>
            </w:tcBorders>
            <w:noWrap/>
            <w:textDirection w:val="lrTb"/>
            <w:vAlign w:val="bottom"/>
            <w:hideMark/>
          </w:tcPr>
          <w:p w:rsidR="00CB350B" w:rsidRPr="00784AAF" w:rsidP="00257E12">
            <w:pPr>
              <w:bidi w:val="0"/>
              <w:jc w:val="center"/>
              <w:rPr>
                <w:rFonts w:ascii="Times New Roman" w:hAnsi="Times New Roman" w:cs="Times New Roman"/>
                <w:b/>
                <w:color w:val="000000"/>
                <w:sz w:val="14"/>
                <w:szCs w:val="16"/>
                <w:lang w:eastAsia="sk-SK"/>
              </w:rPr>
            </w:pPr>
            <w:r w:rsidRPr="00784AAF">
              <w:rPr>
                <w:rFonts w:ascii="Times New Roman" w:hAnsi="Times New Roman" w:cs="Times New Roman"/>
                <w:b/>
                <w:color w:val="000000"/>
                <w:sz w:val="14"/>
                <w:szCs w:val="16"/>
                <w:lang w:eastAsia="sk-SK"/>
              </w:rPr>
              <w:t>2013 N</w:t>
            </w:r>
          </w:p>
        </w:tc>
        <w:tc>
          <w:tcPr>
            <w:tcW w:w="423" w:type="pct"/>
            <w:tcBorders>
              <w:top w:val="single" w:sz="4" w:space="0" w:color="auto"/>
              <w:left w:val="nil"/>
              <w:bottom w:val="single" w:sz="4" w:space="0" w:color="auto"/>
              <w:right w:val="single" w:sz="4" w:space="0" w:color="auto"/>
            </w:tcBorders>
            <w:noWrap/>
            <w:textDirection w:val="lrTb"/>
            <w:vAlign w:val="bottom"/>
            <w:hideMark/>
          </w:tcPr>
          <w:p w:rsidR="00CB350B" w:rsidRPr="00784AAF" w:rsidP="00257E12">
            <w:pPr>
              <w:bidi w:val="0"/>
              <w:jc w:val="center"/>
              <w:rPr>
                <w:rFonts w:ascii="Times New Roman" w:hAnsi="Times New Roman" w:cs="Times New Roman"/>
                <w:b/>
                <w:color w:val="000000"/>
                <w:sz w:val="14"/>
                <w:szCs w:val="16"/>
                <w:lang w:eastAsia="sk-SK"/>
              </w:rPr>
            </w:pPr>
            <w:r w:rsidRPr="00784AAF">
              <w:rPr>
                <w:rFonts w:ascii="Times New Roman" w:hAnsi="Times New Roman" w:cs="Times New Roman"/>
                <w:b/>
                <w:color w:val="000000"/>
                <w:sz w:val="14"/>
                <w:szCs w:val="16"/>
                <w:lang w:eastAsia="sk-SK"/>
              </w:rPr>
              <w:t>2014 N</w:t>
            </w:r>
          </w:p>
        </w:tc>
      </w:tr>
      <w:tr>
        <w:tblPrEx>
          <w:tblW w:w="5000" w:type="pct"/>
          <w:tblCellMar>
            <w:left w:w="70" w:type="dxa"/>
            <w:right w:w="70" w:type="dxa"/>
          </w:tblCellMar>
          <w:tblLook w:val="04A0"/>
        </w:tblPrEx>
        <w:trPr>
          <w:trHeight w:val="330"/>
        </w:trPr>
        <w:tc>
          <w:tcPr>
            <w:tcW w:w="1896"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6"/>
                <w:lang w:eastAsia="sk-SK"/>
              </w:rPr>
            </w:pPr>
            <w:r w:rsidRPr="00784AAF">
              <w:rPr>
                <w:rFonts w:ascii="Times New Roman" w:hAnsi="Times New Roman" w:cs="Times New Roman"/>
                <w:color w:val="000000"/>
                <w:sz w:val="14"/>
                <w:szCs w:val="16"/>
                <w:lang w:eastAsia="sk-SK"/>
              </w:rPr>
              <w:t>Úrad predsedníctva SAV</w:t>
            </w:r>
          </w:p>
        </w:tc>
        <w:tc>
          <w:tcPr>
            <w:tcW w:w="459"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6"/>
                <w:lang w:eastAsia="sk-SK"/>
              </w:rPr>
            </w:pPr>
            <w:r w:rsidRPr="00784AAF">
              <w:rPr>
                <w:rFonts w:ascii="Times New Roman" w:hAnsi="Times New Roman" w:cs="Times New Roman"/>
                <w:color w:val="000000"/>
                <w:sz w:val="14"/>
                <w:szCs w:val="16"/>
                <w:lang w:eastAsia="sk-SK"/>
              </w:rPr>
              <w:t>7 029 249</w:t>
            </w:r>
          </w:p>
        </w:tc>
        <w:tc>
          <w:tcPr>
            <w:tcW w:w="459"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6"/>
                <w:lang w:eastAsia="sk-SK"/>
              </w:rPr>
            </w:pPr>
            <w:r w:rsidRPr="00784AAF">
              <w:rPr>
                <w:rFonts w:ascii="Times New Roman" w:hAnsi="Times New Roman" w:cs="Times New Roman"/>
                <w:color w:val="000000"/>
                <w:sz w:val="14"/>
                <w:szCs w:val="16"/>
                <w:lang w:eastAsia="sk-SK"/>
              </w:rPr>
              <w:t>9 001 540</w:t>
            </w:r>
          </w:p>
        </w:tc>
        <w:tc>
          <w:tcPr>
            <w:tcW w:w="459"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6"/>
                <w:lang w:eastAsia="sk-SK"/>
              </w:rPr>
            </w:pPr>
            <w:r w:rsidRPr="00784AAF">
              <w:rPr>
                <w:rFonts w:ascii="Times New Roman" w:hAnsi="Times New Roman" w:cs="Times New Roman"/>
                <w:color w:val="000000"/>
                <w:sz w:val="14"/>
                <w:szCs w:val="16"/>
                <w:lang w:eastAsia="sk-SK"/>
              </w:rPr>
              <w:t>10 920 520</w:t>
            </w:r>
          </w:p>
        </w:tc>
        <w:tc>
          <w:tcPr>
            <w:tcW w:w="459" w:type="pct"/>
            <w:tcBorders>
              <w:top w:val="single" w:sz="4" w:space="0" w:color="auto"/>
              <w:left w:val="nil"/>
              <w:bottom w:val="single" w:sz="4" w:space="0" w:color="auto"/>
              <w:right w:val="single" w:sz="4" w:space="0" w:color="auto"/>
            </w:tcBorders>
            <w:noWrap/>
            <w:textDirection w:val="lrTb"/>
            <w:vAlign w:val="bottom"/>
            <w:hideMark/>
          </w:tcPr>
          <w:p w:rsidR="00CB350B" w:rsidRPr="00B72D29" w:rsidP="00257E12">
            <w:pPr>
              <w:bidi w:val="0"/>
              <w:jc w:val="right"/>
              <w:rPr>
                <w:rFonts w:ascii="Times New Roman" w:hAnsi="Times New Roman" w:cs="Times New Roman"/>
                <w:color w:val="000000"/>
                <w:sz w:val="14"/>
                <w:szCs w:val="16"/>
                <w:lang w:eastAsia="sk-SK"/>
              </w:rPr>
            </w:pPr>
            <w:r w:rsidRPr="00B72D29">
              <w:rPr>
                <w:rFonts w:ascii="Times New Roman" w:hAnsi="Times New Roman" w:cs="Times New Roman"/>
                <w:color w:val="000000"/>
                <w:sz w:val="14"/>
                <w:szCs w:val="16"/>
                <w:lang w:eastAsia="sk-SK"/>
              </w:rPr>
              <w:t>12 948 279</w:t>
            </w:r>
          </w:p>
        </w:tc>
        <w:tc>
          <w:tcPr>
            <w:tcW w:w="423"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6"/>
                <w:lang w:eastAsia="sk-SK"/>
              </w:rPr>
            </w:pPr>
            <w:r w:rsidRPr="00784AAF">
              <w:rPr>
                <w:rFonts w:ascii="Times New Roman" w:hAnsi="Times New Roman" w:cs="Times New Roman"/>
                <w:color w:val="000000"/>
                <w:sz w:val="14"/>
                <w:szCs w:val="16"/>
                <w:lang w:eastAsia="sk-SK"/>
              </w:rPr>
              <w:t>5 973 599</w:t>
            </w:r>
          </w:p>
        </w:tc>
        <w:tc>
          <w:tcPr>
            <w:tcW w:w="423"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6"/>
                <w:lang w:eastAsia="sk-SK"/>
              </w:rPr>
            </w:pPr>
            <w:r w:rsidRPr="00784AAF">
              <w:rPr>
                <w:rFonts w:ascii="Times New Roman" w:hAnsi="Times New Roman" w:cs="Times New Roman"/>
                <w:color w:val="000000"/>
                <w:sz w:val="14"/>
                <w:szCs w:val="16"/>
                <w:lang w:eastAsia="sk-SK"/>
              </w:rPr>
              <w:t>5 910 730</w:t>
            </w:r>
          </w:p>
        </w:tc>
        <w:tc>
          <w:tcPr>
            <w:tcW w:w="423"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6"/>
                <w:lang w:eastAsia="sk-SK"/>
              </w:rPr>
            </w:pPr>
            <w:r w:rsidRPr="00784AAF">
              <w:rPr>
                <w:rFonts w:ascii="Times New Roman" w:hAnsi="Times New Roman" w:cs="Times New Roman"/>
                <w:color w:val="000000"/>
                <w:sz w:val="14"/>
                <w:szCs w:val="16"/>
                <w:lang w:eastAsia="sk-SK"/>
              </w:rPr>
              <w:t>5 910 730</w:t>
            </w:r>
          </w:p>
        </w:tc>
      </w:tr>
      <w:tr>
        <w:tblPrEx>
          <w:tblW w:w="5000" w:type="pct"/>
          <w:tblCellMar>
            <w:left w:w="70" w:type="dxa"/>
            <w:right w:w="70" w:type="dxa"/>
          </w:tblCellMar>
          <w:tblLook w:val="04A0"/>
        </w:tblPrEx>
        <w:trPr>
          <w:trHeight w:val="330"/>
        </w:trPr>
        <w:tc>
          <w:tcPr>
            <w:tcW w:w="1896"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6"/>
                <w:lang w:eastAsia="sk-SK"/>
              </w:rPr>
            </w:pPr>
            <w:r w:rsidRPr="00784AAF">
              <w:rPr>
                <w:rFonts w:ascii="Times New Roman" w:hAnsi="Times New Roman" w:cs="Times New Roman"/>
                <w:color w:val="000000"/>
                <w:sz w:val="14"/>
                <w:szCs w:val="16"/>
                <w:lang w:eastAsia="sk-SK"/>
              </w:rPr>
              <w:t>príspevkové organizácie</w:t>
            </w:r>
          </w:p>
        </w:tc>
        <w:tc>
          <w:tcPr>
            <w:tcW w:w="459"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6"/>
                <w:lang w:eastAsia="sk-SK"/>
              </w:rPr>
            </w:pPr>
            <w:r w:rsidRPr="00784AAF">
              <w:rPr>
                <w:rFonts w:ascii="Times New Roman" w:hAnsi="Times New Roman" w:cs="Times New Roman"/>
                <w:color w:val="000000"/>
                <w:sz w:val="14"/>
                <w:szCs w:val="16"/>
                <w:lang w:eastAsia="sk-SK"/>
              </w:rPr>
              <w:t>20 207 666</w:t>
            </w:r>
          </w:p>
        </w:tc>
        <w:tc>
          <w:tcPr>
            <w:tcW w:w="459"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6"/>
                <w:lang w:eastAsia="sk-SK"/>
              </w:rPr>
            </w:pPr>
            <w:r w:rsidRPr="00784AAF">
              <w:rPr>
                <w:rFonts w:ascii="Times New Roman" w:hAnsi="Times New Roman" w:cs="Times New Roman"/>
                <w:color w:val="000000"/>
                <w:sz w:val="14"/>
                <w:szCs w:val="16"/>
                <w:lang w:eastAsia="sk-SK"/>
              </w:rPr>
              <w:t>21 315 791</w:t>
            </w:r>
          </w:p>
        </w:tc>
        <w:tc>
          <w:tcPr>
            <w:tcW w:w="459"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6"/>
                <w:lang w:eastAsia="sk-SK"/>
              </w:rPr>
            </w:pPr>
            <w:r w:rsidRPr="00784AAF">
              <w:rPr>
                <w:rFonts w:ascii="Times New Roman" w:hAnsi="Times New Roman" w:cs="Times New Roman"/>
                <w:color w:val="000000"/>
                <w:sz w:val="14"/>
                <w:szCs w:val="16"/>
                <w:lang w:eastAsia="sk-SK"/>
              </w:rPr>
              <w:t>18 890 546</w:t>
            </w:r>
          </w:p>
        </w:tc>
        <w:tc>
          <w:tcPr>
            <w:tcW w:w="459" w:type="pct"/>
            <w:tcBorders>
              <w:top w:val="nil"/>
              <w:left w:val="nil"/>
              <w:bottom w:val="single" w:sz="4" w:space="0" w:color="auto"/>
              <w:right w:val="single" w:sz="4" w:space="0" w:color="auto"/>
            </w:tcBorders>
            <w:noWrap/>
            <w:textDirection w:val="lrTb"/>
            <w:vAlign w:val="bottom"/>
            <w:hideMark/>
          </w:tcPr>
          <w:p w:rsidR="00CB350B" w:rsidRPr="00B72D29" w:rsidP="00257E12">
            <w:pPr>
              <w:bidi w:val="0"/>
              <w:jc w:val="right"/>
              <w:rPr>
                <w:rFonts w:ascii="Times New Roman" w:hAnsi="Times New Roman" w:cs="Times New Roman"/>
                <w:color w:val="000000"/>
                <w:sz w:val="14"/>
                <w:szCs w:val="16"/>
                <w:lang w:eastAsia="sk-SK"/>
              </w:rPr>
            </w:pPr>
            <w:r w:rsidRPr="00B72D29">
              <w:rPr>
                <w:rFonts w:ascii="Times New Roman" w:hAnsi="Times New Roman" w:cs="Times New Roman"/>
                <w:color w:val="000000"/>
                <w:sz w:val="14"/>
                <w:szCs w:val="16"/>
                <w:lang w:eastAsia="sk-SK"/>
              </w:rPr>
              <w:t>20 164 118</w:t>
            </w:r>
          </w:p>
        </w:tc>
        <w:tc>
          <w:tcPr>
            <w:tcW w:w="423"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6"/>
                <w:lang w:eastAsia="sk-SK"/>
              </w:rPr>
            </w:pPr>
            <w:r w:rsidRPr="00784AAF">
              <w:rPr>
                <w:rFonts w:ascii="Times New Roman" w:hAnsi="Times New Roman" w:cs="Times New Roman"/>
                <w:color w:val="000000"/>
                <w:sz w:val="14"/>
                <w:szCs w:val="16"/>
                <w:lang w:eastAsia="sk-SK"/>
              </w:rPr>
              <w:t>18 890 546</w:t>
            </w:r>
          </w:p>
        </w:tc>
        <w:tc>
          <w:tcPr>
            <w:tcW w:w="423"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6"/>
                <w:lang w:eastAsia="sk-SK"/>
              </w:rPr>
            </w:pPr>
            <w:r w:rsidRPr="00784AAF">
              <w:rPr>
                <w:rFonts w:ascii="Times New Roman" w:hAnsi="Times New Roman" w:cs="Times New Roman"/>
                <w:color w:val="000000"/>
                <w:sz w:val="14"/>
                <w:szCs w:val="16"/>
                <w:lang w:eastAsia="sk-SK"/>
              </w:rPr>
              <w:t>18 890 546</w:t>
            </w:r>
          </w:p>
        </w:tc>
        <w:tc>
          <w:tcPr>
            <w:tcW w:w="423"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6"/>
                <w:lang w:eastAsia="sk-SK"/>
              </w:rPr>
            </w:pPr>
            <w:r w:rsidRPr="00784AAF">
              <w:rPr>
                <w:rFonts w:ascii="Times New Roman" w:hAnsi="Times New Roman" w:cs="Times New Roman"/>
                <w:color w:val="000000"/>
                <w:sz w:val="14"/>
                <w:szCs w:val="16"/>
                <w:lang w:eastAsia="sk-SK"/>
              </w:rPr>
              <w:t>18 890 546</w:t>
            </w:r>
          </w:p>
        </w:tc>
      </w:tr>
      <w:tr>
        <w:tblPrEx>
          <w:tblW w:w="5000" w:type="pct"/>
          <w:tblCellMar>
            <w:left w:w="70" w:type="dxa"/>
            <w:right w:w="70" w:type="dxa"/>
          </w:tblCellMar>
          <w:tblLook w:val="04A0"/>
        </w:tblPrEx>
        <w:trPr>
          <w:trHeight w:val="330"/>
        </w:trPr>
        <w:tc>
          <w:tcPr>
            <w:tcW w:w="1896"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6"/>
                <w:lang w:eastAsia="sk-SK"/>
              </w:rPr>
            </w:pPr>
            <w:r w:rsidRPr="00784AAF">
              <w:rPr>
                <w:rFonts w:ascii="Times New Roman" w:hAnsi="Times New Roman" w:cs="Times New Roman"/>
                <w:color w:val="000000"/>
                <w:sz w:val="14"/>
                <w:szCs w:val="16"/>
                <w:lang w:eastAsia="sk-SK"/>
              </w:rPr>
              <w:t xml:space="preserve">rozpočtové organizácie </w:t>
            </w:r>
          </w:p>
        </w:tc>
        <w:tc>
          <w:tcPr>
            <w:tcW w:w="459"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6"/>
                <w:lang w:eastAsia="sk-SK"/>
              </w:rPr>
            </w:pPr>
            <w:r w:rsidRPr="00784AAF">
              <w:rPr>
                <w:rFonts w:ascii="Times New Roman" w:hAnsi="Times New Roman" w:cs="Times New Roman"/>
                <w:color w:val="000000"/>
                <w:sz w:val="14"/>
                <w:szCs w:val="16"/>
                <w:lang w:eastAsia="sk-SK"/>
              </w:rPr>
              <w:t>43 178 801</w:t>
            </w:r>
          </w:p>
        </w:tc>
        <w:tc>
          <w:tcPr>
            <w:tcW w:w="459"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6"/>
                <w:lang w:eastAsia="sk-SK"/>
              </w:rPr>
            </w:pPr>
            <w:r w:rsidRPr="00784AAF">
              <w:rPr>
                <w:rFonts w:ascii="Times New Roman" w:hAnsi="Times New Roman" w:cs="Times New Roman"/>
                <w:color w:val="000000"/>
                <w:sz w:val="14"/>
                <w:szCs w:val="16"/>
                <w:lang w:eastAsia="sk-SK"/>
              </w:rPr>
              <w:t>50 722 206</w:t>
            </w:r>
          </w:p>
        </w:tc>
        <w:tc>
          <w:tcPr>
            <w:tcW w:w="459"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6"/>
                <w:lang w:eastAsia="sk-SK"/>
              </w:rPr>
            </w:pPr>
            <w:r w:rsidRPr="00784AAF">
              <w:rPr>
                <w:rFonts w:ascii="Times New Roman" w:hAnsi="Times New Roman" w:cs="Times New Roman"/>
                <w:color w:val="000000"/>
                <w:sz w:val="14"/>
                <w:szCs w:val="16"/>
                <w:lang w:eastAsia="sk-SK"/>
              </w:rPr>
              <w:t>26 551 526</w:t>
            </w:r>
          </w:p>
        </w:tc>
        <w:tc>
          <w:tcPr>
            <w:tcW w:w="459" w:type="pct"/>
            <w:tcBorders>
              <w:top w:val="single" w:sz="4" w:space="0" w:color="auto"/>
              <w:left w:val="nil"/>
              <w:bottom w:val="single" w:sz="4" w:space="0" w:color="auto"/>
              <w:right w:val="single" w:sz="4" w:space="0" w:color="auto"/>
            </w:tcBorders>
            <w:noWrap/>
            <w:textDirection w:val="lrTb"/>
            <w:vAlign w:val="bottom"/>
            <w:hideMark/>
          </w:tcPr>
          <w:p w:rsidR="00CB350B" w:rsidRPr="00B72D29" w:rsidP="00257E12">
            <w:pPr>
              <w:bidi w:val="0"/>
              <w:jc w:val="right"/>
              <w:rPr>
                <w:rFonts w:ascii="Times New Roman" w:hAnsi="Times New Roman" w:cs="Times New Roman"/>
                <w:color w:val="000000"/>
                <w:sz w:val="14"/>
                <w:szCs w:val="16"/>
                <w:lang w:eastAsia="sk-SK"/>
              </w:rPr>
            </w:pPr>
            <w:r w:rsidRPr="00B72D29">
              <w:rPr>
                <w:rFonts w:ascii="Times New Roman" w:hAnsi="Times New Roman" w:cs="Times New Roman"/>
                <w:color w:val="000000"/>
                <w:sz w:val="14"/>
                <w:szCs w:val="16"/>
                <w:lang w:eastAsia="sk-SK"/>
              </w:rPr>
              <w:t>42 037 238</w:t>
            </w:r>
          </w:p>
        </w:tc>
        <w:tc>
          <w:tcPr>
            <w:tcW w:w="423"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6"/>
                <w:lang w:eastAsia="sk-SK"/>
              </w:rPr>
            </w:pPr>
            <w:r w:rsidRPr="00784AAF">
              <w:rPr>
                <w:rFonts w:ascii="Times New Roman" w:hAnsi="Times New Roman" w:cs="Times New Roman"/>
                <w:color w:val="000000"/>
                <w:sz w:val="14"/>
                <w:szCs w:val="16"/>
                <w:lang w:eastAsia="sk-SK"/>
              </w:rPr>
              <w:t>30 938 026</w:t>
            </w:r>
          </w:p>
        </w:tc>
        <w:tc>
          <w:tcPr>
            <w:tcW w:w="423"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6"/>
                <w:lang w:eastAsia="sk-SK"/>
              </w:rPr>
            </w:pPr>
            <w:r w:rsidRPr="00784AAF">
              <w:rPr>
                <w:rFonts w:ascii="Times New Roman" w:hAnsi="Times New Roman" w:cs="Times New Roman"/>
                <w:color w:val="000000"/>
                <w:sz w:val="14"/>
                <w:szCs w:val="16"/>
                <w:lang w:eastAsia="sk-SK"/>
              </w:rPr>
              <w:t>30 938 026</w:t>
            </w:r>
          </w:p>
        </w:tc>
        <w:tc>
          <w:tcPr>
            <w:tcW w:w="423"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6"/>
                <w:lang w:eastAsia="sk-SK"/>
              </w:rPr>
            </w:pPr>
            <w:r w:rsidRPr="00784AAF">
              <w:rPr>
                <w:rFonts w:ascii="Times New Roman" w:hAnsi="Times New Roman" w:cs="Times New Roman"/>
                <w:color w:val="000000"/>
                <w:sz w:val="14"/>
                <w:szCs w:val="16"/>
                <w:lang w:eastAsia="sk-SK"/>
              </w:rPr>
              <w:t>30 938 026</w:t>
            </w:r>
          </w:p>
        </w:tc>
      </w:tr>
      <w:tr>
        <w:tblPrEx>
          <w:tblW w:w="5000" w:type="pct"/>
          <w:tblCellMar>
            <w:left w:w="70" w:type="dxa"/>
            <w:right w:w="70" w:type="dxa"/>
          </w:tblCellMar>
          <w:tblLook w:val="04A0"/>
        </w:tblPrEx>
        <w:trPr>
          <w:trHeight w:val="330"/>
        </w:trPr>
        <w:tc>
          <w:tcPr>
            <w:tcW w:w="1896"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b/>
                <w:color w:val="000000"/>
                <w:sz w:val="14"/>
                <w:szCs w:val="16"/>
                <w:lang w:eastAsia="sk-SK"/>
              </w:rPr>
            </w:pPr>
            <w:r w:rsidRPr="00784AAF">
              <w:rPr>
                <w:rFonts w:ascii="Times New Roman" w:hAnsi="Times New Roman" w:cs="Times New Roman"/>
                <w:b/>
                <w:color w:val="000000"/>
                <w:sz w:val="14"/>
                <w:szCs w:val="16"/>
                <w:lang w:eastAsia="sk-SK"/>
              </w:rPr>
              <w:t>Spolu výdavky</w:t>
            </w:r>
          </w:p>
        </w:tc>
        <w:tc>
          <w:tcPr>
            <w:tcW w:w="459"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b/>
                <w:color w:val="000000"/>
                <w:sz w:val="14"/>
                <w:szCs w:val="16"/>
                <w:lang w:eastAsia="sk-SK"/>
              </w:rPr>
            </w:pPr>
            <w:r w:rsidRPr="00784AAF">
              <w:rPr>
                <w:rFonts w:ascii="Times New Roman" w:hAnsi="Times New Roman" w:cs="Times New Roman"/>
                <w:b/>
                <w:color w:val="000000"/>
                <w:sz w:val="14"/>
                <w:szCs w:val="16"/>
                <w:lang w:eastAsia="sk-SK"/>
              </w:rPr>
              <w:t>70 415 716</w:t>
            </w:r>
          </w:p>
        </w:tc>
        <w:tc>
          <w:tcPr>
            <w:tcW w:w="459"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b/>
                <w:color w:val="000000"/>
                <w:sz w:val="14"/>
                <w:szCs w:val="16"/>
                <w:lang w:eastAsia="sk-SK"/>
              </w:rPr>
            </w:pPr>
            <w:r w:rsidRPr="00784AAF">
              <w:rPr>
                <w:rFonts w:ascii="Times New Roman" w:hAnsi="Times New Roman" w:cs="Times New Roman"/>
                <w:b/>
                <w:color w:val="000000"/>
                <w:sz w:val="14"/>
                <w:szCs w:val="16"/>
                <w:lang w:eastAsia="sk-SK"/>
              </w:rPr>
              <w:t>81 039 537</w:t>
            </w:r>
          </w:p>
        </w:tc>
        <w:tc>
          <w:tcPr>
            <w:tcW w:w="459"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b/>
                <w:color w:val="000000"/>
                <w:sz w:val="14"/>
                <w:szCs w:val="16"/>
                <w:lang w:eastAsia="sk-SK"/>
              </w:rPr>
            </w:pPr>
            <w:r w:rsidRPr="00784AAF">
              <w:rPr>
                <w:rFonts w:ascii="Times New Roman" w:hAnsi="Times New Roman" w:cs="Times New Roman"/>
                <w:b/>
                <w:color w:val="000000"/>
                <w:sz w:val="14"/>
                <w:szCs w:val="16"/>
                <w:lang w:eastAsia="sk-SK"/>
              </w:rPr>
              <w:t>56 362 592</w:t>
            </w:r>
          </w:p>
        </w:tc>
        <w:tc>
          <w:tcPr>
            <w:tcW w:w="459"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b/>
                <w:color w:val="000000"/>
                <w:sz w:val="14"/>
                <w:szCs w:val="16"/>
                <w:lang w:eastAsia="sk-SK"/>
              </w:rPr>
            </w:pPr>
            <w:r w:rsidRPr="00784AAF">
              <w:rPr>
                <w:rFonts w:ascii="Times New Roman" w:hAnsi="Times New Roman" w:cs="Times New Roman"/>
                <w:b/>
                <w:color w:val="000000"/>
                <w:sz w:val="14"/>
                <w:szCs w:val="16"/>
                <w:lang w:eastAsia="sk-SK"/>
              </w:rPr>
              <w:t>75 149 635</w:t>
            </w:r>
          </w:p>
        </w:tc>
        <w:tc>
          <w:tcPr>
            <w:tcW w:w="423"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b/>
                <w:color w:val="000000"/>
                <w:sz w:val="14"/>
                <w:szCs w:val="16"/>
                <w:lang w:eastAsia="sk-SK"/>
              </w:rPr>
            </w:pPr>
            <w:r w:rsidRPr="00784AAF">
              <w:rPr>
                <w:rFonts w:ascii="Times New Roman" w:hAnsi="Times New Roman" w:cs="Times New Roman"/>
                <w:b/>
                <w:color w:val="000000"/>
                <w:sz w:val="14"/>
                <w:szCs w:val="16"/>
                <w:lang w:eastAsia="sk-SK"/>
              </w:rPr>
              <w:t>55 802 171</w:t>
            </w:r>
          </w:p>
        </w:tc>
        <w:tc>
          <w:tcPr>
            <w:tcW w:w="423"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b/>
                <w:color w:val="000000"/>
                <w:sz w:val="14"/>
                <w:szCs w:val="16"/>
                <w:lang w:eastAsia="sk-SK"/>
              </w:rPr>
            </w:pPr>
            <w:r w:rsidRPr="00784AAF">
              <w:rPr>
                <w:rFonts w:ascii="Times New Roman" w:hAnsi="Times New Roman" w:cs="Times New Roman"/>
                <w:b/>
                <w:color w:val="000000"/>
                <w:sz w:val="14"/>
                <w:szCs w:val="16"/>
                <w:lang w:eastAsia="sk-SK"/>
              </w:rPr>
              <w:t>55 739 302</w:t>
            </w:r>
          </w:p>
        </w:tc>
        <w:tc>
          <w:tcPr>
            <w:tcW w:w="423"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b/>
                <w:color w:val="000000"/>
                <w:sz w:val="14"/>
                <w:szCs w:val="16"/>
                <w:lang w:eastAsia="sk-SK"/>
              </w:rPr>
            </w:pPr>
            <w:r w:rsidRPr="00784AAF">
              <w:rPr>
                <w:rFonts w:ascii="Times New Roman" w:hAnsi="Times New Roman" w:cs="Times New Roman"/>
                <w:b/>
                <w:color w:val="000000"/>
                <w:sz w:val="14"/>
                <w:szCs w:val="16"/>
                <w:lang w:eastAsia="sk-SK"/>
              </w:rPr>
              <w:t>55 739 302</w:t>
            </w:r>
          </w:p>
        </w:tc>
      </w:tr>
    </w:tbl>
    <w:p w:rsidR="00CB350B" w:rsidP="00CB350B">
      <w:pPr>
        <w:bidi w:val="0"/>
        <w:jc w:val="both"/>
        <w:rPr>
          <w:rFonts w:ascii="Times New Roman" w:hAnsi="Times New Roman" w:cs="Times New Roman"/>
          <w:sz w:val="22"/>
          <w:szCs w:val="22"/>
          <w:lang w:eastAsia="sk-SK"/>
        </w:rPr>
      </w:pPr>
      <w:r w:rsidRPr="00F43064">
        <w:rPr>
          <w:rFonts w:ascii="Times New Roman" w:hAnsi="Times New Roman" w:cs="Times New Roman"/>
          <w:sz w:val="22"/>
          <w:szCs w:val="22"/>
          <w:lang w:eastAsia="sk-SK"/>
        </w:rPr>
        <w:t> </w:t>
      </w:r>
    </w:p>
    <w:p w:rsidR="00CB350B" w:rsidP="00CB350B">
      <w:pPr>
        <w:bidi w:val="0"/>
        <w:jc w:val="both"/>
        <w:rPr>
          <w:rFonts w:ascii="Times New Roman" w:hAnsi="Times New Roman" w:cs="Times New Roman"/>
          <w:sz w:val="22"/>
          <w:szCs w:val="22"/>
          <w:lang w:eastAsia="sk-SK"/>
        </w:rPr>
      </w:pPr>
    </w:p>
    <w:p w:rsidR="00257E12" w:rsidP="00CB350B">
      <w:pPr>
        <w:bidi w:val="0"/>
        <w:jc w:val="both"/>
        <w:rPr>
          <w:rFonts w:ascii="Times New Roman" w:hAnsi="Times New Roman" w:cs="Times New Roman"/>
          <w:sz w:val="22"/>
          <w:szCs w:val="22"/>
          <w:lang w:eastAsia="sk-SK"/>
        </w:rPr>
      </w:pPr>
    </w:p>
    <w:p w:rsidR="00CB350B" w:rsidP="00CB350B">
      <w:pPr>
        <w:bidi w:val="0"/>
        <w:jc w:val="both"/>
        <w:rPr>
          <w:rFonts w:ascii="Times New Roman" w:hAnsi="Times New Roman" w:cs="Times New Roman"/>
          <w:sz w:val="22"/>
          <w:szCs w:val="22"/>
          <w:lang w:eastAsia="sk-SK"/>
        </w:rPr>
      </w:pPr>
    </w:p>
    <w:p w:rsidR="00CB350B" w:rsidP="00CB350B">
      <w:pPr>
        <w:bidi w:val="0"/>
        <w:jc w:val="both"/>
        <w:rPr>
          <w:rFonts w:ascii="Times New Roman" w:hAnsi="Times New Roman" w:cs="Times New Roman"/>
          <w:sz w:val="22"/>
          <w:szCs w:val="22"/>
          <w:lang w:eastAsia="sk-SK"/>
        </w:rPr>
      </w:pPr>
    </w:p>
    <w:p w:rsidR="00CB350B" w:rsidP="00CB350B">
      <w:pPr>
        <w:bidi w:val="0"/>
        <w:jc w:val="both"/>
        <w:rPr>
          <w:rFonts w:ascii="Times New Roman" w:hAnsi="Times New Roman" w:cs="Times New Roman"/>
          <w:sz w:val="22"/>
          <w:szCs w:val="22"/>
          <w:lang w:eastAsia="sk-SK"/>
        </w:rPr>
      </w:pPr>
    </w:p>
    <w:p w:rsidR="00CB350B" w:rsidP="00CB350B">
      <w:pPr>
        <w:bidi w:val="0"/>
        <w:jc w:val="both"/>
        <w:rPr>
          <w:rFonts w:ascii="Times New Roman" w:hAnsi="Times New Roman" w:cs="Times New Roman"/>
          <w:sz w:val="22"/>
          <w:szCs w:val="22"/>
          <w:lang w:eastAsia="sk-SK"/>
        </w:rPr>
      </w:pPr>
    </w:p>
    <w:p w:rsidR="00CB350B" w:rsidP="00CB350B">
      <w:pPr>
        <w:bidi w:val="0"/>
        <w:jc w:val="both"/>
        <w:rPr>
          <w:rFonts w:ascii="Times New Roman" w:hAnsi="Times New Roman" w:cs="Times New Roman"/>
          <w:sz w:val="22"/>
          <w:szCs w:val="22"/>
          <w:lang w:eastAsia="sk-SK"/>
        </w:rPr>
      </w:pPr>
    </w:p>
    <w:p w:rsidR="00CB350B" w:rsidP="00CB350B">
      <w:pPr>
        <w:bidi w:val="0"/>
        <w:jc w:val="both"/>
        <w:rPr>
          <w:rFonts w:ascii="Times New Roman" w:hAnsi="Times New Roman" w:cs="Times New Roman"/>
          <w:sz w:val="22"/>
          <w:szCs w:val="22"/>
          <w:lang w:eastAsia="sk-SK"/>
        </w:rPr>
      </w:pPr>
    </w:p>
    <w:p w:rsidR="00CB350B" w:rsidP="00CB350B">
      <w:pPr>
        <w:bidi w:val="0"/>
        <w:jc w:val="both"/>
        <w:rPr>
          <w:rFonts w:ascii="Times New Roman" w:hAnsi="Times New Roman" w:cs="Times New Roman"/>
          <w:sz w:val="22"/>
          <w:szCs w:val="22"/>
          <w:lang w:eastAsia="sk-SK"/>
        </w:rPr>
      </w:pPr>
    </w:p>
    <w:p w:rsidR="00CB350B" w:rsidP="00CB350B">
      <w:pPr>
        <w:bidi w:val="0"/>
        <w:jc w:val="both"/>
        <w:rPr>
          <w:rFonts w:ascii="Times New Roman" w:hAnsi="Times New Roman" w:cs="Times New Roman"/>
          <w:sz w:val="22"/>
          <w:szCs w:val="22"/>
          <w:lang w:eastAsia="sk-SK"/>
        </w:rPr>
      </w:pPr>
    </w:p>
    <w:p w:rsidR="00CB350B" w:rsidP="00CB350B">
      <w:pPr>
        <w:bidi w:val="0"/>
        <w:jc w:val="both"/>
        <w:rPr>
          <w:rFonts w:ascii="Times New Roman" w:hAnsi="Times New Roman" w:cs="Times New Roman"/>
          <w:sz w:val="22"/>
          <w:szCs w:val="22"/>
          <w:lang w:eastAsia="sk-SK"/>
        </w:rPr>
      </w:pPr>
    </w:p>
    <w:p w:rsidR="00CB350B" w:rsidP="00CB350B">
      <w:pPr>
        <w:bidi w:val="0"/>
        <w:jc w:val="both"/>
        <w:rPr>
          <w:rFonts w:ascii="Times New Roman" w:hAnsi="Times New Roman" w:cs="Times New Roman"/>
          <w:sz w:val="22"/>
          <w:szCs w:val="22"/>
          <w:lang w:eastAsia="sk-SK"/>
        </w:rPr>
      </w:pPr>
    </w:p>
    <w:p w:rsidR="00CB350B" w:rsidP="00CB350B">
      <w:pPr>
        <w:bidi w:val="0"/>
        <w:jc w:val="both"/>
        <w:rPr>
          <w:rFonts w:ascii="Times New Roman" w:hAnsi="Times New Roman" w:cs="Times New Roman"/>
          <w:sz w:val="22"/>
          <w:szCs w:val="22"/>
          <w:lang w:eastAsia="sk-SK"/>
        </w:rPr>
      </w:pPr>
    </w:p>
    <w:p w:rsidR="00CB350B" w:rsidP="00CB350B">
      <w:pPr>
        <w:bidi w:val="0"/>
        <w:jc w:val="both"/>
        <w:rPr>
          <w:rFonts w:ascii="Times New Roman" w:hAnsi="Times New Roman" w:cs="Times New Roman"/>
          <w:sz w:val="22"/>
          <w:szCs w:val="22"/>
          <w:lang w:eastAsia="sk-SK"/>
        </w:rPr>
      </w:pPr>
    </w:p>
    <w:p w:rsidR="00CB350B" w:rsidP="00CB350B">
      <w:pPr>
        <w:bidi w:val="0"/>
        <w:jc w:val="both"/>
        <w:rPr>
          <w:rFonts w:ascii="Times New Roman" w:hAnsi="Times New Roman" w:cs="Times New Roman"/>
          <w:sz w:val="22"/>
          <w:szCs w:val="22"/>
          <w:lang w:eastAsia="sk-SK"/>
        </w:rPr>
      </w:pPr>
    </w:p>
    <w:p w:rsidR="00CB350B" w:rsidP="00CB350B">
      <w:pPr>
        <w:bidi w:val="0"/>
        <w:jc w:val="both"/>
        <w:rPr>
          <w:rFonts w:ascii="Times New Roman" w:hAnsi="Times New Roman" w:cs="Times New Roman"/>
          <w:sz w:val="22"/>
          <w:szCs w:val="22"/>
          <w:lang w:eastAsia="sk-SK"/>
        </w:rPr>
      </w:pPr>
    </w:p>
    <w:p w:rsidR="00CB350B" w:rsidP="00CB350B">
      <w:pPr>
        <w:bidi w:val="0"/>
        <w:jc w:val="both"/>
        <w:rPr>
          <w:rFonts w:ascii="Times New Roman" w:hAnsi="Times New Roman" w:cs="Times New Roman"/>
          <w:sz w:val="22"/>
          <w:szCs w:val="22"/>
          <w:lang w:eastAsia="sk-SK"/>
        </w:rPr>
      </w:pPr>
    </w:p>
    <w:p w:rsidR="00CB350B" w:rsidP="00CB350B">
      <w:pPr>
        <w:bidi w:val="0"/>
        <w:jc w:val="both"/>
        <w:rPr>
          <w:rFonts w:ascii="Times New Roman" w:hAnsi="Times New Roman" w:cs="Times New Roman"/>
          <w:sz w:val="22"/>
          <w:szCs w:val="22"/>
          <w:lang w:eastAsia="sk-SK"/>
        </w:rPr>
      </w:pPr>
    </w:p>
    <w:p w:rsidR="00CB350B" w:rsidP="00CB350B">
      <w:pPr>
        <w:bidi w:val="0"/>
        <w:jc w:val="both"/>
        <w:rPr>
          <w:rFonts w:ascii="Times New Roman" w:hAnsi="Times New Roman" w:cs="Times New Roman"/>
          <w:sz w:val="22"/>
          <w:szCs w:val="22"/>
          <w:lang w:eastAsia="sk-SK"/>
        </w:rPr>
      </w:pPr>
    </w:p>
    <w:p w:rsidR="00CB350B" w:rsidP="00CB350B">
      <w:pPr>
        <w:bidi w:val="0"/>
        <w:jc w:val="both"/>
        <w:rPr>
          <w:rFonts w:ascii="Times New Roman" w:hAnsi="Times New Roman" w:cs="Times New Roman"/>
          <w:sz w:val="22"/>
          <w:szCs w:val="22"/>
          <w:lang w:eastAsia="sk-SK"/>
        </w:rPr>
      </w:pPr>
    </w:p>
    <w:p w:rsidR="00CB350B" w:rsidP="00CB350B">
      <w:pPr>
        <w:bidi w:val="0"/>
        <w:jc w:val="both"/>
        <w:rPr>
          <w:rFonts w:ascii="Times New Roman" w:hAnsi="Times New Roman" w:cs="Times New Roman"/>
          <w:sz w:val="22"/>
          <w:szCs w:val="22"/>
          <w:lang w:eastAsia="sk-SK"/>
        </w:rPr>
      </w:pPr>
    </w:p>
    <w:p w:rsidR="00CB350B" w:rsidP="00CB350B">
      <w:pPr>
        <w:bidi w:val="0"/>
        <w:jc w:val="both"/>
        <w:rPr>
          <w:rFonts w:ascii="Times New Roman" w:hAnsi="Times New Roman" w:cs="Times New Roman"/>
          <w:color w:val="000000"/>
          <w:lang w:eastAsia="sk-SK"/>
        </w:rPr>
      </w:pPr>
    </w:p>
    <w:p w:rsidR="00CB350B" w:rsidRPr="00F43064" w:rsidP="00CB350B">
      <w:pPr>
        <w:bidi w:val="0"/>
        <w:rPr>
          <w:rFonts w:ascii="Times New Roman" w:hAnsi="Times New Roman" w:cs="Times New Roman"/>
          <w:lang w:eastAsia="sk-SK"/>
        </w:rPr>
      </w:pPr>
      <w:r w:rsidRPr="00F43064">
        <w:rPr>
          <w:rFonts w:ascii="Times New Roman" w:hAnsi="Times New Roman" w:cs="Times New Roman"/>
          <w:color w:val="000000"/>
          <w:lang w:eastAsia="sk-SK"/>
        </w:rPr>
        <w:t>Príspevkové organizácie Slovenskej akadémie vied.</w:t>
      </w:r>
    </w:p>
    <w:p w:rsidR="00CB350B" w:rsidRPr="00F43064" w:rsidP="00CB350B">
      <w:pPr>
        <w:bidi w:val="0"/>
        <w:jc w:val="both"/>
        <w:rPr>
          <w:rFonts w:ascii="Times New Roman" w:hAnsi="Times New Roman" w:cs="Times New Roman"/>
          <w:lang w:eastAsia="sk-SK"/>
        </w:rPr>
      </w:pPr>
      <w:r w:rsidRPr="00F43064">
        <w:rPr>
          <w:rFonts w:ascii="Times New Roman" w:hAnsi="Times New Roman" w:cs="Times New Roman"/>
          <w:lang w:eastAsia="sk-SK"/>
        </w:rPr>
        <w:t> </w:t>
      </w:r>
    </w:p>
    <w:tbl>
      <w:tblPr>
        <w:tblStyle w:val="TableNormal"/>
        <w:tblW w:w="5000" w:type="pct"/>
        <w:tblCellMar>
          <w:left w:w="0" w:type="dxa"/>
          <w:right w:w="0" w:type="dxa"/>
        </w:tblCellMar>
        <w:tblLook w:val="04A0"/>
      </w:tblPr>
      <w:tblGrid>
        <w:gridCol w:w="340"/>
        <w:gridCol w:w="2705"/>
        <w:gridCol w:w="881"/>
        <w:gridCol w:w="881"/>
        <w:gridCol w:w="881"/>
        <w:gridCol w:w="881"/>
        <w:gridCol w:w="881"/>
        <w:gridCol w:w="881"/>
        <w:gridCol w:w="881"/>
      </w:tblGrid>
      <w:tr>
        <w:tblPrEx>
          <w:tblW w:w="5000" w:type="pct"/>
          <w:tblCellMar>
            <w:left w:w="0" w:type="dxa"/>
            <w:right w:w="0" w:type="dxa"/>
          </w:tblCellMar>
          <w:tblLook w:val="04A0"/>
        </w:tblPrEx>
        <w:trPr>
          <w:trHeight w:val="28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v eurách</w:t>
            </w:r>
          </w:p>
        </w:tc>
        <w:tc>
          <w:tcPr>
            <w:tcW w:w="478"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center"/>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2009 S</w:t>
            </w:r>
          </w:p>
        </w:tc>
        <w:tc>
          <w:tcPr>
            <w:tcW w:w="478"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center"/>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2010 S</w:t>
            </w:r>
          </w:p>
        </w:tc>
        <w:tc>
          <w:tcPr>
            <w:tcW w:w="478"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center"/>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2011</w:t>
            </w:r>
          </w:p>
        </w:tc>
        <w:tc>
          <w:tcPr>
            <w:tcW w:w="478"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center"/>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2011 OS</w:t>
            </w:r>
          </w:p>
        </w:tc>
        <w:tc>
          <w:tcPr>
            <w:tcW w:w="478"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center"/>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2012</w:t>
            </w:r>
          </w:p>
        </w:tc>
        <w:tc>
          <w:tcPr>
            <w:tcW w:w="478"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center"/>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2013</w:t>
            </w:r>
          </w:p>
        </w:tc>
        <w:tc>
          <w:tcPr>
            <w:tcW w:w="478"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center"/>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2014</w:t>
            </w:r>
          </w:p>
        </w:tc>
      </w:tr>
      <w:tr>
        <w:tblPrEx>
          <w:tblW w:w="5000" w:type="pct"/>
          <w:tblCellMar>
            <w:left w:w="0" w:type="dxa"/>
            <w:right w:w="0" w:type="dxa"/>
          </w:tblCellMar>
          <w:tblLook w:val="04A0"/>
        </w:tblPrEx>
        <w:trPr>
          <w:trHeight w:val="284"/>
        </w:trPr>
        <w:tc>
          <w:tcPr>
            <w:tcW w:w="185"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1.</w:t>
            </w:r>
          </w:p>
        </w:tc>
        <w:tc>
          <w:tcPr>
            <w:tcW w:w="146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 xml:space="preserve">Fyzikálny ústav </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1 695 420</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1 607 350</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1 234 447</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1 491 160</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1 457 165</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1 457 165</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1 457 165</w:t>
            </w:r>
          </w:p>
        </w:tc>
      </w:tr>
      <w:tr>
        <w:tblPrEx>
          <w:tblW w:w="5000" w:type="pct"/>
          <w:tblCellMar>
            <w:left w:w="0" w:type="dxa"/>
            <w:right w:w="0" w:type="dxa"/>
          </w:tblCellMar>
          <w:tblLook w:val="04A0"/>
        </w:tblPrEx>
        <w:trPr>
          <w:trHeight w:val="284"/>
        </w:trPr>
        <w:tc>
          <w:tcPr>
            <w:tcW w:w="185"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2.</w:t>
            </w:r>
          </w:p>
        </w:tc>
        <w:tc>
          <w:tcPr>
            <w:tcW w:w="146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 xml:space="preserve">Ústav geotechniky </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727 226</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787 776</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586 237</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663 379</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713 892</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713 892</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713 892</w:t>
            </w:r>
          </w:p>
        </w:tc>
      </w:tr>
      <w:tr>
        <w:tblPrEx>
          <w:tblW w:w="5000" w:type="pct"/>
          <w:tblCellMar>
            <w:left w:w="0" w:type="dxa"/>
            <w:right w:w="0" w:type="dxa"/>
          </w:tblCellMar>
          <w:tblLook w:val="04A0"/>
        </w:tblPrEx>
        <w:trPr>
          <w:trHeight w:val="284"/>
        </w:trPr>
        <w:tc>
          <w:tcPr>
            <w:tcW w:w="185"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3.</w:t>
            </w:r>
          </w:p>
        </w:tc>
        <w:tc>
          <w:tcPr>
            <w:tcW w:w="146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 xml:space="preserve">Ústav stavebníctva a architektúry </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768 434</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1 214 421</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690 850</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750 450</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797 584</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797 584</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797 584</w:t>
            </w:r>
          </w:p>
        </w:tc>
      </w:tr>
      <w:tr>
        <w:tblPrEx>
          <w:tblW w:w="5000" w:type="pct"/>
          <w:tblCellMar>
            <w:left w:w="0" w:type="dxa"/>
            <w:right w:w="0" w:type="dxa"/>
          </w:tblCellMar>
          <w:tblLook w:val="04A0"/>
        </w:tblPrEx>
        <w:trPr>
          <w:trHeight w:val="284"/>
        </w:trPr>
        <w:tc>
          <w:tcPr>
            <w:tcW w:w="185"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4.</w:t>
            </w:r>
          </w:p>
        </w:tc>
        <w:tc>
          <w:tcPr>
            <w:tcW w:w="146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 xml:space="preserve">Ústav hydrológie </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645 707</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725 861</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524 595</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639 360</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641 871</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641 871</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641 871</w:t>
            </w:r>
          </w:p>
        </w:tc>
      </w:tr>
      <w:tr>
        <w:tblPrEx>
          <w:tblW w:w="5000" w:type="pct"/>
          <w:tblCellMar>
            <w:left w:w="0" w:type="dxa"/>
            <w:right w:w="0" w:type="dxa"/>
          </w:tblCellMar>
          <w:tblLook w:val="04A0"/>
        </w:tblPrEx>
        <w:trPr>
          <w:trHeight w:val="284"/>
        </w:trPr>
        <w:tc>
          <w:tcPr>
            <w:tcW w:w="185"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5.</w:t>
            </w:r>
          </w:p>
        </w:tc>
        <w:tc>
          <w:tcPr>
            <w:tcW w:w="146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Chemický ústav Slovenskej akadémie vied</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1 876 782</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2 027 134</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1 545 312</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1 810 326</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1 792 509</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1 792 509</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1 792 509</w:t>
            </w:r>
          </w:p>
        </w:tc>
      </w:tr>
      <w:tr>
        <w:tblPrEx>
          <w:tblW w:w="5000" w:type="pct"/>
          <w:tblCellMar>
            <w:left w:w="0" w:type="dxa"/>
            <w:right w:w="0" w:type="dxa"/>
          </w:tblCellMar>
          <w:tblLook w:val="04A0"/>
        </w:tblPrEx>
        <w:trPr>
          <w:trHeight w:val="284"/>
        </w:trPr>
        <w:tc>
          <w:tcPr>
            <w:tcW w:w="185"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6.</w:t>
            </w:r>
          </w:p>
        </w:tc>
        <w:tc>
          <w:tcPr>
            <w:tcW w:w="146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 xml:space="preserve">Arborétum Mlyňany </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521 713</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508 085</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395 492</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428 760</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426 760</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426 760</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426 760</w:t>
            </w:r>
          </w:p>
        </w:tc>
      </w:tr>
      <w:tr>
        <w:tblPrEx>
          <w:tblW w:w="5000" w:type="pct"/>
          <w:tblCellMar>
            <w:left w:w="0" w:type="dxa"/>
            <w:right w:w="0" w:type="dxa"/>
          </w:tblCellMar>
          <w:tblLook w:val="04A0"/>
        </w:tblPrEx>
        <w:trPr>
          <w:trHeight w:val="284"/>
        </w:trPr>
        <w:tc>
          <w:tcPr>
            <w:tcW w:w="185"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7.</w:t>
            </w:r>
          </w:p>
        </w:tc>
        <w:tc>
          <w:tcPr>
            <w:tcW w:w="146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Veda, vydavateľstvo SAV</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350 984</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521 070</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206 583</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305 241</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288 294</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288 294</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288 294</w:t>
            </w:r>
          </w:p>
        </w:tc>
      </w:tr>
      <w:tr>
        <w:tblPrEx>
          <w:tblW w:w="5000" w:type="pct"/>
          <w:tblCellMar>
            <w:left w:w="0" w:type="dxa"/>
            <w:right w:w="0" w:type="dxa"/>
          </w:tblCellMar>
          <w:tblLook w:val="04A0"/>
        </w:tblPrEx>
        <w:trPr>
          <w:trHeight w:val="284"/>
        </w:trPr>
        <w:tc>
          <w:tcPr>
            <w:tcW w:w="185"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8.</w:t>
            </w:r>
          </w:p>
        </w:tc>
        <w:tc>
          <w:tcPr>
            <w:tcW w:w="146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 xml:space="preserve">Ústav materiálového výskumu </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1 051 823</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1 093 771</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866 805</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1 171 682</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1 036 353</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1 036 353</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1 036 353</w:t>
            </w:r>
          </w:p>
        </w:tc>
      </w:tr>
      <w:tr>
        <w:tblPrEx>
          <w:tblW w:w="5000" w:type="pct"/>
          <w:tblCellMar>
            <w:left w:w="0" w:type="dxa"/>
            <w:right w:w="0" w:type="dxa"/>
          </w:tblCellMar>
          <w:tblLook w:val="04A0"/>
        </w:tblPrEx>
        <w:trPr>
          <w:trHeight w:val="284"/>
        </w:trPr>
        <w:tc>
          <w:tcPr>
            <w:tcW w:w="185"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9.</w:t>
            </w:r>
          </w:p>
        </w:tc>
        <w:tc>
          <w:tcPr>
            <w:tcW w:w="146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 xml:space="preserve">Encyklopedický ústav </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614 320</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727 100</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673 602</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709 472</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709 472</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709 472</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709 472</w:t>
            </w:r>
          </w:p>
        </w:tc>
      </w:tr>
      <w:tr>
        <w:tblPrEx>
          <w:tblW w:w="5000" w:type="pct"/>
          <w:tblCellMar>
            <w:left w:w="0" w:type="dxa"/>
            <w:right w:w="0" w:type="dxa"/>
          </w:tblCellMar>
          <w:tblLook w:val="04A0"/>
        </w:tblPrEx>
        <w:trPr>
          <w:trHeight w:val="284"/>
        </w:trPr>
        <w:tc>
          <w:tcPr>
            <w:tcW w:w="185"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10.</w:t>
            </w:r>
          </w:p>
        </w:tc>
        <w:tc>
          <w:tcPr>
            <w:tcW w:w="146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 xml:space="preserve">Správa účelových zariadení </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1 301 410</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1 276 040</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816 247</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987 929</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1 008 460</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1 008 460</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1 008 460</w:t>
            </w:r>
          </w:p>
        </w:tc>
      </w:tr>
      <w:tr>
        <w:tblPrEx>
          <w:tblW w:w="5000" w:type="pct"/>
          <w:tblCellMar>
            <w:left w:w="0" w:type="dxa"/>
            <w:right w:w="0" w:type="dxa"/>
          </w:tblCellMar>
          <w:tblLook w:val="04A0"/>
        </w:tblPrEx>
        <w:trPr>
          <w:trHeight w:val="284"/>
        </w:trPr>
        <w:tc>
          <w:tcPr>
            <w:tcW w:w="185"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11.</w:t>
            </w:r>
          </w:p>
        </w:tc>
        <w:tc>
          <w:tcPr>
            <w:tcW w:w="146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 xml:space="preserve">Výpočtové stredisko </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441 099</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504 929</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345 882</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529 630</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464 630</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464 630</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464 630</w:t>
            </w:r>
          </w:p>
        </w:tc>
      </w:tr>
      <w:tr>
        <w:tblPrEx>
          <w:tblW w:w="5000" w:type="pct"/>
          <w:tblCellMar>
            <w:left w:w="0" w:type="dxa"/>
            <w:right w:w="0" w:type="dxa"/>
          </w:tblCellMar>
          <w:tblLook w:val="04A0"/>
        </w:tblPrEx>
        <w:trPr>
          <w:trHeight w:val="284"/>
        </w:trPr>
        <w:tc>
          <w:tcPr>
            <w:tcW w:w="185"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12.</w:t>
            </w:r>
          </w:p>
        </w:tc>
        <w:tc>
          <w:tcPr>
            <w:tcW w:w="146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 xml:space="preserve">Ústav materiálov a mechaniky strojov </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1 219 556</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1 332 765</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3 760 454</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2 271 218</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1 376 270</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1 376 270</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1 376 270</w:t>
            </w:r>
          </w:p>
        </w:tc>
      </w:tr>
      <w:tr>
        <w:tblPrEx>
          <w:tblW w:w="5000" w:type="pct"/>
          <w:tblCellMar>
            <w:left w:w="0" w:type="dxa"/>
            <w:right w:w="0" w:type="dxa"/>
          </w:tblCellMar>
          <w:tblLook w:val="04A0"/>
        </w:tblPrEx>
        <w:trPr>
          <w:trHeight w:val="284"/>
        </w:trPr>
        <w:tc>
          <w:tcPr>
            <w:tcW w:w="185"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13.</w:t>
            </w:r>
          </w:p>
        </w:tc>
        <w:tc>
          <w:tcPr>
            <w:tcW w:w="146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Ústav polymérov</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1 045 630</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1 105 637</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874 730</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1 026 849</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993 225</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993 225</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993 225</w:t>
            </w:r>
          </w:p>
        </w:tc>
      </w:tr>
      <w:tr>
        <w:tblPrEx>
          <w:tblW w:w="5000" w:type="pct"/>
          <w:tblCellMar>
            <w:left w:w="0" w:type="dxa"/>
            <w:right w:w="0" w:type="dxa"/>
          </w:tblCellMar>
          <w:tblLook w:val="04A0"/>
        </w:tblPrEx>
        <w:trPr>
          <w:trHeight w:val="284"/>
        </w:trPr>
        <w:tc>
          <w:tcPr>
            <w:tcW w:w="185"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14.</w:t>
            </w:r>
          </w:p>
        </w:tc>
        <w:tc>
          <w:tcPr>
            <w:tcW w:w="146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 xml:space="preserve">Geologický ústav </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586 668</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781 199</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519 094</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575 666</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617 580</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617 580</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617 580</w:t>
            </w:r>
          </w:p>
        </w:tc>
      </w:tr>
      <w:tr>
        <w:tblPrEx>
          <w:tblW w:w="5000" w:type="pct"/>
          <w:tblCellMar>
            <w:left w:w="0" w:type="dxa"/>
            <w:right w:w="0" w:type="dxa"/>
          </w:tblCellMar>
          <w:tblLook w:val="04A0"/>
        </w:tblPrEx>
        <w:trPr>
          <w:trHeight w:val="284"/>
        </w:trPr>
        <w:tc>
          <w:tcPr>
            <w:tcW w:w="185"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15.</w:t>
            </w:r>
          </w:p>
        </w:tc>
        <w:tc>
          <w:tcPr>
            <w:tcW w:w="146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 xml:space="preserve">Ústav merania </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873 209</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933 454</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749 363</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879 025</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871 982</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871 982</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871 982</w:t>
            </w:r>
          </w:p>
        </w:tc>
      </w:tr>
      <w:tr>
        <w:tblPrEx>
          <w:tblW w:w="5000" w:type="pct"/>
          <w:tblCellMar>
            <w:left w:w="0" w:type="dxa"/>
            <w:right w:w="0" w:type="dxa"/>
          </w:tblCellMar>
          <w:tblLook w:val="04A0"/>
        </w:tblPrEx>
        <w:trPr>
          <w:trHeight w:val="284"/>
        </w:trPr>
        <w:tc>
          <w:tcPr>
            <w:tcW w:w="185"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16.</w:t>
            </w:r>
          </w:p>
        </w:tc>
        <w:tc>
          <w:tcPr>
            <w:tcW w:w="146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 xml:space="preserve">Elektrotechnický ústav </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1 530 623</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1 573 636</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1 232 990</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1 490 172</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1 425 946</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1 425 946</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1 425 946</w:t>
            </w:r>
          </w:p>
        </w:tc>
      </w:tr>
      <w:tr>
        <w:tblPrEx>
          <w:tblW w:w="5000" w:type="pct"/>
          <w:tblCellMar>
            <w:left w:w="0" w:type="dxa"/>
            <w:right w:w="0" w:type="dxa"/>
          </w:tblCellMar>
          <w:tblLook w:val="04A0"/>
        </w:tblPrEx>
        <w:trPr>
          <w:trHeight w:val="284"/>
        </w:trPr>
        <w:tc>
          <w:tcPr>
            <w:tcW w:w="185"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17.</w:t>
            </w:r>
          </w:p>
        </w:tc>
        <w:tc>
          <w:tcPr>
            <w:tcW w:w="146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 xml:space="preserve">Ústav ekológie lesa </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873 341</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933 536</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646 979</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797 465</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775 041</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775 041</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775 041</w:t>
            </w:r>
          </w:p>
        </w:tc>
      </w:tr>
      <w:tr>
        <w:tblPrEx>
          <w:tblW w:w="5000" w:type="pct"/>
          <w:tblCellMar>
            <w:left w:w="0" w:type="dxa"/>
            <w:right w:w="0" w:type="dxa"/>
          </w:tblCellMar>
          <w:tblLook w:val="04A0"/>
        </w:tblPrEx>
        <w:trPr>
          <w:trHeight w:val="284"/>
        </w:trPr>
        <w:tc>
          <w:tcPr>
            <w:tcW w:w="185"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18.</w:t>
            </w:r>
          </w:p>
        </w:tc>
        <w:tc>
          <w:tcPr>
            <w:tcW w:w="146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 xml:space="preserve">Ústav zoológie </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924 669</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915 318</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696 166</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931 800</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800 947</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800 947</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800 947</w:t>
            </w:r>
          </w:p>
        </w:tc>
      </w:tr>
      <w:tr>
        <w:tblPrEx>
          <w:tblW w:w="5000" w:type="pct"/>
          <w:tblCellMar>
            <w:left w:w="0" w:type="dxa"/>
            <w:right w:w="0" w:type="dxa"/>
          </w:tblCellMar>
          <w:tblLook w:val="04A0"/>
        </w:tblPrEx>
        <w:trPr>
          <w:trHeight w:val="284"/>
        </w:trPr>
        <w:tc>
          <w:tcPr>
            <w:tcW w:w="185"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19.</w:t>
            </w:r>
          </w:p>
        </w:tc>
        <w:tc>
          <w:tcPr>
            <w:tcW w:w="146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 xml:space="preserve">Ústav krajinnej ekológie </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731 691</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679 306</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566 898</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681 473</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666 143</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666 143</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666 143</w:t>
            </w:r>
          </w:p>
        </w:tc>
      </w:tr>
      <w:tr>
        <w:tblPrEx>
          <w:tblW w:w="5000" w:type="pct"/>
          <w:tblCellMar>
            <w:left w:w="0" w:type="dxa"/>
            <w:right w:w="0" w:type="dxa"/>
          </w:tblCellMar>
          <w:tblLook w:val="04A0"/>
        </w:tblPrEx>
        <w:trPr>
          <w:trHeight w:val="284"/>
        </w:trPr>
        <w:tc>
          <w:tcPr>
            <w:tcW w:w="185"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20.</w:t>
            </w:r>
          </w:p>
        </w:tc>
        <w:tc>
          <w:tcPr>
            <w:tcW w:w="146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 xml:space="preserve">Ekonomický ústav </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976 933</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767 927</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780 240</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721 661</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714 747</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714 747</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714 747</w:t>
            </w:r>
          </w:p>
        </w:tc>
      </w:tr>
      <w:tr>
        <w:tblPrEx>
          <w:tblW w:w="5000" w:type="pct"/>
          <w:tblCellMar>
            <w:left w:w="0" w:type="dxa"/>
            <w:right w:w="0" w:type="dxa"/>
          </w:tblCellMar>
          <w:tblLook w:val="04A0"/>
        </w:tblPrEx>
        <w:trPr>
          <w:trHeight w:val="284"/>
        </w:trPr>
        <w:tc>
          <w:tcPr>
            <w:tcW w:w="185"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21.</w:t>
            </w:r>
          </w:p>
        </w:tc>
        <w:tc>
          <w:tcPr>
            <w:tcW w:w="146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 xml:space="preserve">Ústav informatiky </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1 450 428</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1 299 475</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1 177 580</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1 301 400</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1 311 675</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1 311 675</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1 311 675</w:t>
            </w:r>
          </w:p>
        </w:tc>
      </w:tr>
      <w:tr>
        <w:tblPrEx>
          <w:tblW w:w="5000" w:type="pct"/>
          <w:tblCellMar>
            <w:left w:w="0" w:type="dxa"/>
            <w:right w:w="0" w:type="dxa"/>
          </w:tblCellMar>
          <w:tblLook w:val="04A0"/>
        </w:tblPrEx>
        <w:trPr>
          <w:trHeight w:val="28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Spolu príspevkové organizácie SAV</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20 207 666</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21 315 791</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18 890 546</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20 164 118</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18 890 546</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18 890 546</w:t>
            </w:r>
          </w:p>
        </w:tc>
        <w:tc>
          <w:tcPr>
            <w:tcW w:w="47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18 890 546</w:t>
            </w:r>
          </w:p>
        </w:tc>
      </w:tr>
      <w:tr>
        <w:tblPrEx>
          <w:tblW w:w="5000" w:type="pct"/>
          <w:tblCellMar>
            <w:left w:w="0" w:type="dxa"/>
            <w:right w:w="0" w:type="dxa"/>
          </w:tblCellMar>
          <w:tblLook w:val="04A0"/>
        </w:tblPrEx>
        <w:tc>
          <w:tcPr>
            <w:tcW w:w="340" w:type="dxa"/>
            <w:tcBorders>
              <w:top w:val="nil"/>
              <w:left w:val="nil"/>
              <w:bottom w:val="nil"/>
              <w:right w:val="nil"/>
            </w:tcBorders>
            <w:textDirection w:val="lrTb"/>
            <w:vAlign w:val="center"/>
            <w:hideMark/>
          </w:tcPr>
          <w:p w:rsidR="00CB350B" w:rsidRPr="00F43064" w:rsidP="00257E12">
            <w:pPr>
              <w:bidi w:val="0"/>
              <w:rPr>
                <w:rFonts w:ascii="Times New Roman" w:hAnsi="Times New Roman" w:cs="Times New Roman"/>
                <w:sz w:val="2"/>
                <w:lang w:eastAsia="sk-SK"/>
              </w:rPr>
            </w:pPr>
          </w:p>
        </w:tc>
        <w:tc>
          <w:tcPr>
            <w:tcW w:w="2705" w:type="dxa"/>
            <w:tcBorders>
              <w:top w:val="nil"/>
              <w:left w:val="nil"/>
              <w:bottom w:val="nil"/>
              <w:right w:val="nil"/>
            </w:tcBorders>
            <w:textDirection w:val="lrTb"/>
            <w:vAlign w:val="center"/>
            <w:hideMark/>
          </w:tcPr>
          <w:p w:rsidR="00CB350B" w:rsidRPr="00F43064" w:rsidP="00257E12">
            <w:pPr>
              <w:bidi w:val="0"/>
              <w:rPr>
                <w:rFonts w:ascii="Times New Roman" w:hAnsi="Times New Roman" w:cs="Times New Roman"/>
                <w:sz w:val="2"/>
                <w:lang w:eastAsia="sk-SK"/>
              </w:rPr>
            </w:pPr>
          </w:p>
        </w:tc>
        <w:tc>
          <w:tcPr>
            <w:tcW w:w="881" w:type="dxa"/>
            <w:tcBorders>
              <w:top w:val="nil"/>
              <w:left w:val="nil"/>
              <w:bottom w:val="nil"/>
              <w:right w:val="nil"/>
            </w:tcBorders>
            <w:textDirection w:val="lrTb"/>
            <w:vAlign w:val="center"/>
            <w:hideMark/>
          </w:tcPr>
          <w:p w:rsidR="00CB350B" w:rsidRPr="00F43064" w:rsidP="00257E12">
            <w:pPr>
              <w:bidi w:val="0"/>
              <w:rPr>
                <w:rFonts w:ascii="Times New Roman" w:hAnsi="Times New Roman" w:cs="Times New Roman"/>
                <w:sz w:val="2"/>
                <w:lang w:eastAsia="sk-SK"/>
              </w:rPr>
            </w:pPr>
          </w:p>
        </w:tc>
        <w:tc>
          <w:tcPr>
            <w:tcW w:w="881" w:type="dxa"/>
            <w:tcBorders>
              <w:top w:val="nil"/>
              <w:left w:val="nil"/>
              <w:bottom w:val="nil"/>
              <w:right w:val="nil"/>
            </w:tcBorders>
            <w:textDirection w:val="lrTb"/>
            <w:vAlign w:val="center"/>
            <w:hideMark/>
          </w:tcPr>
          <w:p w:rsidR="00CB350B" w:rsidRPr="00F43064" w:rsidP="00257E12">
            <w:pPr>
              <w:bidi w:val="0"/>
              <w:rPr>
                <w:rFonts w:ascii="Times New Roman" w:hAnsi="Times New Roman" w:cs="Times New Roman"/>
                <w:sz w:val="2"/>
                <w:lang w:eastAsia="sk-SK"/>
              </w:rPr>
            </w:pPr>
          </w:p>
        </w:tc>
        <w:tc>
          <w:tcPr>
            <w:tcW w:w="881" w:type="dxa"/>
            <w:tcBorders>
              <w:top w:val="nil"/>
              <w:left w:val="nil"/>
              <w:bottom w:val="nil"/>
              <w:right w:val="nil"/>
            </w:tcBorders>
            <w:textDirection w:val="lrTb"/>
            <w:vAlign w:val="center"/>
            <w:hideMark/>
          </w:tcPr>
          <w:p w:rsidR="00CB350B" w:rsidRPr="00F43064" w:rsidP="00257E12">
            <w:pPr>
              <w:bidi w:val="0"/>
              <w:rPr>
                <w:rFonts w:ascii="Times New Roman" w:hAnsi="Times New Roman" w:cs="Times New Roman"/>
                <w:sz w:val="2"/>
                <w:lang w:eastAsia="sk-SK"/>
              </w:rPr>
            </w:pPr>
          </w:p>
        </w:tc>
        <w:tc>
          <w:tcPr>
            <w:tcW w:w="881" w:type="dxa"/>
            <w:tcBorders>
              <w:top w:val="nil"/>
              <w:left w:val="nil"/>
              <w:bottom w:val="nil"/>
              <w:right w:val="nil"/>
            </w:tcBorders>
            <w:textDirection w:val="lrTb"/>
            <w:vAlign w:val="center"/>
            <w:hideMark/>
          </w:tcPr>
          <w:p w:rsidR="00CB350B" w:rsidRPr="00F43064" w:rsidP="00257E12">
            <w:pPr>
              <w:bidi w:val="0"/>
              <w:rPr>
                <w:rFonts w:ascii="Times New Roman" w:hAnsi="Times New Roman" w:cs="Times New Roman"/>
                <w:sz w:val="2"/>
                <w:lang w:eastAsia="sk-SK"/>
              </w:rPr>
            </w:pPr>
          </w:p>
        </w:tc>
        <w:tc>
          <w:tcPr>
            <w:tcW w:w="881" w:type="dxa"/>
            <w:tcBorders>
              <w:top w:val="nil"/>
              <w:left w:val="nil"/>
              <w:bottom w:val="nil"/>
              <w:right w:val="nil"/>
            </w:tcBorders>
            <w:textDirection w:val="lrTb"/>
            <w:vAlign w:val="center"/>
            <w:hideMark/>
          </w:tcPr>
          <w:p w:rsidR="00CB350B" w:rsidRPr="00F43064" w:rsidP="00257E12">
            <w:pPr>
              <w:bidi w:val="0"/>
              <w:rPr>
                <w:rFonts w:ascii="Times New Roman" w:hAnsi="Times New Roman" w:cs="Times New Roman"/>
                <w:sz w:val="2"/>
                <w:lang w:eastAsia="sk-SK"/>
              </w:rPr>
            </w:pPr>
          </w:p>
        </w:tc>
        <w:tc>
          <w:tcPr>
            <w:tcW w:w="881" w:type="dxa"/>
            <w:tcBorders>
              <w:top w:val="nil"/>
              <w:left w:val="nil"/>
              <w:bottom w:val="nil"/>
              <w:right w:val="nil"/>
            </w:tcBorders>
            <w:textDirection w:val="lrTb"/>
            <w:vAlign w:val="center"/>
            <w:hideMark/>
          </w:tcPr>
          <w:p w:rsidR="00CB350B" w:rsidRPr="00F43064" w:rsidP="00257E12">
            <w:pPr>
              <w:bidi w:val="0"/>
              <w:rPr>
                <w:rFonts w:ascii="Times New Roman" w:hAnsi="Times New Roman" w:cs="Times New Roman"/>
                <w:sz w:val="2"/>
                <w:lang w:eastAsia="sk-SK"/>
              </w:rPr>
            </w:pPr>
          </w:p>
        </w:tc>
        <w:tc>
          <w:tcPr>
            <w:tcW w:w="881" w:type="dxa"/>
            <w:tcBorders>
              <w:top w:val="nil"/>
              <w:left w:val="nil"/>
              <w:bottom w:val="nil"/>
              <w:right w:val="nil"/>
            </w:tcBorders>
            <w:textDirection w:val="lrTb"/>
            <w:vAlign w:val="center"/>
            <w:hideMark/>
          </w:tcPr>
          <w:p w:rsidR="00CB350B" w:rsidRPr="00F43064" w:rsidP="00257E12">
            <w:pPr>
              <w:bidi w:val="0"/>
              <w:rPr>
                <w:rFonts w:ascii="Times New Roman" w:hAnsi="Times New Roman" w:cs="Times New Roman"/>
                <w:sz w:val="2"/>
                <w:lang w:eastAsia="sk-SK"/>
              </w:rPr>
            </w:pPr>
          </w:p>
        </w:tc>
      </w:tr>
    </w:tbl>
    <w:p w:rsidR="00CB350B" w:rsidRPr="00F43064" w:rsidP="00CB350B">
      <w:pPr>
        <w:bidi w:val="0"/>
        <w:jc w:val="both"/>
        <w:rPr>
          <w:rFonts w:ascii="Times New Roman" w:hAnsi="Times New Roman" w:cs="Times New Roman"/>
          <w:lang w:eastAsia="sk-SK"/>
        </w:rPr>
      </w:pPr>
      <w:r w:rsidRPr="00F43064">
        <w:rPr>
          <w:rFonts w:ascii="Times New Roman" w:hAnsi="Times New Roman" w:cs="Times New Roman"/>
          <w:lang w:eastAsia="sk-SK"/>
        </w:rPr>
        <w:t>  </w:t>
      </w:r>
    </w:p>
    <w:p w:rsidR="00CB350B" w:rsidP="00CB350B">
      <w:pPr>
        <w:bidi w:val="0"/>
        <w:rPr>
          <w:rFonts w:ascii="Times New Roman" w:hAnsi="Times New Roman" w:cs="Times New Roman"/>
          <w:lang w:eastAsia="sk-SK"/>
        </w:rPr>
      </w:pPr>
    </w:p>
    <w:p w:rsidR="00CB350B" w:rsidP="00CB350B">
      <w:pPr>
        <w:bidi w:val="0"/>
        <w:rPr>
          <w:rFonts w:ascii="Times New Roman" w:hAnsi="Times New Roman" w:cs="Times New Roman"/>
          <w:lang w:eastAsia="sk-SK"/>
        </w:rPr>
      </w:pPr>
    </w:p>
    <w:p w:rsidR="00CB350B" w:rsidP="00CB350B">
      <w:pPr>
        <w:bidi w:val="0"/>
        <w:rPr>
          <w:rFonts w:ascii="Times New Roman" w:hAnsi="Times New Roman" w:cs="Times New Roman"/>
          <w:lang w:eastAsia="sk-SK"/>
        </w:rPr>
      </w:pPr>
    </w:p>
    <w:p w:rsidR="00CB350B" w:rsidP="00CB350B">
      <w:pPr>
        <w:bidi w:val="0"/>
        <w:rPr>
          <w:rFonts w:ascii="Times New Roman" w:hAnsi="Times New Roman" w:cs="Times New Roman"/>
          <w:lang w:eastAsia="sk-SK"/>
        </w:rPr>
      </w:pPr>
    </w:p>
    <w:p w:rsidR="00CB350B" w:rsidP="00CB350B">
      <w:pPr>
        <w:bidi w:val="0"/>
        <w:rPr>
          <w:rFonts w:ascii="Times New Roman" w:hAnsi="Times New Roman" w:cs="Times New Roman"/>
          <w:lang w:eastAsia="sk-SK"/>
        </w:rPr>
      </w:pPr>
    </w:p>
    <w:p w:rsidR="00CB350B" w:rsidP="00CB350B">
      <w:pPr>
        <w:bidi w:val="0"/>
        <w:rPr>
          <w:rFonts w:ascii="Times New Roman" w:hAnsi="Times New Roman" w:cs="Times New Roman"/>
          <w:lang w:eastAsia="sk-SK"/>
        </w:rPr>
      </w:pPr>
    </w:p>
    <w:p w:rsidR="00CB350B" w:rsidP="00CB350B">
      <w:pPr>
        <w:bidi w:val="0"/>
        <w:rPr>
          <w:rFonts w:ascii="Times New Roman" w:hAnsi="Times New Roman" w:cs="Times New Roman"/>
          <w:lang w:eastAsia="sk-SK"/>
        </w:rPr>
      </w:pPr>
    </w:p>
    <w:p w:rsidR="00CB350B" w:rsidP="00CB350B">
      <w:pPr>
        <w:bidi w:val="0"/>
        <w:rPr>
          <w:rFonts w:ascii="Times New Roman" w:hAnsi="Times New Roman" w:cs="Times New Roman"/>
          <w:lang w:eastAsia="sk-SK"/>
        </w:rPr>
      </w:pPr>
    </w:p>
    <w:p w:rsidR="00CB350B" w:rsidP="00CB350B">
      <w:pPr>
        <w:bidi w:val="0"/>
        <w:rPr>
          <w:rFonts w:ascii="Times New Roman" w:hAnsi="Times New Roman" w:cs="Times New Roman"/>
          <w:lang w:eastAsia="sk-SK"/>
        </w:rPr>
      </w:pPr>
    </w:p>
    <w:p w:rsidR="00CB350B" w:rsidP="00CB350B">
      <w:pPr>
        <w:bidi w:val="0"/>
        <w:rPr>
          <w:rFonts w:ascii="Times New Roman" w:hAnsi="Times New Roman" w:cs="Times New Roman"/>
          <w:lang w:eastAsia="sk-SK"/>
        </w:rPr>
      </w:pPr>
    </w:p>
    <w:p w:rsidR="00CB350B" w:rsidP="00CB350B">
      <w:pPr>
        <w:bidi w:val="0"/>
        <w:rPr>
          <w:rFonts w:ascii="Times New Roman" w:hAnsi="Times New Roman" w:cs="Times New Roman"/>
          <w:lang w:eastAsia="sk-SK"/>
        </w:rPr>
      </w:pPr>
    </w:p>
    <w:p w:rsidR="00CB350B" w:rsidP="00CB350B">
      <w:pPr>
        <w:bidi w:val="0"/>
        <w:rPr>
          <w:rFonts w:ascii="Times New Roman" w:hAnsi="Times New Roman" w:cs="Times New Roman"/>
          <w:lang w:eastAsia="sk-SK"/>
        </w:rPr>
      </w:pPr>
    </w:p>
    <w:p w:rsidR="00CB350B" w:rsidP="00CB350B">
      <w:pPr>
        <w:bidi w:val="0"/>
        <w:rPr>
          <w:rFonts w:ascii="Times New Roman" w:hAnsi="Times New Roman" w:cs="Times New Roman"/>
          <w:lang w:eastAsia="sk-SK"/>
        </w:rPr>
      </w:pPr>
    </w:p>
    <w:p w:rsidR="00CB350B" w:rsidP="00CB350B">
      <w:pPr>
        <w:bidi w:val="0"/>
        <w:rPr>
          <w:rFonts w:ascii="Times New Roman" w:hAnsi="Times New Roman" w:cs="Times New Roman"/>
          <w:lang w:eastAsia="sk-SK"/>
        </w:rPr>
      </w:pPr>
    </w:p>
    <w:p w:rsidR="00CB350B" w:rsidP="00CB350B">
      <w:pPr>
        <w:bidi w:val="0"/>
        <w:rPr>
          <w:rFonts w:ascii="Times New Roman" w:hAnsi="Times New Roman" w:cs="Times New Roman"/>
          <w:lang w:eastAsia="sk-SK"/>
        </w:rPr>
      </w:pPr>
    </w:p>
    <w:p w:rsidR="00CB350B" w:rsidP="00CB350B">
      <w:pPr>
        <w:bidi w:val="0"/>
        <w:rPr>
          <w:rFonts w:ascii="Times New Roman" w:hAnsi="Times New Roman" w:cs="Times New Roman"/>
          <w:lang w:eastAsia="sk-SK"/>
        </w:rPr>
      </w:pPr>
    </w:p>
    <w:p w:rsidR="00CB350B" w:rsidP="00CB350B">
      <w:pPr>
        <w:bidi w:val="0"/>
        <w:rPr>
          <w:rFonts w:ascii="Times New Roman" w:hAnsi="Times New Roman" w:cs="Times New Roman"/>
          <w:lang w:eastAsia="sk-SK"/>
        </w:rPr>
      </w:pPr>
    </w:p>
    <w:p w:rsidR="00CB350B" w:rsidP="00CB350B">
      <w:pPr>
        <w:bidi w:val="0"/>
        <w:rPr>
          <w:rFonts w:ascii="Times New Roman" w:hAnsi="Times New Roman" w:cs="Times New Roman"/>
          <w:lang w:eastAsia="sk-SK"/>
        </w:rPr>
      </w:pPr>
    </w:p>
    <w:p w:rsidR="00CB350B" w:rsidP="00CB350B">
      <w:pPr>
        <w:bidi w:val="0"/>
        <w:rPr>
          <w:rFonts w:ascii="Times New Roman" w:hAnsi="Times New Roman" w:cs="Times New Roman"/>
          <w:lang w:eastAsia="sk-SK"/>
        </w:rPr>
      </w:pPr>
    </w:p>
    <w:p w:rsidR="00CB350B" w:rsidP="00CB350B">
      <w:pPr>
        <w:bidi w:val="0"/>
        <w:rPr>
          <w:rFonts w:ascii="Times New Roman" w:hAnsi="Times New Roman" w:cs="Times New Roman"/>
          <w:lang w:eastAsia="sk-SK"/>
        </w:rPr>
      </w:pPr>
    </w:p>
    <w:p w:rsidR="00CB350B" w:rsidP="00CB350B">
      <w:pPr>
        <w:bidi w:val="0"/>
        <w:rPr>
          <w:rFonts w:ascii="Times New Roman" w:hAnsi="Times New Roman" w:cs="Times New Roman"/>
          <w:lang w:eastAsia="sk-SK"/>
        </w:rPr>
      </w:pPr>
    </w:p>
    <w:p w:rsidR="00CB350B" w:rsidP="00CB350B">
      <w:pPr>
        <w:bidi w:val="0"/>
        <w:rPr>
          <w:rFonts w:ascii="Times New Roman" w:hAnsi="Times New Roman" w:cs="Times New Roman"/>
          <w:lang w:eastAsia="sk-SK"/>
        </w:rPr>
      </w:pPr>
    </w:p>
    <w:p w:rsidR="00CB350B" w:rsidP="00CB350B">
      <w:pPr>
        <w:bidi w:val="0"/>
        <w:rPr>
          <w:rFonts w:ascii="Times New Roman" w:hAnsi="Times New Roman" w:cs="Times New Roman"/>
          <w:lang w:eastAsia="sk-SK"/>
        </w:rPr>
      </w:pPr>
    </w:p>
    <w:p w:rsidR="00CB350B" w:rsidRPr="00F43064" w:rsidP="00CB350B">
      <w:pPr>
        <w:bidi w:val="0"/>
        <w:rPr>
          <w:rFonts w:ascii="Times New Roman" w:hAnsi="Times New Roman" w:cs="Times New Roman"/>
          <w:lang w:eastAsia="sk-SK"/>
        </w:rPr>
      </w:pPr>
      <w:r w:rsidRPr="00F43064">
        <w:rPr>
          <w:rFonts w:ascii="Times New Roman" w:hAnsi="Times New Roman" w:cs="Times New Roman"/>
          <w:lang w:eastAsia="sk-SK"/>
        </w:rPr>
        <w:t>Rozpočtové organizácie Slovenskej akadémie vied.</w:t>
      </w:r>
    </w:p>
    <w:p w:rsidR="00CB350B" w:rsidRPr="00F43064" w:rsidP="00CB350B">
      <w:pPr>
        <w:bidi w:val="0"/>
        <w:rPr>
          <w:rFonts w:ascii="Times New Roman" w:hAnsi="Times New Roman" w:cs="Times New Roman"/>
          <w:lang w:eastAsia="sk-SK"/>
        </w:rPr>
      </w:pPr>
      <w:r w:rsidRPr="00F43064">
        <w:rPr>
          <w:rFonts w:ascii="Times New Roman" w:hAnsi="Times New Roman" w:cs="Times New Roman"/>
          <w:lang w:eastAsia="sk-SK"/>
        </w:rPr>
        <w:t> </w:t>
      </w:r>
    </w:p>
    <w:tbl>
      <w:tblPr>
        <w:tblStyle w:val="TableNormal"/>
        <w:tblW w:w="5000" w:type="pct"/>
        <w:tblCellMar>
          <w:left w:w="70" w:type="dxa"/>
          <w:right w:w="70" w:type="dxa"/>
        </w:tblCellMar>
        <w:tblLook w:val="04A0"/>
      </w:tblPr>
      <w:tblGrid>
        <w:gridCol w:w="315"/>
        <w:gridCol w:w="3383"/>
        <w:gridCol w:w="801"/>
        <w:gridCol w:w="801"/>
        <w:gridCol w:w="801"/>
        <w:gridCol w:w="801"/>
        <w:gridCol w:w="770"/>
        <w:gridCol w:w="770"/>
        <w:gridCol w:w="770"/>
      </w:tblGrid>
      <w:tr>
        <w:tblPrEx>
          <w:tblW w:w="5000" w:type="pct"/>
          <w:tblCellMar>
            <w:left w:w="70" w:type="dxa"/>
            <w:right w:w="70" w:type="dxa"/>
          </w:tblCellMar>
          <w:tblLook w:val="04A0"/>
        </w:tblPrEx>
        <w:trPr>
          <w:trHeight w:val="255"/>
        </w:trPr>
        <w:tc>
          <w:tcPr>
            <w:tcW w:w="2007" w:type="pct"/>
            <w:gridSpan w:val="2"/>
            <w:tcBorders>
              <w:top w:val="single" w:sz="4" w:space="0" w:color="auto"/>
              <w:left w:val="single" w:sz="4" w:space="0" w:color="auto"/>
              <w:bottom w:val="single" w:sz="4" w:space="0" w:color="auto"/>
              <w:right w:val="single" w:sz="4" w:space="0" w:color="000000"/>
            </w:tcBorders>
            <w:noWrap/>
            <w:textDirection w:val="lrTb"/>
            <w:vAlign w:val="bottom"/>
            <w:hideMark/>
          </w:tcPr>
          <w:p w:rsidR="00CB350B" w:rsidRPr="00784AAF" w:rsidP="00257E12">
            <w:pPr>
              <w:bidi w:val="0"/>
              <w:rPr>
                <w:rFonts w:ascii="Times New Roman" w:hAnsi="Times New Roman" w:cs="Times New Roman"/>
                <w:b/>
                <w:color w:val="000000"/>
                <w:sz w:val="14"/>
                <w:szCs w:val="14"/>
                <w:lang w:eastAsia="sk-SK"/>
              </w:rPr>
            </w:pPr>
            <w:r w:rsidRPr="00784AAF">
              <w:rPr>
                <w:rFonts w:ascii="Times New Roman" w:hAnsi="Times New Roman" w:cs="Times New Roman"/>
                <w:b/>
                <w:color w:val="000000"/>
                <w:sz w:val="14"/>
                <w:szCs w:val="14"/>
                <w:lang w:eastAsia="sk-SK"/>
              </w:rPr>
              <w:t>v eurách</w:t>
            </w:r>
          </w:p>
        </w:tc>
        <w:tc>
          <w:tcPr>
            <w:tcW w:w="435" w:type="pct"/>
            <w:tcBorders>
              <w:top w:val="single" w:sz="4" w:space="0" w:color="auto"/>
              <w:left w:val="nil"/>
              <w:bottom w:val="single" w:sz="4" w:space="0" w:color="auto"/>
              <w:right w:val="single" w:sz="4" w:space="0" w:color="auto"/>
            </w:tcBorders>
            <w:noWrap/>
            <w:textDirection w:val="lrTb"/>
            <w:vAlign w:val="bottom"/>
            <w:hideMark/>
          </w:tcPr>
          <w:p w:rsidR="00CB350B" w:rsidRPr="00784AAF" w:rsidP="00257E12">
            <w:pPr>
              <w:bidi w:val="0"/>
              <w:jc w:val="center"/>
              <w:rPr>
                <w:rFonts w:ascii="Times New Roman" w:hAnsi="Times New Roman" w:cs="Times New Roman"/>
                <w:b/>
                <w:bCs/>
                <w:color w:val="000000"/>
                <w:sz w:val="14"/>
                <w:szCs w:val="14"/>
                <w:lang w:eastAsia="sk-SK"/>
              </w:rPr>
            </w:pPr>
            <w:r w:rsidRPr="00784AAF">
              <w:rPr>
                <w:rFonts w:ascii="Times New Roman" w:hAnsi="Times New Roman" w:cs="Times New Roman"/>
                <w:b/>
                <w:bCs/>
                <w:color w:val="000000"/>
                <w:sz w:val="14"/>
                <w:szCs w:val="14"/>
                <w:lang w:eastAsia="sk-SK"/>
              </w:rPr>
              <w:t xml:space="preserve">2009S </w:t>
            </w:r>
          </w:p>
        </w:tc>
        <w:tc>
          <w:tcPr>
            <w:tcW w:w="435" w:type="pct"/>
            <w:tcBorders>
              <w:top w:val="single" w:sz="4" w:space="0" w:color="auto"/>
              <w:left w:val="nil"/>
              <w:bottom w:val="single" w:sz="4" w:space="0" w:color="auto"/>
              <w:right w:val="single" w:sz="4" w:space="0" w:color="auto"/>
            </w:tcBorders>
            <w:noWrap/>
            <w:textDirection w:val="lrTb"/>
            <w:vAlign w:val="bottom"/>
            <w:hideMark/>
          </w:tcPr>
          <w:p w:rsidR="00CB350B" w:rsidRPr="00784AAF" w:rsidP="00257E12">
            <w:pPr>
              <w:bidi w:val="0"/>
              <w:jc w:val="center"/>
              <w:rPr>
                <w:rFonts w:ascii="Times New Roman" w:hAnsi="Times New Roman" w:cs="Times New Roman"/>
                <w:b/>
                <w:bCs/>
                <w:color w:val="000000"/>
                <w:sz w:val="14"/>
                <w:szCs w:val="14"/>
                <w:lang w:eastAsia="sk-SK"/>
              </w:rPr>
            </w:pPr>
            <w:r w:rsidRPr="00784AAF">
              <w:rPr>
                <w:rFonts w:ascii="Times New Roman" w:hAnsi="Times New Roman" w:cs="Times New Roman"/>
                <w:b/>
                <w:bCs/>
                <w:color w:val="000000"/>
                <w:sz w:val="14"/>
                <w:szCs w:val="14"/>
                <w:lang w:eastAsia="sk-SK"/>
              </w:rPr>
              <w:t xml:space="preserve">2010S </w:t>
            </w:r>
          </w:p>
        </w:tc>
        <w:tc>
          <w:tcPr>
            <w:tcW w:w="435" w:type="pct"/>
            <w:tcBorders>
              <w:top w:val="single" w:sz="4" w:space="0" w:color="auto"/>
              <w:left w:val="nil"/>
              <w:bottom w:val="single" w:sz="4" w:space="0" w:color="auto"/>
              <w:right w:val="single" w:sz="4" w:space="0" w:color="auto"/>
            </w:tcBorders>
            <w:noWrap/>
            <w:textDirection w:val="lrTb"/>
            <w:vAlign w:val="bottom"/>
            <w:hideMark/>
          </w:tcPr>
          <w:p w:rsidR="00CB350B" w:rsidRPr="00784AAF" w:rsidP="00257E12">
            <w:pPr>
              <w:bidi w:val="0"/>
              <w:jc w:val="center"/>
              <w:rPr>
                <w:rFonts w:ascii="Times New Roman" w:hAnsi="Times New Roman" w:cs="Times New Roman"/>
                <w:b/>
                <w:bCs/>
                <w:color w:val="000000"/>
                <w:sz w:val="14"/>
                <w:szCs w:val="14"/>
                <w:lang w:eastAsia="sk-SK"/>
              </w:rPr>
            </w:pPr>
            <w:r w:rsidRPr="00784AAF">
              <w:rPr>
                <w:rFonts w:ascii="Times New Roman" w:hAnsi="Times New Roman" w:cs="Times New Roman"/>
                <w:b/>
                <w:bCs/>
                <w:color w:val="000000"/>
                <w:sz w:val="14"/>
                <w:szCs w:val="14"/>
                <w:lang w:eastAsia="sk-SK"/>
              </w:rPr>
              <w:t>2011</w:t>
            </w:r>
          </w:p>
        </w:tc>
        <w:tc>
          <w:tcPr>
            <w:tcW w:w="435" w:type="pct"/>
            <w:tcBorders>
              <w:top w:val="single" w:sz="4" w:space="0" w:color="auto"/>
              <w:left w:val="nil"/>
              <w:bottom w:val="single" w:sz="4" w:space="0" w:color="auto"/>
              <w:right w:val="single" w:sz="4" w:space="0" w:color="auto"/>
            </w:tcBorders>
            <w:noWrap/>
            <w:textDirection w:val="lrTb"/>
            <w:vAlign w:val="bottom"/>
            <w:hideMark/>
          </w:tcPr>
          <w:p w:rsidR="00CB350B" w:rsidRPr="00784AAF" w:rsidP="00257E12">
            <w:pPr>
              <w:bidi w:val="0"/>
              <w:jc w:val="center"/>
              <w:rPr>
                <w:rFonts w:ascii="Times New Roman" w:hAnsi="Times New Roman" w:cs="Times New Roman"/>
                <w:b/>
                <w:bCs/>
                <w:color w:val="000000"/>
                <w:sz w:val="14"/>
                <w:szCs w:val="14"/>
                <w:lang w:eastAsia="sk-SK"/>
              </w:rPr>
            </w:pPr>
            <w:r w:rsidRPr="00784AAF">
              <w:rPr>
                <w:rFonts w:ascii="Times New Roman" w:hAnsi="Times New Roman" w:cs="Times New Roman"/>
                <w:b/>
                <w:bCs/>
                <w:color w:val="000000"/>
                <w:sz w:val="14"/>
                <w:szCs w:val="14"/>
                <w:lang w:eastAsia="sk-SK"/>
              </w:rPr>
              <w:t>2011 OS</w:t>
            </w:r>
          </w:p>
        </w:tc>
        <w:tc>
          <w:tcPr>
            <w:tcW w:w="418" w:type="pct"/>
            <w:tcBorders>
              <w:top w:val="single" w:sz="4" w:space="0" w:color="auto"/>
              <w:left w:val="nil"/>
              <w:bottom w:val="single" w:sz="4" w:space="0" w:color="auto"/>
              <w:right w:val="single" w:sz="4" w:space="0" w:color="auto"/>
            </w:tcBorders>
            <w:noWrap/>
            <w:textDirection w:val="lrTb"/>
            <w:vAlign w:val="bottom"/>
            <w:hideMark/>
          </w:tcPr>
          <w:p w:rsidR="00CB350B" w:rsidRPr="00784AAF" w:rsidP="00257E12">
            <w:pPr>
              <w:bidi w:val="0"/>
              <w:jc w:val="center"/>
              <w:rPr>
                <w:rFonts w:ascii="Times New Roman" w:hAnsi="Times New Roman" w:cs="Times New Roman"/>
                <w:b/>
                <w:bCs/>
                <w:color w:val="000000"/>
                <w:sz w:val="14"/>
                <w:szCs w:val="14"/>
                <w:lang w:eastAsia="sk-SK"/>
              </w:rPr>
            </w:pPr>
            <w:r w:rsidRPr="00784AAF">
              <w:rPr>
                <w:rFonts w:ascii="Times New Roman" w:hAnsi="Times New Roman" w:cs="Times New Roman"/>
                <w:b/>
                <w:bCs/>
                <w:color w:val="000000"/>
                <w:sz w:val="14"/>
                <w:szCs w:val="14"/>
                <w:lang w:eastAsia="sk-SK"/>
              </w:rPr>
              <w:t>2012</w:t>
            </w:r>
          </w:p>
        </w:tc>
        <w:tc>
          <w:tcPr>
            <w:tcW w:w="418" w:type="pct"/>
            <w:tcBorders>
              <w:top w:val="single" w:sz="4" w:space="0" w:color="auto"/>
              <w:left w:val="nil"/>
              <w:bottom w:val="single" w:sz="4" w:space="0" w:color="auto"/>
              <w:right w:val="single" w:sz="4" w:space="0" w:color="auto"/>
            </w:tcBorders>
            <w:noWrap/>
            <w:textDirection w:val="lrTb"/>
            <w:vAlign w:val="bottom"/>
            <w:hideMark/>
          </w:tcPr>
          <w:p w:rsidR="00CB350B" w:rsidRPr="00784AAF" w:rsidP="00257E12">
            <w:pPr>
              <w:bidi w:val="0"/>
              <w:jc w:val="center"/>
              <w:rPr>
                <w:rFonts w:ascii="Times New Roman" w:hAnsi="Times New Roman" w:cs="Times New Roman"/>
                <w:b/>
                <w:bCs/>
                <w:color w:val="000000"/>
                <w:sz w:val="14"/>
                <w:szCs w:val="14"/>
                <w:lang w:eastAsia="sk-SK"/>
              </w:rPr>
            </w:pPr>
            <w:r w:rsidRPr="00784AAF">
              <w:rPr>
                <w:rFonts w:ascii="Times New Roman" w:hAnsi="Times New Roman" w:cs="Times New Roman"/>
                <w:b/>
                <w:bCs/>
                <w:color w:val="000000"/>
                <w:sz w:val="14"/>
                <w:szCs w:val="14"/>
                <w:lang w:eastAsia="sk-SK"/>
              </w:rPr>
              <w:t>2013</w:t>
            </w:r>
          </w:p>
        </w:tc>
        <w:tc>
          <w:tcPr>
            <w:tcW w:w="418" w:type="pct"/>
            <w:tcBorders>
              <w:top w:val="single" w:sz="4" w:space="0" w:color="auto"/>
              <w:left w:val="nil"/>
              <w:bottom w:val="single" w:sz="4" w:space="0" w:color="auto"/>
              <w:right w:val="single" w:sz="4" w:space="0" w:color="auto"/>
            </w:tcBorders>
            <w:noWrap/>
            <w:textDirection w:val="lrTb"/>
            <w:vAlign w:val="bottom"/>
            <w:hideMark/>
          </w:tcPr>
          <w:p w:rsidR="00CB350B" w:rsidRPr="00784AAF" w:rsidP="00257E12">
            <w:pPr>
              <w:bidi w:val="0"/>
              <w:jc w:val="center"/>
              <w:rPr>
                <w:rFonts w:ascii="Times New Roman" w:hAnsi="Times New Roman" w:cs="Times New Roman"/>
                <w:b/>
                <w:bCs/>
                <w:color w:val="000000"/>
                <w:sz w:val="14"/>
                <w:szCs w:val="14"/>
                <w:lang w:eastAsia="sk-SK"/>
              </w:rPr>
            </w:pPr>
            <w:r w:rsidRPr="00784AAF">
              <w:rPr>
                <w:rFonts w:ascii="Times New Roman" w:hAnsi="Times New Roman" w:cs="Times New Roman"/>
                <w:b/>
                <w:bCs/>
                <w:color w:val="000000"/>
                <w:sz w:val="14"/>
                <w:szCs w:val="14"/>
                <w:lang w:eastAsia="sk-SK"/>
              </w:rPr>
              <w:t>2014</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 Spoločenskovedný ústav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545 265</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538 682</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243 590</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558 639</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286 868</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286 868</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286 868</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Technicko-hospodárska správa ústavov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2 348 682</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2 941 174</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1 129 668</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2 191 043</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1 013 272</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1 013 272</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1 013 272</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Astronomický ústav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1 035 009</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1 506 625</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1 006 908</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966 986</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858 465</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858 465</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858 465</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4.</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Geografický ústav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621 829</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691 044</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485 722</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580 209</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602 810</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602 810</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602 810</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Ústav molekulárnej biológie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1 469 290</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1 640 795</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877 788</w:t>
            </w:r>
          </w:p>
        </w:tc>
        <w:tc>
          <w:tcPr>
            <w:tcW w:w="435" w:type="pct"/>
            <w:tcBorders>
              <w:top w:val="single" w:sz="4" w:space="0" w:color="auto"/>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1 205 968</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1 042 393</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1 042 393</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1 042 393</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6.</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Ústav experimentálnej onkológie</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1 816 282</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1 827 758</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1 160 885</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1 216 094</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1 437 446</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1 437 446</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1 437 446</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7.</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Virologický ústav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2 972 708</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4 091 161</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1 264 367</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1 561 538</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1 524 011</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1 524 011</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1 524 011</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8.</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Archeologický ústav</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2 198 657</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2 450 722</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1 252 195</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1 729 289</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1 688 676</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1 688 676</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1 688 676</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9.</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Matematický ústav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1 037 842</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933 290</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671 383</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2 261 498</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797 639</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797 639</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797 639</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10.</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Ústav experimentálnej fyziky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2 954 969</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5 426 110</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1 616 061</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3 906 774</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1 913 756</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1 913 756</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1 913 756</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11.</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Neurobiologický ústav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522 441</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707 089</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374 252</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2 355 154</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524 304</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524 304</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524 304</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12.</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Ústav fyziológie hospodárskych zvierat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1 176 647</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1 865 824</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537 208</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506 702</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664 085</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664 085</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664 085</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13.</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Historický ústav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1 285 890</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1 379 334</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1 058 638</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789 117</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1 246 324</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1 246 324</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1 246 324</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14.</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Ústav etnológie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613 549</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512 687</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446 290</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1 279 701</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459 848</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459 848</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459 848</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15.</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Filozofický ústav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497 068</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510 221</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389 591</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584 396</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449 748</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449 748</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449 748</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16.</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Ústav experimentálnej psychológie</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377 453</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391 660</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300 772</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479 514</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361 854</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361 854</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361 854</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17.</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Ústav štátu a práva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342 271</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344 620</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276 904</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375 388</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319 207</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319 207</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319 207</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18.</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Jazykovedný ústav Ľudovíta Štúra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1 063 891</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1 097 420</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856 422</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327 921</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899 617</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899 617</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899 617</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19.</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Technicko-hospodárska správa ústavov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457 213</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805 681</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348 375</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1 057 135</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372 603</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372 603</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372 603</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20.</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Ústav dejín umenia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251 545</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315 899</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191 502</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411 960</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226 598</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226 598</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226 598</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21.</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Ústav molekulárnej fyziológie a genetiky</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1 124 047</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1 127 472</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611 925</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233 421</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744 880</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744 880</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744 880</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22.</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 Ústredný archív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118 066</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145 369</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100 924</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855 467</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116 025</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116 025</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116 025</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23.</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 Ústav politických vied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232 980</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230 845</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185 509</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113 942</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217 915</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217 915</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217 915</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24.</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Ústav anorganickej chémie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1 838 791</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2 407 837</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860 962</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213 976</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1 044 718</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1 044 718</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1 044 718</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25.</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Geofyzikálny ústav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940 705</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1 031 246</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728 317</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1 254 702</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855 068</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855 068</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855 068</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26.</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Parazitologický ústav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853 570</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1 556 226</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633 613</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889 028</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787 279</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787 279</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787 279</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27.</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Ústav biochémie a genetiky živočíchov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897 344</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847 934</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547 806</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767 577</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697 576</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697 576</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697 576</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28.</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Ústav hudobnej vedy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259 177</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270 189</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205 634</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268 396</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248 841</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248 841</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248 841</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29.</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Ústav divadelnej a filmovej vedy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153 740</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178 451</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133 806</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250 564</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155 599</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155 599</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155 599</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30.</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Ústredná knižnica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716 385</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679 925</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588 825</w:t>
            </w:r>
          </w:p>
        </w:tc>
        <w:tc>
          <w:tcPr>
            <w:tcW w:w="435" w:type="pct"/>
            <w:tcBorders>
              <w:top w:val="single" w:sz="4" w:space="0" w:color="auto"/>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638 533</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638 533</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638 533</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638 533</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31.</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Prognostický ústav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524 797</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431 450</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278 194</w:t>
            </w:r>
          </w:p>
        </w:tc>
        <w:tc>
          <w:tcPr>
            <w:tcW w:w="435" w:type="pct"/>
            <w:tcBorders>
              <w:top w:val="single" w:sz="4" w:space="0" w:color="auto"/>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783 078</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313 063</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313 063</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313 063</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32.</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Ústav experimentálnej endokrinológie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1 629 263</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1 417 455</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857 943</w:t>
            </w:r>
          </w:p>
        </w:tc>
        <w:tc>
          <w:tcPr>
            <w:tcW w:w="435" w:type="pct"/>
            <w:tcBorders>
              <w:top w:val="single" w:sz="4" w:space="0" w:color="auto"/>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1 658 143</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1 040 982</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1 040 982</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1 040 982</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33.</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Ústav experimentálnej farmakológie a toxikológie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1 087 705</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1 042 620</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782 740</w:t>
            </w:r>
          </w:p>
        </w:tc>
        <w:tc>
          <w:tcPr>
            <w:tcW w:w="435" w:type="pct"/>
            <w:tcBorders>
              <w:top w:val="single" w:sz="4" w:space="0" w:color="auto"/>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1 403 829</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1 024 648</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1 024 648</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1 024 648</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34.</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Ústav pre výskum srdca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424 932</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476 638</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359 175</w:t>
            </w:r>
          </w:p>
        </w:tc>
        <w:tc>
          <w:tcPr>
            <w:tcW w:w="435" w:type="pct"/>
            <w:tcBorders>
              <w:top w:val="single" w:sz="4" w:space="0" w:color="auto"/>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962 649</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407 181</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407 181</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407 181</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35.</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Ústav normálnej a patologickej fyziológie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695 916</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1 027 340</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468 874</w:t>
            </w:r>
          </w:p>
        </w:tc>
        <w:tc>
          <w:tcPr>
            <w:tcW w:w="435" w:type="pct"/>
            <w:tcBorders>
              <w:top w:val="single" w:sz="4" w:space="0" w:color="auto"/>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435 725</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576 842</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576 842</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576 842</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36.</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Botanický ústav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3 274 702</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1 455 586</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956 861</w:t>
            </w:r>
          </w:p>
        </w:tc>
        <w:tc>
          <w:tcPr>
            <w:tcW w:w="435" w:type="pct"/>
            <w:tcBorders>
              <w:top w:val="single" w:sz="4" w:space="0" w:color="auto"/>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1 175 383</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1 124 943</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1 124 943</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1 124 943</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37.</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Ústav genetiky a biotechnológie rastlín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706 713</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1 030 837</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443 290</w:t>
            </w:r>
          </w:p>
        </w:tc>
        <w:tc>
          <w:tcPr>
            <w:tcW w:w="435" w:type="pct"/>
            <w:tcBorders>
              <w:top w:val="single" w:sz="4" w:space="0" w:color="auto"/>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1 200 137</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547 060</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547 060</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547 060</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38.</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Sociologický ústav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572 931</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585 526</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333 296</w:t>
            </w:r>
          </w:p>
        </w:tc>
        <w:tc>
          <w:tcPr>
            <w:tcW w:w="435" w:type="pct"/>
            <w:tcBorders>
              <w:top w:val="single" w:sz="4" w:space="0" w:color="auto"/>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653 296</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375 874</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375 874</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375 874</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39.</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Ústav výskumu sociálnej komunikácie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240 457</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262 233</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194 627</w:t>
            </w:r>
          </w:p>
        </w:tc>
        <w:tc>
          <w:tcPr>
            <w:tcW w:w="435" w:type="pct"/>
            <w:tcBorders>
              <w:top w:val="single" w:sz="4" w:space="0" w:color="auto"/>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429 352</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242 891</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242 891</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242 891</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40.</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Ústav orientalistiky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244 662</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249 764</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200 144</w:t>
            </w:r>
          </w:p>
        </w:tc>
        <w:tc>
          <w:tcPr>
            <w:tcW w:w="435" w:type="pct"/>
            <w:tcBorders>
              <w:top w:val="single" w:sz="4" w:space="0" w:color="auto"/>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220 572</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237 583</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237 583</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237 583</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41.</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Ústav svetovej literatúry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366 372</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381 828</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313 433</w:t>
            </w:r>
          </w:p>
        </w:tc>
        <w:tc>
          <w:tcPr>
            <w:tcW w:w="435" w:type="pct"/>
            <w:tcBorders>
              <w:top w:val="single" w:sz="4" w:space="0" w:color="auto"/>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243 043</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372 431</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372 431</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372 431</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42.</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Ústav slovenskej literatúry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569 054</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602 193</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464 071</w:t>
            </w:r>
          </w:p>
        </w:tc>
        <w:tc>
          <w:tcPr>
            <w:tcW w:w="435" w:type="pct"/>
            <w:tcBorders>
              <w:top w:val="single" w:sz="4" w:space="0" w:color="auto"/>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363 024</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558 822</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558 822</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558 822</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43.</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Neuroimunologický ústav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1 195 393</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1 432 136</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383 344</w:t>
            </w:r>
          </w:p>
        </w:tc>
        <w:tc>
          <w:tcPr>
            <w:tcW w:w="435" w:type="pct"/>
            <w:tcBorders>
              <w:top w:val="single" w:sz="4" w:space="0" w:color="auto"/>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563 463</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546 367</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546 367</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546 367</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44.</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Slavistický ústav Jána Stanislava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178 591</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179 280</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145 295</w:t>
            </w:r>
          </w:p>
        </w:tc>
        <w:tc>
          <w:tcPr>
            <w:tcW w:w="435" w:type="pct"/>
            <w:tcBorders>
              <w:top w:val="single" w:sz="4" w:space="0" w:color="auto"/>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697 595</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167 238</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167 238</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167 238</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45.</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Molekulárno medicínske centrum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327 656</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321 923</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176 075</w:t>
            </w:r>
          </w:p>
        </w:tc>
        <w:tc>
          <w:tcPr>
            <w:tcW w:w="435" w:type="pct"/>
            <w:tcBorders>
              <w:top w:val="single" w:sz="4" w:space="0" w:color="auto"/>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177 581</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233 148</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233 148</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233 148</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46.</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 xml:space="preserve">Technologický inštitút </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123 267</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369 187</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65 912</w:t>
            </w:r>
          </w:p>
        </w:tc>
        <w:tc>
          <w:tcPr>
            <w:tcW w:w="435" w:type="pct"/>
            <w:tcBorders>
              <w:top w:val="single" w:sz="4" w:space="0" w:color="auto"/>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126 061</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65 507</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65 507</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65 507</w:t>
            </w:r>
          </w:p>
        </w:tc>
      </w:tr>
      <w:tr>
        <w:tblPrEx>
          <w:tblW w:w="5000" w:type="pct"/>
          <w:tblCellMar>
            <w:left w:w="70" w:type="dxa"/>
            <w:right w:w="70" w:type="dxa"/>
          </w:tblCellMar>
          <w:tblLook w:val="04A0"/>
        </w:tblPrEx>
        <w:trPr>
          <w:trHeight w:val="255"/>
        </w:trPr>
        <w:tc>
          <w:tcPr>
            <w:tcW w:w="171" w:type="pct"/>
            <w:tcBorders>
              <w:top w:val="nil"/>
              <w:left w:val="single" w:sz="4" w:space="0" w:color="auto"/>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47.</w:t>
            </w:r>
          </w:p>
        </w:tc>
        <w:tc>
          <w:tcPr>
            <w:tcW w:w="1836" w:type="pct"/>
            <w:tcBorders>
              <w:top w:val="nil"/>
              <w:left w:val="nil"/>
              <w:bottom w:val="single" w:sz="4" w:space="0" w:color="auto"/>
              <w:right w:val="single" w:sz="4" w:space="0" w:color="auto"/>
            </w:tcBorders>
            <w:noWrap/>
            <w:textDirection w:val="lrTb"/>
            <w:vAlign w:val="bottom"/>
            <w:hideMark/>
          </w:tcPr>
          <w:p w:rsidR="00CB350B" w:rsidRPr="00784AAF" w:rsidP="00257E12">
            <w:pPr>
              <w:bidi w:val="0"/>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Kongresové centrum Smolenice</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293 084</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1 002 919</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1 042 410</w:t>
            </w:r>
          </w:p>
        </w:tc>
        <w:tc>
          <w:tcPr>
            <w:tcW w:w="435" w:type="pct"/>
            <w:tcBorders>
              <w:top w:val="single" w:sz="4" w:space="0" w:color="auto"/>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1 113 675</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907 488</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907 488</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color w:val="000000"/>
                <w:sz w:val="14"/>
                <w:szCs w:val="14"/>
                <w:lang w:eastAsia="sk-SK"/>
              </w:rPr>
            </w:pPr>
            <w:r w:rsidRPr="00784AAF">
              <w:rPr>
                <w:rFonts w:ascii="Times New Roman" w:hAnsi="Times New Roman" w:cs="Times New Roman"/>
                <w:color w:val="000000"/>
                <w:sz w:val="14"/>
                <w:szCs w:val="14"/>
                <w:lang w:eastAsia="sk-SK"/>
              </w:rPr>
              <w:t>907 488</w:t>
            </w:r>
          </w:p>
        </w:tc>
      </w:tr>
      <w:tr>
        <w:tblPrEx>
          <w:tblW w:w="5000" w:type="pct"/>
          <w:tblCellMar>
            <w:left w:w="70" w:type="dxa"/>
            <w:right w:w="70" w:type="dxa"/>
          </w:tblCellMar>
          <w:tblLook w:val="04A0"/>
        </w:tblPrEx>
        <w:trPr>
          <w:trHeight w:val="255"/>
        </w:trPr>
        <w:tc>
          <w:tcPr>
            <w:tcW w:w="2007" w:type="pct"/>
            <w:gridSpan w:val="2"/>
            <w:tcBorders>
              <w:top w:val="single" w:sz="4" w:space="0" w:color="auto"/>
              <w:left w:val="single" w:sz="4" w:space="0" w:color="auto"/>
              <w:bottom w:val="single" w:sz="4" w:space="0" w:color="auto"/>
              <w:right w:val="single" w:sz="4" w:space="0" w:color="000000"/>
            </w:tcBorders>
            <w:noWrap/>
            <w:textDirection w:val="lrTb"/>
            <w:vAlign w:val="bottom"/>
            <w:hideMark/>
          </w:tcPr>
          <w:p w:rsidR="00CB350B" w:rsidRPr="00784AAF" w:rsidP="00257E12">
            <w:pPr>
              <w:bidi w:val="0"/>
              <w:rPr>
                <w:rFonts w:ascii="Times New Roman" w:hAnsi="Times New Roman" w:cs="Times New Roman"/>
                <w:b/>
                <w:bCs/>
                <w:color w:val="000000"/>
                <w:sz w:val="14"/>
                <w:szCs w:val="14"/>
                <w:lang w:eastAsia="sk-SK"/>
              </w:rPr>
            </w:pPr>
            <w:r w:rsidRPr="00784AAF">
              <w:rPr>
                <w:rFonts w:ascii="Times New Roman" w:hAnsi="Times New Roman" w:cs="Times New Roman"/>
                <w:b/>
                <w:bCs/>
                <w:color w:val="000000"/>
                <w:sz w:val="14"/>
                <w:szCs w:val="14"/>
                <w:lang w:eastAsia="sk-SK"/>
              </w:rPr>
              <w:t>Spolu rozpočtové organizácie SAV</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b/>
                <w:bCs/>
                <w:color w:val="000000"/>
                <w:sz w:val="14"/>
                <w:szCs w:val="14"/>
                <w:lang w:eastAsia="sk-SK"/>
              </w:rPr>
            </w:pPr>
            <w:r w:rsidRPr="00784AAF">
              <w:rPr>
                <w:rFonts w:ascii="Times New Roman" w:hAnsi="Times New Roman" w:cs="Times New Roman"/>
                <w:b/>
                <w:bCs/>
                <w:color w:val="000000"/>
                <w:sz w:val="14"/>
                <w:szCs w:val="14"/>
                <w:lang w:eastAsia="sk-SK"/>
              </w:rPr>
              <w:t>43 178 801</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b/>
                <w:bCs/>
                <w:color w:val="000000"/>
                <w:sz w:val="14"/>
                <w:szCs w:val="14"/>
                <w:lang w:eastAsia="sk-SK"/>
              </w:rPr>
            </w:pPr>
            <w:r w:rsidRPr="00784AAF">
              <w:rPr>
                <w:rFonts w:ascii="Times New Roman" w:hAnsi="Times New Roman" w:cs="Times New Roman"/>
                <w:b/>
                <w:bCs/>
                <w:color w:val="000000"/>
                <w:sz w:val="14"/>
                <w:szCs w:val="14"/>
                <w:lang w:eastAsia="sk-SK"/>
              </w:rPr>
              <w:t>50 722 205</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b/>
                <w:bCs/>
                <w:color w:val="000000"/>
                <w:sz w:val="14"/>
                <w:szCs w:val="14"/>
                <w:lang w:eastAsia="sk-SK"/>
              </w:rPr>
            </w:pPr>
            <w:r w:rsidRPr="00784AAF">
              <w:rPr>
                <w:rFonts w:ascii="Times New Roman" w:hAnsi="Times New Roman" w:cs="Times New Roman"/>
                <w:b/>
                <w:bCs/>
                <w:color w:val="000000"/>
                <w:sz w:val="14"/>
                <w:szCs w:val="14"/>
                <w:lang w:eastAsia="sk-SK"/>
              </w:rPr>
              <w:t>26 551 526</w:t>
            </w:r>
          </w:p>
        </w:tc>
        <w:tc>
          <w:tcPr>
            <w:tcW w:w="435"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b/>
                <w:bCs/>
                <w:color w:val="000000"/>
                <w:sz w:val="14"/>
                <w:szCs w:val="14"/>
                <w:lang w:eastAsia="sk-SK"/>
              </w:rPr>
            </w:pPr>
            <w:r w:rsidRPr="00784AAF">
              <w:rPr>
                <w:rFonts w:ascii="Times New Roman" w:hAnsi="Times New Roman" w:cs="Times New Roman"/>
                <w:b/>
                <w:bCs/>
                <w:color w:val="000000"/>
                <w:sz w:val="14"/>
                <w:szCs w:val="14"/>
                <w:lang w:eastAsia="sk-SK"/>
              </w:rPr>
              <w:t>42 037 238</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b/>
                <w:bCs/>
                <w:color w:val="000000"/>
                <w:sz w:val="14"/>
                <w:szCs w:val="14"/>
                <w:lang w:eastAsia="sk-SK"/>
              </w:rPr>
            </w:pPr>
            <w:r w:rsidRPr="00784AAF">
              <w:rPr>
                <w:rFonts w:ascii="Times New Roman" w:hAnsi="Times New Roman" w:cs="Times New Roman"/>
                <w:b/>
                <w:bCs/>
                <w:color w:val="000000"/>
                <w:sz w:val="14"/>
                <w:szCs w:val="14"/>
                <w:lang w:eastAsia="sk-SK"/>
              </w:rPr>
              <w:t>30 938 026</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b/>
                <w:bCs/>
                <w:color w:val="000000"/>
                <w:sz w:val="14"/>
                <w:szCs w:val="14"/>
                <w:lang w:eastAsia="sk-SK"/>
              </w:rPr>
            </w:pPr>
            <w:r w:rsidRPr="00784AAF">
              <w:rPr>
                <w:rFonts w:ascii="Times New Roman" w:hAnsi="Times New Roman" w:cs="Times New Roman"/>
                <w:b/>
                <w:bCs/>
                <w:color w:val="000000"/>
                <w:sz w:val="14"/>
                <w:szCs w:val="14"/>
                <w:lang w:eastAsia="sk-SK"/>
              </w:rPr>
              <w:t>30 938 026</w:t>
            </w:r>
          </w:p>
        </w:tc>
        <w:tc>
          <w:tcPr>
            <w:tcW w:w="418" w:type="pct"/>
            <w:tcBorders>
              <w:top w:val="nil"/>
              <w:left w:val="nil"/>
              <w:bottom w:val="single" w:sz="4" w:space="0" w:color="auto"/>
              <w:right w:val="single" w:sz="4" w:space="0" w:color="auto"/>
            </w:tcBorders>
            <w:noWrap/>
            <w:textDirection w:val="lrTb"/>
            <w:vAlign w:val="bottom"/>
            <w:hideMark/>
          </w:tcPr>
          <w:p w:rsidR="00CB350B" w:rsidRPr="00784AAF" w:rsidP="00257E12">
            <w:pPr>
              <w:bidi w:val="0"/>
              <w:jc w:val="right"/>
              <w:rPr>
                <w:rFonts w:ascii="Times New Roman" w:hAnsi="Times New Roman" w:cs="Times New Roman"/>
                <w:b/>
                <w:bCs/>
                <w:color w:val="000000"/>
                <w:sz w:val="14"/>
                <w:szCs w:val="14"/>
                <w:lang w:eastAsia="sk-SK"/>
              </w:rPr>
            </w:pPr>
            <w:r w:rsidRPr="00784AAF">
              <w:rPr>
                <w:rFonts w:ascii="Times New Roman" w:hAnsi="Times New Roman" w:cs="Times New Roman"/>
                <w:b/>
                <w:bCs/>
                <w:color w:val="000000"/>
                <w:sz w:val="14"/>
                <w:szCs w:val="14"/>
                <w:lang w:eastAsia="sk-SK"/>
              </w:rPr>
              <w:t>30 938 026</w:t>
            </w:r>
          </w:p>
        </w:tc>
      </w:tr>
    </w:tbl>
    <w:p w:rsidR="00CB350B" w:rsidP="00CB350B">
      <w:pPr>
        <w:bidi w:val="0"/>
        <w:jc w:val="both"/>
        <w:rPr>
          <w:rFonts w:ascii="Times New Roman" w:hAnsi="Times New Roman" w:cs="Times New Roman"/>
          <w:b/>
          <w:bCs/>
          <w:lang w:eastAsia="sk-SK"/>
        </w:rPr>
      </w:pPr>
    </w:p>
    <w:p w:rsidR="00CB350B" w:rsidRPr="00F43064" w:rsidP="00CB350B">
      <w:pPr>
        <w:bidi w:val="0"/>
        <w:jc w:val="both"/>
        <w:rPr>
          <w:rFonts w:ascii="Times New Roman" w:hAnsi="Times New Roman" w:cs="Times New Roman"/>
          <w:lang w:eastAsia="sk-SK"/>
        </w:rPr>
      </w:pPr>
      <w:r w:rsidRPr="00F43064">
        <w:rPr>
          <w:rFonts w:ascii="Times New Roman" w:hAnsi="Times New Roman" w:cs="Times New Roman"/>
          <w:b/>
          <w:bCs/>
          <w:lang w:eastAsia="sk-SK"/>
        </w:rPr>
        <w:t>Financovanie tretieho stupňa vysokoškolského vzdelávania</w:t>
      </w:r>
    </w:p>
    <w:p w:rsidR="00CB350B" w:rsidRPr="00F43064" w:rsidP="00CB350B">
      <w:pPr>
        <w:bidi w:val="0"/>
        <w:jc w:val="both"/>
        <w:rPr>
          <w:rFonts w:ascii="Times New Roman" w:hAnsi="Times New Roman" w:cs="Times New Roman"/>
          <w:lang w:eastAsia="sk-SK"/>
        </w:rPr>
      </w:pPr>
      <w:r w:rsidRPr="00F43064">
        <w:rPr>
          <w:rFonts w:ascii="Times New Roman" w:hAnsi="Times New Roman" w:cs="Times New Roman"/>
          <w:lang w:eastAsia="sk-SK"/>
        </w:rPr>
        <w:t> </w:t>
      </w:r>
    </w:p>
    <w:p w:rsidR="00CB350B" w:rsidRPr="00F43064" w:rsidP="00CB350B">
      <w:pPr>
        <w:bidi w:val="0"/>
        <w:ind w:firstLine="708"/>
        <w:jc w:val="both"/>
        <w:rPr>
          <w:rFonts w:ascii="Times New Roman" w:hAnsi="Times New Roman" w:cs="Times New Roman"/>
          <w:lang w:eastAsia="sk-SK"/>
        </w:rPr>
      </w:pPr>
      <w:r w:rsidRPr="00F43064">
        <w:rPr>
          <w:rFonts w:ascii="Times New Roman" w:hAnsi="Times New Roman" w:cs="Times New Roman"/>
          <w:lang w:eastAsia="sk-SK"/>
        </w:rPr>
        <w:t xml:space="preserve">SAV ako externá vzdelávacia inštitúcia sa podieľa na výchove nových generácií vedeckých pracovníkov v širokej palete vedných odborov. Zo svojho rozpočtu hradí nielen prostriedky na štipendiá, ale aj náklady spojené s vedeckou činnosťou doktorandov. Na rok 2012 SAV rozpísala výdavky na tretí stupeň vysokoškolského vzdelávania v sume </w:t>
        <w:br/>
        <w:t xml:space="preserve">3,18 mil. eur, čo predstavuje pokles oproti  schválenému rozpočtu roku 2011 o 5,00 tis. eur, </w:t>
        <w:br/>
        <w:t xml:space="preserve">t. j. 0,16 %. Zo sumy 3,18 mil. eur sú rozpočtované výdavky na štipendiá v sume </w:t>
        <w:br/>
        <w:t xml:space="preserve">3,05 mil. eur a 0,13 mil. eur sú bežné výdavky na tovary a služby spojené s vedeckou činnosťou doktorandov. </w:t>
      </w:r>
    </w:p>
    <w:p w:rsidR="00CB350B" w:rsidRPr="00F43064" w:rsidP="00CB350B">
      <w:pPr>
        <w:bidi w:val="0"/>
        <w:jc w:val="both"/>
        <w:rPr>
          <w:rFonts w:ascii="Times New Roman" w:hAnsi="Times New Roman" w:cs="Times New Roman"/>
          <w:lang w:eastAsia="sk-SK"/>
        </w:rPr>
      </w:pPr>
      <w:r w:rsidRPr="00F43064">
        <w:rPr>
          <w:rFonts w:ascii="Times New Roman" w:hAnsi="Times New Roman" w:cs="Times New Roman"/>
          <w:lang w:eastAsia="sk-SK"/>
        </w:rPr>
        <w:t> </w:t>
      </w:r>
    </w:p>
    <w:tbl>
      <w:tblPr>
        <w:tblStyle w:val="TableNormal"/>
        <w:tblW w:w="5000" w:type="pct"/>
        <w:tblCellMar>
          <w:left w:w="0" w:type="dxa"/>
          <w:right w:w="0" w:type="dxa"/>
        </w:tblCellMar>
        <w:tblLook w:val="04A0"/>
      </w:tblPr>
      <w:tblGrid>
        <w:gridCol w:w="2906"/>
        <w:gridCol w:w="900"/>
        <w:gridCol w:w="901"/>
        <w:gridCol w:w="901"/>
        <w:gridCol w:w="901"/>
        <w:gridCol w:w="901"/>
        <w:gridCol w:w="901"/>
        <w:gridCol w:w="901"/>
      </w:tblGrid>
      <w:tr>
        <w:tblPrEx>
          <w:tblW w:w="5000" w:type="pct"/>
          <w:tblCellMar>
            <w:left w:w="0" w:type="dxa"/>
            <w:right w:w="0" w:type="dxa"/>
          </w:tblCellMar>
          <w:tblLook w:val="04A0"/>
        </w:tblPrEx>
        <w:trPr>
          <w:trHeight w:val="284"/>
        </w:trPr>
        <w:tc>
          <w:tcPr>
            <w:tcW w:w="1577"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v eurách</w:t>
            </w:r>
          </w:p>
        </w:tc>
        <w:tc>
          <w:tcPr>
            <w:tcW w:w="488"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center"/>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 xml:space="preserve">2009S </w:t>
            </w:r>
          </w:p>
        </w:tc>
        <w:tc>
          <w:tcPr>
            <w:tcW w:w="489"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center"/>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 xml:space="preserve">2010S </w:t>
            </w:r>
          </w:p>
        </w:tc>
        <w:tc>
          <w:tcPr>
            <w:tcW w:w="489"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center"/>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2011 R</w:t>
            </w:r>
          </w:p>
        </w:tc>
        <w:tc>
          <w:tcPr>
            <w:tcW w:w="489"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center"/>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2011 OS</w:t>
            </w:r>
          </w:p>
        </w:tc>
        <w:tc>
          <w:tcPr>
            <w:tcW w:w="489"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center"/>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 xml:space="preserve">2012 N </w:t>
            </w:r>
          </w:p>
        </w:tc>
        <w:tc>
          <w:tcPr>
            <w:tcW w:w="489"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center"/>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2013 N</w:t>
            </w:r>
          </w:p>
        </w:tc>
        <w:tc>
          <w:tcPr>
            <w:tcW w:w="489"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center"/>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2014 N</w:t>
            </w:r>
          </w:p>
        </w:tc>
      </w:tr>
      <w:tr>
        <w:tblPrEx>
          <w:tblW w:w="5000" w:type="pct"/>
          <w:tblCellMar>
            <w:left w:w="0" w:type="dxa"/>
            <w:right w:w="0" w:type="dxa"/>
          </w:tblCellMar>
          <w:tblLook w:val="04A0"/>
        </w:tblPrEx>
        <w:trPr>
          <w:trHeight w:val="284"/>
        </w:trPr>
        <w:tc>
          <w:tcPr>
            <w:tcW w:w="1577"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Výdavky na doktorandov spolu</w:t>
            </w:r>
          </w:p>
        </w:tc>
        <w:tc>
          <w:tcPr>
            <w:tcW w:w="48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2 457 834</w:t>
            </w:r>
          </w:p>
        </w:tc>
        <w:tc>
          <w:tcPr>
            <w:tcW w:w="48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2 800 488</w:t>
            </w:r>
          </w:p>
        </w:tc>
        <w:tc>
          <w:tcPr>
            <w:tcW w:w="48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3 188 436</w:t>
            </w:r>
          </w:p>
        </w:tc>
        <w:tc>
          <w:tcPr>
            <w:tcW w:w="48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3 183 436</w:t>
            </w:r>
          </w:p>
        </w:tc>
        <w:tc>
          <w:tcPr>
            <w:tcW w:w="48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3 183 436</w:t>
            </w:r>
          </w:p>
        </w:tc>
        <w:tc>
          <w:tcPr>
            <w:tcW w:w="48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3 183 436</w:t>
            </w:r>
          </w:p>
        </w:tc>
        <w:tc>
          <w:tcPr>
            <w:tcW w:w="48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3 183 436</w:t>
            </w:r>
          </w:p>
        </w:tc>
      </w:tr>
      <w:tr>
        <w:tblPrEx>
          <w:tblW w:w="5000" w:type="pct"/>
          <w:tblCellMar>
            <w:left w:w="0" w:type="dxa"/>
            <w:right w:w="0" w:type="dxa"/>
          </w:tblCellMar>
          <w:tblLook w:val="04A0"/>
        </w:tblPrEx>
        <w:trPr>
          <w:trHeight w:val="284"/>
        </w:trPr>
        <w:tc>
          <w:tcPr>
            <w:tcW w:w="1577"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z toho: tovary a služby na doktorandov</w:t>
            </w:r>
          </w:p>
        </w:tc>
        <w:tc>
          <w:tcPr>
            <w:tcW w:w="48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104 680</w:t>
            </w:r>
          </w:p>
        </w:tc>
        <w:tc>
          <w:tcPr>
            <w:tcW w:w="48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147 355</w:t>
            </w:r>
          </w:p>
        </w:tc>
        <w:tc>
          <w:tcPr>
            <w:tcW w:w="48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139 960</w:t>
            </w:r>
          </w:p>
        </w:tc>
        <w:tc>
          <w:tcPr>
            <w:tcW w:w="48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134 960</w:t>
            </w:r>
          </w:p>
        </w:tc>
        <w:tc>
          <w:tcPr>
            <w:tcW w:w="48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134 960</w:t>
            </w:r>
          </w:p>
        </w:tc>
        <w:tc>
          <w:tcPr>
            <w:tcW w:w="48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134 960</w:t>
            </w:r>
          </w:p>
        </w:tc>
        <w:tc>
          <w:tcPr>
            <w:tcW w:w="48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134 960</w:t>
            </w:r>
          </w:p>
        </w:tc>
      </w:tr>
      <w:tr>
        <w:tblPrEx>
          <w:tblW w:w="5000" w:type="pct"/>
          <w:tblCellMar>
            <w:left w:w="0" w:type="dxa"/>
            <w:right w:w="0" w:type="dxa"/>
          </w:tblCellMar>
          <w:tblLook w:val="04A0"/>
        </w:tblPrEx>
        <w:trPr>
          <w:trHeight w:val="284"/>
        </w:trPr>
        <w:tc>
          <w:tcPr>
            <w:tcW w:w="1577"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color w:val="000000"/>
                <w:sz w:val="14"/>
                <w:szCs w:val="14"/>
                <w:lang w:eastAsia="sk-SK"/>
              </w:rPr>
              <w:t>            štipendiá doktorandov</w:t>
            </w:r>
          </w:p>
        </w:tc>
        <w:tc>
          <w:tcPr>
            <w:tcW w:w="48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2 353 154</w:t>
            </w:r>
          </w:p>
        </w:tc>
        <w:tc>
          <w:tcPr>
            <w:tcW w:w="48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2 653 133</w:t>
            </w:r>
          </w:p>
        </w:tc>
        <w:tc>
          <w:tcPr>
            <w:tcW w:w="48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3 048 476</w:t>
            </w:r>
          </w:p>
        </w:tc>
        <w:tc>
          <w:tcPr>
            <w:tcW w:w="48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3 048 476</w:t>
            </w:r>
          </w:p>
        </w:tc>
        <w:tc>
          <w:tcPr>
            <w:tcW w:w="48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3 048 476</w:t>
            </w:r>
          </w:p>
        </w:tc>
        <w:tc>
          <w:tcPr>
            <w:tcW w:w="48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3 048 476</w:t>
            </w:r>
          </w:p>
        </w:tc>
        <w:tc>
          <w:tcPr>
            <w:tcW w:w="48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color w:val="000000"/>
                <w:sz w:val="14"/>
                <w:szCs w:val="14"/>
                <w:lang w:eastAsia="sk-SK"/>
              </w:rPr>
              <w:t>3 048 476</w:t>
            </w:r>
          </w:p>
        </w:tc>
      </w:tr>
      <w:tr>
        <w:tblPrEx>
          <w:tblW w:w="5000" w:type="pct"/>
          <w:tblCellMar>
            <w:left w:w="0" w:type="dxa"/>
            <w:right w:w="0" w:type="dxa"/>
          </w:tblCellMar>
          <w:tblLook w:val="04A0"/>
        </w:tblPrEx>
        <w:trPr>
          <w:trHeight w:val="284"/>
        </w:trPr>
        <w:tc>
          <w:tcPr>
            <w:tcW w:w="1577"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počet doktorandov (osôb)</w:t>
            </w:r>
          </w:p>
        </w:tc>
        <w:tc>
          <w:tcPr>
            <w:tcW w:w="48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348</w:t>
            </w:r>
          </w:p>
        </w:tc>
        <w:tc>
          <w:tcPr>
            <w:tcW w:w="48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419</w:t>
            </w:r>
          </w:p>
        </w:tc>
        <w:tc>
          <w:tcPr>
            <w:tcW w:w="48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470</w:t>
            </w:r>
          </w:p>
        </w:tc>
        <w:tc>
          <w:tcPr>
            <w:tcW w:w="48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470</w:t>
            </w:r>
          </w:p>
        </w:tc>
        <w:tc>
          <w:tcPr>
            <w:tcW w:w="48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510</w:t>
            </w:r>
          </w:p>
        </w:tc>
        <w:tc>
          <w:tcPr>
            <w:tcW w:w="48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540</w:t>
            </w:r>
          </w:p>
        </w:tc>
        <w:tc>
          <w:tcPr>
            <w:tcW w:w="48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CB350B" w:rsidRPr="00F43064" w:rsidP="00257E12">
            <w:pPr>
              <w:bidi w:val="0"/>
              <w:jc w:val="right"/>
              <w:rPr>
                <w:rFonts w:ascii="Times New Roman" w:hAnsi="Times New Roman" w:cs="Times New Roman"/>
                <w:lang w:eastAsia="sk-SK"/>
              </w:rPr>
            </w:pPr>
            <w:r w:rsidRPr="00F43064">
              <w:rPr>
                <w:rFonts w:ascii="Times New Roman" w:hAnsi="Times New Roman" w:cs="Times New Roman"/>
                <w:b/>
                <w:bCs/>
                <w:color w:val="000000"/>
                <w:sz w:val="14"/>
                <w:szCs w:val="14"/>
                <w:lang w:eastAsia="sk-SK"/>
              </w:rPr>
              <w:t>570</w:t>
            </w:r>
          </w:p>
        </w:tc>
      </w:tr>
    </w:tbl>
    <w:p w:rsidR="00CB350B" w:rsidP="00CB350B">
      <w:pPr>
        <w:bidi w:val="0"/>
        <w:jc w:val="both"/>
        <w:rPr>
          <w:rFonts w:ascii="Times New Roman" w:hAnsi="Times New Roman"/>
          <w:color w:val="0070C0"/>
        </w:rPr>
      </w:pPr>
      <w:r w:rsidRPr="00F43064">
        <w:rPr>
          <w:rFonts w:ascii="Times New Roman" w:hAnsi="Times New Roman" w:cs="Times New Roman"/>
          <w:lang w:eastAsia="sk-SK"/>
        </w:rPr>
        <w:t> </w:t>
      </w:r>
      <w:bookmarkStart w:id="68" w:name="_Toc148246498"/>
      <w:bookmarkStart w:id="69" w:name="_Toc142906518"/>
      <w:bookmarkEnd w:id="68"/>
      <w:bookmarkEnd w:id="69"/>
      <w:r w:rsidRPr="00F43064">
        <w:rPr>
          <w:rFonts w:ascii="Times New Roman" w:hAnsi="Times New Roman" w:cs="Times New Roman"/>
          <w:b/>
          <w:bCs/>
          <w:lang w:eastAsia="sk-SK"/>
        </w:rPr>
        <w:t> </w:t>
      </w:r>
    </w:p>
    <w:p w:rsidR="00CF0B79" w:rsidRPr="00461390" w:rsidP="00CF0B79">
      <w:pPr>
        <w:bidi w:val="0"/>
        <w:rPr>
          <w:rFonts w:ascii="Times New Roman" w:hAnsi="Times New Roman"/>
          <w:b/>
          <w:iCs/>
        </w:rPr>
      </w:pPr>
      <w:r>
        <w:rPr>
          <w:rFonts w:ascii="Times New Roman" w:hAnsi="Times New Roman"/>
          <w:b/>
          <w:iCs/>
          <w:noProof/>
          <w:lang w:eastAsia="sk-SK"/>
        </w:rPr>
        <w:pict>
          <v:shape id="AutoShape 6" o:spid="_x0000_s1032" type="#_x0000_t32" style="width:458.25pt;height:0;margin-top:12.95pt;margin-left:0.4pt;position:absolute;visibility:visible;z-index:251660288" adj="-3358,-1,-3358"/>
        </w:pict>
      </w:r>
      <w:r w:rsidRPr="00461390">
        <w:rPr>
          <w:rFonts w:ascii="Times New Roman" w:hAnsi="Times New Roman"/>
          <w:b/>
          <w:iCs/>
        </w:rPr>
        <w:t>Všeobecná pokladničná správa</w:t>
      </w:r>
    </w:p>
    <w:p w:rsidR="00CF0B79" w:rsidRPr="00461390" w:rsidP="00CF0B79">
      <w:pPr>
        <w:bidi w:val="0"/>
        <w:ind w:firstLine="709"/>
        <w:jc w:val="both"/>
        <w:rPr>
          <w:rFonts w:ascii="Times New Roman" w:hAnsi="Times New Roman"/>
        </w:rPr>
      </w:pPr>
    </w:p>
    <w:p w:rsidR="00CF0B79" w:rsidRPr="00461390" w:rsidP="00CF0B79">
      <w:pPr>
        <w:pStyle w:val="BodyTextIndent2"/>
        <w:bidi w:val="0"/>
        <w:spacing w:after="0" w:line="240" w:lineRule="auto"/>
        <w:ind w:left="0" w:firstLine="709"/>
        <w:jc w:val="both"/>
        <w:rPr>
          <w:rFonts w:ascii="Times New Roman" w:hAnsi="Times New Roman"/>
        </w:rPr>
      </w:pPr>
      <w:r w:rsidRPr="00461390">
        <w:rPr>
          <w:rFonts w:ascii="Times New Roman" w:hAnsi="Times New Roman"/>
        </w:rPr>
        <w:t>V kapitole sú obsiahnuté výdavky štátneho rozpočtu, ktoré nesúvisia s  výdavkami ostatných kapitol, vrátane výdavkov spojených so správou štátneho dlhu. V rámci kapitoly sú rozpočtované aj prostriedky súvisiace s činnosťou Kancelárie verejného ochrancu práv, Rady pre vysielanie a retransmisiu a Úradu na ochranu osobných údajov. Zároveň sa rozpočtujú aj transfery na činnosť Ústavu pamäti národa a Slovenského národného strediska pre ľudské práva.</w:t>
      </w:r>
    </w:p>
    <w:p w:rsidR="00CF0B79" w:rsidRPr="00461390" w:rsidP="00CF0B79">
      <w:pPr>
        <w:bidi w:val="0"/>
        <w:ind w:firstLine="709"/>
        <w:jc w:val="both"/>
        <w:rPr>
          <w:rFonts w:ascii="Times New Roman" w:hAnsi="Times New Roman"/>
        </w:rPr>
      </w:pPr>
      <w:r>
        <w:rPr>
          <w:rFonts w:ascii="Times New Roman" w:hAnsi="Times New Roman"/>
        </w:rPr>
        <w:t xml:space="preserve"> </w:t>
      </w:r>
    </w:p>
    <w:p w:rsidR="00CF0B79" w:rsidRPr="00461390" w:rsidP="00CF0B79">
      <w:pPr>
        <w:bidi w:val="0"/>
        <w:ind w:firstLine="709"/>
        <w:jc w:val="both"/>
        <w:rPr>
          <w:rFonts w:ascii="Times New Roman" w:hAnsi="Times New Roman"/>
        </w:rPr>
      </w:pPr>
      <w:r w:rsidRPr="00461390">
        <w:rPr>
          <w:rFonts w:ascii="Times New Roman" w:hAnsi="Times New Roman"/>
        </w:rPr>
        <w:t>Výdavky kapitoly na rok 2012 predstavujú 5,4 mld. eur, čo je v porovnaní so schváleným rozpočtom na rok 2011 viac o 4</w:t>
      </w:r>
      <w:r>
        <w:rPr>
          <w:rFonts w:ascii="Times New Roman" w:hAnsi="Times New Roman"/>
        </w:rPr>
        <w:t>7</w:t>
      </w:r>
      <w:r w:rsidRPr="00461390">
        <w:rPr>
          <w:rFonts w:ascii="Times New Roman" w:hAnsi="Times New Roman"/>
        </w:rPr>
        <w:t>,</w:t>
      </w:r>
      <w:r>
        <w:rPr>
          <w:rFonts w:ascii="Times New Roman" w:hAnsi="Times New Roman"/>
        </w:rPr>
        <w:t>1</w:t>
      </w:r>
      <w:r w:rsidRPr="00461390">
        <w:rPr>
          <w:rFonts w:ascii="Times New Roman" w:hAnsi="Times New Roman"/>
        </w:rPr>
        <w:t xml:space="preserve"> %. </w:t>
      </w:r>
    </w:p>
    <w:p w:rsidR="00CF0B79" w:rsidRPr="00461390" w:rsidP="00CF0B79">
      <w:pPr>
        <w:bidi w:val="0"/>
        <w:ind w:firstLine="709"/>
        <w:jc w:val="both"/>
        <w:rPr>
          <w:rFonts w:ascii="Times New Roman" w:hAnsi="Times New Roman"/>
        </w:rPr>
      </w:pPr>
    </w:p>
    <w:p w:rsidR="00CF0B79" w:rsidRPr="00461390" w:rsidP="00CF0B79">
      <w:pPr>
        <w:bidi w:val="0"/>
        <w:ind w:firstLine="709"/>
        <w:jc w:val="both"/>
        <w:rPr>
          <w:rFonts w:ascii="Times New Roman" w:hAnsi="Times New Roman"/>
        </w:rPr>
      </w:pPr>
      <w:r w:rsidRPr="00461390">
        <w:rPr>
          <w:rFonts w:ascii="Times New Roman" w:hAnsi="Times New Roman"/>
        </w:rPr>
        <w:t xml:space="preserve">Výdavky kapitoly možno rozčleniť do piatich základných skupín. </w:t>
      </w:r>
    </w:p>
    <w:p w:rsidR="00CF0B79" w:rsidRPr="00461390" w:rsidP="00CF0B79">
      <w:pPr>
        <w:bidi w:val="0"/>
        <w:ind w:firstLine="709"/>
        <w:jc w:val="both"/>
        <w:rPr>
          <w:rFonts w:ascii="Times New Roman" w:hAnsi="Times New Roman"/>
        </w:rPr>
      </w:pPr>
    </w:p>
    <w:tbl>
      <w:tblPr>
        <w:tblStyle w:val="TableNormal"/>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25"/>
        <w:gridCol w:w="951"/>
        <w:gridCol w:w="952"/>
        <w:gridCol w:w="952"/>
        <w:gridCol w:w="951"/>
        <w:gridCol w:w="952"/>
        <w:gridCol w:w="952"/>
        <w:gridCol w:w="952"/>
      </w:tblGrid>
      <w:tr>
        <w:tblPrEx>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270"/>
        </w:trPr>
        <w:tc>
          <w:tcPr>
            <w:tcW w:w="242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461390" w:rsidP="00F576BD">
            <w:pPr>
              <w:bidi w:val="0"/>
              <w:rPr>
                <w:rFonts w:ascii="Times New Roman" w:hAnsi="Times New Roman"/>
                <w:b/>
                <w:bCs/>
                <w:sz w:val="14"/>
                <w:szCs w:val="14"/>
                <w:lang w:eastAsia="sk-SK"/>
              </w:rPr>
            </w:pPr>
            <w:r w:rsidRPr="00461390">
              <w:rPr>
                <w:rFonts w:ascii="Times New Roman" w:hAnsi="Times New Roman"/>
                <w:b/>
                <w:bCs/>
                <w:sz w:val="14"/>
                <w:szCs w:val="14"/>
                <w:lang w:eastAsia="sk-SK"/>
              </w:rPr>
              <w:t>v eurách</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2009 S</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2010 S</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2011 R</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2011 OS</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2012 N</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2013 N</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2014 N</w:t>
            </w:r>
          </w:p>
        </w:tc>
      </w:tr>
      <w:tr>
        <w:tblPrEx>
          <w:tblW w:w="9087" w:type="dxa"/>
          <w:tblInd w:w="55" w:type="dxa"/>
          <w:tblLayout w:type="fixed"/>
          <w:tblCellMar>
            <w:left w:w="70" w:type="dxa"/>
            <w:right w:w="70" w:type="dxa"/>
          </w:tblCellMar>
          <w:tblLook w:val="04A0"/>
        </w:tblPrEx>
        <w:trPr>
          <w:trHeight w:val="270"/>
        </w:trPr>
        <w:tc>
          <w:tcPr>
            <w:tcW w:w="242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461390" w:rsidP="00F576BD">
            <w:pPr>
              <w:bidi w:val="0"/>
              <w:rPr>
                <w:rFonts w:ascii="Times New Roman" w:hAnsi="Times New Roman"/>
                <w:b/>
                <w:bCs/>
                <w:sz w:val="14"/>
                <w:szCs w:val="14"/>
                <w:lang w:eastAsia="sk-SK"/>
              </w:rPr>
            </w:pPr>
            <w:r w:rsidRPr="00461390">
              <w:rPr>
                <w:rFonts w:ascii="Times New Roman" w:hAnsi="Times New Roman"/>
                <w:b/>
                <w:bCs/>
                <w:sz w:val="14"/>
                <w:szCs w:val="14"/>
                <w:lang w:eastAsia="sk-SK"/>
              </w:rPr>
              <w:t>V</w:t>
            </w:r>
            <w:r>
              <w:rPr>
                <w:rFonts w:ascii="Times New Roman" w:hAnsi="Times New Roman"/>
                <w:b/>
                <w:bCs/>
                <w:sz w:val="14"/>
                <w:szCs w:val="14"/>
                <w:lang w:eastAsia="sk-SK"/>
              </w:rPr>
              <w:t>ýdavky spolu</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b/>
                <w:sz w:val="14"/>
                <w:szCs w:val="14"/>
                <w:lang w:eastAsia="sk-SK"/>
              </w:rPr>
            </w:pPr>
            <w:r w:rsidRPr="00461390">
              <w:rPr>
                <w:rFonts w:ascii="Times New Roman" w:hAnsi="Times New Roman"/>
                <w:b/>
                <w:sz w:val="14"/>
                <w:szCs w:val="14"/>
                <w:lang w:eastAsia="sk-SK"/>
              </w:rPr>
              <w:t>1 555 095 998</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b/>
                <w:sz w:val="14"/>
                <w:szCs w:val="14"/>
                <w:lang w:eastAsia="sk-SK"/>
              </w:rPr>
            </w:pPr>
            <w:r w:rsidRPr="00461390">
              <w:rPr>
                <w:rFonts w:ascii="Times New Roman" w:hAnsi="Times New Roman"/>
                <w:b/>
                <w:sz w:val="14"/>
                <w:szCs w:val="14"/>
                <w:lang w:eastAsia="sk-SK"/>
              </w:rPr>
              <w:t>3 067 024 368</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b/>
                <w:sz w:val="14"/>
                <w:szCs w:val="14"/>
                <w:lang w:eastAsia="sk-SK"/>
              </w:rPr>
            </w:pPr>
            <w:r w:rsidRPr="00461390">
              <w:rPr>
                <w:rFonts w:ascii="Times New Roman" w:hAnsi="Times New Roman"/>
                <w:b/>
                <w:sz w:val="14"/>
                <w:szCs w:val="14"/>
                <w:lang w:eastAsia="sk-SK"/>
              </w:rPr>
              <w:t>3 664 884 612</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b/>
                <w:sz w:val="14"/>
                <w:szCs w:val="14"/>
                <w:lang w:eastAsia="sk-SK"/>
              </w:rPr>
            </w:pPr>
            <w:r w:rsidRPr="00461390">
              <w:rPr>
                <w:rFonts w:ascii="Times New Roman" w:hAnsi="Times New Roman"/>
                <w:b/>
                <w:sz w:val="14"/>
                <w:szCs w:val="14"/>
                <w:lang w:eastAsia="sk-SK"/>
              </w:rPr>
              <w:t>3</w:t>
            </w:r>
            <w:r>
              <w:rPr>
                <w:rFonts w:ascii="Times New Roman" w:hAnsi="Times New Roman"/>
                <w:b/>
                <w:sz w:val="14"/>
                <w:szCs w:val="14"/>
                <w:lang w:eastAsia="sk-SK"/>
              </w:rPr>
              <w:t> 253 193 784</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b/>
                <w:sz w:val="14"/>
                <w:szCs w:val="14"/>
                <w:lang w:eastAsia="sk-SK"/>
              </w:rPr>
            </w:pPr>
            <w:r>
              <w:rPr>
                <w:rFonts w:ascii="Times New Roman" w:hAnsi="Times New Roman"/>
                <w:b/>
                <w:sz w:val="14"/>
                <w:szCs w:val="14"/>
                <w:lang w:eastAsia="sk-SK"/>
              </w:rPr>
              <w:t>5 391 585 263</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b/>
                <w:sz w:val="14"/>
                <w:szCs w:val="14"/>
                <w:lang w:eastAsia="sk-SK"/>
              </w:rPr>
            </w:pPr>
            <w:r w:rsidRPr="00461390">
              <w:rPr>
                <w:rFonts w:ascii="Times New Roman" w:hAnsi="Times New Roman"/>
                <w:b/>
                <w:sz w:val="14"/>
                <w:szCs w:val="14"/>
                <w:lang w:eastAsia="sk-SK"/>
              </w:rPr>
              <w:t>5</w:t>
            </w:r>
            <w:r>
              <w:rPr>
                <w:rFonts w:ascii="Times New Roman" w:hAnsi="Times New Roman"/>
                <w:b/>
                <w:sz w:val="14"/>
                <w:szCs w:val="14"/>
                <w:lang w:eastAsia="sk-SK"/>
              </w:rPr>
              <w:t> 490 626 974</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b/>
                <w:sz w:val="14"/>
                <w:szCs w:val="14"/>
                <w:lang w:eastAsia="sk-SK"/>
              </w:rPr>
            </w:pPr>
            <w:r w:rsidRPr="00461390">
              <w:rPr>
                <w:rFonts w:ascii="Times New Roman" w:hAnsi="Times New Roman"/>
                <w:b/>
                <w:sz w:val="14"/>
                <w:szCs w:val="14"/>
                <w:lang w:eastAsia="sk-SK"/>
              </w:rPr>
              <w:t>6</w:t>
            </w:r>
            <w:r>
              <w:rPr>
                <w:rFonts w:ascii="Times New Roman" w:hAnsi="Times New Roman"/>
                <w:b/>
                <w:sz w:val="14"/>
                <w:szCs w:val="14"/>
                <w:lang w:eastAsia="sk-SK"/>
              </w:rPr>
              <w:t> 130 573 847</w:t>
            </w:r>
          </w:p>
        </w:tc>
      </w:tr>
      <w:tr>
        <w:tblPrEx>
          <w:tblW w:w="9087" w:type="dxa"/>
          <w:tblInd w:w="55" w:type="dxa"/>
          <w:tblLayout w:type="fixed"/>
          <w:tblCellMar>
            <w:left w:w="70" w:type="dxa"/>
            <w:right w:w="70" w:type="dxa"/>
          </w:tblCellMar>
          <w:tblLook w:val="04A0"/>
        </w:tblPrEx>
        <w:trPr>
          <w:trHeight w:val="270"/>
        </w:trPr>
        <w:tc>
          <w:tcPr>
            <w:tcW w:w="242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C90492" w:rsidP="00F576BD">
            <w:pPr>
              <w:bidi w:val="0"/>
              <w:rPr>
                <w:rFonts w:ascii="Times New Roman" w:hAnsi="Times New Roman"/>
                <w:bCs/>
                <w:sz w:val="14"/>
                <w:szCs w:val="14"/>
                <w:lang w:eastAsia="sk-SK"/>
              </w:rPr>
            </w:pPr>
            <w:r w:rsidRPr="00C90492">
              <w:rPr>
                <w:rFonts w:ascii="Times New Roman" w:hAnsi="Times New Roman"/>
                <w:bCs/>
                <w:sz w:val="14"/>
                <w:szCs w:val="14"/>
                <w:lang w:eastAsia="sk-SK"/>
              </w:rPr>
              <w:t>Rezervy</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CF0B79" w:rsidRPr="00C90492" w:rsidP="00F576BD">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13 593 257</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C90492" w:rsidP="00F576BD">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7 889 307</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C90492" w:rsidP="00F576BD">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110 847 469</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CF0B79" w:rsidRPr="00C90492" w:rsidP="00F576BD">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23 129</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56353F" w:rsidP="00F576BD">
            <w:pPr>
              <w:bidi w:val="0"/>
              <w:jc w:val="right"/>
              <w:rPr>
                <w:rFonts w:ascii="Times New Roman" w:hAnsi="Times New Roman"/>
                <w:bCs/>
                <w:sz w:val="14"/>
                <w:szCs w:val="14"/>
                <w:lang w:eastAsia="sk-SK"/>
              </w:rPr>
            </w:pPr>
            <w:r>
              <w:rPr>
                <w:rFonts w:ascii="Times New Roman" w:hAnsi="Times New Roman"/>
                <w:bCs/>
                <w:sz w:val="14"/>
                <w:szCs w:val="14"/>
                <w:lang w:eastAsia="sk-SK"/>
              </w:rPr>
              <w:t>135 454 437</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56353F" w:rsidP="00F576BD">
            <w:pPr>
              <w:bidi w:val="0"/>
              <w:jc w:val="right"/>
              <w:rPr>
                <w:rFonts w:ascii="Times New Roman" w:hAnsi="Times New Roman"/>
                <w:bCs/>
                <w:sz w:val="14"/>
                <w:szCs w:val="14"/>
                <w:lang w:eastAsia="sk-SK"/>
              </w:rPr>
            </w:pPr>
            <w:r w:rsidRPr="0056353F">
              <w:rPr>
                <w:rFonts w:ascii="Times New Roman" w:hAnsi="Times New Roman"/>
                <w:bCs/>
                <w:sz w:val="14"/>
                <w:szCs w:val="14"/>
                <w:lang w:eastAsia="sk-SK"/>
              </w:rPr>
              <w:t>68 386 870</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56353F" w:rsidP="00F576BD">
            <w:pPr>
              <w:bidi w:val="0"/>
              <w:jc w:val="right"/>
              <w:rPr>
                <w:rFonts w:ascii="Times New Roman" w:hAnsi="Times New Roman"/>
                <w:bCs/>
                <w:sz w:val="14"/>
                <w:szCs w:val="14"/>
                <w:lang w:eastAsia="sk-SK"/>
              </w:rPr>
            </w:pPr>
            <w:r w:rsidRPr="0056353F">
              <w:rPr>
                <w:rFonts w:ascii="Times New Roman" w:hAnsi="Times New Roman"/>
                <w:bCs/>
                <w:sz w:val="14"/>
                <w:szCs w:val="14"/>
                <w:lang w:eastAsia="sk-SK"/>
              </w:rPr>
              <w:t>109 884 580</w:t>
            </w:r>
          </w:p>
        </w:tc>
      </w:tr>
      <w:tr>
        <w:tblPrEx>
          <w:tblW w:w="9087" w:type="dxa"/>
          <w:tblInd w:w="55" w:type="dxa"/>
          <w:tblLayout w:type="fixed"/>
          <w:tblCellMar>
            <w:left w:w="70" w:type="dxa"/>
            <w:right w:w="70" w:type="dxa"/>
          </w:tblCellMar>
          <w:tblLook w:val="04A0"/>
        </w:tblPrEx>
        <w:trPr>
          <w:trHeight w:val="270"/>
        </w:trPr>
        <w:tc>
          <w:tcPr>
            <w:tcW w:w="242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C90492" w:rsidP="00F576BD">
            <w:pPr>
              <w:bidi w:val="0"/>
              <w:rPr>
                <w:rFonts w:ascii="Times New Roman" w:hAnsi="Times New Roman"/>
                <w:bCs/>
                <w:sz w:val="14"/>
                <w:szCs w:val="14"/>
                <w:lang w:eastAsia="sk-SK"/>
              </w:rPr>
            </w:pPr>
            <w:r w:rsidRPr="00C90492">
              <w:rPr>
                <w:rFonts w:ascii="Times New Roman" w:hAnsi="Times New Roman"/>
                <w:bCs/>
                <w:sz w:val="14"/>
                <w:szCs w:val="14"/>
                <w:lang w:eastAsia="sk-SK"/>
              </w:rPr>
              <w:t>Fin</w:t>
            </w:r>
            <w:r>
              <w:rPr>
                <w:rFonts w:ascii="Times New Roman" w:hAnsi="Times New Roman"/>
                <w:bCs/>
                <w:sz w:val="14"/>
                <w:szCs w:val="14"/>
                <w:lang w:eastAsia="sk-SK"/>
              </w:rPr>
              <w:t>.</w:t>
            </w:r>
            <w:r w:rsidRPr="00C90492">
              <w:rPr>
                <w:rFonts w:ascii="Times New Roman" w:hAnsi="Times New Roman"/>
                <w:bCs/>
                <w:sz w:val="14"/>
                <w:szCs w:val="14"/>
                <w:lang w:eastAsia="sk-SK"/>
              </w:rPr>
              <w:t xml:space="preserve"> vzťahy súvisiace s rozpočtom EÚ</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CF0B79" w:rsidRPr="00C90492" w:rsidP="00F576BD">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629 747 721</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C90492" w:rsidP="00F576BD">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574 565 740</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C90492" w:rsidP="00F576BD">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686 732 264</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CF0B79" w:rsidRPr="00C90492" w:rsidP="00F576BD">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646 813 531</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C90492" w:rsidP="00F576BD">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720 771 260</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C90492" w:rsidP="00F576BD">
            <w:pPr>
              <w:bidi w:val="0"/>
              <w:jc w:val="right"/>
              <w:rPr>
                <w:rFonts w:ascii="Times New Roman" w:hAnsi="Times New Roman"/>
                <w:bCs/>
                <w:sz w:val="14"/>
                <w:szCs w:val="14"/>
                <w:lang w:eastAsia="sk-SK"/>
              </w:rPr>
            </w:pPr>
            <w:r>
              <w:rPr>
                <w:rFonts w:ascii="Times New Roman" w:hAnsi="Times New Roman"/>
                <w:bCs/>
                <w:sz w:val="14"/>
                <w:szCs w:val="14"/>
                <w:lang w:eastAsia="sk-SK"/>
              </w:rPr>
              <w:t>754 803 215</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C90492" w:rsidP="00F576BD">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1 058 330 975</w:t>
            </w:r>
          </w:p>
        </w:tc>
      </w:tr>
      <w:tr>
        <w:tblPrEx>
          <w:tblW w:w="9087" w:type="dxa"/>
          <w:tblInd w:w="55" w:type="dxa"/>
          <w:tblLayout w:type="fixed"/>
          <w:tblCellMar>
            <w:left w:w="70" w:type="dxa"/>
            <w:right w:w="70" w:type="dxa"/>
          </w:tblCellMar>
          <w:tblLook w:val="04A0"/>
        </w:tblPrEx>
        <w:trPr>
          <w:trHeight w:val="270"/>
        </w:trPr>
        <w:tc>
          <w:tcPr>
            <w:tcW w:w="242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C90492" w:rsidP="00F576BD">
            <w:pPr>
              <w:bidi w:val="0"/>
              <w:rPr>
                <w:rFonts w:ascii="Times New Roman" w:hAnsi="Times New Roman"/>
                <w:bCs/>
                <w:sz w:val="14"/>
                <w:szCs w:val="14"/>
                <w:lang w:eastAsia="sk-SK"/>
              </w:rPr>
            </w:pPr>
            <w:r w:rsidRPr="00C90492">
              <w:rPr>
                <w:rFonts w:ascii="Times New Roman" w:hAnsi="Times New Roman"/>
                <w:bCs/>
                <w:sz w:val="14"/>
                <w:szCs w:val="14"/>
                <w:lang w:eastAsia="sk-SK"/>
              </w:rPr>
              <w:t>Výdavky spojené so správou št</w:t>
            </w:r>
            <w:r>
              <w:rPr>
                <w:rFonts w:ascii="Times New Roman" w:hAnsi="Times New Roman"/>
                <w:bCs/>
                <w:sz w:val="14"/>
                <w:szCs w:val="14"/>
                <w:lang w:eastAsia="sk-SK"/>
              </w:rPr>
              <w:t>.</w:t>
            </w:r>
            <w:r w:rsidRPr="00C90492">
              <w:rPr>
                <w:rFonts w:ascii="Times New Roman" w:hAnsi="Times New Roman"/>
                <w:bCs/>
                <w:sz w:val="14"/>
                <w:szCs w:val="14"/>
                <w:lang w:eastAsia="sk-SK"/>
              </w:rPr>
              <w:t xml:space="preserve"> dlhu</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CF0B79" w:rsidRPr="00C90492" w:rsidP="00F576BD">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 xml:space="preserve">762 712 396  </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C90492" w:rsidP="00F576BD">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864 075 225</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C90492" w:rsidP="00F576BD">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1 163 188 351</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CF0B79" w:rsidRPr="00C90492" w:rsidP="00F576BD">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1</w:t>
            </w:r>
            <w:r>
              <w:rPr>
                <w:rFonts w:ascii="Times New Roman" w:hAnsi="Times New Roman"/>
                <w:bCs/>
                <w:sz w:val="14"/>
                <w:szCs w:val="14"/>
                <w:lang w:eastAsia="sk-SK"/>
              </w:rPr>
              <w:t> </w:t>
            </w:r>
            <w:r w:rsidRPr="00C90492">
              <w:rPr>
                <w:rFonts w:ascii="Times New Roman" w:hAnsi="Times New Roman"/>
                <w:bCs/>
                <w:sz w:val="14"/>
                <w:szCs w:val="14"/>
                <w:lang w:eastAsia="sk-SK"/>
              </w:rPr>
              <w:t>0</w:t>
            </w:r>
            <w:r>
              <w:rPr>
                <w:rFonts w:ascii="Times New Roman" w:hAnsi="Times New Roman"/>
                <w:bCs/>
                <w:sz w:val="14"/>
                <w:szCs w:val="14"/>
                <w:lang w:eastAsia="sk-SK"/>
              </w:rPr>
              <w:t>30 123 594</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C90492" w:rsidP="00F576BD">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1</w:t>
            </w:r>
            <w:r>
              <w:rPr>
                <w:rFonts w:ascii="Times New Roman" w:hAnsi="Times New Roman"/>
                <w:bCs/>
                <w:sz w:val="14"/>
                <w:szCs w:val="14"/>
                <w:lang w:eastAsia="sk-SK"/>
              </w:rPr>
              <w:t> </w:t>
            </w:r>
            <w:r w:rsidRPr="00C90492">
              <w:rPr>
                <w:rFonts w:ascii="Times New Roman" w:hAnsi="Times New Roman"/>
                <w:bCs/>
                <w:sz w:val="14"/>
                <w:szCs w:val="14"/>
                <w:lang w:eastAsia="sk-SK"/>
              </w:rPr>
              <w:t>4</w:t>
            </w:r>
            <w:r>
              <w:rPr>
                <w:rFonts w:ascii="Times New Roman" w:hAnsi="Times New Roman"/>
                <w:bCs/>
                <w:sz w:val="14"/>
                <w:szCs w:val="14"/>
                <w:lang w:eastAsia="sk-SK"/>
              </w:rPr>
              <w:t>54 901 012</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C90492" w:rsidP="00F576BD">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1</w:t>
            </w:r>
            <w:r>
              <w:rPr>
                <w:rFonts w:ascii="Times New Roman" w:hAnsi="Times New Roman"/>
                <w:bCs/>
                <w:sz w:val="14"/>
                <w:szCs w:val="14"/>
                <w:lang w:eastAsia="sk-SK"/>
              </w:rPr>
              <w:t> </w:t>
            </w:r>
            <w:r w:rsidRPr="00C90492">
              <w:rPr>
                <w:rFonts w:ascii="Times New Roman" w:hAnsi="Times New Roman"/>
                <w:bCs/>
                <w:sz w:val="14"/>
                <w:szCs w:val="14"/>
                <w:lang w:eastAsia="sk-SK"/>
              </w:rPr>
              <w:t>4</w:t>
            </w:r>
            <w:r>
              <w:rPr>
                <w:rFonts w:ascii="Times New Roman" w:hAnsi="Times New Roman"/>
                <w:bCs/>
                <w:sz w:val="14"/>
                <w:szCs w:val="14"/>
                <w:lang w:eastAsia="sk-SK"/>
              </w:rPr>
              <w:t>08 828 052</w:t>
            </w:r>
            <w:r w:rsidRPr="00C90492">
              <w:rPr>
                <w:rFonts w:ascii="Times New Roman" w:hAnsi="Times New Roman"/>
                <w:bCs/>
                <w:sz w:val="14"/>
                <w:szCs w:val="14"/>
                <w:lang w:eastAsia="sk-SK"/>
              </w:rPr>
              <w:t xml:space="preserve"> </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C90492" w:rsidP="00F576BD">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1</w:t>
            </w:r>
            <w:r>
              <w:rPr>
                <w:rFonts w:ascii="Times New Roman" w:hAnsi="Times New Roman"/>
                <w:bCs/>
                <w:sz w:val="14"/>
                <w:szCs w:val="14"/>
                <w:lang w:eastAsia="sk-SK"/>
              </w:rPr>
              <w:t> 558 667 618</w:t>
            </w:r>
          </w:p>
        </w:tc>
      </w:tr>
      <w:tr>
        <w:tblPrEx>
          <w:tblW w:w="9087" w:type="dxa"/>
          <w:tblInd w:w="55" w:type="dxa"/>
          <w:tblLayout w:type="fixed"/>
          <w:tblCellMar>
            <w:left w:w="70" w:type="dxa"/>
            <w:right w:w="70" w:type="dxa"/>
          </w:tblCellMar>
          <w:tblLook w:val="04A0"/>
        </w:tblPrEx>
        <w:trPr>
          <w:trHeight w:val="270"/>
        </w:trPr>
        <w:tc>
          <w:tcPr>
            <w:tcW w:w="242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C90492" w:rsidP="00F576BD">
            <w:pPr>
              <w:bidi w:val="0"/>
              <w:rPr>
                <w:rFonts w:ascii="Times New Roman" w:hAnsi="Times New Roman"/>
                <w:bCs/>
                <w:sz w:val="14"/>
                <w:szCs w:val="14"/>
                <w:lang w:eastAsia="sk-SK"/>
              </w:rPr>
            </w:pPr>
            <w:r w:rsidRPr="00C90492">
              <w:rPr>
                <w:rFonts w:ascii="Times New Roman" w:hAnsi="Times New Roman"/>
                <w:bCs/>
                <w:sz w:val="14"/>
                <w:szCs w:val="14"/>
                <w:lang w:eastAsia="sk-SK"/>
              </w:rPr>
              <w:t>Transfer Sociálnej poisťovni</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CF0B79" w:rsidRPr="00C90492" w:rsidP="00F576BD">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0</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C90492" w:rsidP="00F576BD">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1 441 708 625</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C90492" w:rsidP="00F576BD">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1 608 733 343</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CF0B79" w:rsidRPr="00C90492" w:rsidP="00F576BD">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1 5</w:t>
            </w:r>
            <w:r>
              <w:rPr>
                <w:rFonts w:ascii="Times New Roman" w:hAnsi="Times New Roman"/>
                <w:bCs/>
                <w:sz w:val="14"/>
                <w:szCs w:val="14"/>
                <w:lang w:eastAsia="sk-SK"/>
              </w:rPr>
              <w:t>08</w:t>
            </w:r>
            <w:r w:rsidRPr="00C90492">
              <w:rPr>
                <w:rFonts w:ascii="Times New Roman" w:hAnsi="Times New Roman"/>
                <w:bCs/>
                <w:sz w:val="14"/>
                <w:szCs w:val="14"/>
                <w:lang w:eastAsia="sk-SK"/>
              </w:rPr>
              <w:t> 733 343</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C90492" w:rsidP="00F576BD">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2 </w:t>
            </w:r>
            <w:r>
              <w:rPr>
                <w:rFonts w:ascii="Times New Roman" w:hAnsi="Times New Roman"/>
                <w:bCs/>
                <w:sz w:val="14"/>
                <w:szCs w:val="14"/>
                <w:lang w:eastAsia="sk-SK"/>
              </w:rPr>
              <w:t>865</w:t>
            </w:r>
            <w:r w:rsidRPr="00C90492">
              <w:rPr>
                <w:rFonts w:ascii="Times New Roman" w:hAnsi="Times New Roman"/>
                <w:bCs/>
                <w:sz w:val="14"/>
                <w:szCs w:val="14"/>
                <w:lang w:eastAsia="sk-SK"/>
              </w:rPr>
              <w:t> 000 000</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C90492" w:rsidP="00F576BD">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3 </w:t>
            </w:r>
            <w:r>
              <w:rPr>
                <w:rFonts w:ascii="Times New Roman" w:hAnsi="Times New Roman"/>
                <w:bCs/>
                <w:sz w:val="14"/>
                <w:szCs w:val="14"/>
                <w:lang w:eastAsia="sk-SK"/>
              </w:rPr>
              <w:t>127</w:t>
            </w:r>
            <w:r w:rsidRPr="00C90492">
              <w:rPr>
                <w:rFonts w:ascii="Times New Roman" w:hAnsi="Times New Roman"/>
                <w:bCs/>
                <w:sz w:val="14"/>
                <w:szCs w:val="14"/>
                <w:lang w:eastAsia="sk-SK"/>
              </w:rPr>
              <w:t> 000 000</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C90492" w:rsidP="00F576BD">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3 </w:t>
            </w:r>
            <w:r>
              <w:rPr>
                <w:rFonts w:ascii="Times New Roman" w:hAnsi="Times New Roman"/>
                <w:bCs/>
                <w:sz w:val="14"/>
                <w:szCs w:val="14"/>
                <w:lang w:eastAsia="sk-SK"/>
              </w:rPr>
              <w:t>248</w:t>
            </w:r>
            <w:r w:rsidRPr="00C90492">
              <w:rPr>
                <w:rFonts w:ascii="Times New Roman" w:hAnsi="Times New Roman"/>
                <w:bCs/>
                <w:sz w:val="14"/>
                <w:szCs w:val="14"/>
                <w:lang w:eastAsia="sk-SK"/>
              </w:rPr>
              <w:t> 000 000</w:t>
            </w:r>
          </w:p>
        </w:tc>
      </w:tr>
      <w:tr>
        <w:tblPrEx>
          <w:tblW w:w="9087" w:type="dxa"/>
          <w:tblInd w:w="55" w:type="dxa"/>
          <w:tblLayout w:type="fixed"/>
          <w:tblCellMar>
            <w:left w:w="70" w:type="dxa"/>
            <w:right w:w="70" w:type="dxa"/>
          </w:tblCellMar>
          <w:tblLook w:val="04A0"/>
        </w:tblPrEx>
        <w:trPr>
          <w:trHeight w:val="270"/>
        </w:trPr>
        <w:tc>
          <w:tcPr>
            <w:tcW w:w="242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C90492" w:rsidP="00F576BD">
            <w:pPr>
              <w:bidi w:val="0"/>
              <w:rPr>
                <w:rFonts w:ascii="Times New Roman" w:hAnsi="Times New Roman"/>
                <w:bCs/>
                <w:sz w:val="14"/>
                <w:szCs w:val="14"/>
                <w:lang w:eastAsia="sk-SK"/>
              </w:rPr>
            </w:pPr>
            <w:r w:rsidRPr="00C90492">
              <w:rPr>
                <w:rFonts w:ascii="Times New Roman" w:hAnsi="Times New Roman"/>
                <w:bCs/>
                <w:sz w:val="14"/>
                <w:szCs w:val="14"/>
                <w:lang w:eastAsia="sk-SK"/>
              </w:rPr>
              <w:t>Ostatné</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CF0B79" w:rsidRPr="00C90492" w:rsidP="00F576BD">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149 042 624</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C90492" w:rsidP="00F576BD">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178 785 471</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C90492" w:rsidP="00F576BD">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95 383 185</w:t>
            </w:r>
          </w:p>
        </w:tc>
        <w:tc>
          <w:tcPr>
            <w:tcW w:w="951" w:type="dxa"/>
            <w:tcBorders>
              <w:top w:val="single" w:sz="4" w:space="0" w:color="auto"/>
              <w:left w:val="single" w:sz="4" w:space="0" w:color="auto"/>
              <w:bottom w:val="single" w:sz="4" w:space="0" w:color="auto"/>
              <w:right w:val="single" w:sz="4" w:space="0" w:color="auto"/>
            </w:tcBorders>
            <w:textDirection w:val="lrTb"/>
            <w:vAlign w:val="bottom"/>
          </w:tcPr>
          <w:p w:rsidR="00CF0B79" w:rsidRPr="00C90492" w:rsidP="00F576BD">
            <w:pPr>
              <w:bidi w:val="0"/>
              <w:jc w:val="right"/>
              <w:rPr>
                <w:rFonts w:ascii="Times New Roman" w:hAnsi="Times New Roman"/>
                <w:bCs/>
                <w:sz w:val="14"/>
                <w:szCs w:val="14"/>
                <w:lang w:eastAsia="sk-SK"/>
              </w:rPr>
            </w:pPr>
            <w:r>
              <w:rPr>
                <w:rFonts w:ascii="Times New Roman" w:hAnsi="Times New Roman"/>
                <w:bCs/>
                <w:sz w:val="14"/>
                <w:szCs w:val="14"/>
                <w:lang w:eastAsia="sk-SK"/>
              </w:rPr>
              <w:t>67 500 187</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C90492" w:rsidP="00F576BD">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215 458 554</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C90492" w:rsidP="00F576BD">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131 608 837</w:t>
            </w:r>
          </w:p>
        </w:tc>
        <w:tc>
          <w:tcPr>
            <w:tcW w:w="95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C90492" w:rsidP="00F576BD">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155 690 674</w:t>
            </w:r>
          </w:p>
        </w:tc>
      </w:tr>
    </w:tbl>
    <w:p w:rsidR="00CF0B79" w:rsidP="00CF0B79">
      <w:pPr>
        <w:bidi w:val="0"/>
        <w:jc w:val="both"/>
        <w:rPr>
          <w:rFonts w:ascii="Times New Roman" w:hAnsi="Times New Roman"/>
          <w:b/>
          <w:iCs/>
        </w:rPr>
      </w:pPr>
    </w:p>
    <w:p w:rsidR="000F7251" w:rsidP="00CF0B79">
      <w:pPr>
        <w:bidi w:val="0"/>
        <w:jc w:val="both"/>
        <w:rPr>
          <w:rFonts w:ascii="Times New Roman" w:hAnsi="Times New Roman"/>
          <w:b/>
          <w:iCs/>
        </w:rPr>
      </w:pPr>
    </w:p>
    <w:p w:rsidR="000F7251" w:rsidP="00CF0B79">
      <w:pPr>
        <w:bidi w:val="0"/>
        <w:jc w:val="both"/>
        <w:rPr>
          <w:rFonts w:ascii="Times New Roman" w:hAnsi="Times New Roman"/>
          <w:b/>
          <w:iCs/>
        </w:rPr>
      </w:pPr>
    </w:p>
    <w:p w:rsidR="000F7251" w:rsidP="00CF0B79">
      <w:pPr>
        <w:bidi w:val="0"/>
        <w:jc w:val="both"/>
        <w:rPr>
          <w:rFonts w:ascii="Times New Roman" w:hAnsi="Times New Roman"/>
          <w:b/>
          <w:iCs/>
        </w:rPr>
      </w:pPr>
    </w:p>
    <w:p w:rsidR="000F7251" w:rsidP="00CF0B79">
      <w:pPr>
        <w:bidi w:val="0"/>
        <w:jc w:val="both"/>
        <w:rPr>
          <w:rFonts w:ascii="Times New Roman" w:hAnsi="Times New Roman"/>
          <w:b/>
          <w:iCs/>
        </w:rPr>
      </w:pPr>
    </w:p>
    <w:p w:rsidR="000F7251" w:rsidP="00CF0B79">
      <w:pPr>
        <w:bidi w:val="0"/>
        <w:jc w:val="both"/>
        <w:rPr>
          <w:rFonts w:ascii="Times New Roman" w:hAnsi="Times New Roman"/>
          <w:b/>
          <w:iCs/>
        </w:rPr>
      </w:pPr>
    </w:p>
    <w:p w:rsidR="000F7251" w:rsidP="00CF0B79">
      <w:pPr>
        <w:bidi w:val="0"/>
        <w:jc w:val="both"/>
        <w:rPr>
          <w:rFonts w:ascii="Times New Roman" w:hAnsi="Times New Roman"/>
          <w:b/>
          <w:iCs/>
        </w:rPr>
      </w:pPr>
    </w:p>
    <w:p w:rsidR="000F7251" w:rsidP="00CF0B79">
      <w:pPr>
        <w:bidi w:val="0"/>
        <w:jc w:val="both"/>
        <w:rPr>
          <w:rFonts w:ascii="Times New Roman" w:hAnsi="Times New Roman"/>
          <w:b/>
          <w:iCs/>
        </w:rPr>
      </w:pPr>
    </w:p>
    <w:p w:rsidR="000F7251" w:rsidP="00CF0B79">
      <w:pPr>
        <w:bidi w:val="0"/>
        <w:jc w:val="both"/>
        <w:rPr>
          <w:rFonts w:ascii="Times New Roman" w:hAnsi="Times New Roman"/>
          <w:b/>
          <w:iCs/>
        </w:rPr>
      </w:pPr>
    </w:p>
    <w:p w:rsidR="000F7251" w:rsidP="00CF0B79">
      <w:pPr>
        <w:bidi w:val="0"/>
        <w:jc w:val="both"/>
        <w:rPr>
          <w:rFonts w:ascii="Times New Roman" w:hAnsi="Times New Roman"/>
          <w:b/>
          <w:iCs/>
        </w:rPr>
      </w:pPr>
    </w:p>
    <w:p w:rsidR="000F7251" w:rsidP="00CF0B79">
      <w:pPr>
        <w:bidi w:val="0"/>
        <w:jc w:val="both"/>
        <w:rPr>
          <w:rFonts w:ascii="Times New Roman" w:hAnsi="Times New Roman"/>
          <w:b/>
          <w:iCs/>
        </w:rPr>
      </w:pPr>
    </w:p>
    <w:p w:rsidR="000F7251" w:rsidP="00CF0B79">
      <w:pPr>
        <w:bidi w:val="0"/>
        <w:jc w:val="both"/>
        <w:rPr>
          <w:rFonts w:ascii="Times New Roman" w:hAnsi="Times New Roman"/>
          <w:b/>
          <w:iCs/>
        </w:rPr>
      </w:pPr>
    </w:p>
    <w:p w:rsidR="00CF0B79" w:rsidRPr="00461390" w:rsidP="00CF0B79">
      <w:pPr>
        <w:bidi w:val="0"/>
        <w:jc w:val="both"/>
        <w:rPr>
          <w:rFonts w:ascii="Times New Roman" w:hAnsi="Times New Roman"/>
          <w:iCs/>
        </w:rPr>
      </w:pPr>
      <w:r w:rsidRPr="00461390">
        <w:rPr>
          <w:rFonts w:ascii="Times New Roman" w:hAnsi="Times New Roman"/>
          <w:b/>
          <w:iCs/>
        </w:rPr>
        <w:t>Rezervy</w:t>
      </w:r>
    </w:p>
    <w:p w:rsidR="00CF0B79" w:rsidRPr="00461390" w:rsidP="00CF0B79">
      <w:pPr>
        <w:bidi w:val="0"/>
        <w:ind w:firstLine="709"/>
        <w:jc w:val="both"/>
        <w:rPr>
          <w:rFonts w:ascii="Times New Roman" w:hAnsi="Times New Roman"/>
        </w:rPr>
      </w:pPr>
    </w:p>
    <w:tbl>
      <w:tblPr>
        <w:tblStyle w:val="TableNormal"/>
        <w:tblW w:w="9087" w:type="dxa"/>
        <w:tblInd w:w="55" w:type="dxa"/>
        <w:tblLayout w:type="fixed"/>
        <w:tblCellMar>
          <w:left w:w="70" w:type="dxa"/>
          <w:right w:w="70" w:type="dxa"/>
        </w:tblCellMar>
        <w:tblLook w:val="04A0"/>
      </w:tblPr>
      <w:tblGrid>
        <w:gridCol w:w="2000"/>
        <w:gridCol w:w="1012"/>
        <w:gridCol w:w="1012"/>
        <w:gridCol w:w="1013"/>
        <w:gridCol w:w="1012"/>
        <w:gridCol w:w="1013"/>
        <w:gridCol w:w="1012"/>
        <w:gridCol w:w="1013"/>
      </w:tblGrid>
      <w:tr>
        <w:tblPrEx>
          <w:tblW w:w="9087" w:type="dxa"/>
          <w:tblInd w:w="55" w:type="dxa"/>
          <w:tblLayout w:type="fixed"/>
          <w:tblCellMar>
            <w:left w:w="70" w:type="dxa"/>
            <w:right w:w="70" w:type="dxa"/>
          </w:tblCellMar>
          <w:tblLook w:val="04A0"/>
        </w:tblPrEx>
        <w:trPr>
          <w:trHeight w:val="260"/>
        </w:trPr>
        <w:tc>
          <w:tcPr>
            <w:tcW w:w="2000"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461390" w:rsidP="00F576BD">
            <w:pPr>
              <w:bidi w:val="0"/>
              <w:rPr>
                <w:rFonts w:ascii="Times New Roman" w:hAnsi="Times New Roman"/>
                <w:b/>
                <w:bCs/>
                <w:sz w:val="14"/>
                <w:szCs w:val="14"/>
                <w:lang w:eastAsia="sk-SK"/>
              </w:rPr>
            </w:pPr>
            <w:r w:rsidRPr="00461390">
              <w:rPr>
                <w:rFonts w:ascii="Times New Roman" w:hAnsi="Times New Roman"/>
                <w:b/>
                <w:bCs/>
                <w:sz w:val="14"/>
                <w:szCs w:val="14"/>
                <w:lang w:eastAsia="sk-SK"/>
              </w:rPr>
              <w:t>v eurách</w:t>
            </w:r>
          </w:p>
        </w:tc>
        <w:tc>
          <w:tcPr>
            <w:tcW w:w="101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2009 S</w:t>
            </w:r>
          </w:p>
        </w:tc>
        <w:tc>
          <w:tcPr>
            <w:tcW w:w="1012" w:type="dxa"/>
            <w:tcBorders>
              <w:top w:val="single" w:sz="4" w:space="0" w:color="auto"/>
              <w:left w:val="nil"/>
              <w:bottom w:val="single" w:sz="4" w:space="0" w:color="auto"/>
              <w:right w:val="single" w:sz="4" w:space="0" w:color="auto"/>
            </w:tcBorders>
            <w:noWrap/>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2010 S</w:t>
            </w:r>
          </w:p>
        </w:tc>
        <w:tc>
          <w:tcPr>
            <w:tcW w:w="1013" w:type="dxa"/>
            <w:tcBorders>
              <w:top w:val="single" w:sz="4" w:space="0" w:color="auto"/>
              <w:left w:val="nil"/>
              <w:bottom w:val="single" w:sz="4" w:space="0" w:color="auto"/>
              <w:right w:val="single" w:sz="4" w:space="0" w:color="auto"/>
            </w:tcBorders>
            <w:noWrap/>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2011 R</w:t>
            </w:r>
          </w:p>
        </w:tc>
        <w:tc>
          <w:tcPr>
            <w:tcW w:w="101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2011 OS</w:t>
            </w:r>
          </w:p>
        </w:tc>
        <w:tc>
          <w:tcPr>
            <w:tcW w:w="1013"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2012 N</w:t>
            </w:r>
          </w:p>
        </w:tc>
        <w:tc>
          <w:tcPr>
            <w:tcW w:w="1012" w:type="dxa"/>
            <w:tcBorders>
              <w:top w:val="single" w:sz="4" w:space="0" w:color="auto"/>
              <w:left w:val="nil"/>
              <w:bottom w:val="single" w:sz="4" w:space="0" w:color="auto"/>
              <w:right w:val="single" w:sz="4" w:space="0" w:color="auto"/>
            </w:tcBorders>
            <w:noWrap/>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2013 N</w:t>
            </w:r>
          </w:p>
        </w:tc>
        <w:tc>
          <w:tcPr>
            <w:tcW w:w="1013" w:type="dxa"/>
            <w:tcBorders>
              <w:top w:val="single" w:sz="4" w:space="0" w:color="auto"/>
              <w:left w:val="nil"/>
              <w:bottom w:val="single" w:sz="4" w:space="0" w:color="auto"/>
              <w:right w:val="single" w:sz="4" w:space="0" w:color="auto"/>
            </w:tcBorders>
            <w:noWrap/>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2014 N</w:t>
            </w:r>
          </w:p>
        </w:tc>
      </w:tr>
      <w:tr>
        <w:tblPrEx>
          <w:tblW w:w="9087" w:type="dxa"/>
          <w:tblInd w:w="55" w:type="dxa"/>
          <w:tblLayout w:type="fixed"/>
          <w:tblCellMar>
            <w:left w:w="70" w:type="dxa"/>
            <w:right w:w="70" w:type="dxa"/>
          </w:tblCellMar>
          <w:tblLook w:val="04A0"/>
        </w:tblPrEx>
        <w:trPr>
          <w:trHeight w:val="260"/>
        </w:trPr>
        <w:tc>
          <w:tcPr>
            <w:tcW w:w="2000" w:type="dxa"/>
            <w:tcBorders>
              <w:top w:val="nil"/>
              <w:left w:val="single" w:sz="4" w:space="0" w:color="auto"/>
              <w:bottom w:val="single" w:sz="4" w:space="0" w:color="auto"/>
              <w:right w:val="single" w:sz="4" w:space="0" w:color="auto"/>
            </w:tcBorders>
            <w:noWrap/>
            <w:textDirection w:val="lrTb"/>
            <w:vAlign w:val="bottom"/>
          </w:tcPr>
          <w:p w:rsidR="00CF0B79" w:rsidRPr="00461390" w:rsidP="00F576BD">
            <w:pPr>
              <w:bidi w:val="0"/>
              <w:rPr>
                <w:rFonts w:ascii="Times New Roman" w:hAnsi="Times New Roman"/>
                <w:b/>
                <w:bCs/>
                <w:sz w:val="14"/>
                <w:szCs w:val="14"/>
                <w:lang w:eastAsia="sk-SK"/>
              </w:rPr>
            </w:pPr>
            <w:r w:rsidRPr="00461390">
              <w:rPr>
                <w:rFonts w:ascii="Times New Roman" w:hAnsi="Times New Roman"/>
                <w:b/>
                <w:bCs/>
                <w:sz w:val="14"/>
                <w:szCs w:val="14"/>
                <w:lang w:eastAsia="sk-SK"/>
              </w:rPr>
              <w:t>Rezervy</w:t>
            </w:r>
          </w:p>
        </w:tc>
        <w:tc>
          <w:tcPr>
            <w:tcW w:w="101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b/>
                <w:bCs/>
                <w:sz w:val="14"/>
                <w:szCs w:val="14"/>
                <w:lang w:eastAsia="sk-SK"/>
              </w:rPr>
            </w:pPr>
            <w:r w:rsidRPr="00461390">
              <w:rPr>
                <w:rFonts w:ascii="Times New Roman" w:hAnsi="Times New Roman"/>
                <w:b/>
                <w:bCs/>
                <w:sz w:val="14"/>
                <w:szCs w:val="14"/>
                <w:lang w:eastAsia="sk-SK"/>
              </w:rPr>
              <w:t>13 593 257</w:t>
            </w:r>
          </w:p>
        </w:tc>
        <w:tc>
          <w:tcPr>
            <w:tcW w:w="101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b/>
                <w:bCs/>
                <w:sz w:val="14"/>
                <w:szCs w:val="14"/>
                <w:lang w:eastAsia="sk-SK"/>
              </w:rPr>
            </w:pPr>
            <w:r w:rsidRPr="00461390">
              <w:rPr>
                <w:rFonts w:ascii="Times New Roman" w:hAnsi="Times New Roman"/>
                <w:b/>
                <w:bCs/>
                <w:sz w:val="14"/>
                <w:szCs w:val="14"/>
                <w:lang w:eastAsia="sk-SK"/>
              </w:rPr>
              <w:t>7 889 307</w:t>
            </w:r>
          </w:p>
        </w:tc>
        <w:tc>
          <w:tcPr>
            <w:tcW w:w="101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b/>
                <w:bCs/>
                <w:sz w:val="14"/>
                <w:szCs w:val="14"/>
                <w:lang w:eastAsia="sk-SK"/>
              </w:rPr>
            </w:pPr>
            <w:r w:rsidRPr="00461390">
              <w:rPr>
                <w:rFonts w:ascii="Times New Roman" w:hAnsi="Times New Roman"/>
                <w:b/>
                <w:bCs/>
                <w:sz w:val="14"/>
                <w:szCs w:val="14"/>
                <w:lang w:eastAsia="sk-SK"/>
              </w:rPr>
              <w:t>110 847 469</w:t>
            </w:r>
          </w:p>
        </w:tc>
        <w:tc>
          <w:tcPr>
            <w:tcW w:w="101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b/>
                <w:bCs/>
                <w:sz w:val="14"/>
                <w:szCs w:val="14"/>
                <w:lang w:eastAsia="sk-SK"/>
              </w:rPr>
            </w:pPr>
            <w:r w:rsidRPr="00461390">
              <w:rPr>
                <w:rFonts w:ascii="Times New Roman" w:hAnsi="Times New Roman"/>
                <w:b/>
                <w:bCs/>
                <w:sz w:val="14"/>
                <w:szCs w:val="14"/>
                <w:lang w:eastAsia="sk-SK"/>
              </w:rPr>
              <w:t>23 129</w:t>
            </w:r>
          </w:p>
        </w:tc>
        <w:tc>
          <w:tcPr>
            <w:tcW w:w="1013" w:type="dxa"/>
            <w:tcBorders>
              <w:top w:val="nil"/>
              <w:left w:val="single" w:sz="4" w:space="0" w:color="auto"/>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b/>
                <w:bCs/>
                <w:sz w:val="14"/>
                <w:szCs w:val="14"/>
                <w:lang w:eastAsia="sk-SK"/>
              </w:rPr>
            </w:pPr>
            <w:r>
              <w:rPr>
                <w:rFonts w:ascii="Times New Roman" w:hAnsi="Times New Roman"/>
                <w:b/>
                <w:bCs/>
                <w:sz w:val="14"/>
                <w:szCs w:val="14"/>
                <w:lang w:eastAsia="sk-SK"/>
              </w:rPr>
              <w:t>135 454 437</w:t>
            </w:r>
          </w:p>
        </w:tc>
        <w:tc>
          <w:tcPr>
            <w:tcW w:w="101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b/>
                <w:bCs/>
                <w:sz w:val="14"/>
                <w:szCs w:val="14"/>
                <w:lang w:eastAsia="sk-SK"/>
              </w:rPr>
            </w:pPr>
            <w:r>
              <w:rPr>
                <w:rFonts w:ascii="Times New Roman" w:hAnsi="Times New Roman"/>
                <w:b/>
                <w:bCs/>
                <w:sz w:val="14"/>
                <w:szCs w:val="14"/>
                <w:lang w:eastAsia="sk-SK"/>
              </w:rPr>
              <w:t>68 386 870</w:t>
            </w:r>
          </w:p>
        </w:tc>
        <w:tc>
          <w:tcPr>
            <w:tcW w:w="101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b/>
                <w:bCs/>
                <w:sz w:val="14"/>
                <w:szCs w:val="14"/>
                <w:lang w:eastAsia="sk-SK"/>
              </w:rPr>
            </w:pPr>
            <w:r>
              <w:rPr>
                <w:rFonts w:ascii="Times New Roman" w:hAnsi="Times New Roman"/>
                <w:b/>
                <w:bCs/>
                <w:sz w:val="14"/>
                <w:szCs w:val="14"/>
                <w:lang w:eastAsia="sk-SK"/>
              </w:rPr>
              <w:t>109 884 580</w:t>
            </w:r>
          </w:p>
        </w:tc>
      </w:tr>
      <w:tr>
        <w:tblPrEx>
          <w:tblW w:w="9087" w:type="dxa"/>
          <w:tblInd w:w="55" w:type="dxa"/>
          <w:tblLayout w:type="fixed"/>
          <w:tblCellMar>
            <w:left w:w="70" w:type="dxa"/>
            <w:right w:w="70" w:type="dxa"/>
          </w:tblCellMar>
          <w:tblLook w:val="04A0"/>
        </w:tblPrEx>
        <w:trPr>
          <w:trHeight w:val="260"/>
        </w:trPr>
        <w:tc>
          <w:tcPr>
            <w:tcW w:w="2000" w:type="dxa"/>
            <w:tcBorders>
              <w:top w:val="nil"/>
              <w:left w:val="single" w:sz="4" w:space="0" w:color="auto"/>
              <w:bottom w:val="single" w:sz="4" w:space="0" w:color="auto"/>
              <w:right w:val="single" w:sz="4" w:space="0" w:color="auto"/>
            </w:tcBorders>
            <w:textDirection w:val="lrTb"/>
            <w:vAlign w:val="bottom"/>
          </w:tcPr>
          <w:p w:rsidR="00CF0B79" w:rsidRPr="00461390" w:rsidP="00F576BD">
            <w:pPr>
              <w:bidi w:val="0"/>
              <w:rPr>
                <w:rFonts w:ascii="Times New Roman" w:hAnsi="Times New Roman"/>
                <w:sz w:val="14"/>
                <w:szCs w:val="14"/>
                <w:lang w:eastAsia="sk-SK"/>
              </w:rPr>
            </w:pPr>
            <w:r w:rsidRPr="00461390">
              <w:rPr>
                <w:rFonts w:ascii="Times New Roman" w:hAnsi="Times New Roman"/>
                <w:sz w:val="14"/>
                <w:szCs w:val="14"/>
                <w:lang w:eastAsia="sk-SK"/>
              </w:rPr>
              <w:t>Rezerva vlády</w:t>
            </w:r>
          </w:p>
        </w:tc>
        <w:tc>
          <w:tcPr>
            <w:tcW w:w="101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 xml:space="preserve">7 382 414 </w:t>
            </w:r>
          </w:p>
        </w:tc>
        <w:tc>
          <w:tcPr>
            <w:tcW w:w="101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7 889 000</w:t>
            </w:r>
          </w:p>
        </w:tc>
        <w:tc>
          <w:tcPr>
            <w:tcW w:w="101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5 000 000</w:t>
            </w:r>
          </w:p>
        </w:tc>
        <w:tc>
          <w:tcPr>
            <w:tcW w:w="101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3" w:type="dxa"/>
            <w:tcBorders>
              <w:top w:val="nil"/>
              <w:left w:val="single" w:sz="4" w:space="0" w:color="auto"/>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5 000 000</w:t>
            </w:r>
          </w:p>
        </w:tc>
        <w:tc>
          <w:tcPr>
            <w:tcW w:w="101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5 000 000</w:t>
            </w:r>
          </w:p>
        </w:tc>
        <w:tc>
          <w:tcPr>
            <w:tcW w:w="101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5 000 000</w:t>
            </w:r>
          </w:p>
        </w:tc>
      </w:tr>
      <w:tr>
        <w:tblPrEx>
          <w:tblW w:w="9087" w:type="dxa"/>
          <w:tblInd w:w="55" w:type="dxa"/>
          <w:tblLayout w:type="fixed"/>
          <w:tblCellMar>
            <w:left w:w="70" w:type="dxa"/>
            <w:right w:w="70" w:type="dxa"/>
          </w:tblCellMar>
          <w:tblLook w:val="04A0"/>
        </w:tblPrEx>
        <w:trPr>
          <w:trHeight w:val="622"/>
        </w:trPr>
        <w:tc>
          <w:tcPr>
            <w:tcW w:w="2000" w:type="dxa"/>
            <w:tcBorders>
              <w:top w:val="nil"/>
              <w:left w:val="single" w:sz="4" w:space="0" w:color="auto"/>
              <w:bottom w:val="single" w:sz="4" w:space="0" w:color="auto"/>
              <w:right w:val="single" w:sz="4" w:space="0" w:color="auto"/>
            </w:tcBorders>
            <w:textDirection w:val="lrTb"/>
            <w:vAlign w:val="bottom"/>
          </w:tcPr>
          <w:p w:rsidR="00CF0B79" w:rsidRPr="00461390" w:rsidP="00F576BD">
            <w:pPr>
              <w:bidi w:val="0"/>
              <w:rPr>
                <w:rFonts w:ascii="Times New Roman" w:hAnsi="Times New Roman"/>
                <w:sz w:val="14"/>
                <w:szCs w:val="14"/>
                <w:lang w:eastAsia="sk-SK"/>
              </w:rPr>
            </w:pPr>
            <w:r w:rsidRPr="00461390">
              <w:rPr>
                <w:rFonts w:ascii="Times New Roman" w:hAnsi="Times New Roman"/>
                <w:sz w:val="14"/>
                <w:szCs w:val="14"/>
                <w:lang w:eastAsia="sk-SK"/>
              </w:rPr>
              <w:t>Rezerva na realizáciu súdnych a exekučných rozhodnutí  a na výdavky  súvisiace s vrátenými príjmami z minulých rokov</w:t>
            </w:r>
          </w:p>
        </w:tc>
        <w:tc>
          <w:tcPr>
            <w:tcW w:w="101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5 246 964</w:t>
            </w:r>
          </w:p>
        </w:tc>
        <w:tc>
          <w:tcPr>
            <w:tcW w:w="101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307</w:t>
            </w:r>
          </w:p>
        </w:tc>
        <w:tc>
          <w:tcPr>
            <w:tcW w:w="101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10 000 000</w:t>
            </w:r>
          </w:p>
        </w:tc>
        <w:tc>
          <w:tcPr>
            <w:tcW w:w="101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3" w:type="dxa"/>
            <w:tcBorders>
              <w:top w:val="nil"/>
              <w:left w:val="single" w:sz="4" w:space="0" w:color="auto"/>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10 000 000</w:t>
            </w:r>
          </w:p>
        </w:tc>
        <w:tc>
          <w:tcPr>
            <w:tcW w:w="101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10 000 000</w:t>
            </w:r>
          </w:p>
        </w:tc>
        <w:tc>
          <w:tcPr>
            <w:tcW w:w="101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10 000 000</w:t>
            </w:r>
          </w:p>
        </w:tc>
      </w:tr>
      <w:tr>
        <w:tblPrEx>
          <w:tblW w:w="9087" w:type="dxa"/>
          <w:tblInd w:w="55" w:type="dxa"/>
          <w:tblLayout w:type="fixed"/>
          <w:tblCellMar>
            <w:left w:w="70" w:type="dxa"/>
            <w:right w:w="70" w:type="dxa"/>
          </w:tblCellMar>
          <w:tblLook w:val="04A0"/>
        </w:tblPrEx>
        <w:trPr>
          <w:trHeight w:val="435"/>
        </w:trPr>
        <w:tc>
          <w:tcPr>
            <w:tcW w:w="2000" w:type="dxa"/>
            <w:tcBorders>
              <w:top w:val="nil"/>
              <w:left w:val="single" w:sz="4" w:space="0" w:color="auto"/>
              <w:bottom w:val="single" w:sz="4" w:space="0" w:color="auto"/>
              <w:right w:val="single" w:sz="4" w:space="0" w:color="auto"/>
            </w:tcBorders>
            <w:textDirection w:val="lrTb"/>
            <w:vAlign w:val="bottom"/>
          </w:tcPr>
          <w:p w:rsidR="00CF0B79" w:rsidRPr="00461390" w:rsidP="00F576BD">
            <w:pPr>
              <w:bidi w:val="0"/>
              <w:rPr>
                <w:rFonts w:ascii="Times New Roman" w:hAnsi="Times New Roman"/>
                <w:sz w:val="14"/>
                <w:szCs w:val="14"/>
                <w:lang w:eastAsia="sk-SK"/>
              </w:rPr>
            </w:pPr>
            <w:r w:rsidRPr="00461390">
              <w:rPr>
                <w:rFonts w:ascii="Times New Roman" w:hAnsi="Times New Roman"/>
                <w:sz w:val="14"/>
                <w:szCs w:val="14"/>
                <w:lang w:eastAsia="sk-SK"/>
              </w:rPr>
              <w:t xml:space="preserve">Rezerva na riešenie </w:t>
            </w:r>
            <w:r>
              <w:rPr>
                <w:rFonts w:ascii="Times New Roman" w:hAnsi="Times New Roman"/>
                <w:sz w:val="14"/>
                <w:szCs w:val="14"/>
                <w:lang w:eastAsia="sk-SK"/>
              </w:rPr>
              <w:t>vplyvov nových zákonných úprav a iných vplyvov</w:t>
            </w:r>
            <w:r w:rsidRPr="00461390">
              <w:rPr>
                <w:rFonts w:ascii="Times New Roman" w:hAnsi="Times New Roman"/>
                <w:sz w:val="14"/>
                <w:szCs w:val="14"/>
                <w:lang w:eastAsia="sk-SK"/>
              </w:rPr>
              <w:t xml:space="preserve"> </w:t>
            </w:r>
          </w:p>
        </w:tc>
        <w:tc>
          <w:tcPr>
            <w:tcW w:w="101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101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Pr>
                <w:rFonts w:ascii="Times New Roman" w:hAnsi="Times New Roman"/>
                <w:sz w:val="14"/>
                <w:szCs w:val="14"/>
                <w:lang w:eastAsia="sk-SK"/>
              </w:rPr>
              <w:t>77 916 531</w:t>
            </w:r>
          </w:p>
        </w:tc>
        <w:tc>
          <w:tcPr>
            <w:tcW w:w="101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3" w:type="dxa"/>
            <w:tcBorders>
              <w:top w:val="nil"/>
              <w:left w:val="single" w:sz="4" w:space="0" w:color="auto"/>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1</w:t>
            </w:r>
            <w:r>
              <w:rPr>
                <w:rFonts w:ascii="Times New Roman" w:hAnsi="Times New Roman"/>
                <w:sz w:val="14"/>
                <w:szCs w:val="14"/>
                <w:lang w:eastAsia="sk-SK"/>
              </w:rPr>
              <w:t>5 908 000</w:t>
            </w:r>
          </w:p>
        </w:tc>
        <w:tc>
          <w:tcPr>
            <w:tcW w:w="101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r>
      <w:tr>
        <w:tblPrEx>
          <w:tblW w:w="9087" w:type="dxa"/>
          <w:tblInd w:w="55" w:type="dxa"/>
          <w:tblLayout w:type="fixed"/>
          <w:tblCellMar>
            <w:left w:w="70" w:type="dxa"/>
            <w:right w:w="70" w:type="dxa"/>
          </w:tblCellMar>
          <w:tblLook w:val="04A0"/>
        </w:tblPrEx>
        <w:trPr>
          <w:trHeight w:val="437"/>
        </w:trPr>
        <w:tc>
          <w:tcPr>
            <w:tcW w:w="2000" w:type="dxa"/>
            <w:tcBorders>
              <w:top w:val="nil"/>
              <w:left w:val="single" w:sz="4" w:space="0" w:color="auto"/>
              <w:bottom w:val="single" w:sz="4" w:space="0" w:color="auto"/>
              <w:right w:val="single" w:sz="4" w:space="0" w:color="auto"/>
            </w:tcBorders>
            <w:textDirection w:val="lrTb"/>
            <w:vAlign w:val="bottom"/>
          </w:tcPr>
          <w:p w:rsidR="00CF0B79" w:rsidRPr="00461390" w:rsidP="00F576BD">
            <w:pPr>
              <w:bidi w:val="0"/>
              <w:rPr>
                <w:rFonts w:ascii="Times New Roman" w:hAnsi="Times New Roman"/>
                <w:sz w:val="14"/>
                <w:szCs w:val="14"/>
                <w:lang w:eastAsia="sk-SK"/>
              </w:rPr>
            </w:pPr>
            <w:r>
              <w:rPr>
                <w:rFonts w:ascii="Times New Roman" w:hAnsi="Times New Roman"/>
                <w:sz w:val="14"/>
                <w:szCs w:val="14"/>
                <w:lang w:eastAsia="sk-SK"/>
              </w:rPr>
              <w:t>Rezerva na zhoršený vývoj ekonomiky</w:t>
            </w:r>
          </w:p>
        </w:tc>
        <w:tc>
          <w:tcPr>
            <w:tcW w:w="101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101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101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101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1013" w:type="dxa"/>
            <w:tcBorders>
              <w:top w:val="nil"/>
              <w:left w:val="single" w:sz="4" w:space="0" w:color="auto"/>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Pr>
                <w:rFonts w:ascii="Times New Roman" w:hAnsi="Times New Roman"/>
                <w:sz w:val="14"/>
                <w:szCs w:val="14"/>
                <w:lang w:eastAsia="sk-SK"/>
              </w:rPr>
              <w:t>50 000 000</w:t>
            </w:r>
          </w:p>
        </w:tc>
        <w:tc>
          <w:tcPr>
            <w:tcW w:w="101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101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Pr>
                <w:rFonts w:ascii="Times New Roman" w:hAnsi="Times New Roman"/>
                <w:sz w:val="14"/>
                <w:szCs w:val="14"/>
                <w:lang w:eastAsia="sk-SK"/>
              </w:rPr>
              <w:t>0</w:t>
            </w:r>
          </w:p>
        </w:tc>
      </w:tr>
      <w:tr>
        <w:tblPrEx>
          <w:tblW w:w="9087" w:type="dxa"/>
          <w:tblInd w:w="55" w:type="dxa"/>
          <w:tblLayout w:type="fixed"/>
          <w:tblCellMar>
            <w:left w:w="70" w:type="dxa"/>
            <w:right w:w="70" w:type="dxa"/>
          </w:tblCellMar>
          <w:tblLook w:val="04A0"/>
        </w:tblPrEx>
        <w:trPr>
          <w:trHeight w:val="435"/>
        </w:trPr>
        <w:tc>
          <w:tcPr>
            <w:tcW w:w="2000" w:type="dxa"/>
            <w:tcBorders>
              <w:top w:val="nil"/>
              <w:left w:val="single" w:sz="4" w:space="0" w:color="auto"/>
              <w:bottom w:val="single" w:sz="4" w:space="0" w:color="auto"/>
              <w:right w:val="single" w:sz="4" w:space="0" w:color="auto"/>
            </w:tcBorders>
            <w:textDirection w:val="lrTb"/>
            <w:vAlign w:val="bottom"/>
          </w:tcPr>
          <w:p w:rsidR="00CF0B79" w:rsidRPr="00461390" w:rsidP="00F576BD">
            <w:pPr>
              <w:bidi w:val="0"/>
              <w:rPr>
                <w:rFonts w:ascii="Times New Roman" w:hAnsi="Times New Roman"/>
                <w:sz w:val="14"/>
                <w:szCs w:val="14"/>
                <w:lang w:eastAsia="sk-SK"/>
              </w:rPr>
            </w:pPr>
            <w:r w:rsidRPr="00461390">
              <w:rPr>
                <w:rFonts w:ascii="Times New Roman" w:hAnsi="Times New Roman"/>
                <w:sz w:val="14"/>
                <w:szCs w:val="14"/>
                <w:lang w:eastAsia="sk-SK"/>
              </w:rPr>
              <w:t xml:space="preserve">Rezerva na riešenie krízových situácií </w:t>
            </w:r>
          </w:p>
        </w:tc>
        <w:tc>
          <w:tcPr>
            <w:tcW w:w="101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900 000</w:t>
            </w:r>
          </w:p>
        </w:tc>
        <w:tc>
          <w:tcPr>
            <w:tcW w:w="101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Pr>
                <w:rFonts w:ascii="Times New Roman" w:hAnsi="Times New Roman"/>
                <w:sz w:val="14"/>
                <w:szCs w:val="14"/>
                <w:lang w:eastAsia="sk-SK"/>
              </w:rPr>
              <w:t>17 728 172</w:t>
            </w:r>
          </w:p>
        </w:tc>
        <w:tc>
          <w:tcPr>
            <w:tcW w:w="101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3" w:type="dxa"/>
            <w:tcBorders>
              <w:top w:val="nil"/>
              <w:left w:val="single" w:sz="4" w:space="0" w:color="auto"/>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11 000 000</w:t>
            </w:r>
          </w:p>
        </w:tc>
        <w:tc>
          <w:tcPr>
            <w:tcW w:w="101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11 000 000</w:t>
            </w:r>
          </w:p>
        </w:tc>
        <w:tc>
          <w:tcPr>
            <w:tcW w:w="101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11 000 000</w:t>
            </w:r>
          </w:p>
        </w:tc>
      </w:tr>
      <w:tr>
        <w:tblPrEx>
          <w:tblW w:w="9087" w:type="dxa"/>
          <w:tblInd w:w="55" w:type="dxa"/>
          <w:tblLayout w:type="fixed"/>
          <w:tblCellMar>
            <w:left w:w="70" w:type="dxa"/>
            <w:right w:w="70" w:type="dxa"/>
          </w:tblCellMar>
          <w:tblLook w:val="04A0"/>
        </w:tblPrEx>
        <w:trPr>
          <w:trHeight w:val="255"/>
        </w:trPr>
        <w:tc>
          <w:tcPr>
            <w:tcW w:w="2000" w:type="dxa"/>
            <w:tcBorders>
              <w:top w:val="nil"/>
              <w:left w:val="single" w:sz="4" w:space="0" w:color="auto"/>
              <w:bottom w:val="single" w:sz="4" w:space="0" w:color="auto"/>
              <w:right w:val="single" w:sz="4" w:space="0" w:color="auto"/>
            </w:tcBorders>
            <w:textDirection w:val="lrTb"/>
            <w:vAlign w:val="bottom"/>
          </w:tcPr>
          <w:p w:rsidR="00CF0B79" w:rsidRPr="00461390" w:rsidP="00F576BD">
            <w:pPr>
              <w:bidi w:val="0"/>
              <w:rPr>
                <w:rFonts w:ascii="Times New Roman" w:hAnsi="Times New Roman"/>
                <w:sz w:val="14"/>
                <w:szCs w:val="14"/>
                <w:lang w:eastAsia="sk-SK"/>
              </w:rPr>
            </w:pPr>
            <w:r w:rsidRPr="00461390">
              <w:rPr>
                <w:rFonts w:ascii="Times New Roman" w:hAnsi="Times New Roman"/>
                <w:sz w:val="14"/>
                <w:szCs w:val="14"/>
                <w:lang w:eastAsia="sk-SK"/>
              </w:rPr>
              <w:t>Rezerva na  mzdy a poistné</w:t>
            </w:r>
          </w:p>
        </w:tc>
        <w:tc>
          <w:tcPr>
            <w:tcW w:w="101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202 766</w:t>
            </w:r>
          </w:p>
        </w:tc>
        <w:tc>
          <w:tcPr>
            <w:tcW w:w="101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23 129</w:t>
            </w:r>
          </w:p>
        </w:tc>
        <w:tc>
          <w:tcPr>
            <w:tcW w:w="1013" w:type="dxa"/>
            <w:tcBorders>
              <w:top w:val="nil"/>
              <w:left w:val="single" w:sz="4" w:space="0" w:color="auto"/>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Pr>
                <w:rFonts w:ascii="Times New Roman" w:hAnsi="Times New Roman"/>
                <w:sz w:val="14"/>
                <w:szCs w:val="14"/>
                <w:lang w:eastAsia="sk-SK"/>
              </w:rPr>
              <w:t>20 846 437</w:t>
            </w:r>
          </w:p>
        </w:tc>
        <w:tc>
          <w:tcPr>
            <w:tcW w:w="101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Pr>
                <w:rFonts w:ascii="Times New Roman" w:hAnsi="Times New Roman"/>
                <w:sz w:val="14"/>
                <w:szCs w:val="14"/>
                <w:lang w:eastAsia="sk-SK"/>
              </w:rPr>
              <w:t>37 386 870</w:t>
            </w:r>
          </w:p>
        </w:tc>
        <w:tc>
          <w:tcPr>
            <w:tcW w:w="101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Pr>
                <w:rFonts w:ascii="Times New Roman" w:hAnsi="Times New Roman"/>
                <w:sz w:val="14"/>
                <w:szCs w:val="14"/>
                <w:lang w:eastAsia="sk-SK"/>
              </w:rPr>
              <w:t>77 884 580</w:t>
            </w:r>
          </w:p>
        </w:tc>
      </w:tr>
      <w:tr>
        <w:tblPrEx>
          <w:tblW w:w="9087" w:type="dxa"/>
          <w:tblInd w:w="55" w:type="dxa"/>
          <w:tblLayout w:type="fixed"/>
          <w:tblCellMar>
            <w:left w:w="70" w:type="dxa"/>
            <w:right w:w="70" w:type="dxa"/>
          </w:tblCellMar>
          <w:tblLook w:val="04A0"/>
        </w:tblPrEx>
        <w:trPr>
          <w:trHeight w:val="437"/>
        </w:trPr>
        <w:tc>
          <w:tcPr>
            <w:tcW w:w="2000" w:type="dxa"/>
            <w:tcBorders>
              <w:top w:val="nil"/>
              <w:left w:val="single" w:sz="4" w:space="0" w:color="auto"/>
              <w:bottom w:val="single" w:sz="4" w:space="0" w:color="auto"/>
              <w:right w:val="single" w:sz="4" w:space="0" w:color="auto"/>
            </w:tcBorders>
            <w:textDirection w:val="lrTb"/>
            <w:vAlign w:val="bottom"/>
          </w:tcPr>
          <w:p w:rsidR="00CF0B79" w:rsidRPr="00461390" w:rsidP="00F576BD">
            <w:pPr>
              <w:bidi w:val="0"/>
              <w:rPr>
                <w:rFonts w:ascii="Times New Roman" w:hAnsi="Times New Roman"/>
                <w:sz w:val="14"/>
                <w:szCs w:val="14"/>
              </w:rPr>
            </w:pPr>
            <w:r w:rsidRPr="00461390">
              <w:rPr>
                <w:rFonts w:ascii="Times New Roman" w:hAnsi="Times New Roman"/>
                <w:sz w:val="14"/>
                <w:szCs w:val="14"/>
                <w:lang w:eastAsia="sk-SK"/>
              </w:rPr>
              <w:t>Rezerva na výdavky spojené s nepoistením majetku štátu</w:t>
            </w:r>
          </w:p>
        </w:tc>
        <w:tc>
          <w:tcPr>
            <w:tcW w:w="101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3" w:type="dxa"/>
            <w:tcBorders>
              <w:top w:val="nil"/>
              <w:left w:val="single" w:sz="4" w:space="0" w:color="auto"/>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2 000 000</w:t>
            </w:r>
          </w:p>
        </w:tc>
        <w:tc>
          <w:tcPr>
            <w:tcW w:w="101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2 000 000</w:t>
            </w:r>
          </w:p>
        </w:tc>
        <w:tc>
          <w:tcPr>
            <w:tcW w:w="101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2 000 000</w:t>
            </w:r>
          </w:p>
        </w:tc>
      </w:tr>
      <w:tr>
        <w:tblPrEx>
          <w:tblW w:w="9087" w:type="dxa"/>
          <w:tblInd w:w="55" w:type="dxa"/>
          <w:tblLayout w:type="fixed"/>
          <w:tblCellMar>
            <w:left w:w="70" w:type="dxa"/>
            <w:right w:w="70" w:type="dxa"/>
          </w:tblCellMar>
          <w:tblLook w:val="04A0"/>
        </w:tblPrEx>
        <w:trPr>
          <w:trHeight w:val="255"/>
        </w:trPr>
        <w:tc>
          <w:tcPr>
            <w:tcW w:w="2000" w:type="dxa"/>
            <w:tcBorders>
              <w:top w:val="nil"/>
              <w:left w:val="single" w:sz="4" w:space="0" w:color="auto"/>
              <w:bottom w:val="single" w:sz="4" w:space="0" w:color="auto"/>
              <w:right w:val="single" w:sz="4" w:space="0" w:color="auto"/>
            </w:tcBorders>
            <w:textDirection w:val="lrTb"/>
            <w:vAlign w:val="bottom"/>
          </w:tcPr>
          <w:p w:rsidR="00CF0B79" w:rsidRPr="00461390" w:rsidP="00F576BD">
            <w:pPr>
              <w:bidi w:val="0"/>
              <w:rPr>
                <w:rFonts w:ascii="Times New Roman" w:hAnsi="Times New Roman"/>
                <w:sz w:val="14"/>
                <w:szCs w:val="14"/>
              </w:rPr>
            </w:pPr>
            <w:r w:rsidRPr="00461390">
              <w:rPr>
                <w:rFonts w:ascii="Times New Roman" w:hAnsi="Times New Roman"/>
                <w:sz w:val="14"/>
                <w:szCs w:val="14"/>
                <w:lang w:eastAsia="sk-SK"/>
              </w:rPr>
              <w:t>Rezerva na sociálne služby</w:t>
            </w:r>
          </w:p>
        </w:tc>
        <w:tc>
          <w:tcPr>
            <w:tcW w:w="101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3" w:type="dxa"/>
            <w:tcBorders>
              <w:top w:val="nil"/>
              <w:left w:val="single" w:sz="4" w:space="0" w:color="auto"/>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20 000 000</w:t>
            </w:r>
          </w:p>
        </w:tc>
        <w:tc>
          <w:tcPr>
            <w:tcW w:w="101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r>
      <w:tr>
        <w:tblPrEx>
          <w:tblW w:w="9087" w:type="dxa"/>
          <w:tblInd w:w="55" w:type="dxa"/>
          <w:tblLayout w:type="fixed"/>
          <w:tblCellMar>
            <w:left w:w="70" w:type="dxa"/>
            <w:right w:w="70" w:type="dxa"/>
          </w:tblCellMar>
          <w:tblLook w:val="04A0"/>
        </w:tblPrEx>
        <w:trPr>
          <w:trHeight w:val="255"/>
        </w:trPr>
        <w:tc>
          <w:tcPr>
            <w:tcW w:w="2000" w:type="dxa"/>
            <w:tcBorders>
              <w:top w:val="nil"/>
              <w:left w:val="single" w:sz="4" w:space="0" w:color="auto"/>
              <w:bottom w:val="single" w:sz="4" w:space="0" w:color="auto"/>
              <w:right w:val="single" w:sz="4" w:space="0" w:color="auto"/>
            </w:tcBorders>
            <w:textDirection w:val="lrTb"/>
            <w:vAlign w:val="bottom"/>
          </w:tcPr>
          <w:p w:rsidR="00CF0B79" w:rsidRPr="00461390" w:rsidP="00F576BD">
            <w:pPr>
              <w:bidi w:val="0"/>
              <w:rPr>
                <w:rFonts w:ascii="Times New Roman" w:hAnsi="Times New Roman"/>
                <w:sz w:val="14"/>
                <w:szCs w:val="14"/>
                <w:lang w:eastAsia="sk-SK"/>
              </w:rPr>
            </w:pPr>
            <w:r w:rsidRPr="00461390">
              <w:rPr>
                <w:rFonts w:ascii="Times New Roman" w:hAnsi="Times New Roman"/>
                <w:sz w:val="14"/>
                <w:szCs w:val="14"/>
                <w:lang w:eastAsia="sk-SK"/>
              </w:rPr>
              <w:t>Rezerva na nové úlohy v oblasti jadrovej bezpečnosti</w:t>
            </w:r>
          </w:p>
        </w:tc>
        <w:tc>
          <w:tcPr>
            <w:tcW w:w="101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3" w:type="dxa"/>
            <w:tcBorders>
              <w:top w:val="nil"/>
              <w:left w:val="single" w:sz="4" w:space="0" w:color="auto"/>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 700 000</w:t>
            </w:r>
          </w:p>
        </w:tc>
        <w:tc>
          <w:tcPr>
            <w:tcW w:w="101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1 000 000</w:t>
            </w:r>
          </w:p>
        </w:tc>
        <w:tc>
          <w:tcPr>
            <w:tcW w:w="101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1 000 000</w:t>
            </w:r>
          </w:p>
        </w:tc>
      </w:tr>
      <w:tr>
        <w:tblPrEx>
          <w:tblW w:w="9087" w:type="dxa"/>
          <w:tblInd w:w="55" w:type="dxa"/>
          <w:tblLayout w:type="fixed"/>
          <w:tblCellMar>
            <w:left w:w="70" w:type="dxa"/>
            <w:right w:w="70" w:type="dxa"/>
          </w:tblCellMar>
          <w:tblLook w:val="04A0"/>
        </w:tblPrEx>
        <w:trPr>
          <w:trHeight w:val="255"/>
        </w:trPr>
        <w:tc>
          <w:tcPr>
            <w:tcW w:w="2000" w:type="dxa"/>
            <w:tcBorders>
              <w:top w:val="nil"/>
              <w:left w:val="single" w:sz="4" w:space="0" w:color="auto"/>
              <w:bottom w:val="single" w:sz="4" w:space="0" w:color="auto"/>
              <w:right w:val="single" w:sz="4" w:space="0" w:color="auto"/>
            </w:tcBorders>
            <w:textDirection w:val="lrTb"/>
            <w:vAlign w:val="bottom"/>
          </w:tcPr>
          <w:p w:rsidR="00CF0B79" w:rsidRPr="00461390" w:rsidP="00F576BD">
            <w:pPr>
              <w:bidi w:val="0"/>
              <w:rPr>
                <w:rFonts w:ascii="Times New Roman" w:hAnsi="Times New Roman"/>
                <w:sz w:val="14"/>
                <w:szCs w:val="14"/>
                <w:lang w:eastAsia="sk-SK"/>
              </w:rPr>
            </w:pPr>
            <w:r w:rsidRPr="00461390">
              <w:rPr>
                <w:rFonts w:ascii="Times New Roman" w:hAnsi="Times New Roman"/>
                <w:sz w:val="14"/>
                <w:szCs w:val="14"/>
                <w:lang w:eastAsia="sk-SK"/>
              </w:rPr>
              <w:t>Rezerva na prípravu predsedníctva SR v Rade EÚ</w:t>
            </w:r>
          </w:p>
        </w:tc>
        <w:tc>
          <w:tcPr>
            <w:tcW w:w="101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3" w:type="dxa"/>
            <w:tcBorders>
              <w:top w:val="nil"/>
              <w:left w:val="single" w:sz="4" w:space="0" w:color="auto"/>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2 000 000</w:t>
            </w:r>
          </w:p>
        </w:tc>
        <w:tc>
          <w:tcPr>
            <w:tcW w:w="101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3 000 000</w:t>
            </w:r>
          </w:p>
        </w:tc>
      </w:tr>
      <w:tr>
        <w:tblPrEx>
          <w:tblW w:w="9087" w:type="dxa"/>
          <w:tblInd w:w="55" w:type="dxa"/>
          <w:tblLayout w:type="fixed"/>
          <w:tblCellMar>
            <w:left w:w="70" w:type="dxa"/>
            <w:right w:w="70" w:type="dxa"/>
          </w:tblCellMar>
          <w:tblLook w:val="04A0"/>
        </w:tblPrEx>
        <w:trPr>
          <w:trHeight w:val="390"/>
        </w:trPr>
        <w:tc>
          <w:tcPr>
            <w:tcW w:w="2000" w:type="dxa"/>
            <w:tcBorders>
              <w:top w:val="nil"/>
              <w:left w:val="single" w:sz="4" w:space="0" w:color="auto"/>
              <w:bottom w:val="single" w:sz="4" w:space="0" w:color="auto"/>
              <w:right w:val="single" w:sz="4" w:space="0" w:color="auto"/>
            </w:tcBorders>
            <w:textDirection w:val="lrTb"/>
            <w:vAlign w:val="bottom"/>
          </w:tcPr>
          <w:p w:rsidR="00CF0B79" w:rsidRPr="00461390" w:rsidP="00F576BD">
            <w:pPr>
              <w:bidi w:val="0"/>
              <w:rPr>
                <w:rFonts w:ascii="Times New Roman" w:hAnsi="Times New Roman"/>
                <w:sz w:val="14"/>
                <w:szCs w:val="14"/>
                <w:lang w:eastAsia="sk-SK"/>
              </w:rPr>
            </w:pPr>
            <w:r w:rsidRPr="00461390">
              <w:rPr>
                <w:rFonts w:ascii="Times New Roman" w:hAnsi="Times New Roman"/>
                <w:sz w:val="14"/>
                <w:szCs w:val="14"/>
                <w:lang w:eastAsia="sk-SK"/>
              </w:rPr>
              <w:t>Rezerva na vratky prevádzkovateľom hazardných hier</w:t>
            </w:r>
          </w:p>
        </w:tc>
        <w:tc>
          <w:tcPr>
            <w:tcW w:w="101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63 879</w:t>
            </w:r>
          </w:p>
        </w:tc>
        <w:tc>
          <w:tcPr>
            <w:tcW w:w="101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3" w:type="dxa"/>
            <w:tcBorders>
              <w:top w:val="nil"/>
              <w:left w:val="single" w:sz="4" w:space="0" w:color="auto"/>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r>
    </w:tbl>
    <w:p w:rsidR="00CF0B79" w:rsidRPr="00461390" w:rsidP="00CF0B79">
      <w:pPr>
        <w:bidi w:val="0"/>
        <w:ind w:firstLine="709"/>
        <w:jc w:val="both"/>
        <w:rPr>
          <w:rFonts w:ascii="Times New Roman" w:hAnsi="Times New Roman"/>
        </w:rPr>
      </w:pPr>
    </w:p>
    <w:p w:rsidR="00CF0B79" w:rsidRPr="00461390" w:rsidP="00CF0B79">
      <w:pPr>
        <w:bidi w:val="0"/>
        <w:ind w:firstLine="709"/>
        <w:jc w:val="both"/>
        <w:rPr>
          <w:rFonts w:ascii="Times New Roman" w:hAnsi="Times New Roman"/>
        </w:rPr>
      </w:pPr>
      <w:r w:rsidRPr="00461390">
        <w:rPr>
          <w:rFonts w:ascii="Times New Roman" w:hAnsi="Times New Roman"/>
        </w:rPr>
        <w:t xml:space="preserve"> Na krytie nepredvídaných a mimoriadnych potrieb súvisiacich so zabezpečením plnenia vnútorných a zahraničných úloh Slovenskej republiky je rozpočtovaná rezerva vlády. </w:t>
      </w:r>
    </w:p>
    <w:p w:rsidR="00CF0B79" w:rsidP="00CF0B79">
      <w:pPr>
        <w:bidi w:val="0"/>
        <w:ind w:firstLine="709"/>
        <w:jc w:val="both"/>
        <w:rPr>
          <w:rFonts w:ascii="Times New Roman" w:hAnsi="Times New Roman"/>
        </w:rPr>
      </w:pPr>
    </w:p>
    <w:p w:rsidR="00CF0B79" w:rsidP="00CF0B79">
      <w:pPr>
        <w:bidi w:val="0"/>
        <w:ind w:firstLine="709"/>
        <w:jc w:val="both"/>
        <w:rPr>
          <w:rFonts w:ascii="Times New Roman" w:hAnsi="Times New Roman"/>
        </w:rPr>
      </w:pPr>
      <w:r>
        <w:rPr>
          <w:rFonts w:ascii="Times New Roman" w:hAnsi="Times New Roman"/>
        </w:rPr>
        <w:t xml:space="preserve">MF SR považuje vývoj slovenskej a svetovej ekonomiky za veľké riziko pre verejné financie, a preto sa rozpočtuje rezerva na zhoršený vývoj ekonomiky. Návrh rozpočtu verejnej správy na roky 2012 až 2014 vychádza z aktuálnej prognózy makroekonomického vývoja a vývoja daňových a odvodových príjmov do roku 2014, ktorú ministerstvo financií zverejnilo 26. augusta 2011, pričom bola urobená necelé tri týždne po prepuknutí problémov na finančných trhoch a ešte pred tým, ako svoje prognózy vývoja svetovej ekonomiky upravovali medzinárodné inštitúcie. </w:t>
      </w:r>
    </w:p>
    <w:p w:rsidR="00CF0B79" w:rsidRPr="00461390" w:rsidP="00CF0B79">
      <w:pPr>
        <w:bidi w:val="0"/>
        <w:ind w:firstLine="709"/>
        <w:jc w:val="both"/>
        <w:rPr>
          <w:rFonts w:ascii="Times New Roman" w:hAnsi="Times New Roman"/>
        </w:rPr>
      </w:pPr>
    </w:p>
    <w:p w:rsidR="00CF0B79" w:rsidRPr="00461390" w:rsidP="00CF0B79">
      <w:pPr>
        <w:bidi w:val="0"/>
        <w:ind w:firstLine="709"/>
        <w:jc w:val="both"/>
        <w:rPr>
          <w:rFonts w:ascii="Times New Roman" w:hAnsi="Times New Roman"/>
        </w:rPr>
      </w:pPr>
      <w:r w:rsidRPr="00461390">
        <w:rPr>
          <w:rFonts w:ascii="Times New Roman" w:hAnsi="Times New Roman"/>
        </w:rPr>
        <w:t xml:space="preserve">Rozpočet  rezervy na riešenie krízových situácií zahŕňa rezervu,  ktorej tvorba vyplýva zo zákona č. 387/2002 Z. z. o riadení štátu v krízových situáciách mimo času vojny a vojnového stavu. Časť rezervy tvoria výdavky, ktoré budú slúžiť na krytie nepredvídaných výdavkov v prípade povodní, živelných pohrôm, resp. riešenie odškodňovania pri mimoriadnych udalostiach a krízových situáciách. </w:t>
      </w:r>
    </w:p>
    <w:p w:rsidR="00CF0B79" w:rsidRPr="00461390" w:rsidP="00CF0B79">
      <w:pPr>
        <w:bidi w:val="0"/>
        <w:ind w:firstLine="709"/>
        <w:jc w:val="both"/>
        <w:rPr>
          <w:rFonts w:ascii="Times New Roman" w:hAnsi="Times New Roman"/>
        </w:rPr>
      </w:pPr>
    </w:p>
    <w:tbl>
      <w:tblPr>
        <w:tblStyle w:val="TableNormal"/>
        <w:tblW w:w="9087" w:type="dxa"/>
        <w:tblInd w:w="55" w:type="dxa"/>
        <w:tblLayout w:type="fixed"/>
        <w:tblCellMar>
          <w:left w:w="70" w:type="dxa"/>
          <w:right w:w="70" w:type="dxa"/>
        </w:tblCellMar>
        <w:tblLook w:val="04A0"/>
      </w:tblPr>
      <w:tblGrid>
        <w:gridCol w:w="2142"/>
        <w:gridCol w:w="992"/>
        <w:gridCol w:w="992"/>
        <w:gridCol w:w="992"/>
        <w:gridCol w:w="992"/>
        <w:gridCol w:w="992"/>
        <w:gridCol w:w="992"/>
        <w:gridCol w:w="993"/>
      </w:tblGrid>
      <w:tr>
        <w:tblPrEx>
          <w:tblW w:w="9087" w:type="dxa"/>
          <w:tblInd w:w="55" w:type="dxa"/>
          <w:tblLayout w:type="fixed"/>
          <w:tblCellMar>
            <w:left w:w="70" w:type="dxa"/>
            <w:right w:w="70" w:type="dxa"/>
          </w:tblCellMar>
          <w:tblLook w:val="04A0"/>
        </w:tblPrEx>
        <w:trPr>
          <w:trHeight w:val="270"/>
        </w:trPr>
        <w:tc>
          <w:tcPr>
            <w:tcW w:w="214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461390" w:rsidP="00F576BD">
            <w:pPr>
              <w:bidi w:val="0"/>
              <w:rPr>
                <w:rFonts w:ascii="Times New Roman" w:hAnsi="Times New Roman"/>
                <w:b/>
                <w:bCs/>
                <w:sz w:val="14"/>
                <w:szCs w:val="14"/>
                <w:lang w:eastAsia="sk-SK"/>
              </w:rPr>
            </w:pPr>
            <w:r w:rsidRPr="00461390">
              <w:rPr>
                <w:rFonts w:ascii="Times New Roman" w:hAnsi="Times New Roman"/>
                <w:b/>
                <w:bCs/>
                <w:sz w:val="14"/>
                <w:szCs w:val="14"/>
                <w:lang w:eastAsia="sk-SK"/>
              </w:rPr>
              <w:t>v eurách</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2009 S</w:t>
            </w:r>
          </w:p>
        </w:tc>
        <w:tc>
          <w:tcPr>
            <w:tcW w:w="992" w:type="dxa"/>
            <w:tcBorders>
              <w:top w:val="single" w:sz="4" w:space="0" w:color="auto"/>
              <w:left w:val="nil"/>
              <w:bottom w:val="single" w:sz="4" w:space="0" w:color="auto"/>
              <w:right w:val="single" w:sz="4" w:space="0" w:color="auto"/>
            </w:tcBorders>
            <w:noWrap/>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2010 S</w:t>
            </w:r>
          </w:p>
        </w:tc>
        <w:tc>
          <w:tcPr>
            <w:tcW w:w="992" w:type="dxa"/>
            <w:tcBorders>
              <w:top w:val="single" w:sz="4" w:space="0" w:color="auto"/>
              <w:left w:val="nil"/>
              <w:bottom w:val="single" w:sz="4" w:space="0" w:color="auto"/>
              <w:right w:val="single" w:sz="4" w:space="0" w:color="auto"/>
            </w:tcBorders>
            <w:noWrap/>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2011 R</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2011 OS</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2012 N</w:t>
            </w:r>
          </w:p>
        </w:tc>
        <w:tc>
          <w:tcPr>
            <w:tcW w:w="992" w:type="dxa"/>
            <w:tcBorders>
              <w:top w:val="single" w:sz="4" w:space="0" w:color="auto"/>
              <w:left w:val="nil"/>
              <w:bottom w:val="single" w:sz="4" w:space="0" w:color="auto"/>
              <w:right w:val="single" w:sz="4" w:space="0" w:color="auto"/>
            </w:tcBorders>
            <w:noWrap/>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2013 N</w:t>
            </w:r>
          </w:p>
        </w:tc>
        <w:tc>
          <w:tcPr>
            <w:tcW w:w="993" w:type="dxa"/>
            <w:tcBorders>
              <w:top w:val="single" w:sz="4" w:space="0" w:color="auto"/>
              <w:left w:val="nil"/>
              <w:bottom w:val="single" w:sz="4" w:space="0" w:color="auto"/>
              <w:right w:val="single" w:sz="4" w:space="0" w:color="auto"/>
            </w:tcBorders>
            <w:noWrap/>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2014 N</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noWrap/>
            <w:textDirection w:val="lrTb"/>
            <w:vAlign w:val="bottom"/>
          </w:tcPr>
          <w:p w:rsidR="00CF0B79" w:rsidRPr="00461390" w:rsidP="00F576BD">
            <w:pPr>
              <w:bidi w:val="0"/>
              <w:rPr>
                <w:rFonts w:ascii="Times New Roman" w:hAnsi="Times New Roman"/>
                <w:b/>
                <w:sz w:val="14"/>
                <w:szCs w:val="14"/>
                <w:lang w:eastAsia="sk-SK"/>
              </w:rPr>
            </w:pPr>
            <w:r w:rsidRPr="00461390">
              <w:rPr>
                <w:rFonts w:ascii="Times New Roman" w:hAnsi="Times New Roman"/>
                <w:b/>
                <w:sz w:val="14"/>
                <w:szCs w:val="14"/>
                <w:lang w:eastAsia="sk-SK"/>
              </w:rPr>
              <w:t>Rezerva na  mzdy a poistné</w:t>
            </w:r>
          </w:p>
        </w:tc>
        <w:tc>
          <w:tcPr>
            <w:tcW w:w="99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b/>
                <w:sz w:val="14"/>
                <w:szCs w:val="14"/>
                <w:lang w:eastAsia="sk-SK"/>
              </w:rPr>
            </w:pPr>
            <w:r w:rsidRPr="00461390">
              <w:rPr>
                <w:rFonts w:ascii="Times New Roman" w:hAnsi="Times New Roman"/>
                <w:b/>
                <w:sz w:val="14"/>
                <w:szCs w:val="14"/>
                <w:lang w:eastAsia="sk-SK"/>
              </w:rPr>
              <w:t>0</w:t>
            </w:r>
          </w:p>
        </w:tc>
        <w:tc>
          <w:tcPr>
            <w:tcW w:w="99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b/>
                <w:sz w:val="14"/>
                <w:szCs w:val="14"/>
                <w:lang w:eastAsia="sk-SK"/>
              </w:rPr>
            </w:pPr>
            <w:r w:rsidRPr="00461390">
              <w:rPr>
                <w:rFonts w:ascii="Times New Roman" w:hAnsi="Times New Roman"/>
                <w:b/>
                <w:sz w:val="14"/>
                <w:szCs w:val="14"/>
                <w:lang w:eastAsia="sk-SK"/>
              </w:rPr>
              <w:t>0</w:t>
            </w:r>
          </w:p>
        </w:tc>
        <w:tc>
          <w:tcPr>
            <w:tcW w:w="99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b/>
                <w:sz w:val="14"/>
                <w:szCs w:val="14"/>
                <w:lang w:eastAsia="sk-SK"/>
              </w:rPr>
            </w:pPr>
            <w:r w:rsidRPr="00461390">
              <w:rPr>
                <w:rFonts w:ascii="Times New Roman" w:hAnsi="Times New Roman"/>
                <w:b/>
                <w:sz w:val="14"/>
                <w:szCs w:val="14"/>
                <w:lang w:eastAsia="sk-SK"/>
              </w:rPr>
              <w:t>202 766</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b/>
                <w:sz w:val="14"/>
                <w:szCs w:val="14"/>
                <w:lang w:eastAsia="sk-SK"/>
              </w:rPr>
            </w:pPr>
            <w:r w:rsidRPr="00461390">
              <w:rPr>
                <w:rFonts w:ascii="Times New Roman" w:hAnsi="Times New Roman"/>
                <w:b/>
                <w:sz w:val="14"/>
                <w:szCs w:val="14"/>
                <w:lang w:eastAsia="sk-SK"/>
              </w:rPr>
              <w:t>23 129</w:t>
            </w:r>
          </w:p>
        </w:tc>
        <w:tc>
          <w:tcPr>
            <w:tcW w:w="992" w:type="dxa"/>
            <w:tcBorders>
              <w:top w:val="nil"/>
              <w:left w:val="single" w:sz="4" w:space="0" w:color="auto"/>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b/>
                <w:sz w:val="14"/>
                <w:szCs w:val="14"/>
                <w:lang w:eastAsia="sk-SK"/>
              </w:rPr>
            </w:pPr>
            <w:r>
              <w:rPr>
                <w:rFonts w:ascii="Times New Roman" w:hAnsi="Times New Roman"/>
                <w:b/>
                <w:sz w:val="14"/>
                <w:szCs w:val="14"/>
                <w:lang w:eastAsia="sk-SK"/>
              </w:rPr>
              <w:t>20 846 437</w:t>
            </w:r>
          </w:p>
        </w:tc>
        <w:tc>
          <w:tcPr>
            <w:tcW w:w="99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b/>
                <w:sz w:val="14"/>
                <w:szCs w:val="14"/>
                <w:lang w:eastAsia="sk-SK"/>
              </w:rPr>
            </w:pPr>
            <w:r>
              <w:rPr>
                <w:rFonts w:ascii="Times New Roman" w:hAnsi="Times New Roman"/>
                <w:b/>
                <w:sz w:val="14"/>
                <w:szCs w:val="14"/>
                <w:lang w:eastAsia="sk-SK"/>
              </w:rPr>
              <w:t>37 386 870</w:t>
            </w:r>
          </w:p>
        </w:tc>
        <w:tc>
          <w:tcPr>
            <w:tcW w:w="99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b/>
                <w:sz w:val="14"/>
                <w:szCs w:val="14"/>
                <w:lang w:eastAsia="sk-SK"/>
              </w:rPr>
            </w:pPr>
            <w:r>
              <w:rPr>
                <w:rFonts w:ascii="Times New Roman" w:hAnsi="Times New Roman"/>
                <w:b/>
                <w:sz w:val="14"/>
                <w:szCs w:val="14"/>
                <w:lang w:eastAsia="sk-SK"/>
              </w:rPr>
              <w:t>77 884 580</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textDirection w:val="lrTb"/>
            <w:vAlign w:val="bottom"/>
          </w:tcPr>
          <w:p w:rsidR="00CF0B79" w:rsidRPr="00461390" w:rsidP="00F576BD">
            <w:pPr>
              <w:bidi w:val="0"/>
              <w:rPr>
                <w:rFonts w:ascii="Times New Roman" w:hAnsi="Times New Roman"/>
                <w:sz w:val="14"/>
                <w:szCs w:val="14"/>
                <w:lang w:eastAsia="sk-SK"/>
              </w:rPr>
            </w:pPr>
            <w:r w:rsidRPr="00461390">
              <w:rPr>
                <w:rFonts w:ascii="Times New Roman" w:hAnsi="Times New Roman"/>
                <w:sz w:val="14"/>
                <w:szCs w:val="14"/>
                <w:lang w:eastAsia="sk-SK"/>
              </w:rPr>
              <w:t>Rezerva na krytie dopadu novely zákona č. 120/1993  Z. z. o platových pomeroch ústavných činiteľov</w:t>
            </w:r>
          </w:p>
        </w:tc>
        <w:tc>
          <w:tcPr>
            <w:tcW w:w="99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nil"/>
              <w:left w:val="single" w:sz="4" w:space="0" w:color="auto"/>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Pr>
                <w:rFonts w:ascii="Times New Roman" w:hAnsi="Times New Roman"/>
                <w:sz w:val="14"/>
                <w:szCs w:val="14"/>
                <w:lang w:eastAsia="sk-SK"/>
              </w:rPr>
              <w:t>19 181 108</w:t>
            </w:r>
          </w:p>
        </w:tc>
        <w:tc>
          <w:tcPr>
            <w:tcW w:w="99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Pr>
                <w:rFonts w:ascii="Times New Roman" w:hAnsi="Times New Roman"/>
                <w:sz w:val="14"/>
                <w:szCs w:val="14"/>
                <w:lang w:eastAsia="sk-SK"/>
              </w:rPr>
              <w:t>16 082 498</w:t>
            </w:r>
          </w:p>
        </w:tc>
        <w:tc>
          <w:tcPr>
            <w:tcW w:w="99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1</w:t>
            </w:r>
            <w:r>
              <w:rPr>
                <w:rFonts w:ascii="Times New Roman" w:hAnsi="Times New Roman"/>
                <w:sz w:val="14"/>
                <w:szCs w:val="14"/>
                <w:lang w:eastAsia="sk-SK"/>
              </w:rPr>
              <w:t>6 631 935</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textDirection w:val="lrTb"/>
            <w:vAlign w:val="bottom"/>
          </w:tcPr>
          <w:p w:rsidR="00CF0B79" w:rsidRPr="00461390" w:rsidP="00F576BD">
            <w:pPr>
              <w:bidi w:val="0"/>
              <w:rPr>
                <w:rFonts w:ascii="Times New Roman" w:hAnsi="Times New Roman"/>
                <w:sz w:val="14"/>
                <w:szCs w:val="14"/>
                <w:lang w:eastAsia="sk-SK"/>
              </w:rPr>
            </w:pPr>
            <w:r w:rsidRPr="00461390">
              <w:rPr>
                <w:rFonts w:ascii="Times New Roman" w:hAnsi="Times New Roman"/>
                <w:sz w:val="14"/>
                <w:szCs w:val="14"/>
                <w:lang w:eastAsia="sk-SK"/>
              </w:rPr>
              <w:t>Rezerva na zvýšenie osobných výdavkov pedagogických zamestnancov o 3 % (bez RŠ a VVŠ)</w:t>
            </w:r>
          </w:p>
        </w:tc>
        <w:tc>
          <w:tcPr>
            <w:tcW w:w="99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nil"/>
              <w:left w:val="single" w:sz="4" w:space="0" w:color="auto"/>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 xml:space="preserve">1 449 106 </w:t>
            </w:r>
          </w:p>
        </w:tc>
        <w:tc>
          <w:tcPr>
            <w:tcW w:w="99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1 502 540</w:t>
            </w:r>
          </w:p>
        </w:tc>
        <w:tc>
          <w:tcPr>
            <w:tcW w:w="99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1 510 455</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textDirection w:val="lrTb"/>
            <w:vAlign w:val="bottom"/>
          </w:tcPr>
          <w:p w:rsidR="00CF0B79" w:rsidRPr="00461390" w:rsidP="00F576BD">
            <w:pPr>
              <w:bidi w:val="0"/>
              <w:rPr>
                <w:rFonts w:ascii="Times New Roman" w:hAnsi="Times New Roman"/>
                <w:sz w:val="14"/>
                <w:szCs w:val="14"/>
              </w:rPr>
            </w:pPr>
            <w:r w:rsidRPr="00461390">
              <w:rPr>
                <w:rFonts w:ascii="Times New Roman" w:hAnsi="Times New Roman"/>
                <w:sz w:val="14"/>
                <w:szCs w:val="14"/>
              </w:rPr>
              <w:t>Rezerva na osobné výdavky pre náhradné obsadenie miest uvoľnených vyslaním národného experta do cudziny</w:t>
            </w:r>
          </w:p>
        </w:tc>
        <w:tc>
          <w:tcPr>
            <w:tcW w:w="99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179 637</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nil"/>
              <w:left w:val="single" w:sz="4" w:space="0" w:color="auto"/>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185 027</w:t>
            </w:r>
          </w:p>
        </w:tc>
        <w:tc>
          <w:tcPr>
            <w:tcW w:w="99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186 877</w:t>
            </w:r>
          </w:p>
        </w:tc>
        <w:tc>
          <w:tcPr>
            <w:tcW w:w="99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186 877</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textDirection w:val="lrTb"/>
            <w:vAlign w:val="bottom"/>
          </w:tcPr>
          <w:p w:rsidR="00CF0B79" w:rsidRPr="00461390" w:rsidP="00F576BD">
            <w:pPr>
              <w:bidi w:val="0"/>
              <w:rPr>
                <w:rFonts w:ascii="Times New Roman" w:hAnsi="Times New Roman"/>
                <w:sz w:val="14"/>
                <w:szCs w:val="14"/>
                <w:lang w:eastAsia="sk-SK"/>
              </w:rPr>
            </w:pPr>
            <w:r w:rsidRPr="00461390">
              <w:rPr>
                <w:rFonts w:ascii="Times New Roman" w:hAnsi="Times New Roman"/>
                <w:sz w:val="14"/>
                <w:szCs w:val="14"/>
                <w:lang w:eastAsia="sk-SK"/>
              </w:rPr>
              <w:t xml:space="preserve">Rezerva na zvýšenie odmien členov RVR </w:t>
            </w:r>
          </w:p>
        </w:tc>
        <w:tc>
          <w:tcPr>
            <w:tcW w:w="99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23 129</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23 129</w:t>
            </w:r>
          </w:p>
        </w:tc>
        <w:tc>
          <w:tcPr>
            <w:tcW w:w="992" w:type="dxa"/>
            <w:tcBorders>
              <w:top w:val="nil"/>
              <w:left w:val="single" w:sz="4" w:space="0" w:color="auto"/>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31 196</w:t>
            </w:r>
          </w:p>
        </w:tc>
        <w:tc>
          <w:tcPr>
            <w:tcW w:w="99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13 005</w:t>
            </w:r>
          </w:p>
        </w:tc>
        <w:tc>
          <w:tcPr>
            <w:tcW w:w="99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28 914</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textDirection w:val="lrTb"/>
            <w:vAlign w:val="bottom"/>
          </w:tcPr>
          <w:p w:rsidR="00CF0B79" w:rsidRPr="00461390" w:rsidP="00F576BD">
            <w:pPr>
              <w:bidi w:val="0"/>
              <w:rPr>
                <w:rFonts w:ascii="Times New Roman" w:hAnsi="Times New Roman"/>
                <w:sz w:val="14"/>
                <w:szCs w:val="14"/>
                <w:lang w:eastAsia="sk-SK"/>
              </w:rPr>
            </w:pPr>
            <w:r w:rsidRPr="00461390">
              <w:rPr>
                <w:rFonts w:ascii="Times New Roman" w:hAnsi="Times New Roman"/>
                <w:sz w:val="14"/>
                <w:szCs w:val="14"/>
                <w:lang w:eastAsia="sk-SK"/>
              </w:rPr>
              <w:t>Rezerva na zvýšenie osobných výdavkov  vo výške 1 % a 2 % pre zamestnancov (bez RŠ a VVŠ)</w:t>
            </w:r>
          </w:p>
        </w:tc>
        <w:tc>
          <w:tcPr>
            <w:tcW w:w="99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nil"/>
              <w:left w:val="single" w:sz="4" w:space="0" w:color="auto"/>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19 601 950</w:t>
            </w:r>
          </w:p>
        </w:tc>
        <w:tc>
          <w:tcPr>
            <w:tcW w:w="99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59 526 399</w:t>
            </w:r>
          </w:p>
        </w:tc>
      </w:tr>
    </w:tbl>
    <w:p w:rsidR="00CF0B79" w:rsidRPr="00461390" w:rsidP="00CF0B79">
      <w:pPr>
        <w:bidi w:val="0"/>
        <w:ind w:firstLine="709"/>
        <w:jc w:val="both"/>
        <w:rPr>
          <w:rFonts w:ascii="Times New Roman" w:hAnsi="Times New Roman"/>
        </w:rPr>
      </w:pPr>
      <w:r w:rsidRPr="00461390">
        <w:rPr>
          <w:rFonts w:ascii="Times New Roman" w:hAnsi="Times New Roman"/>
        </w:rPr>
        <w:t>Rezerva na mzdy a poistné sa rozpočtuje na rok 2012 na krytie dopadu novely zákona č. 120/1993 Z. z.  o platoch ústavných činiteľov</w:t>
      </w:r>
      <w:r>
        <w:rPr>
          <w:rFonts w:ascii="Times New Roman" w:hAnsi="Times New Roman"/>
        </w:rPr>
        <w:t>.</w:t>
      </w:r>
      <w:r w:rsidRPr="00C3180F">
        <w:rPr>
          <w:rFonts w:ascii="Times New Roman" w:hAnsi="Times New Roman"/>
        </w:rPr>
        <w:t xml:space="preserve"> </w:t>
      </w:r>
      <w:r w:rsidRPr="00461390">
        <w:rPr>
          <w:rFonts w:ascii="Times New Roman" w:hAnsi="Times New Roman"/>
        </w:rPr>
        <w:t xml:space="preserve">Druhú časť rezervy na mzdy a poistné tvorí rezerva na zvýšenie osobných výdavkov pedagogických zamestnancov (bez osobných výdavkov pre zamestnancov regionálneho školstva a verejného vysokého školstva). </w:t>
      </w:r>
      <w:r>
        <w:rPr>
          <w:rFonts w:ascii="Times New Roman" w:hAnsi="Times New Roman"/>
        </w:rPr>
        <w:t>Zároveň sa tu rozpočtujú aj</w:t>
      </w:r>
      <w:r w:rsidRPr="00461390">
        <w:rPr>
          <w:rFonts w:ascii="Times New Roman" w:hAnsi="Times New Roman"/>
        </w:rPr>
        <w:t xml:space="preserve"> osobné výdavky pre náhradné obsadenie miest za vyslaných národných expertov podľa uznesenia vlády č. 723/2004 k návrhu postupu vysielania národných expertov Slovenskej republiky do inštitúcií Európskej únie. V rozpočtovaných sumách na roky 2013 a 2014 sú zahrnuté aj prostriedky na zvýšenie osobných výdavkov zamestnancov o 1 %  v roku 2013 oproti roku 2012 a v roku 2014 o ďalšie 2 % oproti roku 2013 (s výnimkou osobných výdavkov pre zamestnancov regionálneho školstva a verejného vysokého školstva).  </w:t>
      </w:r>
    </w:p>
    <w:p w:rsidR="00CF0B79" w:rsidRPr="00461390" w:rsidP="00CF0B79">
      <w:pPr>
        <w:bidi w:val="0"/>
        <w:ind w:firstLine="709"/>
        <w:jc w:val="both"/>
        <w:rPr>
          <w:rFonts w:ascii="Times New Roman" w:hAnsi="Times New Roman"/>
        </w:rPr>
      </w:pPr>
    </w:p>
    <w:p w:rsidR="00CF0B79" w:rsidRPr="00461390" w:rsidP="00CF0B79">
      <w:pPr>
        <w:bidi w:val="0"/>
        <w:ind w:firstLine="709"/>
        <w:jc w:val="both"/>
        <w:rPr>
          <w:rFonts w:ascii="Times New Roman" w:hAnsi="Times New Roman"/>
        </w:rPr>
      </w:pPr>
      <w:r w:rsidRPr="00461390">
        <w:rPr>
          <w:rFonts w:ascii="Times New Roman" w:hAnsi="Times New Roman"/>
        </w:rPr>
        <w:t xml:space="preserve">V nadväznosti na rozhodnutie vlády (uznesenie vlády č. 171/2011) sa vytvára v kapitole rezerva na výdavky spojené s nepoistením majetku štátu. </w:t>
      </w:r>
    </w:p>
    <w:p w:rsidR="00CF0B79" w:rsidRPr="00461390" w:rsidP="00CF0B79">
      <w:pPr>
        <w:bidi w:val="0"/>
        <w:ind w:firstLine="709"/>
        <w:jc w:val="both"/>
        <w:rPr>
          <w:rFonts w:ascii="Times New Roman" w:hAnsi="Times New Roman"/>
        </w:rPr>
      </w:pPr>
    </w:p>
    <w:p w:rsidR="00CF0B79" w:rsidRPr="00461390" w:rsidP="00CF0B79">
      <w:pPr>
        <w:bidi w:val="0"/>
        <w:ind w:firstLine="709"/>
        <w:jc w:val="both"/>
        <w:rPr>
          <w:rFonts w:ascii="Times New Roman" w:hAnsi="Times New Roman"/>
        </w:rPr>
      </w:pPr>
      <w:r w:rsidRPr="00461390">
        <w:rPr>
          <w:rFonts w:ascii="Times New Roman" w:hAnsi="Times New Roman"/>
        </w:rPr>
        <w:t xml:space="preserve"> Z dôvodu nedoriešeného financovania sociálnych služieb sa vytvára rezerva na financovanie sociálnych služieb. </w:t>
      </w:r>
    </w:p>
    <w:p w:rsidR="00CF0B79" w:rsidRPr="00461390" w:rsidP="00CF0B79">
      <w:pPr>
        <w:bidi w:val="0"/>
        <w:ind w:firstLine="709"/>
        <w:jc w:val="both"/>
        <w:rPr>
          <w:rFonts w:ascii="Times New Roman" w:hAnsi="Times New Roman"/>
        </w:rPr>
      </w:pPr>
    </w:p>
    <w:p w:rsidR="00CF0B79" w:rsidRPr="00461390" w:rsidP="00CF0B79">
      <w:pPr>
        <w:bidi w:val="0"/>
        <w:ind w:firstLine="709"/>
        <w:jc w:val="both"/>
        <w:rPr>
          <w:rFonts w:ascii="Times New Roman" w:hAnsi="Times New Roman"/>
        </w:rPr>
      </w:pPr>
      <w:r w:rsidRPr="00461390">
        <w:rPr>
          <w:rFonts w:ascii="Times New Roman" w:hAnsi="Times New Roman"/>
        </w:rPr>
        <w:t>Na plnenie nových úloh v oblasti výkonu štátneho dozoru najmä v súvislosti s procesom dokončovania stavby jadrovej elektrárne Mochovce 3 a 4 a vzhľadom na potrebu zvýšenia</w:t>
      </w:r>
      <w:r>
        <w:rPr>
          <w:rFonts w:ascii="Times New Roman" w:hAnsi="Times New Roman"/>
        </w:rPr>
        <w:t xml:space="preserve"> kontroly</w:t>
      </w:r>
      <w:r w:rsidRPr="00461390">
        <w:rPr>
          <w:rFonts w:ascii="Times New Roman" w:hAnsi="Times New Roman"/>
        </w:rPr>
        <w:t xml:space="preserve"> jadrovej bezpečnosti po udalostiach v jadrovej elektrárni Fukušima sa rozpočtuje rezerva na nové úlohy v oblasti jadrovej bezpečnosti.</w:t>
      </w:r>
    </w:p>
    <w:p w:rsidR="00CF0B79" w:rsidRPr="00461390" w:rsidP="00CF0B79">
      <w:pPr>
        <w:bidi w:val="0"/>
        <w:ind w:firstLine="709"/>
        <w:jc w:val="both"/>
        <w:rPr>
          <w:rFonts w:ascii="Times New Roman" w:hAnsi="Times New Roman"/>
        </w:rPr>
      </w:pPr>
    </w:p>
    <w:p w:rsidR="00CF0B79" w:rsidP="00CF0B79">
      <w:pPr>
        <w:bidi w:val="0"/>
        <w:ind w:firstLine="709"/>
        <w:jc w:val="both"/>
        <w:rPr>
          <w:rFonts w:ascii="Times New Roman" w:hAnsi="Times New Roman"/>
        </w:rPr>
      </w:pPr>
      <w:r w:rsidRPr="00461390">
        <w:rPr>
          <w:rFonts w:ascii="Times New Roman" w:hAnsi="Times New Roman"/>
        </w:rPr>
        <w:t>Na základe rotácie predsedníctiev v Rade Európskej únie  bude v druhom polroku 2016 Slovenská republika predsedať Rade Európskej únie. V nadväznosti na túto skutočnosť sa v rokoch 2013 a 2014 vytvára  rezerva na prípravu predsedníctva Slovenskej republiky v Rade EÚ.</w:t>
      </w:r>
    </w:p>
    <w:p w:rsidR="00CF0B79" w:rsidRPr="00461390" w:rsidP="00CF0B79">
      <w:pPr>
        <w:bidi w:val="0"/>
        <w:ind w:firstLine="709"/>
        <w:jc w:val="both"/>
        <w:rPr>
          <w:rFonts w:ascii="Times New Roman" w:hAnsi="Times New Roman"/>
        </w:rPr>
      </w:pPr>
    </w:p>
    <w:p w:rsidR="00CF0B79" w:rsidRPr="00461390" w:rsidP="00CF0B79">
      <w:pPr>
        <w:bidi w:val="0"/>
        <w:jc w:val="both"/>
        <w:rPr>
          <w:rFonts w:ascii="Times New Roman" w:hAnsi="Times New Roman"/>
          <w:iCs/>
        </w:rPr>
      </w:pPr>
      <w:r w:rsidRPr="00461390">
        <w:rPr>
          <w:rFonts w:ascii="Times New Roman" w:hAnsi="Times New Roman"/>
          <w:b/>
          <w:bCs/>
          <w:iCs/>
        </w:rPr>
        <w:t>Finančné vzťahy súvisiace s rozpočtom EÚ</w:t>
      </w:r>
    </w:p>
    <w:p w:rsidR="00CF0B79" w:rsidRPr="00461390" w:rsidP="00CF0B79">
      <w:pPr>
        <w:bidi w:val="0"/>
        <w:jc w:val="both"/>
        <w:rPr>
          <w:rFonts w:ascii="Times New Roman" w:hAnsi="Times New Roman"/>
        </w:rPr>
      </w:pPr>
    </w:p>
    <w:tbl>
      <w:tblPr>
        <w:tblStyle w:val="TableNormal"/>
        <w:tblW w:w="9087" w:type="dxa"/>
        <w:tblInd w:w="55" w:type="dxa"/>
        <w:tblLayout w:type="fixed"/>
        <w:tblCellMar>
          <w:left w:w="70" w:type="dxa"/>
          <w:right w:w="70" w:type="dxa"/>
        </w:tblCellMar>
        <w:tblLook w:val="04A0"/>
      </w:tblPr>
      <w:tblGrid>
        <w:gridCol w:w="2142"/>
        <w:gridCol w:w="992"/>
        <w:gridCol w:w="992"/>
        <w:gridCol w:w="992"/>
        <w:gridCol w:w="992"/>
        <w:gridCol w:w="992"/>
        <w:gridCol w:w="992"/>
        <w:gridCol w:w="993"/>
      </w:tblGrid>
      <w:tr>
        <w:tblPrEx>
          <w:tblW w:w="9087" w:type="dxa"/>
          <w:tblInd w:w="55" w:type="dxa"/>
          <w:tblLayout w:type="fixed"/>
          <w:tblCellMar>
            <w:left w:w="70" w:type="dxa"/>
            <w:right w:w="70" w:type="dxa"/>
          </w:tblCellMar>
          <w:tblLook w:val="04A0"/>
        </w:tblPrEx>
        <w:trPr>
          <w:trHeight w:val="270"/>
        </w:trPr>
        <w:tc>
          <w:tcPr>
            <w:tcW w:w="214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461390" w:rsidP="00F576BD">
            <w:pPr>
              <w:bidi w:val="0"/>
              <w:rPr>
                <w:rFonts w:ascii="Times New Roman" w:hAnsi="Times New Roman"/>
                <w:b/>
                <w:bCs/>
                <w:sz w:val="14"/>
                <w:szCs w:val="14"/>
                <w:lang w:eastAsia="sk-SK"/>
              </w:rPr>
            </w:pPr>
            <w:r w:rsidRPr="00461390">
              <w:rPr>
                <w:rFonts w:ascii="Times New Roman" w:hAnsi="Times New Roman"/>
                <w:b/>
                <w:bCs/>
                <w:sz w:val="14"/>
                <w:szCs w:val="14"/>
                <w:lang w:eastAsia="sk-SK"/>
              </w:rPr>
              <w:t>v eurách</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2009 S</w:t>
            </w:r>
          </w:p>
        </w:tc>
        <w:tc>
          <w:tcPr>
            <w:tcW w:w="992" w:type="dxa"/>
            <w:tcBorders>
              <w:top w:val="single" w:sz="4" w:space="0" w:color="auto"/>
              <w:left w:val="nil"/>
              <w:bottom w:val="single" w:sz="4" w:space="0" w:color="auto"/>
              <w:right w:val="single" w:sz="4" w:space="0" w:color="auto"/>
            </w:tcBorders>
            <w:noWrap/>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2010 S</w:t>
            </w:r>
          </w:p>
        </w:tc>
        <w:tc>
          <w:tcPr>
            <w:tcW w:w="992" w:type="dxa"/>
            <w:tcBorders>
              <w:top w:val="single" w:sz="4" w:space="0" w:color="auto"/>
              <w:left w:val="nil"/>
              <w:bottom w:val="single" w:sz="4" w:space="0" w:color="auto"/>
              <w:right w:val="single" w:sz="4" w:space="0" w:color="auto"/>
            </w:tcBorders>
            <w:noWrap/>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2011 R</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2011 OS</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2012 N</w:t>
            </w:r>
          </w:p>
        </w:tc>
        <w:tc>
          <w:tcPr>
            <w:tcW w:w="992" w:type="dxa"/>
            <w:tcBorders>
              <w:top w:val="single" w:sz="4" w:space="0" w:color="auto"/>
              <w:left w:val="nil"/>
              <w:bottom w:val="single" w:sz="4" w:space="0" w:color="auto"/>
              <w:right w:val="single" w:sz="4" w:space="0" w:color="auto"/>
            </w:tcBorders>
            <w:noWrap/>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2013 N</w:t>
            </w:r>
          </w:p>
        </w:tc>
        <w:tc>
          <w:tcPr>
            <w:tcW w:w="993" w:type="dxa"/>
            <w:tcBorders>
              <w:top w:val="single" w:sz="4" w:space="0" w:color="auto"/>
              <w:left w:val="nil"/>
              <w:bottom w:val="single" w:sz="4" w:space="0" w:color="auto"/>
              <w:right w:val="single" w:sz="4" w:space="0" w:color="auto"/>
            </w:tcBorders>
            <w:noWrap/>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2014 N</w:t>
            </w:r>
          </w:p>
        </w:tc>
      </w:tr>
      <w:tr>
        <w:tblPrEx>
          <w:tblW w:w="9087" w:type="dxa"/>
          <w:tblInd w:w="55" w:type="dxa"/>
          <w:tblLayout w:type="fixed"/>
          <w:tblCellMar>
            <w:left w:w="70" w:type="dxa"/>
            <w:right w:w="70" w:type="dxa"/>
          </w:tblCellMar>
          <w:tblLook w:val="04A0"/>
        </w:tblPrEx>
        <w:trPr>
          <w:trHeight w:val="316"/>
        </w:trPr>
        <w:tc>
          <w:tcPr>
            <w:tcW w:w="2142" w:type="dxa"/>
            <w:tcBorders>
              <w:top w:val="nil"/>
              <w:left w:val="single" w:sz="4" w:space="0" w:color="auto"/>
              <w:bottom w:val="single" w:sz="4" w:space="0" w:color="auto"/>
              <w:right w:val="single" w:sz="4" w:space="0" w:color="auto"/>
            </w:tcBorders>
            <w:textDirection w:val="lrTb"/>
            <w:vAlign w:val="center"/>
          </w:tcPr>
          <w:p w:rsidR="00CF0B79" w:rsidRPr="00461390" w:rsidP="00F576BD">
            <w:pPr>
              <w:bidi w:val="0"/>
              <w:rPr>
                <w:rFonts w:ascii="Times New Roman" w:hAnsi="Times New Roman"/>
                <w:b/>
                <w:bCs/>
                <w:sz w:val="14"/>
                <w:szCs w:val="14"/>
                <w:lang w:eastAsia="sk-SK"/>
              </w:rPr>
            </w:pPr>
            <w:r w:rsidRPr="00461390">
              <w:rPr>
                <w:rFonts w:ascii="Times New Roman" w:hAnsi="Times New Roman"/>
                <w:b/>
                <w:bCs/>
                <w:sz w:val="14"/>
                <w:szCs w:val="14"/>
                <w:lang w:eastAsia="sk-SK"/>
              </w:rPr>
              <w:t>Finančné vzťahy súvisiace s rozpočtom EÚ</w:t>
            </w:r>
          </w:p>
        </w:tc>
        <w:tc>
          <w:tcPr>
            <w:tcW w:w="99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b/>
                <w:bCs/>
                <w:sz w:val="14"/>
                <w:szCs w:val="14"/>
                <w:lang w:eastAsia="sk-SK"/>
              </w:rPr>
            </w:pPr>
            <w:r w:rsidRPr="00461390">
              <w:rPr>
                <w:rFonts w:ascii="Times New Roman" w:hAnsi="Times New Roman"/>
                <w:b/>
                <w:bCs/>
                <w:sz w:val="14"/>
                <w:szCs w:val="14"/>
                <w:lang w:eastAsia="sk-SK"/>
              </w:rPr>
              <w:t>629 747 721</w:t>
            </w:r>
          </w:p>
        </w:tc>
        <w:tc>
          <w:tcPr>
            <w:tcW w:w="99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b/>
                <w:bCs/>
                <w:sz w:val="14"/>
                <w:szCs w:val="14"/>
                <w:lang w:eastAsia="sk-SK"/>
              </w:rPr>
            </w:pPr>
            <w:r w:rsidRPr="00461390">
              <w:rPr>
                <w:rFonts w:ascii="Times New Roman" w:hAnsi="Times New Roman"/>
                <w:b/>
                <w:bCs/>
                <w:sz w:val="14"/>
                <w:szCs w:val="14"/>
                <w:lang w:eastAsia="sk-SK"/>
              </w:rPr>
              <w:t>574 565 740</w:t>
            </w:r>
          </w:p>
        </w:tc>
        <w:tc>
          <w:tcPr>
            <w:tcW w:w="99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b/>
                <w:bCs/>
                <w:sz w:val="14"/>
                <w:szCs w:val="14"/>
                <w:lang w:eastAsia="sk-SK"/>
              </w:rPr>
            </w:pPr>
            <w:r w:rsidRPr="00461390">
              <w:rPr>
                <w:rFonts w:ascii="Times New Roman" w:hAnsi="Times New Roman"/>
                <w:b/>
                <w:bCs/>
                <w:sz w:val="14"/>
                <w:szCs w:val="14"/>
                <w:lang w:eastAsia="sk-SK"/>
              </w:rPr>
              <w:t>686 732 264</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b/>
                <w:bCs/>
                <w:sz w:val="14"/>
                <w:szCs w:val="14"/>
                <w:lang w:eastAsia="sk-SK"/>
              </w:rPr>
            </w:pPr>
            <w:r w:rsidRPr="00461390">
              <w:rPr>
                <w:rFonts w:ascii="Times New Roman" w:hAnsi="Times New Roman"/>
                <w:b/>
                <w:bCs/>
                <w:sz w:val="14"/>
                <w:szCs w:val="14"/>
                <w:lang w:eastAsia="sk-SK"/>
              </w:rPr>
              <w:t>646 813 531</w:t>
            </w:r>
          </w:p>
        </w:tc>
        <w:tc>
          <w:tcPr>
            <w:tcW w:w="992" w:type="dxa"/>
            <w:tcBorders>
              <w:top w:val="nil"/>
              <w:left w:val="single" w:sz="4" w:space="0" w:color="auto"/>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b/>
                <w:bCs/>
                <w:sz w:val="14"/>
                <w:szCs w:val="14"/>
                <w:lang w:eastAsia="sk-SK"/>
              </w:rPr>
            </w:pPr>
            <w:r w:rsidRPr="00461390">
              <w:rPr>
                <w:rFonts w:ascii="Times New Roman" w:hAnsi="Times New Roman"/>
                <w:b/>
                <w:bCs/>
                <w:sz w:val="14"/>
                <w:szCs w:val="14"/>
                <w:lang w:eastAsia="sk-SK"/>
              </w:rPr>
              <w:t>720 771 260</w:t>
            </w:r>
          </w:p>
        </w:tc>
        <w:tc>
          <w:tcPr>
            <w:tcW w:w="99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b/>
                <w:bCs/>
                <w:sz w:val="14"/>
                <w:szCs w:val="14"/>
                <w:lang w:eastAsia="sk-SK"/>
              </w:rPr>
            </w:pPr>
            <w:r>
              <w:rPr>
                <w:rFonts w:ascii="Times New Roman" w:hAnsi="Times New Roman"/>
                <w:b/>
                <w:bCs/>
                <w:sz w:val="14"/>
                <w:szCs w:val="14"/>
                <w:lang w:eastAsia="sk-SK"/>
              </w:rPr>
              <w:t>754 803 215</w:t>
            </w:r>
          </w:p>
        </w:tc>
        <w:tc>
          <w:tcPr>
            <w:tcW w:w="99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b/>
                <w:bCs/>
                <w:sz w:val="14"/>
                <w:szCs w:val="14"/>
                <w:lang w:eastAsia="sk-SK"/>
              </w:rPr>
            </w:pPr>
            <w:r w:rsidRPr="00461390">
              <w:rPr>
                <w:rFonts w:ascii="Times New Roman" w:hAnsi="Times New Roman"/>
                <w:b/>
                <w:bCs/>
                <w:sz w:val="14"/>
                <w:szCs w:val="14"/>
                <w:lang w:eastAsia="sk-SK"/>
              </w:rPr>
              <w:t>1 058 330 975</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textDirection w:val="lrTb"/>
            <w:vAlign w:val="bottom"/>
          </w:tcPr>
          <w:p w:rsidR="00CF0B79" w:rsidRPr="00461390" w:rsidP="00F576BD">
            <w:pPr>
              <w:bidi w:val="0"/>
              <w:rPr>
                <w:rFonts w:ascii="Times New Roman" w:hAnsi="Times New Roman"/>
                <w:sz w:val="14"/>
                <w:szCs w:val="14"/>
                <w:lang w:eastAsia="sk-SK"/>
              </w:rPr>
            </w:pPr>
            <w:r w:rsidRPr="00461390">
              <w:rPr>
                <w:rFonts w:ascii="Times New Roman" w:hAnsi="Times New Roman"/>
                <w:sz w:val="14"/>
                <w:szCs w:val="14"/>
                <w:lang w:eastAsia="sk-SK"/>
              </w:rPr>
              <w:t xml:space="preserve">Výdavky na financovanie finančných mechanizmov </w:t>
            </w:r>
          </w:p>
        </w:tc>
        <w:tc>
          <w:tcPr>
            <w:tcW w:w="99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12 982 738</w:t>
            </w:r>
          </w:p>
        </w:tc>
        <w:tc>
          <w:tcPr>
            <w:tcW w:w="99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6 633 307</w:t>
            </w:r>
          </w:p>
        </w:tc>
        <w:tc>
          <w:tcPr>
            <w:tcW w:w="99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13 079 200</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13 079 200</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4 414 141</w:t>
            </w:r>
          </w:p>
        </w:tc>
        <w:tc>
          <w:tcPr>
            <w:tcW w:w="992" w:type="dxa"/>
            <w:tcBorders>
              <w:top w:val="single" w:sz="4" w:space="0" w:color="auto"/>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3 793 135</w:t>
            </w:r>
          </w:p>
        </w:tc>
        <w:tc>
          <w:tcPr>
            <w:tcW w:w="993" w:type="dxa"/>
            <w:tcBorders>
              <w:top w:val="single" w:sz="4" w:space="0" w:color="auto"/>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3 599 808</w:t>
            </w:r>
          </w:p>
        </w:tc>
      </w:tr>
      <w:tr>
        <w:tblPrEx>
          <w:tblW w:w="9087" w:type="dxa"/>
          <w:tblInd w:w="55" w:type="dxa"/>
          <w:tblLayout w:type="fixed"/>
          <w:tblCellMar>
            <w:left w:w="70" w:type="dxa"/>
            <w:right w:w="70" w:type="dxa"/>
          </w:tblCellMar>
          <w:tblLook w:val="04A0"/>
        </w:tblPrEx>
        <w:trPr>
          <w:trHeight w:val="390"/>
        </w:trPr>
        <w:tc>
          <w:tcPr>
            <w:tcW w:w="2142" w:type="dxa"/>
            <w:tcBorders>
              <w:top w:val="nil"/>
              <w:left w:val="single" w:sz="4" w:space="0" w:color="auto"/>
              <w:bottom w:val="single" w:sz="4" w:space="0" w:color="auto"/>
              <w:right w:val="single" w:sz="4" w:space="0" w:color="auto"/>
            </w:tcBorders>
            <w:textDirection w:val="lrTb"/>
            <w:vAlign w:val="center"/>
          </w:tcPr>
          <w:p w:rsidR="00CF0B79" w:rsidRPr="00461390" w:rsidP="00F576BD">
            <w:pPr>
              <w:bidi w:val="0"/>
              <w:rPr>
                <w:rFonts w:ascii="Times New Roman" w:hAnsi="Times New Roman"/>
                <w:sz w:val="14"/>
                <w:szCs w:val="14"/>
                <w:lang w:eastAsia="sk-SK"/>
              </w:rPr>
            </w:pPr>
            <w:r w:rsidRPr="00461390">
              <w:rPr>
                <w:rFonts w:ascii="Times New Roman" w:hAnsi="Times New Roman"/>
                <w:sz w:val="14"/>
                <w:szCs w:val="14"/>
                <w:lang w:eastAsia="sk-SK"/>
              </w:rPr>
              <w:t>Odvody do všeobecného rozpočtu EÚ,  príspevky SR do  EÚ fondov*</w:t>
            </w:r>
          </w:p>
        </w:tc>
        <w:tc>
          <w:tcPr>
            <w:tcW w:w="99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550 063 892</w:t>
            </w:r>
          </w:p>
        </w:tc>
        <w:tc>
          <w:tcPr>
            <w:tcW w:w="99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520 270 273</w:t>
            </w:r>
          </w:p>
        </w:tc>
        <w:tc>
          <w:tcPr>
            <w:tcW w:w="99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 xml:space="preserve">656 539 662 </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631 639 662</w:t>
            </w:r>
          </w:p>
        </w:tc>
        <w:tc>
          <w:tcPr>
            <w:tcW w:w="992" w:type="dxa"/>
            <w:tcBorders>
              <w:top w:val="nil"/>
              <w:left w:val="single" w:sz="4" w:space="0" w:color="auto"/>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672 856 519</w:t>
            </w:r>
          </w:p>
        </w:tc>
        <w:tc>
          <w:tcPr>
            <w:tcW w:w="99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Pr>
                <w:rFonts w:ascii="Times New Roman" w:hAnsi="Times New Roman"/>
                <w:sz w:val="14"/>
                <w:szCs w:val="14"/>
                <w:lang w:eastAsia="sk-SK"/>
              </w:rPr>
              <w:t>747 509 480</w:t>
            </w:r>
          </w:p>
        </w:tc>
        <w:tc>
          <w:tcPr>
            <w:tcW w:w="99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705 870 567</w:t>
            </w:r>
          </w:p>
        </w:tc>
      </w:tr>
      <w:tr>
        <w:tblPrEx>
          <w:tblW w:w="9087" w:type="dxa"/>
          <w:tblInd w:w="55" w:type="dxa"/>
          <w:tblLayout w:type="fixed"/>
          <w:tblCellMar>
            <w:left w:w="70" w:type="dxa"/>
            <w:right w:w="70" w:type="dxa"/>
          </w:tblCellMar>
          <w:tblLook w:val="04A0"/>
        </w:tblPrEx>
        <w:trPr>
          <w:trHeight w:val="390"/>
        </w:trPr>
        <w:tc>
          <w:tcPr>
            <w:tcW w:w="2142" w:type="dxa"/>
            <w:tcBorders>
              <w:top w:val="nil"/>
              <w:left w:val="single" w:sz="4" w:space="0" w:color="auto"/>
              <w:bottom w:val="single" w:sz="4" w:space="0" w:color="auto"/>
              <w:right w:val="single" w:sz="4" w:space="0" w:color="auto"/>
            </w:tcBorders>
            <w:textDirection w:val="lrTb"/>
            <w:vAlign w:val="center"/>
          </w:tcPr>
          <w:p w:rsidR="00CF0B79" w:rsidRPr="00461390" w:rsidP="00F576BD">
            <w:pPr>
              <w:bidi w:val="0"/>
              <w:rPr>
                <w:rFonts w:ascii="Times New Roman" w:hAnsi="Times New Roman"/>
                <w:sz w:val="14"/>
                <w:szCs w:val="14"/>
                <w:lang w:eastAsia="sk-SK"/>
              </w:rPr>
            </w:pPr>
            <w:r w:rsidRPr="00461390">
              <w:rPr>
                <w:rFonts w:ascii="Times New Roman" w:hAnsi="Times New Roman"/>
                <w:sz w:val="14"/>
                <w:szCs w:val="14"/>
                <w:lang w:eastAsia="sk-SK"/>
              </w:rPr>
              <w:t>Rezerva na prostriedky Európskej únie a odvody Európskej únii</w:t>
            </w:r>
          </w:p>
        </w:tc>
        <w:tc>
          <w:tcPr>
            <w:tcW w:w="99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 xml:space="preserve">62 052 211 </w:t>
            </w:r>
          </w:p>
        </w:tc>
        <w:tc>
          <w:tcPr>
            <w:tcW w:w="99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17 112 168</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2 093 435</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43 500 600</w:t>
            </w:r>
          </w:p>
        </w:tc>
        <w:tc>
          <w:tcPr>
            <w:tcW w:w="992" w:type="dxa"/>
            <w:tcBorders>
              <w:top w:val="single" w:sz="4" w:space="0" w:color="auto"/>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3 500 600</w:t>
            </w:r>
          </w:p>
        </w:tc>
        <w:tc>
          <w:tcPr>
            <w:tcW w:w="99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3 500 600</w:t>
            </w:r>
          </w:p>
        </w:tc>
      </w:tr>
      <w:tr>
        <w:tblPrEx>
          <w:tblW w:w="9087" w:type="dxa"/>
          <w:tblInd w:w="55" w:type="dxa"/>
          <w:tblLayout w:type="fixed"/>
          <w:tblCellMar>
            <w:left w:w="70" w:type="dxa"/>
            <w:right w:w="70" w:type="dxa"/>
          </w:tblCellMar>
          <w:tblLook w:val="04A0"/>
        </w:tblPrEx>
        <w:trPr>
          <w:trHeight w:val="390"/>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CF0B79" w:rsidRPr="00461390" w:rsidP="00F576BD">
            <w:pPr>
              <w:bidi w:val="0"/>
              <w:rPr>
                <w:rFonts w:ascii="Times New Roman" w:hAnsi="Times New Roman"/>
                <w:sz w:val="14"/>
                <w:szCs w:val="14"/>
                <w:lang w:eastAsia="sk-SK"/>
              </w:rPr>
            </w:pPr>
            <w:r w:rsidRPr="00461390">
              <w:rPr>
                <w:rFonts w:ascii="Times New Roman" w:hAnsi="Times New Roman"/>
                <w:sz w:val="14"/>
                <w:szCs w:val="14"/>
                <w:lang w:eastAsia="sk-SK"/>
              </w:rPr>
              <w:t>Výdavky na financovanie spoločných programov a finančnej obálky</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highlight w:val="yellow"/>
                <w:lang w:eastAsia="sk-SK"/>
              </w:rPr>
            </w:pPr>
            <w:r w:rsidRPr="00461390">
              <w:rPr>
                <w:rFonts w:ascii="Times New Roman" w:hAnsi="Times New Roman"/>
                <w:sz w:val="14"/>
                <w:szCs w:val="14"/>
                <w:lang w:eastAsia="sk-SK"/>
              </w:rPr>
              <w:t>4 648 880</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47 662 160</w:t>
            </w:r>
          </w:p>
        </w:tc>
        <w:tc>
          <w:tcPr>
            <w:tcW w:w="992" w:type="dxa"/>
            <w:tcBorders>
              <w:top w:val="single" w:sz="4" w:space="0" w:color="auto"/>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1 234</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1 234</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sz w:val="14"/>
                <w:szCs w:val="14"/>
                <w:lang w:eastAsia="sk-SK"/>
              </w:rPr>
            </w:pPr>
            <w:r w:rsidRPr="00461390">
              <w:rPr>
                <w:rFonts w:ascii="Times New Roman" w:hAnsi="Times New Roman"/>
                <w:sz w:val="14"/>
                <w:szCs w:val="14"/>
                <w:lang w:eastAsia="sk-SK"/>
              </w:rPr>
              <w:t>345 360 000</w:t>
            </w:r>
          </w:p>
        </w:tc>
      </w:tr>
    </w:tbl>
    <w:p w:rsidR="00CF0B79" w:rsidRPr="00461390" w:rsidP="00CF0B79">
      <w:pPr>
        <w:bidi w:val="0"/>
        <w:jc w:val="both"/>
        <w:rPr>
          <w:rFonts w:ascii="Times New Roman" w:hAnsi="Times New Roman"/>
          <w:sz w:val="14"/>
          <w:szCs w:val="14"/>
        </w:rPr>
      </w:pPr>
      <w:r w:rsidRPr="00461390">
        <w:rPr>
          <w:rFonts w:ascii="Times New Roman" w:hAnsi="Times New Roman"/>
          <w:sz w:val="14"/>
          <w:szCs w:val="14"/>
        </w:rPr>
        <w:t xml:space="preserve">*Odvody do všeobecného rozpočtu EÚ boli hradené aj z rezervy na prostriedky EÚ a odvody EÚ. Celková výška odvodov v roku 2009 dosiahla 612 </w:t>
      </w:r>
      <w:r>
        <w:rPr>
          <w:rFonts w:ascii="Times New Roman" w:hAnsi="Times New Roman"/>
          <w:sz w:val="14"/>
          <w:szCs w:val="14"/>
        </w:rPr>
        <w:t>mil</w:t>
      </w:r>
      <w:r w:rsidRPr="00461390">
        <w:rPr>
          <w:rFonts w:ascii="Times New Roman" w:hAnsi="Times New Roman"/>
          <w:sz w:val="14"/>
          <w:szCs w:val="14"/>
        </w:rPr>
        <w:t>. eur.</w:t>
      </w:r>
    </w:p>
    <w:p w:rsidR="00CF0B79" w:rsidRPr="00461390" w:rsidP="00CF0B79">
      <w:pPr>
        <w:bidi w:val="0"/>
        <w:jc w:val="both"/>
        <w:rPr>
          <w:rFonts w:ascii="Times New Roman" w:hAnsi="Times New Roman"/>
        </w:rPr>
      </w:pPr>
    </w:p>
    <w:p w:rsidR="00CF0B79" w:rsidRPr="00461390" w:rsidP="00CF0B79">
      <w:pPr>
        <w:bidi w:val="0"/>
        <w:ind w:firstLine="709"/>
        <w:jc w:val="both"/>
        <w:rPr>
          <w:rFonts w:ascii="Times New Roman" w:hAnsi="Times New Roman"/>
        </w:rPr>
      </w:pPr>
      <w:r w:rsidRPr="00461390">
        <w:rPr>
          <w:rFonts w:ascii="Times New Roman" w:hAnsi="Times New Roman"/>
        </w:rPr>
        <w:t xml:space="preserve">Výdavky na roky 2012 až 2014 zaradené v tejto skupine predstavujú zdroje určené na financovanie finančného mechanizmu EHP, Nórskeho finančného mechanizmu a Švajčiarskeho finančného mechanizmu.  Výdavky na spolufinancovanie týchto nástrojov sa rozpočtujú na rok 2012 v sume 3,24 mil. eur.  </w:t>
      </w:r>
    </w:p>
    <w:p w:rsidR="00CF0B79" w:rsidRPr="00461390" w:rsidP="00CF0B79">
      <w:pPr>
        <w:bidi w:val="0"/>
        <w:ind w:firstLine="709"/>
        <w:jc w:val="both"/>
        <w:rPr>
          <w:rFonts w:ascii="Times New Roman" w:hAnsi="Times New Roman"/>
        </w:rPr>
      </w:pPr>
    </w:p>
    <w:p w:rsidR="00CF0B79" w:rsidRPr="00461390" w:rsidP="00CF0B79">
      <w:pPr>
        <w:pStyle w:val="Title"/>
        <w:bidi w:val="0"/>
        <w:ind w:firstLine="709"/>
        <w:jc w:val="both"/>
        <w:rPr>
          <w:rFonts w:ascii="Times New Roman" w:hAnsi="Times New Roman"/>
          <w:b w:val="0"/>
        </w:rPr>
      </w:pPr>
      <w:r w:rsidRPr="00461390">
        <w:rPr>
          <w:rFonts w:ascii="Times New Roman" w:hAnsi="Times New Roman"/>
          <w:b w:val="0"/>
        </w:rPr>
        <w:t>Rozpočtované sú tu aj prostriedky, ktoré bude SR odvádzať do všeobecného rozpočtu Európskej únie a  príspevky SR do Európskeho rozvojového fondu.</w:t>
      </w:r>
    </w:p>
    <w:p w:rsidR="00CF0B79" w:rsidRPr="00461390" w:rsidP="00CF0B79">
      <w:pPr>
        <w:pStyle w:val="Title"/>
        <w:bidi w:val="0"/>
        <w:ind w:firstLine="709"/>
        <w:jc w:val="both"/>
        <w:rPr>
          <w:rFonts w:ascii="Times New Roman" w:hAnsi="Times New Roman"/>
          <w:b w:val="0"/>
        </w:rPr>
      </w:pPr>
    </w:p>
    <w:p w:rsidR="00CF0B79" w:rsidRPr="00461390" w:rsidP="00CF0B79">
      <w:pPr>
        <w:pStyle w:val="Title"/>
        <w:bidi w:val="0"/>
        <w:ind w:firstLine="709"/>
        <w:jc w:val="both"/>
        <w:rPr>
          <w:rFonts w:ascii="Times New Roman" w:hAnsi="Times New Roman"/>
          <w:b w:val="0"/>
        </w:rPr>
      </w:pPr>
      <w:r w:rsidRPr="00461390">
        <w:rPr>
          <w:rFonts w:ascii="Times New Roman" w:hAnsi="Times New Roman"/>
          <w:b w:val="0"/>
          <w:bCs w:val="0"/>
        </w:rPr>
        <w:t>V tomto okruhu výdavkov je zahrnutá aj rezerva na prostriedky Európskej únie a odvody Európskej únii. Využíva sa na administrovanie prostriedkov štrukturálnych fondov, Kohézneho fondu, príjmov z poľnohospodárskych fondov, odvodov Európskej únii, na prípadné korekcie za poskytnuté prostriedky EÚ, na rýchlejšiu realizáciu a väčší počet projektov,  na výdavky na zefektívnenie systému finančného riadenia EÚ fondov a iných finančných nástrojov. Slúži na krytie nevyhnutých  a nepredvídaných výdavkov, ktoré vznikli v tejto oblasti v priebehu roka.</w:t>
      </w:r>
    </w:p>
    <w:p w:rsidR="00CF0B79" w:rsidRPr="00C157CC" w:rsidP="00CF0B79">
      <w:pPr>
        <w:bidi w:val="0"/>
        <w:jc w:val="both"/>
        <w:rPr>
          <w:rFonts w:ascii="Times New Roman" w:hAnsi="Times New Roman"/>
          <w:iCs/>
        </w:rPr>
      </w:pPr>
    </w:p>
    <w:p w:rsidR="00CF0B79" w:rsidRPr="00461390" w:rsidP="00CF0B79">
      <w:pPr>
        <w:bidi w:val="0"/>
        <w:jc w:val="both"/>
        <w:rPr>
          <w:rFonts w:ascii="Times New Roman" w:hAnsi="Times New Roman"/>
          <w:b/>
          <w:bCs/>
          <w:iCs/>
        </w:rPr>
      </w:pPr>
      <w:r w:rsidRPr="00461390">
        <w:rPr>
          <w:rFonts w:ascii="Times New Roman" w:hAnsi="Times New Roman"/>
          <w:b/>
          <w:bCs/>
          <w:iCs/>
        </w:rPr>
        <w:t>Výdavky spojené so správou štátneho dlhu</w:t>
      </w:r>
    </w:p>
    <w:p w:rsidR="00CF0B79" w:rsidRPr="00461390" w:rsidP="00CF0B79">
      <w:pPr>
        <w:bidi w:val="0"/>
        <w:ind w:firstLine="708"/>
        <w:jc w:val="both"/>
        <w:rPr>
          <w:rFonts w:ascii="Times New Roman" w:hAnsi="Times New Roman"/>
          <w:b/>
          <w:bCs/>
          <w:i/>
          <w:iCs/>
        </w:rPr>
      </w:pPr>
    </w:p>
    <w:tbl>
      <w:tblPr>
        <w:tblStyle w:val="TableNormal"/>
        <w:tblW w:w="9087" w:type="dxa"/>
        <w:tblInd w:w="55" w:type="dxa"/>
        <w:tblLayout w:type="fixed"/>
        <w:tblCellMar>
          <w:left w:w="70" w:type="dxa"/>
          <w:right w:w="70" w:type="dxa"/>
        </w:tblCellMar>
        <w:tblLook w:val="04A0"/>
      </w:tblPr>
      <w:tblGrid>
        <w:gridCol w:w="2142"/>
        <w:gridCol w:w="992"/>
        <w:gridCol w:w="992"/>
        <w:gridCol w:w="992"/>
        <w:gridCol w:w="992"/>
        <w:gridCol w:w="992"/>
        <w:gridCol w:w="992"/>
        <w:gridCol w:w="993"/>
      </w:tblGrid>
      <w:tr>
        <w:tblPrEx>
          <w:tblW w:w="9087" w:type="dxa"/>
          <w:tblInd w:w="55" w:type="dxa"/>
          <w:tblLayout w:type="fixed"/>
          <w:tblCellMar>
            <w:left w:w="70" w:type="dxa"/>
            <w:right w:w="70" w:type="dxa"/>
          </w:tblCellMar>
          <w:tblLook w:val="04A0"/>
        </w:tblPrEx>
        <w:trPr>
          <w:trHeight w:val="270"/>
        </w:trPr>
        <w:tc>
          <w:tcPr>
            <w:tcW w:w="214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461390" w:rsidP="00F576BD">
            <w:pPr>
              <w:bidi w:val="0"/>
              <w:rPr>
                <w:rFonts w:ascii="Times New Roman" w:hAnsi="Times New Roman"/>
                <w:b/>
                <w:bCs/>
                <w:sz w:val="14"/>
                <w:szCs w:val="14"/>
                <w:lang w:eastAsia="sk-SK"/>
              </w:rPr>
            </w:pPr>
            <w:r w:rsidRPr="00461390">
              <w:rPr>
                <w:rFonts w:ascii="Times New Roman" w:hAnsi="Times New Roman"/>
                <w:b/>
                <w:bCs/>
                <w:sz w:val="14"/>
                <w:szCs w:val="14"/>
                <w:lang w:eastAsia="sk-SK"/>
              </w:rPr>
              <w:t>v eurách</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2009 S</w:t>
            </w:r>
          </w:p>
        </w:tc>
        <w:tc>
          <w:tcPr>
            <w:tcW w:w="992" w:type="dxa"/>
            <w:tcBorders>
              <w:top w:val="single" w:sz="4" w:space="0" w:color="auto"/>
              <w:left w:val="nil"/>
              <w:bottom w:val="single" w:sz="4" w:space="0" w:color="auto"/>
              <w:right w:val="single" w:sz="4" w:space="0" w:color="auto"/>
            </w:tcBorders>
            <w:noWrap/>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2010 S</w:t>
            </w:r>
          </w:p>
        </w:tc>
        <w:tc>
          <w:tcPr>
            <w:tcW w:w="992" w:type="dxa"/>
            <w:tcBorders>
              <w:top w:val="single" w:sz="4" w:space="0" w:color="auto"/>
              <w:left w:val="nil"/>
              <w:bottom w:val="single" w:sz="4" w:space="0" w:color="auto"/>
              <w:right w:val="single" w:sz="4" w:space="0" w:color="auto"/>
            </w:tcBorders>
            <w:noWrap/>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2011 R</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2011 OS</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2012 N</w:t>
            </w:r>
          </w:p>
        </w:tc>
        <w:tc>
          <w:tcPr>
            <w:tcW w:w="992" w:type="dxa"/>
            <w:tcBorders>
              <w:top w:val="single" w:sz="4" w:space="0" w:color="auto"/>
              <w:left w:val="nil"/>
              <w:bottom w:val="single" w:sz="4" w:space="0" w:color="auto"/>
              <w:right w:val="single" w:sz="4" w:space="0" w:color="auto"/>
            </w:tcBorders>
            <w:noWrap/>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2013 N</w:t>
            </w:r>
          </w:p>
        </w:tc>
        <w:tc>
          <w:tcPr>
            <w:tcW w:w="993" w:type="dxa"/>
            <w:tcBorders>
              <w:top w:val="single" w:sz="4" w:space="0" w:color="auto"/>
              <w:left w:val="nil"/>
              <w:bottom w:val="single" w:sz="4" w:space="0" w:color="auto"/>
              <w:right w:val="single" w:sz="4" w:space="0" w:color="auto"/>
            </w:tcBorders>
            <w:noWrap/>
            <w:textDirection w:val="lrTb"/>
            <w:vAlign w:val="bottom"/>
          </w:tcPr>
          <w:p w:rsidR="00CF0B79" w:rsidRPr="00461390" w:rsidP="00F576BD">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2014 N</w:t>
            </w:r>
          </w:p>
        </w:tc>
      </w:tr>
      <w:tr>
        <w:tblPrEx>
          <w:tblW w:w="9087" w:type="dxa"/>
          <w:tblInd w:w="55" w:type="dxa"/>
          <w:tblLayout w:type="fixed"/>
          <w:tblCellMar>
            <w:left w:w="70" w:type="dxa"/>
            <w:right w:w="70" w:type="dxa"/>
          </w:tblCellMar>
          <w:tblLook w:val="04A0"/>
        </w:tblPrEx>
        <w:trPr>
          <w:trHeight w:val="349"/>
        </w:trPr>
        <w:tc>
          <w:tcPr>
            <w:tcW w:w="2142" w:type="dxa"/>
            <w:tcBorders>
              <w:top w:val="nil"/>
              <w:left w:val="single" w:sz="4" w:space="0" w:color="auto"/>
              <w:bottom w:val="single" w:sz="4" w:space="0" w:color="auto"/>
              <w:right w:val="single" w:sz="4" w:space="0" w:color="auto"/>
            </w:tcBorders>
            <w:textDirection w:val="lrTb"/>
            <w:vAlign w:val="center"/>
          </w:tcPr>
          <w:p w:rsidR="00CF0B79" w:rsidRPr="00461390" w:rsidP="00F576BD">
            <w:pPr>
              <w:bidi w:val="0"/>
              <w:rPr>
                <w:rFonts w:ascii="Times New Roman" w:hAnsi="Times New Roman"/>
                <w:bCs/>
                <w:sz w:val="14"/>
                <w:szCs w:val="14"/>
                <w:lang w:eastAsia="sk-SK"/>
              </w:rPr>
            </w:pPr>
            <w:r w:rsidRPr="00461390">
              <w:rPr>
                <w:rFonts w:ascii="Times New Roman" w:hAnsi="Times New Roman"/>
                <w:bCs/>
                <w:sz w:val="14"/>
                <w:szCs w:val="14"/>
                <w:lang w:eastAsia="sk-SK"/>
              </w:rPr>
              <w:t>Výdavky spojené so správou štátneho dlhu</w:t>
            </w:r>
          </w:p>
        </w:tc>
        <w:tc>
          <w:tcPr>
            <w:tcW w:w="99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bCs/>
                <w:sz w:val="14"/>
                <w:szCs w:val="14"/>
                <w:lang w:eastAsia="sk-SK"/>
              </w:rPr>
            </w:pPr>
            <w:r w:rsidRPr="00461390">
              <w:rPr>
                <w:rFonts w:ascii="Times New Roman" w:hAnsi="Times New Roman"/>
                <w:bCs/>
                <w:sz w:val="14"/>
                <w:szCs w:val="14"/>
                <w:lang w:eastAsia="sk-SK"/>
              </w:rPr>
              <w:t xml:space="preserve">762 712 396  </w:t>
            </w:r>
          </w:p>
        </w:tc>
        <w:tc>
          <w:tcPr>
            <w:tcW w:w="992" w:type="dxa"/>
            <w:tcBorders>
              <w:top w:val="nil"/>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bCs/>
                <w:sz w:val="14"/>
                <w:szCs w:val="14"/>
                <w:lang w:eastAsia="sk-SK"/>
              </w:rPr>
            </w:pPr>
            <w:r w:rsidRPr="00461390">
              <w:rPr>
                <w:rFonts w:ascii="Times New Roman" w:hAnsi="Times New Roman"/>
                <w:bCs/>
                <w:sz w:val="14"/>
                <w:szCs w:val="14"/>
                <w:lang w:eastAsia="sk-SK"/>
              </w:rPr>
              <w:t>864 075 225</w:t>
            </w:r>
          </w:p>
        </w:tc>
        <w:tc>
          <w:tcPr>
            <w:tcW w:w="99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bCs/>
                <w:sz w:val="14"/>
                <w:szCs w:val="14"/>
                <w:lang w:eastAsia="sk-SK"/>
              </w:rPr>
            </w:pPr>
            <w:r w:rsidRPr="00461390">
              <w:rPr>
                <w:rFonts w:ascii="Times New Roman" w:hAnsi="Times New Roman"/>
                <w:bCs/>
                <w:sz w:val="14"/>
                <w:szCs w:val="14"/>
                <w:lang w:eastAsia="sk-SK"/>
              </w:rPr>
              <w:t>1 163 188 351</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461390" w:rsidP="00F576BD">
            <w:pPr>
              <w:bidi w:val="0"/>
              <w:jc w:val="right"/>
              <w:rPr>
                <w:rFonts w:ascii="Times New Roman" w:hAnsi="Times New Roman"/>
                <w:bCs/>
                <w:sz w:val="14"/>
                <w:szCs w:val="14"/>
                <w:lang w:eastAsia="sk-SK"/>
              </w:rPr>
            </w:pPr>
            <w:r w:rsidRPr="00461390">
              <w:rPr>
                <w:rFonts w:ascii="Times New Roman" w:hAnsi="Times New Roman"/>
                <w:bCs/>
                <w:sz w:val="14"/>
                <w:szCs w:val="14"/>
                <w:lang w:eastAsia="sk-SK"/>
              </w:rPr>
              <w:t>1</w:t>
            </w:r>
            <w:r>
              <w:rPr>
                <w:rFonts w:ascii="Times New Roman" w:hAnsi="Times New Roman"/>
                <w:bCs/>
                <w:sz w:val="14"/>
                <w:szCs w:val="14"/>
                <w:lang w:eastAsia="sk-SK"/>
              </w:rPr>
              <w:t> </w:t>
            </w:r>
            <w:r w:rsidRPr="00461390">
              <w:rPr>
                <w:rFonts w:ascii="Times New Roman" w:hAnsi="Times New Roman"/>
                <w:bCs/>
                <w:sz w:val="14"/>
                <w:szCs w:val="14"/>
                <w:lang w:eastAsia="sk-SK"/>
              </w:rPr>
              <w:t>0</w:t>
            </w:r>
            <w:r>
              <w:rPr>
                <w:rFonts w:ascii="Times New Roman" w:hAnsi="Times New Roman"/>
                <w:bCs/>
                <w:sz w:val="14"/>
                <w:szCs w:val="14"/>
                <w:lang w:eastAsia="sk-SK"/>
              </w:rPr>
              <w:t>30 123 594</w:t>
            </w:r>
          </w:p>
        </w:tc>
        <w:tc>
          <w:tcPr>
            <w:tcW w:w="992" w:type="dxa"/>
            <w:tcBorders>
              <w:top w:val="nil"/>
              <w:left w:val="single" w:sz="4" w:space="0" w:color="auto"/>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bCs/>
                <w:sz w:val="14"/>
                <w:szCs w:val="14"/>
                <w:lang w:eastAsia="sk-SK"/>
              </w:rPr>
            </w:pPr>
            <w:r w:rsidRPr="00461390">
              <w:rPr>
                <w:rFonts w:ascii="Times New Roman" w:hAnsi="Times New Roman"/>
                <w:bCs/>
                <w:sz w:val="14"/>
                <w:szCs w:val="14"/>
                <w:lang w:eastAsia="sk-SK"/>
              </w:rPr>
              <w:t>1</w:t>
            </w:r>
            <w:r>
              <w:rPr>
                <w:rFonts w:ascii="Times New Roman" w:hAnsi="Times New Roman"/>
                <w:bCs/>
                <w:sz w:val="14"/>
                <w:szCs w:val="14"/>
                <w:lang w:eastAsia="sk-SK"/>
              </w:rPr>
              <w:t> </w:t>
            </w:r>
            <w:r w:rsidRPr="00461390">
              <w:rPr>
                <w:rFonts w:ascii="Times New Roman" w:hAnsi="Times New Roman"/>
                <w:bCs/>
                <w:sz w:val="14"/>
                <w:szCs w:val="14"/>
                <w:lang w:eastAsia="sk-SK"/>
              </w:rPr>
              <w:t>4</w:t>
            </w:r>
            <w:r>
              <w:rPr>
                <w:rFonts w:ascii="Times New Roman" w:hAnsi="Times New Roman"/>
                <w:bCs/>
                <w:sz w:val="14"/>
                <w:szCs w:val="14"/>
                <w:lang w:eastAsia="sk-SK"/>
              </w:rPr>
              <w:t>54 901 012</w:t>
            </w:r>
          </w:p>
        </w:tc>
        <w:tc>
          <w:tcPr>
            <w:tcW w:w="992"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bCs/>
                <w:sz w:val="14"/>
                <w:szCs w:val="14"/>
                <w:lang w:eastAsia="sk-SK"/>
              </w:rPr>
            </w:pPr>
            <w:r w:rsidRPr="00461390">
              <w:rPr>
                <w:rFonts w:ascii="Times New Roman" w:hAnsi="Times New Roman"/>
                <w:bCs/>
                <w:sz w:val="14"/>
                <w:szCs w:val="14"/>
                <w:lang w:eastAsia="sk-SK"/>
              </w:rPr>
              <w:t>1</w:t>
            </w:r>
            <w:r>
              <w:rPr>
                <w:rFonts w:ascii="Times New Roman" w:hAnsi="Times New Roman"/>
                <w:bCs/>
                <w:sz w:val="14"/>
                <w:szCs w:val="14"/>
                <w:lang w:eastAsia="sk-SK"/>
              </w:rPr>
              <w:t> 408 828 052</w:t>
            </w:r>
            <w:r w:rsidRPr="00461390">
              <w:rPr>
                <w:rFonts w:ascii="Times New Roman" w:hAnsi="Times New Roman"/>
                <w:bCs/>
                <w:sz w:val="14"/>
                <w:szCs w:val="14"/>
                <w:lang w:eastAsia="sk-SK"/>
              </w:rPr>
              <w:t xml:space="preserve"> </w:t>
            </w:r>
          </w:p>
        </w:tc>
        <w:tc>
          <w:tcPr>
            <w:tcW w:w="993" w:type="dxa"/>
            <w:tcBorders>
              <w:top w:val="nil"/>
              <w:left w:val="nil"/>
              <w:bottom w:val="single" w:sz="4" w:space="0" w:color="auto"/>
              <w:right w:val="single" w:sz="4" w:space="0" w:color="auto"/>
            </w:tcBorders>
            <w:noWrap/>
            <w:textDirection w:val="lrTb"/>
            <w:vAlign w:val="bottom"/>
          </w:tcPr>
          <w:p w:rsidR="00CF0B79" w:rsidRPr="00461390" w:rsidP="00F576BD">
            <w:pPr>
              <w:bidi w:val="0"/>
              <w:jc w:val="right"/>
              <w:rPr>
                <w:rFonts w:ascii="Times New Roman" w:hAnsi="Times New Roman"/>
                <w:bCs/>
                <w:sz w:val="14"/>
                <w:szCs w:val="14"/>
                <w:lang w:eastAsia="sk-SK"/>
              </w:rPr>
            </w:pPr>
            <w:r w:rsidRPr="00461390">
              <w:rPr>
                <w:rFonts w:ascii="Times New Roman" w:hAnsi="Times New Roman"/>
                <w:bCs/>
                <w:sz w:val="14"/>
                <w:szCs w:val="14"/>
                <w:lang w:eastAsia="sk-SK"/>
              </w:rPr>
              <w:t>1</w:t>
            </w:r>
            <w:r>
              <w:rPr>
                <w:rFonts w:ascii="Times New Roman" w:hAnsi="Times New Roman"/>
                <w:bCs/>
                <w:sz w:val="14"/>
                <w:szCs w:val="14"/>
                <w:lang w:eastAsia="sk-SK"/>
              </w:rPr>
              <w:t> 558 667 618</w:t>
            </w:r>
          </w:p>
        </w:tc>
      </w:tr>
    </w:tbl>
    <w:p w:rsidR="00CF0B79" w:rsidRPr="00461390" w:rsidP="00CF0B79">
      <w:pPr>
        <w:bidi w:val="0"/>
        <w:jc w:val="both"/>
        <w:rPr>
          <w:rFonts w:ascii="Times New Roman" w:hAnsi="Times New Roman"/>
        </w:rPr>
      </w:pPr>
    </w:p>
    <w:p w:rsidR="00CF0B79" w:rsidRPr="00461390" w:rsidP="00CF0B79">
      <w:pPr>
        <w:bidi w:val="0"/>
        <w:rPr>
          <w:rFonts w:ascii="Times New Roman" w:hAnsi="Times New Roman"/>
          <w:bCs/>
          <w:i/>
          <w:iCs/>
          <w:u w:val="single"/>
        </w:rPr>
      </w:pPr>
      <w:r w:rsidRPr="00461390">
        <w:rPr>
          <w:rFonts w:ascii="Times New Roman" w:hAnsi="Times New Roman"/>
          <w:bCs/>
          <w:i/>
          <w:iCs/>
          <w:u w:val="single"/>
        </w:rPr>
        <w:t xml:space="preserve">Náklady na financovanie štátneho dlhu </w:t>
      </w:r>
    </w:p>
    <w:p w:rsidR="00CF0B79" w:rsidRPr="00461390" w:rsidP="00CF0B79">
      <w:pPr>
        <w:bidi w:val="0"/>
        <w:jc w:val="both"/>
        <w:rPr>
          <w:rFonts w:ascii="Times New Roman" w:hAnsi="Times New Roman"/>
          <w:iCs/>
        </w:rPr>
      </w:pPr>
    </w:p>
    <w:p w:rsidR="00CF0B79" w:rsidRPr="006F0860" w:rsidP="00CF0B79">
      <w:pPr>
        <w:bidi w:val="0"/>
        <w:ind w:firstLine="708"/>
        <w:jc w:val="both"/>
        <w:rPr>
          <w:rFonts w:ascii="Times New Roman" w:hAnsi="Times New Roman" w:cs="Times New Roman"/>
          <w:iCs/>
        </w:rPr>
      </w:pPr>
      <w:r w:rsidRPr="006F0860">
        <w:rPr>
          <w:rFonts w:ascii="Times New Roman" w:hAnsi="Times New Roman" w:cs="Times New Roman"/>
          <w:iCs/>
        </w:rPr>
        <w:t>Zväčšujúci sa štátny dlh prostredníctvom deficitov štátneho rozpočtu a rastúce trhové úrokové sadzby budú v najbližších rokoch predstavovať veľký tlak na výdavky verejných financií a zmenšovať tak priestor pre ostatné verejné výdavky.</w:t>
      </w:r>
    </w:p>
    <w:p w:rsidR="00CF0B79" w:rsidRPr="006F0860" w:rsidP="00CF0B79">
      <w:pPr>
        <w:bidi w:val="0"/>
        <w:jc w:val="both"/>
        <w:rPr>
          <w:rFonts w:ascii="Times New Roman" w:hAnsi="Times New Roman" w:cs="Times New Roman"/>
          <w:iCs/>
        </w:rPr>
      </w:pPr>
    </w:p>
    <w:p w:rsidR="00CF0B79" w:rsidRPr="006F0860" w:rsidP="00CF0B79">
      <w:pPr>
        <w:bidi w:val="0"/>
        <w:rPr>
          <w:rFonts w:ascii="Times New Roman" w:hAnsi="Times New Roman" w:cs="Times New Roman"/>
          <w:i/>
          <w:iCs/>
          <w:u w:val="single"/>
        </w:rPr>
      </w:pPr>
      <w:r w:rsidRPr="006F0860">
        <w:rPr>
          <w:rFonts w:ascii="Times New Roman" w:hAnsi="Times New Roman" w:cs="Times New Roman"/>
          <w:i/>
          <w:iCs/>
          <w:u w:val="single"/>
        </w:rPr>
        <w:t>Základné predpoklady pri rozpočtovaní nákladov na financovanie štátneho dlhu</w:t>
      </w:r>
    </w:p>
    <w:p w:rsidR="00CF0B79" w:rsidRPr="006F0860" w:rsidP="00CF0B79">
      <w:pPr>
        <w:bidi w:val="0"/>
        <w:rPr>
          <w:rFonts w:ascii="Times New Roman" w:hAnsi="Times New Roman" w:cs="Times New Roman"/>
          <w:b/>
          <w:i/>
          <w:iCs/>
          <w:u w:val="single"/>
        </w:rPr>
      </w:pPr>
    </w:p>
    <w:p w:rsidR="00CF0B79" w:rsidRPr="006F0860" w:rsidP="00CF0B79">
      <w:pPr>
        <w:pStyle w:val="ListParagraph"/>
        <w:bidi w:val="0"/>
        <w:ind w:left="0"/>
        <w:contextualSpacing w:val="0"/>
        <w:rPr>
          <w:rFonts w:ascii="Times New Roman" w:hAnsi="Times New Roman" w:cs="Times New Roman"/>
          <w:i/>
        </w:rPr>
      </w:pPr>
      <w:r w:rsidRPr="006F0860">
        <w:rPr>
          <w:rFonts w:ascii="Times New Roman" w:hAnsi="Times New Roman" w:cs="Times New Roman"/>
          <w:i/>
        </w:rPr>
        <w:t>A. Celková hodnota štátneho dlhu</w:t>
      </w:r>
    </w:p>
    <w:p w:rsidR="00CF0B79" w:rsidRPr="006F0860" w:rsidP="00CF0B79">
      <w:pPr>
        <w:bidi w:val="0"/>
        <w:jc w:val="both"/>
        <w:rPr>
          <w:rFonts w:ascii="Times New Roman" w:hAnsi="Times New Roman" w:cs="Times New Roman"/>
        </w:rPr>
      </w:pPr>
    </w:p>
    <w:p w:rsidR="00CF0B79" w:rsidRPr="006F0860" w:rsidP="00CF0B79">
      <w:pPr>
        <w:bidi w:val="0"/>
        <w:ind w:firstLine="708"/>
        <w:jc w:val="both"/>
        <w:rPr>
          <w:rFonts w:ascii="Times New Roman" w:hAnsi="Times New Roman" w:cs="Times New Roman"/>
        </w:rPr>
      </w:pPr>
      <w:r w:rsidRPr="006F0860">
        <w:rPr>
          <w:rFonts w:ascii="Times New Roman" w:hAnsi="Times New Roman" w:cs="Times New Roman"/>
        </w:rPr>
        <w:t>V priebehu rokov 2011 až 2014 sa štátny dlh bude postupne zväčšovať predovšetkým z dôvodu deficitov štátneho rozpočtu. Veľkosť štátneho dlhu bude ovplyvňovať aj hodnota pôžičiek zo Systému štátnej pokladnice, pretože významnú časť zdrojov, potrebných na krytie finančných potrieb štátu, získava Ministerstvo financií SR z tohto zdroja. Vplyv na veľkosť štátneho dlhu bude mať aj hodnota finančných zdrojov, ktoré bude MF SR ukladať krátkodobo v komerčných bankách, s cieľom mať k dispozícii rezervu na krytie neočakávaných finančných potrieb štátu.</w:t>
      </w:r>
    </w:p>
    <w:p w:rsidR="00CF0B79" w:rsidRPr="006F0860" w:rsidP="00CF0B79">
      <w:pPr>
        <w:bidi w:val="0"/>
        <w:jc w:val="both"/>
        <w:rPr>
          <w:rFonts w:ascii="Times New Roman" w:hAnsi="Times New Roman" w:cs="Times New Roman"/>
        </w:rPr>
      </w:pPr>
    </w:p>
    <w:p w:rsidR="00CF0B79" w:rsidRPr="006F0860" w:rsidP="00CF0B79">
      <w:pPr>
        <w:bidi w:val="0"/>
        <w:ind w:firstLine="708"/>
        <w:jc w:val="both"/>
        <w:rPr>
          <w:rFonts w:ascii="Times New Roman" w:hAnsi="Times New Roman" w:cs="Times New Roman"/>
        </w:rPr>
      </w:pPr>
      <w:r w:rsidRPr="006F0860">
        <w:rPr>
          <w:rFonts w:ascii="Times New Roman" w:hAnsi="Times New Roman" w:cs="Times New Roman"/>
        </w:rPr>
        <w:t>Predpokladaný vývoj deficitu štátneho rozpočtu bude nasledovný.</w:t>
      </w:r>
    </w:p>
    <w:p w:rsidR="00CF0B79" w:rsidRPr="00461390" w:rsidP="00CF0B79">
      <w:pPr>
        <w:bidi w:val="0"/>
        <w:jc w:val="both"/>
        <w:rPr>
          <w:rFonts w:ascii="Times New Roman" w:hAnsi="Times New Roman"/>
        </w:rPr>
      </w:pPr>
    </w:p>
    <w:tbl>
      <w:tblPr>
        <w:tblStyle w:val="TableNormal"/>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3"/>
        <w:gridCol w:w="1354"/>
        <w:gridCol w:w="1355"/>
        <w:gridCol w:w="1355"/>
        <w:gridCol w:w="1355"/>
      </w:tblGrid>
      <w:tr>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3"/>
        </w:trPr>
        <w:tc>
          <w:tcPr>
            <w:tcW w:w="3653"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461390" w:rsidP="00F576BD">
            <w:pPr>
              <w:tabs>
                <w:tab w:val="left" w:pos="761"/>
                <w:tab w:val="center" w:pos="1393"/>
              </w:tabs>
              <w:bidi w:val="0"/>
              <w:spacing w:before="100" w:beforeAutospacing="1" w:after="100" w:afterAutospacing="1"/>
              <w:rPr>
                <w:rFonts w:ascii="Times New Roman" w:hAnsi="Times New Roman"/>
                <w:b/>
                <w:sz w:val="14"/>
                <w:szCs w:val="14"/>
                <w:lang w:eastAsia="en-GB"/>
              </w:rPr>
            </w:pPr>
            <w:r>
              <w:rPr>
                <w:rFonts w:ascii="Times New Roman" w:hAnsi="Times New Roman"/>
                <w:b/>
                <w:sz w:val="14"/>
                <w:szCs w:val="14"/>
                <w:lang w:val="en-US" w:eastAsia="en-GB"/>
              </w:rPr>
              <w:t xml:space="preserve">v </w:t>
            </w:r>
            <w:r w:rsidRPr="00461390">
              <w:rPr>
                <w:rFonts w:ascii="Times New Roman" w:hAnsi="Times New Roman"/>
                <w:b/>
                <w:sz w:val="14"/>
                <w:szCs w:val="14"/>
                <w:lang w:val="en-US" w:eastAsia="en-GB"/>
              </w:rPr>
              <w:t xml:space="preserve">mld. </w:t>
            </w:r>
            <w:r>
              <w:rPr>
                <w:rFonts w:ascii="Times New Roman" w:hAnsi="Times New Roman"/>
                <w:b/>
                <w:sz w:val="14"/>
                <w:szCs w:val="14"/>
                <w:lang w:val="en-US" w:eastAsia="en-GB"/>
              </w:rPr>
              <w:t>eur</w:t>
            </w:r>
          </w:p>
        </w:tc>
        <w:tc>
          <w:tcPr>
            <w:tcW w:w="1354"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461390" w:rsidP="00F576BD">
            <w:pPr>
              <w:bidi w:val="0"/>
              <w:spacing w:before="100" w:beforeAutospacing="1" w:after="100" w:afterAutospacing="1"/>
              <w:jc w:val="center"/>
              <w:rPr>
                <w:rFonts w:ascii="Times New Roman" w:hAnsi="Times New Roman"/>
                <w:b/>
                <w:bCs/>
                <w:sz w:val="14"/>
                <w:szCs w:val="14"/>
                <w:lang w:val="en-GB" w:eastAsia="en-GB"/>
              </w:rPr>
            </w:pPr>
            <w:r w:rsidRPr="00461390">
              <w:rPr>
                <w:rFonts w:ascii="Times New Roman" w:hAnsi="Times New Roman"/>
                <w:b/>
                <w:bCs/>
                <w:sz w:val="14"/>
                <w:szCs w:val="14"/>
                <w:lang w:val="en-GB" w:eastAsia="en-GB"/>
              </w:rPr>
              <w:t>2011P</w:t>
            </w:r>
          </w:p>
        </w:tc>
        <w:tc>
          <w:tcPr>
            <w:tcW w:w="1355"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461390" w:rsidP="00F576BD">
            <w:pPr>
              <w:bidi w:val="0"/>
              <w:spacing w:before="100" w:beforeAutospacing="1" w:after="100" w:afterAutospacing="1"/>
              <w:jc w:val="center"/>
              <w:rPr>
                <w:rFonts w:ascii="Times New Roman" w:hAnsi="Times New Roman"/>
                <w:b/>
                <w:bCs/>
                <w:sz w:val="14"/>
                <w:szCs w:val="14"/>
                <w:lang w:val="en-GB" w:eastAsia="en-GB"/>
              </w:rPr>
            </w:pPr>
            <w:r w:rsidRPr="00461390">
              <w:rPr>
                <w:rFonts w:ascii="Times New Roman" w:hAnsi="Times New Roman"/>
                <w:b/>
                <w:bCs/>
                <w:sz w:val="14"/>
                <w:szCs w:val="14"/>
                <w:lang w:val="en-GB" w:eastAsia="en-GB"/>
              </w:rPr>
              <w:t>2012P</w:t>
            </w:r>
          </w:p>
        </w:tc>
        <w:tc>
          <w:tcPr>
            <w:tcW w:w="1355"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461390" w:rsidP="00F576BD">
            <w:pPr>
              <w:bidi w:val="0"/>
              <w:spacing w:before="100" w:beforeAutospacing="1" w:after="100" w:afterAutospacing="1"/>
              <w:jc w:val="center"/>
              <w:rPr>
                <w:rFonts w:ascii="Times New Roman" w:hAnsi="Times New Roman"/>
                <w:b/>
                <w:bCs/>
                <w:sz w:val="14"/>
                <w:szCs w:val="14"/>
                <w:lang w:val="en-GB" w:eastAsia="en-GB"/>
              </w:rPr>
            </w:pPr>
            <w:r w:rsidRPr="00461390">
              <w:rPr>
                <w:rFonts w:ascii="Times New Roman" w:hAnsi="Times New Roman"/>
                <w:b/>
                <w:bCs/>
                <w:sz w:val="14"/>
                <w:szCs w:val="14"/>
                <w:lang w:val="en-GB" w:eastAsia="en-GB"/>
              </w:rPr>
              <w:t>2013P</w:t>
            </w:r>
          </w:p>
        </w:tc>
        <w:tc>
          <w:tcPr>
            <w:tcW w:w="1355"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461390" w:rsidP="00F576BD">
            <w:pPr>
              <w:bidi w:val="0"/>
              <w:spacing w:before="100" w:beforeAutospacing="1" w:after="100" w:afterAutospacing="1"/>
              <w:jc w:val="center"/>
              <w:rPr>
                <w:rFonts w:ascii="Times New Roman" w:hAnsi="Times New Roman"/>
                <w:b/>
                <w:bCs/>
                <w:sz w:val="14"/>
                <w:szCs w:val="14"/>
                <w:lang w:val="en-GB" w:eastAsia="en-GB"/>
              </w:rPr>
            </w:pPr>
            <w:r w:rsidRPr="00461390">
              <w:rPr>
                <w:rFonts w:ascii="Times New Roman" w:hAnsi="Times New Roman"/>
                <w:b/>
                <w:bCs/>
                <w:sz w:val="14"/>
                <w:szCs w:val="14"/>
                <w:lang w:val="en-GB" w:eastAsia="en-GB"/>
              </w:rPr>
              <w:t>2014P</w:t>
            </w:r>
          </w:p>
        </w:tc>
      </w:tr>
      <w:tr>
        <w:tblPrEx>
          <w:tblW w:w="9072" w:type="dxa"/>
          <w:tblInd w:w="108" w:type="dxa"/>
          <w:tblLayout w:type="fixed"/>
          <w:tblLook w:val="04A0"/>
        </w:tblPrEx>
        <w:trPr>
          <w:trHeight w:val="223"/>
        </w:trPr>
        <w:tc>
          <w:tcPr>
            <w:tcW w:w="3653"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461390" w:rsidP="00F576BD">
            <w:pPr>
              <w:bidi w:val="0"/>
              <w:spacing w:before="100" w:beforeAutospacing="1" w:after="100" w:afterAutospacing="1"/>
              <w:rPr>
                <w:rFonts w:ascii="Times New Roman" w:hAnsi="Times New Roman"/>
                <w:sz w:val="14"/>
                <w:szCs w:val="14"/>
                <w:lang w:val="en-GB" w:eastAsia="en-GB"/>
              </w:rPr>
            </w:pPr>
            <w:r w:rsidRPr="00461390">
              <w:rPr>
                <w:rFonts w:ascii="Times New Roman" w:hAnsi="Times New Roman"/>
                <w:sz w:val="14"/>
                <w:szCs w:val="14"/>
                <w:lang w:val="en-GB" w:eastAsia="en-GB"/>
              </w:rPr>
              <w:t xml:space="preserve">Deficit ŠR </w:t>
            </w:r>
          </w:p>
        </w:tc>
        <w:tc>
          <w:tcPr>
            <w:tcW w:w="1354"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461390" w:rsidP="00F576BD">
            <w:pPr>
              <w:bidi w:val="0"/>
              <w:spacing w:before="100" w:beforeAutospacing="1" w:after="100" w:afterAutospacing="1"/>
              <w:jc w:val="right"/>
              <w:rPr>
                <w:rFonts w:ascii="Times New Roman" w:hAnsi="Times New Roman"/>
                <w:sz w:val="14"/>
                <w:szCs w:val="14"/>
                <w:lang w:val="en-GB" w:eastAsia="en-GB"/>
              </w:rPr>
            </w:pPr>
            <w:r w:rsidRPr="00461390">
              <w:rPr>
                <w:rFonts w:ascii="Times New Roman" w:hAnsi="Times New Roman"/>
                <w:sz w:val="14"/>
                <w:szCs w:val="14"/>
                <w:lang w:val="en-GB" w:eastAsia="en-GB"/>
              </w:rPr>
              <w:t>3,</w:t>
            </w:r>
            <w:r>
              <w:rPr>
                <w:rFonts w:ascii="Times New Roman" w:hAnsi="Times New Roman"/>
                <w:sz w:val="14"/>
                <w:szCs w:val="14"/>
                <w:lang w:val="en-GB" w:eastAsia="en-GB"/>
              </w:rPr>
              <w:t>618</w:t>
            </w:r>
          </w:p>
        </w:tc>
        <w:tc>
          <w:tcPr>
            <w:tcW w:w="1355"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461390" w:rsidP="005C3D60">
            <w:pPr>
              <w:bidi w:val="0"/>
              <w:spacing w:before="100" w:beforeAutospacing="1" w:after="100" w:afterAutospacing="1"/>
              <w:jc w:val="right"/>
              <w:rPr>
                <w:rFonts w:ascii="Times New Roman" w:hAnsi="Times New Roman"/>
                <w:sz w:val="14"/>
                <w:szCs w:val="14"/>
                <w:lang w:val="en-GB" w:eastAsia="en-GB"/>
              </w:rPr>
            </w:pPr>
            <w:r w:rsidRPr="00461390">
              <w:rPr>
                <w:rFonts w:ascii="Times New Roman" w:hAnsi="Times New Roman"/>
                <w:sz w:val="14"/>
                <w:szCs w:val="14"/>
                <w:lang w:val="en-GB" w:eastAsia="en-GB"/>
              </w:rPr>
              <w:t>3,</w:t>
            </w:r>
            <w:r w:rsidR="005C3D60">
              <w:rPr>
                <w:rFonts w:ascii="Times New Roman" w:hAnsi="Times New Roman"/>
                <w:sz w:val="14"/>
                <w:szCs w:val="14"/>
                <w:lang w:val="en-GB" w:eastAsia="en-GB"/>
              </w:rPr>
              <w:t>321</w:t>
            </w:r>
          </w:p>
        </w:tc>
        <w:tc>
          <w:tcPr>
            <w:tcW w:w="1355"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461390" w:rsidP="005C3D60">
            <w:pPr>
              <w:bidi w:val="0"/>
              <w:spacing w:before="100" w:beforeAutospacing="1" w:after="100" w:afterAutospacing="1"/>
              <w:jc w:val="right"/>
              <w:rPr>
                <w:rFonts w:ascii="Times New Roman" w:hAnsi="Times New Roman"/>
                <w:sz w:val="14"/>
                <w:szCs w:val="14"/>
                <w:lang w:val="en-GB" w:eastAsia="en-GB"/>
              </w:rPr>
            </w:pPr>
            <w:r w:rsidRPr="00461390">
              <w:rPr>
                <w:rFonts w:ascii="Times New Roman" w:hAnsi="Times New Roman"/>
                <w:sz w:val="14"/>
                <w:szCs w:val="14"/>
                <w:lang w:val="en-GB" w:eastAsia="en-GB"/>
              </w:rPr>
              <w:t>2,</w:t>
            </w:r>
            <w:r w:rsidR="005C3D60">
              <w:rPr>
                <w:rFonts w:ascii="Times New Roman" w:hAnsi="Times New Roman"/>
                <w:sz w:val="14"/>
                <w:szCs w:val="14"/>
                <w:lang w:val="en-GB" w:eastAsia="en-GB"/>
              </w:rPr>
              <w:t>327</w:t>
            </w:r>
          </w:p>
        </w:tc>
        <w:tc>
          <w:tcPr>
            <w:tcW w:w="1355"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461390" w:rsidP="005C3D60">
            <w:pPr>
              <w:bidi w:val="0"/>
              <w:spacing w:before="100" w:beforeAutospacing="1" w:after="100" w:afterAutospacing="1"/>
              <w:jc w:val="right"/>
              <w:rPr>
                <w:rFonts w:ascii="Times New Roman" w:hAnsi="Times New Roman"/>
                <w:sz w:val="14"/>
                <w:szCs w:val="14"/>
                <w:lang w:val="en-GB" w:eastAsia="en-GB"/>
              </w:rPr>
            </w:pPr>
            <w:r w:rsidRPr="00461390">
              <w:rPr>
                <w:rFonts w:ascii="Times New Roman" w:hAnsi="Times New Roman"/>
                <w:sz w:val="14"/>
                <w:szCs w:val="14"/>
                <w:lang w:val="en-GB" w:eastAsia="en-GB"/>
              </w:rPr>
              <w:t>2,</w:t>
            </w:r>
            <w:r w:rsidR="005C3D60">
              <w:rPr>
                <w:rFonts w:ascii="Times New Roman" w:hAnsi="Times New Roman"/>
                <w:sz w:val="14"/>
                <w:szCs w:val="14"/>
                <w:lang w:val="en-GB" w:eastAsia="en-GB"/>
              </w:rPr>
              <w:t>439</w:t>
            </w:r>
          </w:p>
        </w:tc>
      </w:tr>
    </w:tbl>
    <w:p w:rsidR="00CF0B79" w:rsidRPr="00FC4B6C" w:rsidP="00CF0B79">
      <w:pPr>
        <w:bidi w:val="0"/>
        <w:jc w:val="both"/>
        <w:rPr>
          <w:rFonts w:ascii="Times New Roman" w:hAnsi="Times New Roman"/>
        </w:rPr>
      </w:pPr>
    </w:p>
    <w:p w:rsidR="00CF0B79" w:rsidP="00CF0B79">
      <w:pPr>
        <w:bidi w:val="0"/>
        <w:ind w:firstLine="708"/>
        <w:jc w:val="both"/>
        <w:rPr>
          <w:rFonts w:ascii="Times New Roman" w:hAnsi="Times New Roman"/>
        </w:rPr>
      </w:pPr>
      <w:r w:rsidRPr="00FC4B6C">
        <w:rPr>
          <w:rFonts w:ascii="Times New Roman" w:hAnsi="Times New Roman"/>
        </w:rPr>
        <w:t>Štátny dlh je hodnota emitovaných štátnych dlhopisov, štátnych pokladničných poukážok a vládnych úverov. Štátny dlh sa bude v nasledujúcich roko</w:t>
      </w:r>
      <w:r>
        <w:rPr>
          <w:rFonts w:ascii="Times New Roman" w:hAnsi="Times New Roman"/>
        </w:rPr>
        <w:t>ch k 31.12. vyvíjať nasledovne.</w:t>
      </w:r>
    </w:p>
    <w:p w:rsidR="00CF0B79" w:rsidRPr="00FC4B6C" w:rsidP="00CF0B79">
      <w:pPr>
        <w:bidi w:val="0"/>
        <w:jc w:val="both"/>
        <w:rPr>
          <w:rFonts w:ascii="Times New Roman" w:hAnsi="Times New Roman"/>
        </w:rPr>
      </w:pPr>
    </w:p>
    <w:tbl>
      <w:tblPr>
        <w:tblStyle w:val="TableNormal"/>
        <w:tblW w:w="9072" w:type="dxa"/>
        <w:tblInd w:w="70" w:type="dxa"/>
        <w:tblLayout w:type="fixed"/>
        <w:tblCellMar>
          <w:left w:w="70" w:type="dxa"/>
          <w:right w:w="70" w:type="dxa"/>
        </w:tblCellMar>
        <w:tblLook w:val="04A0"/>
      </w:tblPr>
      <w:tblGrid>
        <w:gridCol w:w="2410"/>
        <w:gridCol w:w="1332"/>
        <w:gridCol w:w="1332"/>
        <w:gridCol w:w="1333"/>
        <w:gridCol w:w="1332"/>
        <w:gridCol w:w="1333"/>
      </w:tblGrid>
      <w:tr>
        <w:tblPrEx>
          <w:tblW w:w="9072" w:type="dxa"/>
          <w:tblInd w:w="70" w:type="dxa"/>
          <w:tblLayout w:type="fixed"/>
          <w:tblCellMar>
            <w:left w:w="70" w:type="dxa"/>
            <w:right w:w="70" w:type="dxa"/>
          </w:tblCellMar>
          <w:tblLook w:val="04A0"/>
        </w:tblPrEx>
        <w:trPr>
          <w:trHeight w:val="272"/>
        </w:trPr>
        <w:tc>
          <w:tcPr>
            <w:tcW w:w="2410"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rPr>
                <w:rFonts w:ascii="Times New Roman" w:hAnsi="Times New Roman"/>
                <w:b/>
                <w:sz w:val="14"/>
                <w:szCs w:val="14"/>
                <w:lang w:eastAsia="en-GB"/>
              </w:rPr>
            </w:pPr>
            <w:r>
              <w:rPr>
                <w:rFonts w:ascii="Times New Roman" w:hAnsi="Times New Roman"/>
                <w:b/>
                <w:sz w:val="14"/>
                <w:szCs w:val="14"/>
                <w:lang w:val="en-US" w:eastAsia="en-GB"/>
              </w:rPr>
              <w:t xml:space="preserve">v </w:t>
            </w:r>
            <w:r w:rsidRPr="00461390">
              <w:rPr>
                <w:rFonts w:ascii="Times New Roman" w:hAnsi="Times New Roman"/>
                <w:b/>
                <w:sz w:val="14"/>
                <w:szCs w:val="14"/>
                <w:lang w:val="en-US" w:eastAsia="en-GB"/>
              </w:rPr>
              <w:t xml:space="preserve">mld. </w:t>
            </w:r>
            <w:r>
              <w:rPr>
                <w:rFonts w:ascii="Times New Roman" w:hAnsi="Times New Roman"/>
                <w:b/>
                <w:sz w:val="14"/>
                <w:szCs w:val="14"/>
                <w:lang w:val="en-US" w:eastAsia="en-GB"/>
              </w:rPr>
              <w:t>eur</w:t>
            </w:r>
          </w:p>
        </w:tc>
        <w:tc>
          <w:tcPr>
            <w:tcW w:w="1332" w:type="dxa"/>
            <w:tcBorders>
              <w:top w:val="single" w:sz="4" w:space="0" w:color="auto"/>
              <w:left w:val="nil"/>
              <w:bottom w:val="single" w:sz="4" w:space="0" w:color="auto"/>
              <w:right w:val="single" w:sz="4" w:space="0" w:color="auto"/>
            </w:tcBorders>
            <w:noWrap/>
            <w:textDirection w:val="lrTb"/>
            <w:vAlign w:val="bottom"/>
            <w:hideMark/>
          </w:tcPr>
          <w:p w:rsidR="00CF0B79" w:rsidRPr="00FC4B6C" w:rsidP="00F576BD">
            <w:pPr>
              <w:bidi w:val="0"/>
              <w:jc w:val="center"/>
              <w:rPr>
                <w:rFonts w:ascii="Times New Roman" w:hAnsi="Times New Roman"/>
                <w:b/>
                <w:bCs/>
                <w:color w:val="000000"/>
                <w:sz w:val="14"/>
                <w:szCs w:val="14"/>
              </w:rPr>
            </w:pPr>
            <w:r w:rsidRPr="00FC4B6C">
              <w:rPr>
                <w:rFonts w:ascii="Times New Roman" w:hAnsi="Times New Roman"/>
                <w:b/>
                <w:bCs/>
                <w:color w:val="000000"/>
                <w:sz w:val="14"/>
                <w:szCs w:val="14"/>
              </w:rPr>
              <w:t>2010</w:t>
            </w:r>
          </w:p>
        </w:tc>
        <w:tc>
          <w:tcPr>
            <w:tcW w:w="1332" w:type="dxa"/>
            <w:tcBorders>
              <w:top w:val="single" w:sz="4" w:space="0" w:color="auto"/>
              <w:left w:val="nil"/>
              <w:bottom w:val="single" w:sz="4" w:space="0" w:color="auto"/>
              <w:right w:val="single" w:sz="4" w:space="0" w:color="auto"/>
            </w:tcBorders>
            <w:noWrap/>
            <w:textDirection w:val="lrTb"/>
            <w:vAlign w:val="bottom"/>
            <w:hideMark/>
          </w:tcPr>
          <w:p w:rsidR="00CF0B79" w:rsidRPr="00FC4B6C" w:rsidP="00F576BD">
            <w:pPr>
              <w:bidi w:val="0"/>
              <w:jc w:val="center"/>
              <w:rPr>
                <w:rFonts w:ascii="Times New Roman" w:hAnsi="Times New Roman"/>
                <w:b/>
                <w:bCs/>
                <w:color w:val="000000"/>
                <w:sz w:val="14"/>
                <w:szCs w:val="14"/>
              </w:rPr>
            </w:pPr>
            <w:r w:rsidRPr="00FC4B6C">
              <w:rPr>
                <w:rFonts w:ascii="Times New Roman" w:hAnsi="Times New Roman"/>
                <w:b/>
                <w:bCs/>
                <w:color w:val="000000"/>
                <w:sz w:val="14"/>
                <w:szCs w:val="14"/>
              </w:rPr>
              <w:t>2011P</w:t>
            </w:r>
          </w:p>
        </w:tc>
        <w:tc>
          <w:tcPr>
            <w:tcW w:w="1333" w:type="dxa"/>
            <w:tcBorders>
              <w:top w:val="single" w:sz="4" w:space="0" w:color="auto"/>
              <w:left w:val="nil"/>
              <w:bottom w:val="single" w:sz="4" w:space="0" w:color="auto"/>
              <w:right w:val="single" w:sz="4" w:space="0" w:color="auto"/>
            </w:tcBorders>
            <w:noWrap/>
            <w:textDirection w:val="lrTb"/>
            <w:vAlign w:val="bottom"/>
            <w:hideMark/>
          </w:tcPr>
          <w:p w:rsidR="00CF0B79" w:rsidRPr="00FC4B6C" w:rsidP="00F576BD">
            <w:pPr>
              <w:bidi w:val="0"/>
              <w:jc w:val="center"/>
              <w:rPr>
                <w:rFonts w:ascii="Times New Roman" w:hAnsi="Times New Roman"/>
                <w:b/>
                <w:bCs/>
                <w:color w:val="000000"/>
                <w:sz w:val="14"/>
                <w:szCs w:val="14"/>
              </w:rPr>
            </w:pPr>
            <w:r w:rsidRPr="00FC4B6C">
              <w:rPr>
                <w:rFonts w:ascii="Times New Roman" w:hAnsi="Times New Roman"/>
                <w:b/>
                <w:bCs/>
                <w:color w:val="000000"/>
                <w:sz w:val="14"/>
                <w:szCs w:val="14"/>
              </w:rPr>
              <w:t>2012P</w:t>
            </w:r>
          </w:p>
        </w:tc>
        <w:tc>
          <w:tcPr>
            <w:tcW w:w="1332" w:type="dxa"/>
            <w:tcBorders>
              <w:top w:val="single" w:sz="4" w:space="0" w:color="auto"/>
              <w:left w:val="nil"/>
              <w:bottom w:val="single" w:sz="4" w:space="0" w:color="auto"/>
              <w:right w:val="single" w:sz="4" w:space="0" w:color="auto"/>
            </w:tcBorders>
            <w:noWrap/>
            <w:textDirection w:val="lrTb"/>
            <w:vAlign w:val="bottom"/>
            <w:hideMark/>
          </w:tcPr>
          <w:p w:rsidR="00CF0B79" w:rsidRPr="00FC4B6C" w:rsidP="00F576BD">
            <w:pPr>
              <w:bidi w:val="0"/>
              <w:jc w:val="center"/>
              <w:rPr>
                <w:rFonts w:ascii="Times New Roman" w:hAnsi="Times New Roman"/>
                <w:b/>
                <w:bCs/>
                <w:color w:val="000000"/>
                <w:sz w:val="14"/>
                <w:szCs w:val="14"/>
              </w:rPr>
            </w:pPr>
            <w:r w:rsidRPr="00FC4B6C">
              <w:rPr>
                <w:rFonts w:ascii="Times New Roman" w:hAnsi="Times New Roman"/>
                <w:b/>
                <w:bCs/>
                <w:color w:val="000000"/>
                <w:sz w:val="14"/>
                <w:szCs w:val="14"/>
              </w:rPr>
              <w:t>2013P</w:t>
            </w:r>
          </w:p>
        </w:tc>
        <w:tc>
          <w:tcPr>
            <w:tcW w:w="1333" w:type="dxa"/>
            <w:tcBorders>
              <w:top w:val="single" w:sz="4" w:space="0" w:color="auto"/>
              <w:left w:val="nil"/>
              <w:bottom w:val="single" w:sz="4" w:space="0" w:color="auto"/>
              <w:right w:val="single" w:sz="4" w:space="0" w:color="auto"/>
            </w:tcBorders>
            <w:noWrap/>
            <w:textDirection w:val="lrTb"/>
            <w:vAlign w:val="bottom"/>
            <w:hideMark/>
          </w:tcPr>
          <w:p w:rsidR="00CF0B79" w:rsidRPr="00FC4B6C" w:rsidP="00F576BD">
            <w:pPr>
              <w:bidi w:val="0"/>
              <w:jc w:val="center"/>
              <w:rPr>
                <w:rFonts w:ascii="Times New Roman" w:hAnsi="Times New Roman"/>
                <w:b/>
                <w:bCs/>
                <w:color w:val="000000"/>
                <w:sz w:val="14"/>
                <w:szCs w:val="14"/>
              </w:rPr>
            </w:pPr>
            <w:r w:rsidRPr="00FC4B6C">
              <w:rPr>
                <w:rFonts w:ascii="Times New Roman" w:hAnsi="Times New Roman"/>
                <w:b/>
                <w:bCs/>
                <w:color w:val="000000"/>
                <w:sz w:val="14"/>
                <w:szCs w:val="14"/>
              </w:rPr>
              <w:t>2014P</w:t>
            </w:r>
          </w:p>
        </w:tc>
      </w:tr>
      <w:tr>
        <w:tblPrEx>
          <w:tblW w:w="9072" w:type="dxa"/>
          <w:tblInd w:w="70" w:type="dxa"/>
          <w:tblLayout w:type="fixed"/>
          <w:tblCellMar>
            <w:left w:w="70" w:type="dxa"/>
            <w:right w:w="70" w:type="dxa"/>
          </w:tblCellMar>
          <w:tblLook w:val="04A0"/>
        </w:tblPrEx>
        <w:trPr>
          <w:trHeight w:val="272"/>
        </w:trPr>
        <w:tc>
          <w:tcPr>
            <w:tcW w:w="2410" w:type="dxa"/>
            <w:tcBorders>
              <w:top w:val="nil"/>
              <w:left w:val="single" w:sz="4" w:space="0" w:color="auto"/>
              <w:bottom w:val="single" w:sz="4" w:space="0" w:color="auto"/>
              <w:right w:val="single" w:sz="4" w:space="0" w:color="auto"/>
            </w:tcBorders>
            <w:noWrap/>
            <w:textDirection w:val="lrTb"/>
            <w:vAlign w:val="bottom"/>
            <w:hideMark/>
          </w:tcPr>
          <w:p w:rsidR="00C14127" w:rsidRPr="00FC4B6C" w:rsidP="00F576BD">
            <w:pPr>
              <w:bidi w:val="0"/>
              <w:rPr>
                <w:rFonts w:ascii="Times New Roman" w:hAnsi="Times New Roman"/>
                <w:color w:val="000000"/>
                <w:sz w:val="14"/>
                <w:szCs w:val="14"/>
                <w:lang w:val="en-US"/>
              </w:rPr>
            </w:pPr>
            <w:r w:rsidRPr="00FC4B6C">
              <w:rPr>
                <w:rFonts w:ascii="Times New Roman" w:hAnsi="Times New Roman"/>
                <w:color w:val="000000"/>
                <w:sz w:val="14"/>
                <w:szCs w:val="14"/>
              </w:rPr>
              <w:t xml:space="preserve">Štátny dlh </w:t>
            </w:r>
          </w:p>
        </w:tc>
        <w:tc>
          <w:tcPr>
            <w:tcW w:w="1332" w:type="dxa"/>
            <w:tcBorders>
              <w:top w:val="nil"/>
              <w:left w:val="nil"/>
              <w:bottom w:val="single" w:sz="4" w:space="0" w:color="auto"/>
              <w:right w:val="single" w:sz="4" w:space="0" w:color="auto"/>
            </w:tcBorders>
            <w:noWrap/>
            <w:textDirection w:val="lrTb"/>
            <w:vAlign w:val="bottom"/>
            <w:hideMark/>
          </w:tcPr>
          <w:p w:rsidR="00C14127" w:rsidRPr="00F303C2" w:rsidP="00F576BD">
            <w:pPr>
              <w:bidi w:val="0"/>
              <w:jc w:val="right"/>
              <w:rPr>
                <w:rFonts w:ascii="Times New Roman" w:hAnsi="Times New Roman"/>
                <w:sz w:val="14"/>
                <w:szCs w:val="14"/>
              </w:rPr>
            </w:pPr>
            <w:r w:rsidRPr="00F303C2">
              <w:rPr>
                <w:rFonts w:ascii="Times New Roman" w:hAnsi="Times New Roman"/>
                <w:sz w:val="14"/>
                <w:szCs w:val="14"/>
              </w:rPr>
              <w:t>25,825</w:t>
            </w:r>
          </w:p>
        </w:tc>
        <w:tc>
          <w:tcPr>
            <w:tcW w:w="1332" w:type="dxa"/>
            <w:tcBorders>
              <w:top w:val="nil"/>
              <w:left w:val="nil"/>
              <w:bottom w:val="single" w:sz="4" w:space="0" w:color="auto"/>
              <w:right w:val="single" w:sz="4" w:space="0" w:color="auto"/>
            </w:tcBorders>
            <w:noWrap/>
            <w:textDirection w:val="lrTb"/>
            <w:vAlign w:val="bottom"/>
            <w:hideMark/>
          </w:tcPr>
          <w:p w:rsidR="00C14127" w:rsidRPr="00F303C2" w:rsidP="00C14127">
            <w:pPr>
              <w:bidi w:val="0"/>
              <w:jc w:val="right"/>
              <w:rPr>
                <w:rFonts w:ascii="Times New Roman" w:hAnsi="Times New Roman"/>
                <w:sz w:val="14"/>
                <w:szCs w:val="14"/>
              </w:rPr>
            </w:pPr>
            <w:r w:rsidRPr="00F303C2">
              <w:rPr>
                <w:rFonts w:ascii="Times New Roman" w:hAnsi="Times New Roman"/>
                <w:sz w:val="14"/>
                <w:szCs w:val="14"/>
              </w:rPr>
              <w:t>29,570</w:t>
            </w:r>
          </w:p>
        </w:tc>
        <w:tc>
          <w:tcPr>
            <w:tcW w:w="1333" w:type="dxa"/>
            <w:tcBorders>
              <w:top w:val="nil"/>
              <w:left w:val="nil"/>
              <w:bottom w:val="single" w:sz="4" w:space="0" w:color="auto"/>
              <w:right w:val="single" w:sz="4" w:space="0" w:color="auto"/>
            </w:tcBorders>
            <w:noWrap/>
            <w:textDirection w:val="lrTb"/>
            <w:vAlign w:val="bottom"/>
            <w:hideMark/>
          </w:tcPr>
          <w:p w:rsidR="00C14127" w:rsidRPr="00F303C2">
            <w:pPr>
              <w:bidi w:val="0"/>
              <w:jc w:val="right"/>
              <w:rPr>
                <w:rFonts w:ascii="Times New Roman" w:hAnsi="Times New Roman"/>
                <w:sz w:val="14"/>
                <w:szCs w:val="14"/>
              </w:rPr>
            </w:pPr>
            <w:r w:rsidRPr="00F303C2">
              <w:rPr>
                <w:rFonts w:ascii="Times New Roman" w:hAnsi="Times New Roman"/>
                <w:sz w:val="14"/>
                <w:szCs w:val="14"/>
              </w:rPr>
              <w:t>32,306</w:t>
            </w:r>
          </w:p>
        </w:tc>
        <w:tc>
          <w:tcPr>
            <w:tcW w:w="1332" w:type="dxa"/>
            <w:tcBorders>
              <w:top w:val="nil"/>
              <w:left w:val="nil"/>
              <w:bottom w:val="single" w:sz="4" w:space="0" w:color="auto"/>
              <w:right w:val="single" w:sz="4" w:space="0" w:color="auto"/>
            </w:tcBorders>
            <w:noWrap/>
            <w:textDirection w:val="lrTb"/>
            <w:vAlign w:val="bottom"/>
            <w:hideMark/>
          </w:tcPr>
          <w:p w:rsidR="00C14127" w:rsidRPr="00F303C2">
            <w:pPr>
              <w:bidi w:val="0"/>
              <w:jc w:val="right"/>
              <w:rPr>
                <w:rFonts w:ascii="Times New Roman" w:hAnsi="Times New Roman"/>
                <w:sz w:val="14"/>
                <w:szCs w:val="14"/>
              </w:rPr>
            </w:pPr>
            <w:r w:rsidRPr="00F303C2">
              <w:rPr>
                <w:rFonts w:ascii="Times New Roman" w:hAnsi="Times New Roman"/>
                <w:sz w:val="14"/>
                <w:szCs w:val="14"/>
              </w:rPr>
              <w:t>34,916</w:t>
            </w:r>
          </w:p>
        </w:tc>
        <w:tc>
          <w:tcPr>
            <w:tcW w:w="1333" w:type="dxa"/>
            <w:tcBorders>
              <w:top w:val="nil"/>
              <w:left w:val="nil"/>
              <w:bottom w:val="single" w:sz="4" w:space="0" w:color="auto"/>
              <w:right w:val="single" w:sz="4" w:space="0" w:color="auto"/>
            </w:tcBorders>
            <w:noWrap/>
            <w:textDirection w:val="lrTb"/>
            <w:vAlign w:val="bottom"/>
            <w:hideMark/>
          </w:tcPr>
          <w:p w:rsidR="00C14127" w:rsidRPr="00F303C2">
            <w:pPr>
              <w:bidi w:val="0"/>
              <w:jc w:val="right"/>
              <w:rPr>
                <w:rFonts w:ascii="Times New Roman" w:hAnsi="Times New Roman"/>
                <w:sz w:val="14"/>
                <w:szCs w:val="14"/>
              </w:rPr>
            </w:pPr>
            <w:r w:rsidRPr="00F303C2">
              <w:rPr>
                <w:rFonts w:ascii="Times New Roman" w:hAnsi="Times New Roman"/>
                <w:sz w:val="14"/>
                <w:szCs w:val="14"/>
              </w:rPr>
              <w:t>37,495</w:t>
            </w:r>
          </w:p>
        </w:tc>
      </w:tr>
      <w:tr>
        <w:tblPrEx>
          <w:tblW w:w="9072" w:type="dxa"/>
          <w:tblInd w:w="70" w:type="dxa"/>
          <w:tblLayout w:type="fixed"/>
          <w:tblCellMar>
            <w:left w:w="70" w:type="dxa"/>
            <w:right w:w="70" w:type="dxa"/>
          </w:tblCellMar>
          <w:tblLook w:val="04A0"/>
        </w:tblPrEx>
        <w:trPr>
          <w:trHeight w:val="272"/>
        </w:trPr>
        <w:tc>
          <w:tcPr>
            <w:tcW w:w="2410" w:type="dxa"/>
            <w:tcBorders>
              <w:top w:val="nil"/>
              <w:left w:val="single" w:sz="4" w:space="0" w:color="auto"/>
              <w:bottom w:val="single" w:sz="4" w:space="0" w:color="auto"/>
              <w:right w:val="single" w:sz="4" w:space="0" w:color="auto"/>
            </w:tcBorders>
            <w:noWrap/>
            <w:textDirection w:val="lrTb"/>
            <w:vAlign w:val="bottom"/>
            <w:hideMark/>
          </w:tcPr>
          <w:p w:rsidR="00CF0B79" w:rsidRPr="00FC4B6C" w:rsidP="00F576BD">
            <w:pPr>
              <w:bidi w:val="0"/>
              <w:rPr>
                <w:rFonts w:ascii="Times New Roman" w:hAnsi="Times New Roman"/>
                <w:color w:val="000000"/>
                <w:sz w:val="14"/>
                <w:szCs w:val="14"/>
              </w:rPr>
            </w:pPr>
            <w:r w:rsidRPr="00FC4B6C">
              <w:rPr>
                <w:rFonts w:ascii="Times New Roman" w:hAnsi="Times New Roman"/>
                <w:color w:val="000000"/>
                <w:sz w:val="14"/>
                <w:szCs w:val="14"/>
              </w:rPr>
              <w:t>Štátna pokladnica</w:t>
            </w:r>
          </w:p>
        </w:tc>
        <w:tc>
          <w:tcPr>
            <w:tcW w:w="1332" w:type="dxa"/>
            <w:tcBorders>
              <w:top w:val="nil"/>
              <w:left w:val="nil"/>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color w:val="000000"/>
                <w:sz w:val="14"/>
                <w:szCs w:val="14"/>
              </w:rPr>
            </w:pPr>
            <w:r w:rsidRPr="00FC4B6C">
              <w:rPr>
                <w:rFonts w:ascii="Times New Roman" w:hAnsi="Times New Roman"/>
                <w:color w:val="000000"/>
                <w:sz w:val="14"/>
                <w:szCs w:val="14"/>
              </w:rPr>
              <w:t>3,8</w:t>
            </w:r>
          </w:p>
        </w:tc>
        <w:tc>
          <w:tcPr>
            <w:tcW w:w="1332" w:type="dxa"/>
            <w:tcBorders>
              <w:top w:val="nil"/>
              <w:left w:val="nil"/>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color w:val="000000"/>
                <w:sz w:val="14"/>
                <w:szCs w:val="14"/>
              </w:rPr>
            </w:pPr>
            <w:r w:rsidRPr="00FC4B6C">
              <w:rPr>
                <w:rFonts w:ascii="Times New Roman" w:hAnsi="Times New Roman"/>
                <w:color w:val="000000"/>
                <w:sz w:val="14"/>
                <w:szCs w:val="14"/>
              </w:rPr>
              <w:t>3,94</w:t>
            </w:r>
          </w:p>
        </w:tc>
        <w:tc>
          <w:tcPr>
            <w:tcW w:w="1333" w:type="dxa"/>
            <w:tcBorders>
              <w:top w:val="nil"/>
              <w:left w:val="nil"/>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color w:val="000000"/>
                <w:sz w:val="14"/>
                <w:szCs w:val="14"/>
              </w:rPr>
            </w:pPr>
            <w:r w:rsidRPr="00FC4B6C">
              <w:rPr>
                <w:rFonts w:ascii="Times New Roman" w:hAnsi="Times New Roman"/>
                <w:color w:val="000000"/>
                <w:sz w:val="14"/>
                <w:szCs w:val="14"/>
              </w:rPr>
              <w:t>3,94</w:t>
            </w:r>
          </w:p>
        </w:tc>
        <w:tc>
          <w:tcPr>
            <w:tcW w:w="1332" w:type="dxa"/>
            <w:tcBorders>
              <w:top w:val="nil"/>
              <w:left w:val="nil"/>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color w:val="000000"/>
                <w:sz w:val="14"/>
                <w:szCs w:val="14"/>
              </w:rPr>
            </w:pPr>
            <w:r w:rsidRPr="00FC4B6C">
              <w:rPr>
                <w:rFonts w:ascii="Times New Roman" w:hAnsi="Times New Roman"/>
                <w:color w:val="000000"/>
                <w:sz w:val="14"/>
                <w:szCs w:val="14"/>
              </w:rPr>
              <w:t>3,94</w:t>
            </w:r>
          </w:p>
        </w:tc>
        <w:tc>
          <w:tcPr>
            <w:tcW w:w="1333" w:type="dxa"/>
            <w:tcBorders>
              <w:top w:val="nil"/>
              <w:left w:val="nil"/>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color w:val="000000"/>
                <w:sz w:val="14"/>
                <w:szCs w:val="14"/>
              </w:rPr>
            </w:pPr>
            <w:r w:rsidRPr="00FC4B6C">
              <w:rPr>
                <w:rFonts w:ascii="Times New Roman" w:hAnsi="Times New Roman"/>
                <w:color w:val="000000"/>
                <w:sz w:val="14"/>
                <w:szCs w:val="14"/>
              </w:rPr>
              <w:t>3,97</w:t>
            </w:r>
          </w:p>
        </w:tc>
      </w:tr>
      <w:tr>
        <w:tblPrEx>
          <w:tblW w:w="9072" w:type="dxa"/>
          <w:tblInd w:w="70" w:type="dxa"/>
          <w:tblLayout w:type="fixed"/>
          <w:tblCellMar>
            <w:left w:w="70" w:type="dxa"/>
            <w:right w:w="70" w:type="dxa"/>
          </w:tblCellMar>
          <w:tblLook w:val="04A0"/>
        </w:tblPrEx>
        <w:trPr>
          <w:trHeight w:val="272"/>
        </w:trPr>
        <w:tc>
          <w:tcPr>
            <w:tcW w:w="2410" w:type="dxa"/>
            <w:tcBorders>
              <w:top w:val="nil"/>
              <w:left w:val="single" w:sz="4" w:space="0" w:color="auto"/>
              <w:bottom w:val="single" w:sz="4" w:space="0" w:color="auto"/>
              <w:right w:val="single" w:sz="4" w:space="0" w:color="auto"/>
            </w:tcBorders>
            <w:noWrap/>
            <w:textDirection w:val="lrTb"/>
            <w:vAlign w:val="bottom"/>
            <w:hideMark/>
          </w:tcPr>
          <w:p w:rsidR="00C14127" w:rsidRPr="00FC4B6C" w:rsidP="00F576BD">
            <w:pPr>
              <w:bidi w:val="0"/>
              <w:rPr>
                <w:rFonts w:ascii="Times New Roman" w:hAnsi="Times New Roman"/>
                <w:color w:val="000000"/>
                <w:sz w:val="14"/>
                <w:szCs w:val="14"/>
              </w:rPr>
            </w:pPr>
            <w:r w:rsidRPr="00FC4B6C">
              <w:rPr>
                <w:rFonts w:ascii="Times New Roman" w:hAnsi="Times New Roman"/>
                <w:color w:val="000000"/>
                <w:sz w:val="14"/>
                <w:szCs w:val="14"/>
              </w:rPr>
              <w:t>Vklady v bankách</w:t>
            </w:r>
          </w:p>
        </w:tc>
        <w:tc>
          <w:tcPr>
            <w:tcW w:w="1332" w:type="dxa"/>
            <w:tcBorders>
              <w:top w:val="nil"/>
              <w:left w:val="nil"/>
              <w:bottom w:val="single" w:sz="4" w:space="0" w:color="auto"/>
              <w:right w:val="single" w:sz="4" w:space="0" w:color="auto"/>
            </w:tcBorders>
            <w:noWrap/>
            <w:textDirection w:val="lrTb"/>
            <w:vAlign w:val="bottom"/>
            <w:hideMark/>
          </w:tcPr>
          <w:p w:rsidR="00C14127" w:rsidRPr="00F303C2" w:rsidP="00F576BD">
            <w:pPr>
              <w:bidi w:val="0"/>
              <w:jc w:val="right"/>
              <w:rPr>
                <w:rFonts w:ascii="Times New Roman" w:hAnsi="Times New Roman"/>
                <w:sz w:val="14"/>
                <w:szCs w:val="14"/>
              </w:rPr>
            </w:pPr>
            <w:r w:rsidRPr="00F303C2">
              <w:rPr>
                <w:rFonts w:ascii="Times New Roman" w:hAnsi="Times New Roman"/>
                <w:sz w:val="14"/>
                <w:szCs w:val="14"/>
              </w:rPr>
              <w:t>- 1,586</w:t>
            </w:r>
          </w:p>
        </w:tc>
        <w:tc>
          <w:tcPr>
            <w:tcW w:w="1332" w:type="dxa"/>
            <w:tcBorders>
              <w:top w:val="nil"/>
              <w:left w:val="nil"/>
              <w:bottom w:val="single" w:sz="4" w:space="0" w:color="auto"/>
              <w:right w:val="single" w:sz="4" w:space="0" w:color="auto"/>
            </w:tcBorders>
            <w:noWrap/>
            <w:textDirection w:val="lrTb"/>
            <w:vAlign w:val="bottom"/>
            <w:hideMark/>
          </w:tcPr>
          <w:p w:rsidR="00C14127" w:rsidRPr="00F303C2">
            <w:pPr>
              <w:bidi w:val="0"/>
              <w:jc w:val="right"/>
              <w:rPr>
                <w:rFonts w:ascii="Times New Roman" w:hAnsi="Times New Roman"/>
                <w:sz w:val="14"/>
                <w:szCs w:val="14"/>
              </w:rPr>
            </w:pPr>
            <w:r w:rsidRPr="00F303C2">
              <w:rPr>
                <w:rFonts w:ascii="Times New Roman" w:hAnsi="Times New Roman"/>
                <w:sz w:val="14"/>
                <w:szCs w:val="14"/>
              </w:rPr>
              <w:t>- 1,525</w:t>
            </w:r>
          </w:p>
        </w:tc>
        <w:tc>
          <w:tcPr>
            <w:tcW w:w="1333" w:type="dxa"/>
            <w:tcBorders>
              <w:top w:val="nil"/>
              <w:left w:val="nil"/>
              <w:bottom w:val="single" w:sz="4" w:space="0" w:color="auto"/>
              <w:right w:val="single" w:sz="4" w:space="0" w:color="auto"/>
            </w:tcBorders>
            <w:noWrap/>
            <w:textDirection w:val="lrTb"/>
            <w:vAlign w:val="bottom"/>
            <w:hideMark/>
          </w:tcPr>
          <w:p w:rsidR="00C14127" w:rsidRPr="00F303C2">
            <w:pPr>
              <w:bidi w:val="0"/>
              <w:jc w:val="right"/>
              <w:rPr>
                <w:rFonts w:ascii="Times New Roman" w:hAnsi="Times New Roman"/>
                <w:sz w:val="14"/>
                <w:szCs w:val="14"/>
              </w:rPr>
            </w:pPr>
            <w:r w:rsidRPr="00F303C2">
              <w:rPr>
                <w:rFonts w:ascii="Times New Roman" w:hAnsi="Times New Roman"/>
                <w:sz w:val="14"/>
                <w:szCs w:val="14"/>
              </w:rPr>
              <w:t>-0,815</w:t>
            </w:r>
          </w:p>
        </w:tc>
        <w:tc>
          <w:tcPr>
            <w:tcW w:w="1332" w:type="dxa"/>
            <w:tcBorders>
              <w:top w:val="nil"/>
              <w:left w:val="nil"/>
              <w:bottom w:val="single" w:sz="4" w:space="0" w:color="auto"/>
              <w:right w:val="single" w:sz="4" w:space="0" w:color="auto"/>
            </w:tcBorders>
            <w:noWrap/>
            <w:textDirection w:val="lrTb"/>
            <w:vAlign w:val="bottom"/>
            <w:hideMark/>
          </w:tcPr>
          <w:p w:rsidR="00C14127" w:rsidRPr="00F303C2">
            <w:pPr>
              <w:bidi w:val="0"/>
              <w:jc w:val="right"/>
              <w:rPr>
                <w:rFonts w:ascii="Times New Roman" w:hAnsi="Times New Roman"/>
                <w:sz w:val="14"/>
                <w:szCs w:val="14"/>
              </w:rPr>
            </w:pPr>
            <w:r w:rsidRPr="00F303C2">
              <w:rPr>
                <w:rFonts w:ascii="Times New Roman" w:hAnsi="Times New Roman"/>
                <w:sz w:val="14"/>
                <w:szCs w:val="14"/>
              </w:rPr>
              <w:t>-1,060</w:t>
            </w:r>
          </w:p>
        </w:tc>
        <w:tc>
          <w:tcPr>
            <w:tcW w:w="1333" w:type="dxa"/>
            <w:tcBorders>
              <w:top w:val="nil"/>
              <w:left w:val="nil"/>
              <w:bottom w:val="single" w:sz="4" w:space="0" w:color="auto"/>
              <w:right w:val="single" w:sz="4" w:space="0" w:color="auto"/>
            </w:tcBorders>
            <w:noWrap/>
            <w:textDirection w:val="lrTb"/>
            <w:vAlign w:val="bottom"/>
            <w:hideMark/>
          </w:tcPr>
          <w:p w:rsidR="00C14127" w:rsidRPr="00F303C2">
            <w:pPr>
              <w:bidi w:val="0"/>
              <w:jc w:val="right"/>
              <w:rPr>
                <w:rFonts w:ascii="Times New Roman" w:hAnsi="Times New Roman"/>
                <w:sz w:val="14"/>
                <w:szCs w:val="14"/>
              </w:rPr>
            </w:pPr>
            <w:r w:rsidRPr="00F303C2">
              <w:rPr>
                <w:rFonts w:ascii="Times New Roman" w:hAnsi="Times New Roman"/>
                <w:sz w:val="14"/>
                <w:szCs w:val="14"/>
              </w:rPr>
              <w:t>-1,185</w:t>
            </w:r>
          </w:p>
        </w:tc>
      </w:tr>
      <w:tr>
        <w:tblPrEx>
          <w:tblW w:w="9072" w:type="dxa"/>
          <w:tblInd w:w="70" w:type="dxa"/>
          <w:tblLayout w:type="fixed"/>
          <w:tblCellMar>
            <w:left w:w="70" w:type="dxa"/>
            <w:right w:w="70" w:type="dxa"/>
          </w:tblCellMar>
          <w:tblLook w:val="04A0"/>
        </w:tblPrEx>
        <w:trPr>
          <w:trHeight w:val="272"/>
        </w:trPr>
        <w:tc>
          <w:tcPr>
            <w:tcW w:w="2410" w:type="dxa"/>
            <w:tcBorders>
              <w:top w:val="nil"/>
              <w:left w:val="single" w:sz="4" w:space="0" w:color="auto"/>
              <w:bottom w:val="single" w:sz="4" w:space="0" w:color="auto"/>
              <w:right w:val="single" w:sz="4" w:space="0" w:color="auto"/>
            </w:tcBorders>
            <w:noWrap/>
            <w:textDirection w:val="lrTb"/>
            <w:vAlign w:val="bottom"/>
            <w:hideMark/>
          </w:tcPr>
          <w:p w:rsidR="00CF0B79" w:rsidRPr="00FC4B6C" w:rsidP="00F576BD">
            <w:pPr>
              <w:bidi w:val="0"/>
              <w:rPr>
                <w:rFonts w:ascii="Times New Roman" w:hAnsi="Times New Roman"/>
                <w:bCs/>
                <w:color w:val="000000"/>
                <w:sz w:val="14"/>
                <w:szCs w:val="14"/>
              </w:rPr>
            </w:pPr>
            <w:r w:rsidRPr="00FC4B6C">
              <w:rPr>
                <w:rFonts w:ascii="Times New Roman" w:hAnsi="Times New Roman"/>
                <w:bCs/>
                <w:color w:val="000000"/>
                <w:sz w:val="14"/>
                <w:szCs w:val="14"/>
              </w:rPr>
              <w:t>Čisté štátne záväzky</w:t>
            </w:r>
          </w:p>
        </w:tc>
        <w:tc>
          <w:tcPr>
            <w:tcW w:w="1332" w:type="dxa"/>
            <w:tcBorders>
              <w:top w:val="nil"/>
              <w:left w:val="nil"/>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bCs/>
                <w:color w:val="000000"/>
                <w:sz w:val="14"/>
                <w:szCs w:val="14"/>
              </w:rPr>
            </w:pPr>
            <w:r w:rsidRPr="00FC4B6C">
              <w:rPr>
                <w:rFonts w:ascii="Times New Roman" w:hAnsi="Times New Roman"/>
                <w:bCs/>
                <w:color w:val="000000"/>
                <w:sz w:val="14"/>
                <w:szCs w:val="14"/>
              </w:rPr>
              <w:t>29,625</w:t>
            </w:r>
          </w:p>
        </w:tc>
        <w:tc>
          <w:tcPr>
            <w:tcW w:w="1332" w:type="dxa"/>
            <w:tcBorders>
              <w:top w:val="nil"/>
              <w:left w:val="nil"/>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bCs/>
                <w:color w:val="000000"/>
                <w:sz w:val="14"/>
                <w:szCs w:val="14"/>
              </w:rPr>
            </w:pPr>
            <w:r w:rsidRPr="00FC4B6C">
              <w:rPr>
                <w:rFonts w:ascii="Times New Roman" w:hAnsi="Times New Roman"/>
                <w:bCs/>
                <w:color w:val="000000"/>
                <w:sz w:val="14"/>
                <w:szCs w:val="14"/>
              </w:rPr>
              <w:t>33,</w:t>
            </w:r>
            <w:r>
              <w:rPr>
                <w:rFonts w:ascii="Times New Roman" w:hAnsi="Times New Roman"/>
                <w:bCs/>
                <w:color w:val="000000"/>
                <w:sz w:val="14"/>
                <w:szCs w:val="14"/>
              </w:rPr>
              <w:t>363</w:t>
            </w:r>
          </w:p>
        </w:tc>
        <w:tc>
          <w:tcPr>
            <w:tcW w:w="1333" w:type="dxa"/>
            <w:tcBorders>
              <w:top w:val="nil"/>
              <w:left w:val="nil"/>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bCs/>
                <w:color w:val="000000"/>
                <w:sz w:val="14"/>
                <w:szCs w:val="14"/>
              </w:rPr>
            </w:pPr>
            <w:r w:rsidRPr="00FC4B6C">
              <w:rPr>
                <w:rFonts w:ascii="Times New Roman" w:hAnsi="Times New Roman"/>
                <w:bCs/>
                <w:color w:val="000000"/>
                <w:sz w:val="14"/>
                <w:szCs w:val="14"/>
              </w:rPr>
              <w:t>36,0</w:t>
            </w:r>
            <w:r>
              <w:rPr>
                <w:rFonts w:ascii="Times New Roman" w:hAnsi="Times New Roman"/>
                <w:bCs/>
                <w:color w:val="000000"/>
                <w:sz w:val="14"/>
                <w:szCs w:val="14"/>
              </w:rPr>
              <w:t>81</w:t>
            </w:r>
          </w:p>
        </w:tc>
        <w:tc>
          <w:tcPr>
            <w:tcW w:w="1332" w:type="dxa"/>
            <w:tcBorders>
              <w:top w:val="nil"/>
              <w:left w:val="nil"/>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bCs/>
                <w:color w:val="000000"/>
                <w:sz w:val="14"/>
                <w:szCs w:val="14"/>
              </w:rPr>
            </w:pPr>
            <w:r w:rsidRPr="00FC4B6C">
              <w:rPr>
                <w:rFonts w:ascii="Times New Roman" w:hAnsi="Times New Roman"/>
                <w:bCs/>
                <w:color w:val="000000"/>
                <w:sz w:val="14"/>
                <w:szCs w:val="14"/>
              </w:rPr>
              <w:t>38,</w:t>
            </w:r>
            <w:r>
              <w:rPr>
                <w:rFonts w:ascii="Times New Roman" w:hAnsi="Times New Roman"/>
                <w:bCs/>
                <w:color w:val="000000"/>
                <w:sz w:val="14"/>
                <w:szCs w:val="14"/>
              </w:rPr>
              <w:t>543</w:t>
            </w:r>
          </w:p>
        </w:tc>
        <w:tc>
          <w:tcPr>
            <w:tcW w:w="1333" w:type="dxa"/>
            <w:tcBorders>
              <w:top w:val="nil"/>
              <w:left w:val="nil"/>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bCs/>
                <w:color w:val="000000"/>
                <w:sz w:val="14"/>
                <w:szCs w:val="14"/>
              </w:rPr>
            </w:pPr>
            <w:r w:rsidRPr="00FC4B6C">
              <w:rPr>
                <w:rFonts w:ascii="Times New Roman" w:hAnsi="Times New Roman"/>
                <w:bCs/>
                <w:color w:val="000000"/>
                <w:sz w:val="14"/>
                <w:szCs w:val="14"/>
              </w:rPr>
              <w:t>40,</w:t>
            </w:r>
            <w:r>
              <w:rPr>
                <w:rFonts w:ascii="Times New Roman" w:hAnsi="Times New Roman"/>
                <w:bCs/>
                <w:color w:val="000000"/>
                <w:sz w:val="14"/>
                <w:szCs w:val="14"/>
              </w:rPr>
              <w:t>693</w:t>
            </w:r>
          </w:p>
        </w:tc>
      </w:tr>
    </w:tbl>
    <w:p w:rsidR="000F7251" w:rsidRPr="001768B3" w:rsidP="00CF0B79">
      <w:pPr>
        <w:pStyle w:val="ListParagraph"/>
        <w:bidi w:val="0"/>
        <w:ind w:left="0"/>
        <w:contextualSpacing w:val="0"/>
        <w:rPr>
          <w:rFonts w:ascii="Times New Roman" w:hAnsi="Times New Roman" w:cs="Times New Roman"/>
        </w:rPr>
      </w:pPr>
    </w:p>
    <w:p w:rsidR="00CF0B79" w:rsidRPr="006F0860" w:rsidP="00CF0B79">
      <w:pPr>
        <w:pStyle w:val="ListParagraph"/>
        <w:bidi w:val="0"/>
        <w:ind w:left="0"/>
        <w:contextualSpacing w:val="0"/>
        <w:rPr>
          <w:rFonts w:ascii="Times New Roman" w:hAnsi="Times New Roman" w:cs="Times New Roman"/>
          <w:i/>
        </w:rPr>
      </w:pPr>
      <w:r w:rsidRPr="006F0860">
        <w:rPr>
          <w:rFonts w:ascii="Times New Roman" w:hAnsi="Times New Roman" w:cs="Times New Roman"/>
          <w:i/>
        </w:rPr>
        <w:t>B. Úročenie štátneho dlhu</w:t>
      </w:r>
    </w:p>
    <w:p w:rsidR="00CF0B79" w:rsidRPr="006F0860" w:rsidP="00CF0B79">
      <w:pPr>
        <w:pStyle w:val="ListParagraph"/>
        <w:bidi w:val="0"/>
        <w:ind w:left="0"/>
        <w:contextualSpacing w:val="0"/>
        <w:jc w:val="both"/>
        <w:rPr>
          <w:rFonts w:ascii="Times New Roman" w:hAnsi="Times New Roman" w:cs="Times New Roman"/>
        </w:rPr>
      </w:pPr>
    </w:p>
    <w:p w:rsidR="00CF0B79" w:rsidRPr="006F0860" w:rsidP="00CF0B79">
      <w:pPr>
        <w:pStyle w:val="ListParagraph"/>
        <w:bidi w:val="0"/>
        <w:ind w:left="0" w:firstLine="708"/>
        <w:contextualSpacing w:val="0"/>
        <w:jc w:val="both"/>
        <w:rPr>
          <w:rFonts w:ascii="Times New Roman" w:hAnsi="Times New Roman" w:cs="Times New Roman"/>
        </w:rPr>
      </w:pPr>
      <w:r w:rsidRPr="006F0860">
        <w:rPr>
          <w:rFonts w:ascii="Times New Roman" w:hAnsi="Times New Roman" w:cs="Times New Roman"/>
        </w:rPr>
        <w:t>Rozhodujúca časť štátneho dlhu - takmer 90% - má zafixované úročenie na niekoľko rokov dopredu. Nárast úrokových sadzieb na finančnom trhu sa v úrokových nákladoch na štátny dlh preto prejaví len postupne. Nové dlhopisy, ktoré sú vydávané na krytie nových deficitov štátneho rozpočtu a ako náhrada splatných štátnych dlhopisov, budú vydávané pravdepodobne s väčšími, v danom roku aktuálnymi trhovými úrokovými sadzbami. Okrem toho sa v každom roku precení časť portfólia, ktorá je úročená pohyblivou úrokovou sadzbou, v roku 2011 táto časť dosahovala približne 12</w:t>
      </w:r>
      <w:r w:rsidR="00C157CC">
        <w:rPr>
          <w:rFonts w:ascii="Times New Roman" w:hAnsi="Times New Roman" w:cs="Times New Roman"/>
        </w:rPr>
        <w:t xml:space="preserve"> </w:t>
      </w:r>
      <w:r w:rsidRPr="006F0860">
        <w:rPr>
          <w:rFonts w:ascii="Times New Roman" w:hAnsi="Times New Roman" w:cs="Times New Roman"/>
        </w:rPr>
        <w:t>% celého portfólia. Dlhopisy s pohyblivou úrokovou sadzbou sa vydávajú na základe Stratégie riadenia štátneho dlhu s cieľom pokrytia investorského dopytu, ktorý je zameraný prevažne na aktíva s pohyblivou úrokovou sadzbou.</w:t>
      </w:r>
    </w:p>
    <w:p w:rsidR="00CF0B79" w:rsidRPr="006F0860" w:rsidP="00CF0B79">
      <w:pPr>
        <w:pStyle w:val="ListParagraph"/>
        <w:bidi w:val="0"/>
        <w:ind w:left="0"/>
        <w:contextualSpacing w:val="0"/>
        <w:jc w:val="both"/>
        <w:rPr>
          <w:rFonts w:ascii="Times New Roman" w:hAnsi="Times New Roman" w:cs="Times New Roman"/>
        </w:rPr>
      </w:pPr>
    </w:p>
    <w:p w:rsidR="00CF0B79" w:rsidRPr="006F0860" w:rsidP="00CF0B79">
      <w:pPr>
        <w:pStyle w:val="ListParagraph"/>
        <w:bidi w:val="0"/>
        <w:ind w:left="0" w:firstLine="708"/>
        <w:contextualSpacing w:val="0"/>
        <w:jc w:val="both"/>
        <w:rPr>
          <w:rFonts w:ascii="Times New Roman" w:hAnsi="Times New Roman" w:cs="Times New Roman"/>
        </w:rPr>
      </w:pPr>
      <w:r w:rsidRPr="006F0860">
        <w:rPr>
          <w:rFonts w:ascii="Times New Roman" w:hAnsi="Times New Roman" w:cs="Times New Roman"/>
        </w:rPr>
        <w:t>Záväzky s pohyblivou úrokovou sadzbou.</w:t>
      </w:r>
    </w:p>
    <w:p w:rsidR="00CF0B79" w:rsidRPr="006F0860" w:rsidP="00CF0B79">
      <w:pPr>
        <w:pStyle w:val="ListParagraph"/>
        <w:bidi w:val="0"/>
        <w:ind w:left="0"/>
        <w:contextualSpacing w:val="0"/>
        <w:jc w:val="both"/>
        <w:rPr>
          <w:rFonts w:ascii="Times New Roman" w:hAnsi="Times New Roman" w:cs="Times New Roman"/>
        </w:rPr>
      </w:pPr>
    </w:p>
    <w:tbl>
      <w:tblPr>
        <w:tblStyle w:val="TableNormal"/>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0"/>
        <w:gridCol w:w="1312"/>
        <w:gridCol w:w="1312"/>
        <w:gridCol w:w="1312"/>
        <w:gridCol w:w="1308"/>
      </w:tblGrid>
      <w:tr>
        <w:tblPrEx>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55"/>
        </w:trPr>
        <w:tc>
          <w:tcPr>
            <w:tcW w:w="2110"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rPr>
                <w:rFonts w:ascii="Times New Roman" w:hAnsi="Times New Roman"/>
                <w:b/>
                <w:sz w:val="14"/>
                <w:szCs w:val="14"/>
                <w:lang w:eastAsia="en-GB"/>
              </w:rPr>
            </w:pPr>
            <w:r>
              <w:rPr>
                <w:rFonts w:ascii="Times New Roman" w:hAnsi="Times New Roman"/>
                <w:b/>
                <w:sz w:val="14"/>
                <w:szCs w:val="14"/>
                <w:lang w:val="en-US" w:eastAsia="en-GB"/>
              </w:rPr>
              <w:t xml:space="preserve">v </w:t>
            </w:r>
            <w:r w:rsidRPr="00461390">
              <w:rPr>
                <w:rFonts w:ascii="Times New Roman" w:hAnsi="Times New Roman"/>
                <w:b/>
                <w:sz w:val="14"/>
                <w:szCs w:val="14"/>
                <w:lang w:val="en-US" w:eastAsia="en-GB"/>
              </w:rPr>
              <w:t xml:space="preserve">mld. </w:t>
            </w:r>
            <w:r>
              <w:rPr>
                <w:rFonts w:ascii="Times New Roman" w:hAnsi="Times New Roman"/>
                <w:b/>
                <w:sz w:val="14"/>
                <w:szCs w:val="14"/>
                <w:lang w:val="en-US" w:eastAsia="en-GB"/>
              </w:rPr>
              <w:t>eur</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center"/>
              <w:rPr>
                <w:rFonts w:ascii="Times New Roman" w:hAnsi="Times New Roman"/>
                <w:b/>
                <w:bCs/>
                <w:sz w:val="14"/>
                <w:szCs w:val="14"/>
                <w:lang w:val="en-GB" w:eastAsia="en-GB"/>
              </w:rPr>
            </w:pPr>
            <w:r>
              <w:rPr>
                <w:rFonts w:ascii="Times New Roman" w:hAnsi="Times New Roman"/>
                <w:b/>
                <w:bCs/>
                <w:sz w:val="14"/>
                <w:szCs w:val="14"/>
                <w:lang w:val="en-GB" w:eastAsia="en-GB"/>
              </w:rPr>
              <w:t>2011 P</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center"/>
              <w:rPr>
                <w:rFonts w:ascii="Times New Roman" w:hAnsi="Times New Roman"/>
                <w:b/>
                <w:bCs/>
                <w:sz w:val="14"/>
                <w:szCs w:val="14"/>
                <w:lang w:val="en-GB" w:eastAsia="en-GB"/>
              </w:rPr>
            </w:pPr>
            <w:r>
              <w:rPr>
                <w:rFonts w:ascii="Times New Roman" w:hAnsi="Times New Roman"/>
                <w:b/>
                <w:bCs/>
                <w:sz w:val="14"/>
                <w:szCs w:val="14"/>
                <w:lang w:val="en-GB" w:eastAsia="en-GB"/>
              </w:rPr>
              <w:t>2012 P</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center"/>
              <w:rPr>
                <w:rFonts w:ascii="Times New Roman" w:hAnsi="Times New Roman"/>
                <w:b/>
                <w:bCs/>
                <w:sz w:val="14"/>
                <w:szCs w:val="14"/>
                <w:lang w:val="en-GB" w:eastAsia="en-GB"/>
              </w:rPr>
            </w:pPr>
            <w:r>
              <w:rPr>
                <w:rFonts w:ascii="Times New Roman" w:hAnsi="Times New Roman"/>
                <w:b/>
                <w:bCs/>
                <w:sz w:val="14"/>
                <w:szCs w:val="14"/>
                <w:lang w:val="en-GB" w:eastAsia="en-GB"/>
              </w:rPr>
              <w:t>2013 P</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center"/>
              <w:rPr>
                <w:rFonts w:ascii="Times New Roman" w:hAnsi="Times New Roman"/>
                <w:b/>
                <w:bCs/>
                <w:sz w:val="14"/>
                <w:szCs w:val="14"/>
                <w:lang w:val="en-GB" w:eastAsia="en-GB"/>
              </w:rPr>
            </w:pPr>
            <w:r>
              <w:rPr>
                <w:rFonts w:ascii="Times New Roman" w:hAnsi="Times New Roman"/>
                <w:b/>
                <w:bCs/>
                <w:sz w:val="14"/>
                <w:szCs w:val="14"/>
                <w:lang w:val="en-GB" w:eastAsia="en-GB"/>
              </w:rPr>
              <w:t>2014 P</w:t>
            </w:r>
          </w:p>
        </w:tc>
      </w:tr>
      <w:tr>
        <w:tblPrEx>
          <w:tblW w:w="4885" w:type="pct"/>
          <w:tblInd w:w="108" w:type="dxa"/>
          <w:tblLook w:val="04A0"/>
        </w:tblPrEx>
        <w:trPr>
          <w:trHeight w:val="255"/>
        </w:trPr>
        <w:tc>
          <w:tcPr>
            <w:tcW w:w="2110"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rPr>
                <w:rFonts w:ascii="Times New Roman" w:hAnsi="Times New Roman"/>
                <w:sz w:val="14"/>
                <w:szCs w:val="14"/>
                <w:lang w:eastAsia="en-GB"/>
              </w:rPr>
            </w:pPr>
            <w:r w:rsidRPr="00FC4B6C">
              <w:rPr>
                <w:rFonts w:ascii="Times New Roman" w:hAnsi="Times New Roman"/>
                <w:sz w:val="14"/>
                <w:szCs w:val="14"/>
                <w:lang w:eastAsia="en-GB"/>
              </w:rPr>
              <w:t>Nové záväzky</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spacing w:before="100" w:beforeAutospacing="1" w:after="100" w:afterAutospacing="1"/>
              <w:jc w:val="right"/>
              <w:rPr>
                <w:rFonts w:ascii="Times New Roman" w:hAnsi="Times New Roman"/>
                <w:sz w:val="14"/>
                <w:szCs w:val="14"/>
                <w:lang w:val="en-GB" w:eastAsia="en-GB"/>
              </w:rPr>
            </w:pPr>
            <w:r w:rsidRPr="00FC4B6C">
              <w:rPr>
                <w:rFonts w:ascii="Times New Roman" w:hAnsi="Times New Roman"/>
                <w:sz w:val="14"/>
                <w:szCs w:val="14"/>
                <w:lang w:val="en-GB" w:eastAsia="en-GB"/>
              </w:rPr>
              <w:t>3,</w:t>
            </w:r>
            <w:r>
              <w:rPr>
                <w:rFonts w:ascii="Times New Roman" w:hAnsi="Times New Roman"/>
                <w:sz w:val="14"/>
                <w:szCs w:val="14"/>
                <w:lang w:val="en-GB" w:eastAsia="en-GB"/>
              </w:rPr>
              <w:t>618</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spacing w:before="100" w:beforeAutospacing="1" w:after="100" w:afterAutospacing="1"/>
              <w:jc w:val="right"/>
              <w:rPr>
                <w:rFonts w:ascii="Times New Roman" w:hAnsi="Times New Roman"/>
                <w:sz w:val="14"/>
                <w:szCs w:val="14"/>
                <w:lang w:val="en-GB" w:eastAsia="en-GB"/>
              </w:rPr>
            </w:pPr>
            <w:r w:rsidRPr="00FC4B6C">
              <w:rPr>
                <w:rFonts w:ascii="Times New Roman" w:hAnsi="Times New Roman"/>
                <w:sz w:val="14"/>
                <w:szCs w:val="14"/>
                <w:lang w:val="en-GB" w:eastAsia="en-GB"/>
              </w:rPr>
              <w:t>3,</w:t>
            </w:r>
            <w:r>
              <w:rPr>
                <w:rFonts w:ascii="Times New Roman" w:hAnsi="Times New Roman"/>
                <w:sz w:val="14"/>
                <w:szCs w:val="14"/>
                <w:lang w:val="en-GB" w:eastAsia="en-GB"/>
              </w:rPr>
              <w:t>243</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spacing w:before="100" w:beforeAutospacing="1" w:after="100" w:afterAutospacing="1"/>
              <w:jc w:val="right"/>
              <w:rPr>
                <w:rFonts w:ascii="Times New Roman" w:hAnsi="Times New Roman"/>
                <w:sz w:val="14"/>
                <w:szCs w:val="14"/>
                <w:lang w:val="en-GB" w:eastAsia="en-GB"/>
              </w:rPr>
            </w:pPr>
            <w:r w:rsidRPr="00FC4B6C">
              <w:rPr>
                <w:rFonts w:ascii="Times New Roman" w:hAnsi="Times New Roman"/>
                <w:sz w:val="14"/>
                <w:szCs w:val="14"/>
                <w:lang w:val="en-GB" w:eastAsia="en-GB"/>
              </w:rPr>
              <w:t>2,</w:t>
            </w:r>
            <w:r>
              <w:rPr>
                <w:rFonts w:ascii="Times New Roman" w:hAnsi="Times New Roman"/>
                <w:sz w:val="14"/>
                <w:szCs w:val="14"/>
                <w:lang w:val="en-GB" w:eastAsia="en-GB"/>
              </w:rPr>
              <w:t>588</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spacing w:before="100" w:beforeAutospacing="1" w:after="100" w:afterAutospacing="1"/>
              <w:jc w:val="right"/>
              <w:rPr>
                <w:rFonts w:ascii="Times New Roman" w:hAnsi="Times New Roman"/>
                <w:sz w:val="14"/>
                <w:szCs w:val="14"/>
                <w:lang w:val="en-GB" w:eastAsia="en-GB"/>
              </w:rPr>
            </w:pPr>
            <w:r w:rsidRPr="00FC4B6C">
              <w:rPr>
                <w:rFonts w:ascii="Times New Roman" w:hAnsi="Times New Roman"/>
                <w:sz w:val="14"/>
                <w:szCs w:val="14"/>
                <w:lang w:val="en-GB" w:eastAsia="en-GB"/>
              </w:rPr>
              <w:t>2,</w:t>
            </w:r>
            <w:r>
              <w:rPr>
                <w:rFonts w:ascii="Times New Roman" w:hAnsi="Times New Roman"/>
                <w:sz w:val="14"/>
                <w:szCs w:val="14"/>
                <w:lang w:val="en-GB" w:eastAsia="en-GB"/>
              </w:rPr>
              <w:t>564</w:t>
            </w:r>
          </w:p>
        </w:tc>
      </w:tr>
      <w:tr>
        <w:tblPrEx>
          <w:tblW w:w="4885" w:type="pct"/>
          <w:tblInd w:w="108" w:type="dxa"/>
          <w:tblLook w:val="04A0"/>
        </w:tblPrEx>
        <w:trPr>
          <w:trHeight w:val="255"/>
        </w:trPr>
        <w:tc>
          <w:tcPr>
            <w:tcW w:w="2110"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rPr>
                <w:rFonts w:ascii="Times New Roman" w:hAnsi="Times New Roman"/>
                <w:sz w:val="14"/>
                <w:szCs w:val="14"/>
                <w:lang w:eastAsia="en-GB"/>
              </w:rPr>
            </w:pPr>
            <w:r w:rsidRPr="00FC4B6C">
              <w:rPr>
                <w:rFonts w:ascii="Times New Roman" w:hAnsi="Times New Roman"/>
                <w:sz w:val="14"/>
                <w:szCs w:val="14"/>
                <w:lang w:eastAsia="en-GB"/>
              </w:rPr>
              <w:t>Precenenie portfólia a splatný dlh</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eastAsia="en-GB"/>
              </w:rPr>
            </w:pPr>
            <w:r w:rsidRPr="00FC4B6C">
              <w:rPr>
                <w:rFonts w:ascii="Times New Roman" w:hAnsi="Times New Roman"/>
                <w:sz w:val="14"/>
                <w:szCs w:val="14"/>
                <w:lang w:eastAsia="en-GB"/>
              </w:rPr>
              <w:t>10,2</w:t>
            </w:r>
            <w:r>
              <w:rPr>
                <w:rFonts w:ascii="Times New Roman" w:hAnsi="Times New Roman"/>
                <w:sz w:val="14"/>
                <w:szCs w:val="14"/>
                <w:lang w:eastAsia="en-GB"/>
              </w:rPr>
              <w:t>00</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eastAsia="en-GB"/>
              </w:rPr>
            </w:pPr>
            <w:r w:rsidRPr="00FC4B6C">
              <w:rPr>
                <w:rFonts w:ascii="Times New Roman" w:hAnsi="Times New Roman"/>
                <w:sz w:val="14"/>
                <w:szCs w:val="14"/>
                <w:lang w:eastAsia="en-GB"/>
              </w:rPr>
              <w:t>7,4</w:t>
            </w:r>
            <w:r>
              <w:rPr>
                <w:rFonts w:ascii="Times New Roman" w:hAnsi="Times New Roman"/>
                <w:sz w:val="14"/>
                <w:szCs w:val="14"/>
                <w:lang w:eastAsia="en-GB"/>
              </w:rPr>
              <w:t>00</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9,1</w:t>
            </w:r>
            <w:r>
              <w:rPr>
                <w:rFonts w:ascii="Times New Roman" w:hAnsi="Times New Roman"/>
                <w:sz w:val="14"/>
                <w:szCs w:val="14"/>
                <w:lang w:val="en-GB" w:eastAsia="en-GB"/>
              </w:rPr>
              <w:t>00</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9,1</w:t>
            </w:r>
            <w:r>
              <w:rPr>
                <w:rFonts w:ascii="Times New Roman" w:hAnsi="Times New Roman"/>
                <w:sz w:val="14"/>
                <w:szCs w:val="14"/>
                <w:lang w:val="en-GB" w:eastAsia="en-GB"/>
              </w:rPr>
              <w:t>00</w:t>
            </w:r>
          </w:p>
        </w:tc>
      </w:tr>
      <w:tr>
        <w:tblPrEx>
          <w:tblW w:w="4885" w:type="pct"/>
          <w:tblInd w:w="108" w:type="dxa"/>
          <w:tblLook w:val="04A0"/>
        </w:tblPrEx>
        <w:trPr>
          <w:trHeight w:val="255"/>
        </w:trPr>
        <w:tc>
          <w:tcPr>
            <w:tcW w:w="2110"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rPr>
                <w:rFonts w:ascii="Times New Roman" w:hAnsi="Times New Roman"/>
                <w:sz w:val="14"/>
                <w:szCs w:val="14"/>
                <w:lang w:eastAsia="en-GB"/>
              </w:rPr>
            </w:pPr>
            <w:r w:rsidRPr="00FC4B6C">
              <w:rPr>
                <w:rFonts w:ascii="Times New Roman" w:hAnsi="Times New Roman"/>
                <w:sz w:val="14"/>
                <w:szCs w:val="14"/>
                <w:lang w:eastAsia="en-GB"/>
              </w:rPr>
              <w:t>Precenenie všetkých záväzkov</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eastAsia="en-GB"/>
              </w:rPr>
            </w:pPr>
            <w:r w:rsidRPr="00FC4B6C">
              <w:rPr>
                <w:rFonts w:ascii="Times New Roman" w:hAnsi="Times New Roman"/>
                <w:sz w:val="14"/>
                <w:szCs w:val="14"/>
                <w:lang w:eastAsia="en-GB"/>
              </w:rPr>
              <w:t>13,</w:t>
            </w:r>
            <w:r>
              <w:rPr>
                <w:rFonts w:ascii="Times New Roman" w:hAnsi="Times New Roman"/>
                <w:sz w:val="14"/>
                <w:szCs w:val="14"/>
                <w:lang w:eastAsia="en-GB"/>
              </w:rPr>
              <w:t>818</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eastAsia="en-GB"/>
              </w:rPr>
            </w:pPr>
            <w:r w:rsidRPr="00FC4B6C">
              <w:rPr>
                <w:rFonts w:ascii="Times New Roman" w:hAnsi="Times New Roman"/>
                <w:sz w:val="14"/>
                <w:szCs w:val="14"/>
                <w:lang w:eastAsia="en-GB"/>
              </w:rPr>
              <w:t>10,</w:t>
            </w:r>
            <w:r>
              <w:rPr>
                <w:rFonts w:ascii="Times New Roman" w:hAnsi="Times New Roman"/>
                <w:sz w:val="14"/>
                <w:szCs w:val="14"/>
                <w:lang w:eastAsia="en-GB"/>
              </w:rPr>
              <w:t>643</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11,</w:t>
            </w:r>
            <w:r>
              <w:rPr>
                <w:rFonts w:ascii="Times New Roman" w:hAnsi="Times New Roman"/>
                <w:sz w:val="14"/>
                <w:szCs w:val="14"/>
                <w:lang w:val="en-GB" w:eastAsia="en-GB"/>
              </w:rPr>
              <w:t>688</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11,</w:t>
            </w:r>
            <w:r>
              <w:rPr>
                <w:rFonts w:ascii="Times New Roman" w:hAnsi="Times New Roman"/>
                <w:sz w:val="14"/>
                <w:szCs w:val="14"/>
                <w:lang w:val="en-GB" w:eastAsia="en-GB"/>
              </w:rPr>
              <w:t>664</w:t>
            </w:r>
          </w:p>
        </w:tc>
      </w:tr>
    </w:tbl>
    <w:p w:rsidR="00CF0B79" w:rsidP="00CF0B79">
      <w:pPr>
        <w:pStyle w:val="ListParagraph"/>
        <w:bidi w:val="0"/>
        <w:ind w:left="0"/>
        <w:contextualSpacing w:val="0"/>
        <w:jc w:val="both"/>
      </w:pPr>
    </w:p>
    <w:p w:rsidR="00CF0B79" w:rsidRPr="006F0860" w:rsidP="00CF0B79">
      <w:pPr>
        <w:pStyle w:val="ListParagraph"/>
        <w:bidi w:val="0"/>
        <w:ind w:left="0" w:firstLine="708"/>
        <w:contextualSpacing w:val="0"/>
        <w:jc w:val="both"/>
        <w:rPr>
          <w:rFonts w:ascii="Times New Roman" w:hAnsi="Times New Roman" w:cs="Times New Roman"/>
        </w:rPr>
      </w:pPr>
      <w:r w:rsidRPr="006F0860">
        <w:rPr>
          <w:rFonts w:ascii="Times New Roman" w:hAnsi="Times New Roman" w:cs="Times New Roman"/>
        </w:rPr>
        <w:t xml:space="preserve">V rokoch 2012 až 2014 sa postupne precení novými trhovými úrokovými sadzbami spolu </w:t>
      </w:r>
      <w:r>
        <w:rPr>
          <w:rFonts w:ascii="Times New Roman" w:hAnsi="Times New Roman" w:cs="Times New Roman"/>
        </w:rPr>
        <w:t>47,2</w:t>
      </w:r>
      <w:r w:rsidRPr="006F0860">
        <w:rPr>
          <w:rFonts w:ascii="Times New Roman" w:hAnsi="Times New Roman" w:cs="Times New Roman"/>
        </w:rPr>
        <w:t xml:space="preserve"> mld. </w:t>
      </w:r>
      <w:r>
        <w:rPr>
          <w:rFonts w:ascii="Times New Roman" w:hAnsi="Times New Roman" w:cs="Times New Roman"/>
        </w:rPr>
        <w:t>eur</w:t>
      </w:r>
      <w:r w:rsidRPr="006F0860">
        <w:rPr>
          <w:rFonts w:ascii="Times New Roman" w:hAnsi="Times New Roman" w:cs="Times New Roman"/>
        </w:rPr>
        <w:t xml:space="preserve">. Ak sa táto hodnota precení väčšími úrokovými sadzbami ako sú súčasné, precenenie prinesie ďalší zvýšený tlak na výdavky štátneho rozpočtu v jednotlivých rokoch. </w:t>
      </w:r>
    </w:p>
    <w:p w:rsidR="00CF0B79" w:rsidRPr="006F0860" w:rsidP="00CF0B79">
      <w:pPr>
        <w:pStyle w:val="ListParagraph"/>
        <w:bidi w:val="0"/>
        <w:ind w:left="0"/>
        <w:contextualSpacing w:val="0"/>
        <w:jc w:val="both"/>
        <w:rPr>
          <w:rFonts w:ascii="Times New Roman" w:hAnsi="Times New Roman" w:cs="Times New Roman"/>
        </w:rPr>
      </w:pPr>
    </w:p>
    <w:p w:rsidR="00CF0B79" w:rsidRPr="006F0860" w:rsidP="00CF0B79">
      <w:pPr>
        <w:pStyle w:val="ListParagraph"/>
        <w:bidi w:val="0"/>
        <w:ind w:left="0" w:firstLine="708"/>
        <w:contextualSpacing w:val="0"/>
        <w:jc w:val="both"/>
        <w:rPr>
          <w:rFonts w:ascii="Times New Roman" w:hAnsi="Times New Roman" w:cs="Times New Roman"/>
        </w:rPr>
      </w:pPr>
      <w:r w:rsidRPr="006F0860">
        <w:rPr>
          <w:rFonts w:ascii="Times New Roman" w:hAnsi="Times New Roman" w:cs="Times New Roman"/>
        </w:rPr>
        <w:t>V nasledujúcich rokoch si bude MF SR musieť na finančných trhoch požičať nasledovné hodnoty.</w:t>
      </w:r>
    </w:p>
    <w:p w:rsidR="00CF0B79" w:rsidRPr="006F0860" w:rsidP="00CF0B79">
      <w:pPr>
        <w:pStyle w:val="ListParagraph"/>
        <w:bidi w:val="0"/>
        <w:ind w:left="0"/>
        <w:contextualSpacing w:val="0"/>
        <w:jc w:val="both"/>
        <w:rPr>
          <w:rFonts w:ascii="Times New Roman" w:hAnsi="Times New Roman" w:cs="Times New Roman"/>
        </w:rPr>
      </w:pPr>
    </w:p>
    <w:tbl>
      <w:tblPr>
        <w:tblStyle w:val="TableNormal"/>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0"/>
        <w:gridCol w:w="1312"/>
        <w:gridCol w:w="1312"/>
        <w:gridCol w:w="1312"/>
        <w:gridCol w:w="1308"/>
      </w:tblGrid>
      <w:tr>
        <w:tblPrEx>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55"/>
        </w:trPr>
        <w:tc>
          <w:tcPr>
            <w:tcW w:w="2110"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rPr>
                <w:rFonts w:ascii="Times New Roman" w:hAnsi="Times New Roman"/>
                <w:b/>
                <w:sz w:val="14"/>
                <w:szCs w:val="14"/>
                <w:lang w:eastAsia="en-GB"/>
              </w:rPr>
            </w:pPr>
            <w:r>
              <w:rPr>
                <w:rFonts w:ascii="Times New Roman" w:hAnsi="Times New Roman"/>
                <w:b/>
                <w:sz w:val="14"/>
                <w:szCs w:val="14"/>
                <w:lang w:val="en-US" w:eastAsia="en-GB"/>
              </w:rPr>
              <w:t xml:space="preserve">v </w:t>
            </w:r>
            <w:r w:rsidRPr="00461390">
              <w:rPr>
                <w:rFonts w:ascii="Times New Roman" w:hAnsi="Times New Roman"/>
                <w:b/>
                <w:sz w:val="14"/>
                <w:szCs w:val="14"/>
                <w:lang w:val="en-US" w:eastAsia="en-GB"/>
              </w:rPr>
              <w:t xml:space="preserve">mld. </w:t>
            </w:r>
            <w:r>
              <w:rPr>
                <w:rFonts w:ascii="Times New Roman" w:hAnsi="Times New Roman"/>
                <w:b/>
                <w:sz w:val="14"/>
                <w:szCs w:val="14"/>
                <w:lang w:val="en-US" w:eastAsia="en-GB"/>
              </w:rPr>
              <w:t>eur</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center"/>
              <w:rPr>
                <w:rFonts w:ascii="Times New Roman" w:hAnsi="Times New Roman"/>
                <w:b/>
                <w:bCs/>
                <w:sz w:val="14"/>
                <w:szCs w:val="14"/>
                <w:lang w:val="en-GB" w:eastAsia="en-GB"/>
              </w:rPr>
            </w:pPr>
            <w:r>
              <w:rPr>
                <w:rFonts w:ascii="Times New Roman" w:hAnsi="Times New Roman"/>
                <w:b/>
                <w:bCs/>
                <w:sz w:val="14"/>
                <w:szCs w:val="14"/>
                <w:lang w:val="en-GB" w:eastAsia="en-GB"/>
              </w:rPr>
              <w:t>2011 P</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center"/>
              <w:rPr>
                <w:rFonts w:ascii="Times New Roman" w:hAnsi="Times New Roman"/>
                <w:b/>
                <w:bCs/>
                <w:sz w:val="14"/>
                <w:szCs w:val="14"/>
                <w:lang w:val="en-GB" w:eastAsia="en-GB"/>
              </w:rPr>
            </w:pPr>
            <w:r>
              <w:rPr>
                <w:rFonts w:ascii="Times New Roman" w:hAnsi="Times New Roman"/>
                <w:b/>
                <w:bCs/>
                <w:sz w:val="14"/>
                <w:szCs w:val="14"/>
                <w:lang w:val="en-GB" w:eastAsia="en-GB"/>
              </w:rPr>
              <w:t>2012 P</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center"/>
              <w:rPr>
                <w:rFonts w:ascii="Times New Roman" w:hAnsi="Times New Roman"/>
                <w:b/>
                <w:bCs/>
                <w:sz w:val="14"/>
                <w:szCs w:val="14"/>
                <w:lang w:val="en-GB" w:eastAsia="en-GB"/>
              </w:rPr>
            </w:pPr>
            <w:r>
              <w:rPr>
                <w:rFonts w:ascii="Times New Roman" w:hAnsi="Times New Roman"/>
                <w:b/>
                <w:bCs/>
                <w:sz w:val="14"/>
                <w:szCs w:val="14"/>
                <w:lang w:val="en-GB" w:eastAsia="en-GB"/>
              </w:rPr>
              <w:t>2013 P</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center"/>
              <w:rPr>
                <w:rFonts w:ascii="Times New Roman" w:hAnsi="Times New Roman"/>
                <w:b/>
                <w:bCs/>
                <w:sz w:val="14"/>
                <w:szCs w:val="14"/>
                <w:lang w:val="en-GB" w:eastAsia="en-GB"/>
              </w:rPr>
            </w:pPr>
            <w:r>
              <w:rPr>
                <w:rFonts w:ascii="Times New Roman" w:hAnsi="Times New Roman"/>
                <w:b/>
                <w:bCs/>
                <w:sz w:val="14"/>
                <w:szCs w:val="14"/>
                <w:lang w:val="en-GB" w:eastAsia="en-GB"/>
              </w:rPr>
              <w:t>2014 P</w:t>
            </w:r>
          </w:p>
        </w:tc>
      </w:tr>
      <w:tr>
        <w:tblPrEx>
          <w:tblW w:w="4885" w:type="pct"/>
          <w:tblInd w:w="108" w:type="dxa"/>
          <w:tblLook w:val="04A0"/>
        </w:tblPrEx>
        <w:trPr>
          <w:trHeight w:val="255"/>
        </w:trPr>
        <w:tc>
          <w:tcPr>
            <w:tcW w:w="2110"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rPr>
                <w:rFonts w:ascii="Times New Roman" w:hAnsi="Times New Roman"/>
                <w:sz w:val="14"/>
                <w:szCs w:val="14"/>
                <w:lang w:eastAsia="en-GB"/>
              </w:rPr>
            </w:pPr>
            <w:r w:rsidRPr="00FC4B6C">
              <w:rPr>
                <w:rFonts w:ascii="Times New Roman" w:hAnsi="Times New Roman"/>
                <w:sz w:val="14"/>
                <w:szCs w:val="14"/>
                <w:lang w:eastAsia="en-GB"/>
              </w:rPr>
              <w:t xml:space="preserve">Deficit ŠR </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spacing w:before="100" w:beforeAutospacing="1" w:after="100" w:afterAutospacing="1"/>
              <w:jc w:val="right"/>
              <w:rPr>
                <w:rFonts w:ascii="Times New Roman" w:hAnsi="Times New Roman"/>
                <w:sz w:val="14"/>
                <w:szCs w:val="14"/>
                <w:lang w:val="en-GB" w:eastAsia="en-GB"/>
              </w:rPr>
            </w:pPr>
            <w:r w:rsidRPr="00FC4B6C">
              <w:rPr>
                <w:rFonts w:ascii="Times New Roman" w:hAnsi="Times New Roman"/>
                <w:sz w:val="14"/>
                <w:szCs w:val="14"/>
                <w:lang w:val="en-GB" w:eastAsia="en-GB"/>
              </w:rPr>
              <w:t>3,</w:t>
            </w:r>
            <w:r>
              <w:rPr>
                <w:rFonts w:ascii="Times New Roman" w:hAnsi="Times New Roman"/>
                <w:sz w:val="14"/>
                <w:szCs w:val="14"/>
                <w:lang w:val="en-GB" w:eastAsia="en-GB"/>
              </w:rPr>
              <w:t>618</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5C3D60">
            <w:pPr>
              <w:bidi w:val="0"/>
              <w:spacing w:before="100" w:beforeAutospacing="1" w:after="100" w:afterAutospacing="1"/>
              <w:jc w:val="right"/>
              <w:rPr>
                <w:rFonts w:ascii="Times New Roman" w:hAnsi="Times New Roman"/>
                <w:sz w:val="14"/>
                <w:szCs w:val="14"/>
                <w:lang w:val="en-GB" w:eastAsia="en-GB"/>
              </w:rPr>
            </w:pPr>
            <w:r w:rsidRPr="00FC4B6C">
              <w:rPr>
                <w:rFonts w:ascii="Times New Roman" w:hAnsi="Times New Roman"/>
                <w:sz w:val="14"/>
                <w:szCs w:val="14"/>
                <w:lang w:val="en-GB" w:eastAsia="en-GB"/>
              </w:rPr>
              <w:t>3,</w:t>
            </w:r>
            <w:r w:rsidR="005C3D60">
              <w:rPr>
                <w:rFonts w:ascii="Times New Roman" w:hAnsi="Times New Roman"/>
                <w:sz w:val="14"/>
                <w:szCs w:val="14"/>
                <w:lang w:val="en-GB" w:eastAsia="en-GB"/>
              </w:rPr>
              <w:t>321</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spacing w:before="100" w:beforeAutospacing="1" w:after="100" w:afterAutospacing="1"/>
              <w:jc w:val="right"/>
              <w:rPr>
                <w:rFonts w:ascii="Times New Roman" w:hAnsi="Times New Roman"/>
                <w:sz w:val="14"/>
                <w:szCs w:val="14"/>
                <w:lang w:val="en-GB" w:eastAsia="en-GB"/>
              </w:rPr>
            </w:pPr>
            <w:r w:rsidR="005C3D60">
              <w:rPr>
                <w:rFonts w:ascii="Times New Roman" w:hAnsi="Times New Roman"/>
                <w:sz w:val="14"/>
                <w:szCs w:val="14"/>
                <w:lang w:val="en-GB" w:eastAsia="en-GB"/>
              </w:rPr>
              <w:t>2,327</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5C3D60">
            <w:pPr>
              <w:bidi w:val="0"/>
              <w:spacing w:before="100" w:beforeAutospacing="1" w:after="100" w:afterAutospacing="1"/>
              <w:jc w:val="right"/>
              <w:rPr>
                <w:rFonts w:ascii="Times New Roman" w:hAnsi="Times New Roman"/>
                <w:sz w:val="14"/>
                <w:szCs w:val="14"/>
                <w:lang w:val="en-GB" w:eastAsia="en-GB"/>
              </w:rPr>
            </w:pPr>
            <w:r w:rsidRPr="00FC4B6C">
              <w:rPr>
                <w:rFonts w:ascii="Times New Roman" w:hAnsi="Times New Roman"/>
                <w:sz w:val="14"/>
                <w:szCs w:val="14"/>
                <w:lang w:val="en-GB" w:eastAsia="en-GB"/>
              </w:rPr>
              <w:t>2,</w:t>
            </w:r>
            <w:r>
              <w:rPr>
                <w:rFonts w:ascii="Times New Roman" w:hAnsi="Times New Roman"/>
                <w:sz w:val="14"/>
                <w:szCs w:val="14"/>
                <w:lang w:val="en-GB" w:eastAsia="en-GB"/>
              </w:rPr>
              <w:t>4</w:t>
            </w:r>
            <w:r w:rsidR="005C3D60">
              <w:rPr>
                <w:rFonts w:ascii="Times New Roman" w:hAnsi="Times New Roman"/>
                <w:sz w:val="14"/>
                <w:szCs w:val="14"/>
                <w:lang w:val="en-GB" w:eastAsia="en-GB"/>
              </w:rPr>
              <w:t>39</w:t>
            </w:r>
          </w:p>
        </w:tc>
      </w:tr>
      <w:tr>
        <w:tblPrEx>
          <w:tblW w:w="4885" w:type="pct"/>
          <w:tblInd w:w="108" w:type="dxa"/>
          <w:tblLook w:val="04A0"/>
        </w:tblPrEx>
        <w:trPr>
          <w:trHeight w:val="255"/>
        </w:trPr>
        <w:tc>
          <w:tcPr>
            <w:tcW w:w="2110"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rPr>
                <w:rFonts w:ascii="Times New Roman" w:hAnsi="Times New Roman"/>
                <w:sz w:val="14"/>
                <w:szCs w:val="14"/>
                <w:lang w:eastAsia="en-GB"/>
              </w:rPr>
            </w:pPr>
            <w:r w:rsidRPr="00FC4B6C">
              <w:rPr>
                <w:rFonts w:ascii="Times New Roman" w:hAnsi="Times New Roman"/>
                <w:sz w:val="14"/>
                <w:szCs w:val="14"/>
                <w:lang w:eastAsia="en-GB"/>
              </w:rPr>
              <w:t xml:space="preserve">Splatný štátny dlh </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eastAsia="en-GB"/>
              </w:rPr>
            </w:pPr>
            <w:r w:rsidRPr="00FC4B6C">
              <w:rPr>
                <w:rFonts w:ascii="Times New Roman" w:hAnsi="Times New Roman"/>
                <w:sz w:val="14"/>
                <w:szCs w:val="14"/>
                <w:lang w:eastAsia="en-GB"/>
              </w:rPr>
              <w:t>4,3</w:t>
            </w:r>
            <w:r>
              <w:rPr>
                <w:rFonts w:ascii="Times New Roman" w:hAnsi="Times New Roman"/>
                <w:sz w:val="14"/>
                <w:szCs w:val="14"/>
                <w:lang w:eastAsia="en-GB"/>
              </w:rPr>
              <w:t>00</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eastAsia="en-GB"/>
              </w:rPr>
            </w:pPr>
            <w:r>
              <w:rPr>
                <w:rFonts w:ascii="Times New Roman" w:hAnsi="Times New Roman"/>
                <w:sz w:val="14"/>
                <w:szCs w:val="14"/>
                <w:lang w:eastAsia="en-GB"/>
              </w:rPr>
              <w:t>3,975</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6,0</w:t>
            </w:r>
            <w:r>
              <w:rPr>
                <w:rFonts w:ascii="Times New Roman" w:hAnsi="Times New Roman"/>
                <w:sz w:val="14"/>
                <w:szCs w:val="14"/>
                <w:lang w:val="en-GB" w:eastAsia="en-GB"/>
              </w:rPr>
              <w:t>00</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6,2</w:t>
            </w:r>
            <w:r>
              <w:rPr>
                <w:rFonts w:ascii="Times New Roman" w:hAnsi="Times New Roman"/>
                <w:sz w:val="14"/>
                <w:szCs w:val="14"/>
                <w:lang w:val="en-GB" w:eastAsia="en-GB"/>
              </w:rPr>
              <w:t>00</w:t>
            </w:r>
          </w:p>
        </w:tc>
      </w:tr>
      <w:tr>
        <w:tblPrEx>
          <w:tblW w:w="4885" w:type="pct"/>
          <w:tblInd w:w="108" w:type="dxa"/>
          <w:tblLook w:val="04A0"/>
        </w:tblPrEx>
        <w:trPr>
          <w:trHeight w:val="255"/>
        </w:trPr>
        <w:tc>
          <w:tcPr>
            <w:tcW w:w="2110"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rPr>
                <w:rFonts w:ascii="Times New Roman" w:hAnsi="Times New Roman"/>
                <w:sz w:val="14"/>
                <w:szCs w:val="14"/>
                <w:lang w:eastAsia="en-GB"/>
              </w:rPr>
            </w:pPr>
            <w:r w:rsidRPr="00FC4B6C">
              <w:rPr>
                <w:rFonts w:ascii="Times New Roman" w:hAnsi="Times New Roman"/>
                <w:sz w:val="14"/>
                <w:szCs w:val="14"/>
                <w:lang w:eastAsia="en-GB"/>
              </w:rPr>
              <w:t>Celková finančná potreba MF SR</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eastAsia="en-GB"/>
              </w:rPr>
            </w:pPr>
            <w:r w:rsidRPr="00FC4B6C">
              <w:rPr>
                <w:rFonts w:ascii="Times New Roman" w:hAnsi="Times New Roman"/>
                <w:sz w:val="14"/>
                <w:szCs w:val="14"/>
                <w:lang w:eastAsia="en-GB"/>
              </w:rPr>
              <w:t>7,</w:t>
            </w:r>
            <w:r>
              <w:rPr>
                <w:rFonts w:ascii="Times New Roman" w:hAnsi="Times New Roman"/>
                <w:sz w:val="14"/>
                <w:szCs w:val="14"/>
                <w:lang w:eastAsia="en-GB"/>
              </w:rPr>
              <w:t>918</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eastAsia="en-GB"/>
              </w:rPr>
            </w:pPr>
            <w:r w:rsidRPr="00FC4B6C">
              <w:rPr>
                <w:rFonts w:ascii="Times New Roman" w:hAnsi="Times New Roman"/>
                <w:sz w:val="14"/>
                <w:szCs w:val="14"/>
                <w:lang w:eastAsia="en-GB"/>
              </w:rPr>
              <w:t>7,</w:t>
            </w:r>
            <w:r>
              <w:rPr>
                <w:rFonts w:ascii="Times New Roman" w:hAnsi="Times New Roman"/>
                <w:sz w:val="14"/>
                <w:szCs w:val="14"/>
                <w:lang w:eastAsia="en-GB"/>
              </w:rPr>
              <w:t>218</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8,</w:t>
            </w:r>
            <w:r>
              <w:rPr>
                <w:rFonts w:ascii="Times New Roman" w:hAnsi="Times New Roman"/>
                <w:sz w:val="14"/>
                <w:szCs w:val="14"/>
                <w:lang w:val="en-GB" w:eastAsia="en-GB"/>
              </w:rPr>
              <w:t>588</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8,</w:t>
            </w:r>
            <w:r>
              <w:rPr>
                <w:rFonts w:ascii="Times New Roman" w:hAnsi="Times New Roman"/>
                <w:sz w:val="14"/>
                <w:szCs w:val="14"/>
                <w:lang w:val="en-GB" w:eastAsia="en-GB"/>
              </w:rPr>
              <w:t>764</w:t>
            </w:r>
          </w:p>
        </w:tc>
      </w:tr>
    </w:tbl>
    <w:p w:rsidR="00CF0B79" w:rsidP="00CF0B79">
      <w:pPr>
        <w:bidi w:val="0"/>
        <w:jc w:val="both"/>
        <w:rPr>
          <w:rFonts w:ascii="Times New Roman" w:hAnsi="Times New Roman"/>
        </w:rPr>
      </w:pPr>
    </w:p>
    <w:p w:rsidR="00CF0B79" w:rsidP="00CF0B79">
      <w:pPr>
        <w:bidi w:val="0"/>
        <w:ind w:firstLine="708"/>
        <w:jc w:val="both"/>
        <w:rPr>
          <w:rFonts w:ascii="Times New Roman" w:hAnsi="Times New Roman"/>
        </w:rPr>
      </w:pPr>
      <w:r w:rsidRPr="00FC4B6C">
        <w:rPr>
          <w:rFonts w:ascii="Times New Roman" w:hAnsi="Times New Roman"/>
        </w:rPr>
        <w:t xml:space="preserve">Kľúčovým predpokladom pri tvorbe rozpočtu nákladov štátneho dlhu sú očakávané úrokové sadzby na finančnom trhu. Tie sú jedným z parametrov makroekonomického vývoja, o ktorých diskutuje Výbor pre makroekonomické prognózy v gescii MF SR. </w:t>
      </w:r>
    </w:p>
    <w:p w:rsidR="00CF0B79" w:rsidRPr="00FC4B6C" w:rsidP="00CF0B79">
      <w:pPr>
        <w:bidi w:val="0"/>
        <w:jc w:val="both"/>
        <w:rPr>
          <w:rFonts w:ascii="Times New Roman" w:hAnsi="Times New Roman"/>
        </w:rPr>
      </w:pPr>
    </w:p>
    <w:tbl>
      <w:tblPr>
        <w:tblStyle w:val="TableNormal"/>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0"/>
        <w:gridCol w:w="1312"/>
        <w:gridCol w:w="1312"/>
        <w:gridCol w:w="1312"/>
        <w:gridCol w:w="1308"/>
      </w:tblGrid>
      <w:tr>
        <w:tblPrEx>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55"/>
        </w:trPr>
        <w:tc>
          <w:tcPr>
            <w:tcW w:w="2110"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rPr>
                <w:rFonts w:ascii="Times New Roman" w:hAnsi="Times New Roman"/>
                <w:b/>
                <w:sz w:val="14"/>
                <w:szCs w:val="14"/>
                <w:lang w:eastAsia="en-GB"/>
              </w:rPr>
            </w:pPr>
            <w:r>
              <w:rPr>
                <w:rFonts w:ascii="Times New Roman" w:hAnsi="Times New Roman"/>
                <w:b/>
                <w:sz w:val="14"/>
                <w:szCs w:val="14"/>
                <w:lang w:eastAsia="en-GB"/>
              </w:rPr>
              <w:t xml:space="preserve">v </w:t>
            </w:r>
            <w:r w:rsidRPr="00FC4B6C">
              <w:rPr>
                <w:rFonts w:ascii="Times New Roman" w:hAnsi="Times New Roman"/>
                <w:b/>
                <w:sz w:val="14"/>
                <w:szCs w:val="14"/>
                <w:lang w:eastAsia="en-GB"/>
              </w:rPr>
              <w:t xml:space="preserve"> </w:t>
            </w:r>
            <w:r>
              <w:rPr>
                <w:rFonts w:ascii="Times New Roman" w:hAnsi="Times New Roman"/>
                <w:b/>
                <w:sz w:val="14"/>
                <w:szCs w:val="14"/>
                <w:lang w:eastAsia="en-GB"/>
              </w:rPr>
              <w:t>%</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center"/>
              <w:rPr>
                <w:rFonts w:ascii="Times New Roman" w:hAnsi="Times New Roman"/>
                <w:b/>
                <w:bCs/>
                <w:sz w:val="14"/>
                <w:szCs w:val="14"/>
                <w:lang w:val="en-GB" w:eastAsia="en-GB"/>
              </w:rPr>
            </w:pPr>
            <w:r>
              <w:rPr>
                <w:rFonts w:ascii="Times New Roman" w:hAnsi="Times New Roman"/>
                <w:b/>
                <w:bCs/>
                <w:sz w:val="14"/>
                <w:szCs w:val="14"/>
                <w:lang w:val="en-GB" w:eastAsia="en-GB"/>
              </w:rPr>
              <w:t>2011 P</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center"/>
              <w:rPr>
                <w:rFonts w:ascii="Times New Roman" w:hAnsi="Times New Roman"/>
                <w:b/>
                <w:bCs/>
                <w:sz w:val="14"/>
                <w:szCs w:val="14"/>
                <w:lang w:val="en-GB" w:eastAsia="en-GB"/>
              </w:rPr>
            </w:pPr>
            <w:r>
              <w:rPr>
                <w:rFonts w:ascii="Times New Roman" w:hAnsi="Times New Roman"/>
                <w:b/>
                <w:bCs/>
                <w:sz w:val="14"/>
                <w:szCs w:val="14"/>
                <w:lang w:val="en-GB" w:eastAsia="en-GB"/>
              </w:rPr>
              <w:t>2012 P</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center"/>
              <w:rPr>
                <w:rFonts w:ascii="Times New Roman" w:hAnsi="Times New Roman"/>
                <w:b/>
                <w:bCs/>
                <w:sz w:val="14"/>
                <w:szCs w:val="14"/>
                <w:lang w:val="en-GB" w:eastAsia="en-GB"/>
              </w:rPr>
            </w:pPr>
            <w:r>
              <w:rPr>
                <w:rFonts w:ascii="Times New Roman" w:hAnsi="Times New Roman"/>
                <w:b/>
                <w:bCs/>
                <w:sz w:val="14"/>
                <w:szCs w:val="14"/>
                <w:lang w:val="en-GB" w:eastAsia="en-GB"/>
              </w:rPr>
              <w:t>2013 P</w:t>
            </w:r>
          </w:p>
        </w:tc>
        <w:tc>
          <w:tcPr>
            <w:tcW w:w="721"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center"/>
              <w:rPr>
                <w:rFonts w:ascii="Times New Roman" w:hAnsi="Times New Roman"/>
                <w:b/>
                <w:bCs/>
                <w:sz w:val="14"/>
                <w:szCs w:val="14"/>
                <w:lang w:val="en-GB" w:eastAsia="en-GB"/>
              </w:rPr>
            </w:pPr>
            <w:r>
              <w:rPr>
                <w:rFonts w:ascii="Times New Roman" w:hAnsi="Times New Roman"/>
                <w:b/>
                <w:bCs/>
                <w:sz w:val="14"/>
                <w:szCs w:val="14"/>
                <w:lang w:val="en-GB" w:eastAsia="en-GB"/>
              </w:rPr>
              <w:t>2014 P</w:t>
            </w:r>
          </w:p>
        </w:tc>
      </w:tr>
      <w:tr>
        <w:tblPrEx>
          <w:tblW w:w="4885" w:type="pct"/>
          <w:tblInd w:w="108" w:type="dxa"/>
          <w:tblLook w:val="04A0"/>
        </w:tblPrEx>
        <w:trPr>
          <w:trHeight w:val="255"/>
        </w:trPr>
        <w:tc>
          <w:tcPr>
            <w:tcW w:w="2110"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rPr>
                <w:rFonts w:ascii="Times New Roman" w:hAnsi="Times New Roman"/>
                <w:sz w:val="14"/>
                <w:szCs w:val="14"/>
                <w:lang w:val="en-US" w:eastAsia="en-GB"/>
              </w:rPr>
            </w:pPr>
            <w:r w:rsidRPr="00FC4B6C">
              <w:rPr>
                <w:rFonts w:ascii="Times New Roman" w:hAnsi="Times New Roman"/>
                <w:sz w:val="14"/>
                <w:szCs w:val="14"/>
                <w:lang w:val="en-GB" w:eastAsia="en-GB"/>
              </w:rPr>
              <w:t xml:space="preserve">ECB KEY RATE </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1,3</w:t>
            </w:r>
            <w:r>
              <w:rPr>
                <w:rFonts w:ascii="Times New Roman" w:hAnsi="Times New Roman"/>
                <w:sz w:val="14"/>
                <w:szCs w:val="14"/>
                <w:lang w:val="en-GB" w:eastAsia="en-GB"/>
              </w:rPr>
              <w:t>1</w:t>
            </w:r>
            <w:r w:rsidRPr="00FC4B6C">
              <w:rPr>
                <w:rFonts w:ascii="Times New Roman" w:hAnsi="Times New Roman"/>
                <w:sz w:val="14"/>
                <w:szCs w:val="14"/>
                <w:lang w:val="en-GB" w:eastAsia="en-GB"/>
              </w:rPr>
              <w:t>3</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Pr>
                <w:rFonts w:ascii="Times New Roman" w:hAnsi="Times New Roman"/>
                <w:sz w:val="14"/>
                <w:szCs w:val="14"/>
                <w:lang w:val="en-GB" w:eastAsia="en-GB"/>
              </w:rPr>
              <w:t>1,646</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2,</w:t>
            </w:r>
            <w:r>
              <w:rPr>
                <w:rFonts w:ascii="Times New Roman" w:hAnsi="Times New Roman"/>
                <w:sz w:val="14"/>
                <w:szCs w:val="14"/>
                <w:lang w:val="en-GB" w:eastAsia="en-GB"/>
              </w:rPr>
              <w:t>557</w:t>
            </w:r>
          </w:p>
        </w:tc>
        <w:tc>
          <w:tcPr>
            <w:tcW w:w="721"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3,279</w:t>
            </w:r>
          </w:p>
        </w:tc>
      </w:tr>
      <w:tr>
        <w:tblPrEx>
          <w:tblW w:w="4885" w:type="pct"/>
          <w:tblInd w:w="108" w:type="dxa"/>
          <w:tblLook w:val="04A0"/>
        </w:tblPrEx>
        <w:trPr>
          <w:trHeight w:val="255"/>
        </w:trPr>
        <w:tc>
          <w:tcPr>
            <w:tcW w:w="2110" w:type="pct"/>
            <w:tcBorders>
              <w:top w:val="single" w:sz="4" w:space="0" w:color="auto"/>
              <w:left w:val="single" w:sz="4" w:space="0" w:color="auto"/>
              <w:bottom w:val="single" w:sz="4" w:space="0" w:color="auto"/>
              <w:right w:val="single" w:sz="4" w:space="0" w:color="auto"/>
            </w:tcBorders>
            <w:noWrap/>
            <w:textDirection w:val="lrTb"/>
            <w:vAlign w:val="bottom"/>
          </w:tcPr>
          <w:p w:rsidR="00CF0B79" w:rsidRPr="00FC4B6C" w:rsidP="00F576BD">
            <w:pPr>
              <w:bidi w:val="0"/>
              <w:rPr>
                <w:rFonts w:ascii="Times New Roman" w:hAnsi="Times New Roman"/>
                <w:sz w:val="14"/>
                <w:szCs w:val="14"/>
                <w:lang w:val="en-GB" w:eastAsia="en-GB"/>
              </w:rPr>
            </w:pPr>
            <w:r w:rsidRPr="00FC4B6C">
              <w:rPr>
                <w:rFonts w:ascii="Times New Roman" w:hAnsi="Times New Roman"/>
                <w:sz w:val="14"/>
                <w:szCs w:val="14"/>
                <w:lang w:val="en-GB" w:eastAsia="en-GB"/>
              </w:rPr>
              <w:t>EONIA</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1,</w:t>
            </w:r>
            <w:r>
              <w:rPr>
                <w:rFonts w:ascii="Times New Roman" w:hAnsi="Times New Roman"/>
                <w:sz w:val="14"/>
                <w:szCs w:val="14"/>
                <w:lang w:val="en-GB" w:eastAsia="en-GB"/>
              </w:rPr>
              <w:t>062</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tcPr>
          <w:p w:rsidR="00CF0B79" w:rsidRPr="00FC4B6C" w:rsidP="00F576BD">
            <w:pPr>
              <w:bidi w:val="0"/>
              <w:jc w:val="right"/>
              <w:rPr>
                <w:rFonts w:ascii="Times New Roman" w:hAnsi="Times New Roman"/>
                <w:sz w:val="14"/>
                <w:szCs w:val="14"/>
                <w:lang w:val="en-GB" w:eastAsia="en-GB"/>
              </w:rPr>
            </w:pPr>
            <w:r>
              <w:rPr>
                <w:rFonts w:ascii="Times New Roman" w:hAnsi="Times New Roman"/>
                <w:sz w:val="14"/>
                <w:szCs w:val="14"/>
                <w:lang w:val="en-GB" w:eastAsia="en-GB"/>
              </w:rPr>
              <w:t>1,566</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2,</w:t>
            </w:r>
            <w:r>
              <w:rPr>
                <w:rFonts w:ascii="Times New Roman" w:hAnsi="Times New Roman"/>
                <w:sz w:val="14"/>
                <w:szCs w:val="14"/>
                <w:lang w:val="en-GB" w:eastAsia="en-GB"/>
              </w:rPr>
              <w:t>477</w:t>
            </w:r>
          </w:p>
        </w:tc>
        <w:tc>
          <w:tcPr>
            <w:tcW w:w="721" w:type="pct"/>
            <w:tcBorders>
              <w:top w:val="single" w:sz="4" w:space="0" w:color="auto"/>
              <w:left w:val="single" w:sz="4" w:space="0" w:color="auto"/>
              <w:bottom w:val="single" w:sz="4" w:space="0" w:color="auto"/>
              <w:right w:val="single" w:sz="4" w:space="0" w:color="auto"/>
            </w:tcBorders>
            <w:noWrap/>
            <w:textDirection w:val="lrTb"/>
            <w:vAlign w:val="bottom"/>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3,199</w:t>
            </w:r>
          </w:p>
        </w:tc>
      </w:tr>
      <w:tr>
        <w:tblPrEx>
          <w:tblW w:w="4885" w:type="pct"/>
          <w:tblInd w:w="108" w:type="dxa"/>
          <w:tblLook w:val="04A0"/>
        </w:tblPrEx>
        <w:trPr>
          <w:trHeight w:val="255"/>
        </w:trPr>
        <w:tc>
          <w:tcPr>
            <w:tcW w:w="2110"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rPr>
                <w:rFonts w:ascii="Times New Roman" w:hAnsi="Times New Roman"/>
                <w:sz w:val="14"/>
                <w:szCs w:val="14"/>
                <w:lang w:val="en-GB" w:eastAsia="en-GB"/>
              </w:rPr>
            </w:pPr>
            <w:r w:rsidRPr="00FC4B6C">
              <w:rPr>
                <w:rFonts w:ascii="Times New Roman" w:hAnsi="Times New Roman"/>
                <w:sz w:val="14"/>
                <w:szCs w:val="14"/>
                <w:lang w:val="en-GB" w:eastAsia="en-GB"/>
              </w:rPr>
              <w:t>3M EURIBOR</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1,4</w:t>
            </w:r>
            <w:r>
              <w:rPr>
                <w:rFonts w:ascii="Times New Roman" w:hAnsi="Times New Roman"/>
                <w:sz w:val="14"/>
                <w:szCs w:val="14"/>
                <w:lang w:val="en-GB" w:eastAsia="en-GB"/>
              </w:rPr>
              <w:t>0</w:t>
            </w:r>
            <w:r w:rsidRPr="00FC4B6C">
              <w:rPr>
                <w:rFonts w:ascii="Times New Roman" w:hAnsi="Times New Roman"/>
                <w:sz w:val="14"/>
                <w:szCs w:val="14"/>
                <w:lang w:val="en-GB" w:eastAsia="en-GB"/>
              </w:rPr>
              <w:t>5</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Pr>
                <w:rFonts w:ascii="Times New Roman" w:hAnsi="Times New Roman"/>
                <w:sz w:val="14"/>
                <w:szCs w:val="14"/>
                <w:lang w:val="en-GB" w:eastAsia="en-GB"/>
              </w:rPr>
              <w:t>1,696</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2,</w:t>
            </w:r>
            <w:r>
              <w:rPr>
                <w:rFonts w:ascii="Times New Roman" w:hAnsi="Times New Roman"/>
                <w:sz w:val="14"/>
                <w:szCs w:val="14"/>
                <w:lang w:val="en-GB" w:eastAsia="en-GB"/>
              </w:rPr>
              <w:t>733</w:t>
            </w:r>
          </w:p>
        </w:tc>
        <w:tc>
          <w:tcPr>
            <w:tcW w:w="721"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3,459</w:t>
            </w:r>
          </w:p>
        </w:tc>
      </w:tr>
      <w:tr>
        <w:tblPrEx>
          <w:tblW w:w="4885" w:type="pct"/>
          <w:tblInd w:w="108" w:type="dxa"/>
          <w:tblLook w:val="04A0"/>
        </w:tblPrEx>
        <w:trPr>
          <w:trHeight w:val="255"/>
        </w:trPr>
        <w:tc>
          <w:tcPr>
            <w:tcW w:w="2110"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rPr>
                <w:rFonts w:ascii="Times New Roman" w:hAnsi="Times New Roman"/>
                <w:sz w:val="14"/>
                <w:szCs w:val="14"/>
                <w:lang w:val="en-GB" w:eastAsia="en-GB"/>
              </w:rPr>
            </w:pPr>
            <w:r w:rsidRPr="00FC4B6C">
              <w:rPr>
                <w:rFonts w:ascii="Times New Roman" w:hAnsi="Times New Roman"/>
                <w:sz w:val="14"/>
                <w:szCs w:val="14"/>
                <w:lang w:val="en-GB" w:eastAsia="en-GB"/>
              </w:rPr>
              <w:t xml:space="preserve">6M EURIBOR </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1,</w:t>
            </w:r>
            <w:r>
              <w:rPr>
                <w:rFonts w:ascii="Times New Roman" w:hAnsi="Times New Roman"/>
                <w:sz w:val="14"/>
                <w:szCs w:val="14"/>
                <w:lang w:val="en-GB" w:eastAsia="en-GB"/>
              </w:rPr>
              <w:t>641</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Pr>
                <w:rFonts w:ascii="Times New Roman" w:hAnsi="Times New Roman"/>
                <w:sz w:val="14"/>
                <w:szCs w:val="14"/>
                <w:lang w:val="en-GB" w:eastAsia="en-GB"/>
              </w:rPr>
              <w:t>1,884</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Pr>
                <w:rFonts w:ascii="Times New Roman" w:hAnsi="Times New Roman"/>
                <w:sz w:val="14"/>
                <w:szCs w:val="14"/>
                <w:lang w:val="en-GB" w:eastAsia="en-GB"/>
              </w:rPr>
              <w:t>2,866</w:t>
            </w:r>
          </w:p>
        </w:tc>
        <w:tc>
          <w:tcPr>
            <w:tcW w:w="721"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3,564</w:t>
            </w:r>
          </w:p>
        </w:tc>
      </w:tr>
      <w:tr>
        <w:tblPrEx>
          <w:tblW w:w="4885" w:type="pct"/>
          <w:tblInd w:w="108" w:type="dxa"/>
          <w:tblLook w:val="04A0"/>
        </w:tblPrEx>
        <w:trPr>
          <w:trHeight w:val="255"/>
        </w:trPr>
        <w:tc>
          <w:tcPr>
            <w:tcW w:w="2110"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rPr>
                <w:rFonts w:ascii="Times New Roman" w:hAnsi="Times New Roman"/>
                <w:sz w:val="14"/>
                <w:szCs w:val="14"/>
                <w:lang w:val="en-GB" w:eastAsia="en-GB"/>
              </w:rPr>
            </w:pPr>
            <w:r w:rsidRPr="00FC4B6C">
              <w:rPr>
                <w:rFonts w:ascii="Times New Roman" w:hAnsi="Times New Roman"/>
                <w:sz w:val="14"/>
                <w:szCs w:val="14"/>
                <w:lang w:val="en-GB" w:eastAsia="en-GB"/>
              </w:rPr>
              <w:t xml:space="preserve">6M EUR LIBOR </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1,</w:t>
            </w:r>
            <w:r>
              <w:rPr>
                <w:rFonts w:ascii="Times New Roman" w:hAnsi="Times New Roman"/>
                <w:sz w:val="14"/>
                <w:szCs w:val="14"/>
                <w:lang w:val="en-GB" w:eastAsia="en-GB"/>
              </w:rPr>
              <w:t>641</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Pr>
                <w:rFonts w:ascii="Times New Roman" w:hAnsi="Times New Roman"/>
                <w:sz w:val="14"/>
                <w:szCs w:val="14"/>
                <w:lang w:val="en-GB" w:eastAsia="en-GB"/>
              </w:rPr>
              <w:t>1,884</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Pr>
                <w:rFonts w:ascii="Times New Roman" w:hAnsi="Times New Roman"/>
                <w:sz w:val="14"/>
                <w:szCs w:val="14"/>
                <w:lang w:val="en-GB" w:eastAsia="en-GB"/>
              </w:rPr>
              <w:t>2,866</w:t>
            </w:r>
          </w:p>
        </w:tc>
        <w:tc>
          <w:tcPr>
            <w:tcW w:w="721"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3,564</w:t>
            </w:r>
          </w:p>
        </w:tc>
      </w:tr>
      <w:tr>
        <w:tblPrEx>
          <w:tblW w:w="4885" w:type="pct"/>
          <w:tblInd w:w="108" w:type="dxa"/>
          <w:tblLook w:val="04A0"/>
        </w:tblPrEx>
        <w:trPr>
          <w:trHeight w:val="255"/>
        </w:trPr>
        <w:tc>
          <w:tcPr>
            <w:tcW w:w="2110"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rPr>
                <w:rFonts w:ascii="Times New Roman" w:hAnsi="Times New Roman"/>
                <w:sz w:val="14"/>
                <w:szCs w:val="14"/>
                <w:lang w:val="en-GB" w:eastAsia="en-GB"/>
              </w:rPr>
            </w:pPr>
            <w:r w:rsidRPr="00FC4B6C">
              <w:rPr>
                <w:rFonts w:ascii="Times New Roman" w:hAnsi="Times New Roman"/>
                <w:sz w:val="14"/>
                <w:szCs w:val="14"/>
                <w:lang w:val="en-GB" w:eastAsia="en-GB"/>
              </w:rPr>
              <w:t xml:space="preserve">1Y </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2,</w:t>
            </w:r>
            <w:r>
              <w:rPr>
                <w:rFonts w:ascii="Times New Roman" w:hAnsi="Times New Roman"/>
                <w:sz w:val="14"/>
                <w:szCs w:val="14"/>
                <w:lang w:val="en-GB" w:eastAsia="en-GB"/>
              </w:rPr>
              <w:t>026</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2,</w:t>
            </w:r>
            <w:r>
              <w:rPr>
                <w:rFonts w:ascii="Times New Roman" w:hAnsi="Times New Roman"/>
                <w:sz w:val="14"/>
                <w:szCs w:val="14"/>
                <w:lang w:val="en-GB" w:eastAsia="en-GB"/>
              </w:rPr>
              <w:t>259</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3,</w:t>
            </w:r>
            <w:r>
              <w:rPr>
                <w:rFonts w:ascii="Times New Roman" w:hAnsi="Times New Roman"/>
                <w:sz w:val="14"/>
                <w:szCs w:val="14"/>
                <w:lang w:val="en-GB" w:eastAsia="en-GB"/>
              </w:rPr>
              <w:t>130</w:t>
            </w:r>
          </w:p>
        </w:tc>
        <w:tc>
          <w:tcPr>
            <w:tcW w:w="721"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3,774</w:t>
            </w:r>
          </w:p>
        </w:tc>
      </w:tr>
      <w:tr>
        <w:tblPrEx>
          <w:tblW w:w="4885" w:type="pct"/>
          <w:tblInd w:w="108" w:type="dxa"/>
          <w:tblLook w:val="04A0"/>
        </w:tblPrEx>
        <w:trPr>
          <w:trHeight w:val="255"/>
        </w:trPr>
        <w:tc>
          <w:tcPr>
            <w:tcW w:w="2110"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rPr>
                <w:rFonts w:ascii="Times New Roman" w:hAnsi="Times New Roman"/>
                <w:sz w:val="14"/>
                <w:szCs w:val="14"/>
                <w:lang w:val="en-GB" w:eastAsia="en-GB"/>
              </w:rPr>
            </w:pPr>
            <w:r w:rsidRPr="00FC4B6C">
              <w:rPr>
                <w:rFonts w:ascii="Times New Roman" w:hAnsi="Times New Roman"/>
                <w:sz w:val="14"/>
                <w:szCs w:val="14"/>
                <w:lang w:val="en-GB" w:eastAsia="en-GB"/>
              </w:rPr>
              <w:t xml:space="preserve">5Y </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3,</w:t>
            </w:r>
            <w:r>
              <w:rPr>
                <w:rFonts w:ascii="Times New Roman" w:hAnsi="Times New Roman"/>
                <w:sz w:val="14"/>
                <w:szCs w:val="14"/>
                <w:lang w:val="en-GB" w:eastAsia="en-GB"/>
              </w:rPr>
              <w:t>570</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Pr>
                <w:rFonts w:ascii="Times New Roman" w:hAnsi="Times New Roman"/>
                <w:sz w:val="14"/>
                <w:szCs w:val="14"/>
                <w:lang w:val="en-GB" w:eastAsia="en-GB"/>
              </w:rPr>
              <w:t>3,789</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4,</w:t>
            </w:r>
            <w:r>
              <w:rPr>
                <w:rFonts w:ascii="Times New Roman" w:hAnsi="Times New Roman"/>
                <w:sz w:val="14"/>
                <w:szCs w:val="14"/>
                <w:lang w:val="en-GB" w:eastAsia="en-GB"/>
              </w:rPr>
              <w:t>282</w:t>
            </w:r>
          </w:p>
        </w:tc>
        <w:tc>
          <w:tcPr>
            <w:tcW w:w="721"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4,6</w:t>
            </w:r>
            <w:r>
              <w:rPr>
                <w:rFonts w:ascii="Times New Roman" w:hAnsi="Times New Roman"/>
                <w:sz w:val="14"/>
                <w:szCs w:val="14"/>
                <w:lang w:val="en-GB" w:eastAsia="en-GB"/>
              </w:rPr>
              <w:t>46</w:t>
            </w:r>
          </w:p>
        </w:tc>
      </w:tr>
      <w:tr>
        <w:tblPrEx>
          <w:tblW w:w="4885" w:type="pct"/>
          <w:tblInd w:w="108" w:type="dxa"/>
          <w:tblLook w:val="04A0"/>
        </w:tblPrEx>
        <w:trPr>
          <w:trHeight w:val="255"/>
        </w:trPr>
        <w:tc>
          <w:tcPr>
            <w:tcW w:w="2110"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rPr>
                <w:rFonts w:ascii="Times New Roman" w:hAnsi="Times New Roman"/>
                <w:sz w:val="14"/>
                <w:szCs w:val="14"/>
                <w:lang w:val="en-GB" w:eastAsia="en-GB"/>
              </w:rPr>
            </w:pPr>
            <w:r w:rsidRPr="00FC4B6C">
              <w:rPr>
                <w:rFonts w:ascii="Times New Roman" w:hAnsi="Times New Roman"/>
                <w:sz w:val="14"/>
                <w:szCs w:val="14"/>
                <w:lang w:val="en-GB" w:eastAsia="en-GB"/>
              </w:rPr>
              <w:t xml:space="preserve">10Y </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4,</w:t>
            </w:r>
            <w:r>
              <w:rPr>
                <w:rFonts w:ascii="Times New Roman" w:hAnsi="Times New Roman"/>
                <w:sz w:val="14"/>
                <w:szCs w:val="14"/>
                <w:lang w:val="en-GB" w:eastAsia="en-GB"/>
              </w:rPr>
              <w:t>421</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4,9</w:t>
            </w:r>
            <w:r>
              <w:rPr>
                <w:rFonts w:ascii="Times New Roman" w:hAnsi="Times New Roman"/>
                <w:sz w:val="14"/>
                <w:szCs w:val="14"/>
                <w:lang w:val="en-GB" w:eastAsia="en-GB"/>
              </w:rPr>
              <w:t>25</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5,</w:t>
            </w:r>
            <w:r>
              <w:rPr>
                <w:rFonts w:ascii="Times New Roman" w:hAnsi="Times New Roman"/>
                <w:sz w:val="14"/>
                <w:szCs w:val="14"/>
                <w:lang w:val="en-GB" w:eastAsia="en-GB"/>
              </w:rPr>
              <w:t>081</w:t>
            </w:r>
          </w:p>
        </w:tc>
        <w:tc>
          <w:tcPr>
            <w:tcW w:w="721"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5,</w:t>
            </w:r>
            <w:r>
              <w:rPr>
                <w:rFonts w:ascii="Times New Roman" w:hAnsi="Times New Roman"/>
                <w:sz w:val="14"/>
                <w:szCs w:val="14"/>
                <w:lang w:val="en-GB" w:eastAsia="en-GB"/>
              </w:rPr>
              <w:t>150</w:t>
            </w:r>
          </w:p>
        </w:tc>
      </w:tr>
      <w:tr>
        <w:tblPrEx>
          <w:tblW w:w="4885" w:type="pct"/>
          <w:tblInd w:w="108" w:type="dxa"/>
          <w:tblLook w:val="04A0"/>
        </w:tblPrEx>
        <w:trPr>
          <w:trHeight w:val="255"/>
        </w:trPr>
        <w:tc>
          <w:tcPr>
            <w:tcW w:w="2110"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rPr>
                <w:rFonts w:ascii="Times New Roman" w:hAnsi="Times New Roman"/>
                <w:sz w:val="14"/>
                <w:szCs w:val="14"/>
                <w:lang w:val="en-GB" w:eastAsia="en-GB"/>
              </w:rPr>
            </w:pPr>
            <w:r w:rsidRPr="00FC4B6C">
              <w:rPr>
                <w:rFonts w:ascii="Times New Roman" w:hAnsi="Times New Roman"/>
                <w:sz w:val="14"/>
                <w:szCs w:val="14"/>
                <w:lang w:val="en-GB" w:eastAsia="en-GB"/>
              </w:rPr>
              <w:t xml:space="preserve">15Y </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4,</w:t>
            </w:r>
            <w:r>
              <w:rPr>
                <w:rFonts w:ascii="Times New Roman" w:hAnsi="Times New Roman"/>
                <w:sz w:val="14"/>
                <w:szCs w:val="14"/>
                <w:lang w:val="en-GB" w:eastAsia="en-GB"/>
              </w:rPr>
              <w:t>596</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5,</w:t>
            </w:r>
            <w:r>
              <w:rPr>
                <w:rFonts w:ascii="Times New Roman" w:hAnsi="Times New Roman"/>
                <w:sz w:val="14"/>
                <w:szCs w:val="14"/>
                <w:lang w:val="en-GB" w:eastAsia="en-GB"/>
              </w:rPr>
              <w:t>100</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5,</w:t>
            </w:r>
            <w:r>
              <w:rPr>
                <w:rFonts w:ascii="Times New Roman" w:hAnsi="Times New Roman"/>
                <w:sz w:val="14"/>
                <w:szCs w:val="14"/>
                <w:lang w:val="en-GB" w:eastAsia="en-GB"/>
              </w:rPr>
              <w:t>256</w:t>
            </w:r>
          </w:p>
        </w:tc>
        <w:tc>
          <w:tcPr>
            <w:tcW w:w="721"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5,3</w:t>
            </w:r>
            <w:r>
              <w:rPr>
                <w:rFonts w:ascii="Times New Roman" w:hAnsi="Times New Roman"/>
                <w:sz w:val="14"/>
                <w:szCs w:val="14"/>
                <w:lang w:val="en-GB" w:eastAsia="en-GB"/>
              </w:rPr>
              <w:t>25</w:t>
            </w:r>
          </w:p>
        </w:tc>
      </w:tr>
      <w:tr>
        <w:tblPrEx>
          <w:tblW w:w="4885" w:type="pct"/>
          <w:tblInd w:w="108" w:type="dxa"/>
          <w:tblLook w:val="04A0"/>
        </w:tblPrEx>
        <w:trPr>
          <w:trHeight w:val="255"/>
        </w:trPr>
        <w:tc>
          <w:tcPr>
            <w:tcW w:w="2110"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rPr>
                <w:rFonts w:ascii="Times New Roman" w:hAnsi="Times New Roman"/>
                <w:sz w:val="14"/>
                <w:szCs w:val="14"/>
                <w:lang w:val="en-GB" w:eastAsia="en-GB"/>
              </w:rPr>
            </w:pPr>
            <w:r w:rsidRPr="00FC4B6C">
              <w:rPr>
                <w:rFonts w:ascii="Times New Roman" w:hAnsi="Times New Roman"/>
                <w:sz w:val="14"/>
                <w:szCs w:val="14"/>
                <w:lang w:val="en-GB" w:eastAsia="en-GB"/>
              </w:rPr>
              <w:t xml:space="preserve">20Y </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Pr>
                <w:rFonts w:ascii="Times New Roman" w:hAnsi="Times New Roman"/>
                <w:sz w:val="14"/>
                <w:szCs w:val="14"/>
                <w:lang w:val="en-GB" w:eastAsia="en-GB"/>
              </w:rPr>
              <w:t>4,771</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5,</w:t>
            </w:r>
            <w:r>
              <w:rPr>
                <w:rFonts w:ascii="Times New Roman" w:hAnsi="Times New Roman"/>
                <w:sz w:val="14"/>
                <w:szCs w:val="14"/>
                <w:lang w:val="en-GB" w:eastAsia="en-GB"/>
              </w:rPr>
              <w:t>275</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5,4</w:t>
            </w:r>
            <w:r>
              <w:rPr>
                <w:rFonts w:ascii="Times New Roman" w:hAnsi="Times New Roman"/>
                <w:sz w:val="14"/>
                <w:szCs w:val="14"/>
                <w:lang w:val="en-GB" w:eastAsia="en-GB"/>
              </w:rPr>
              <w:t>31</w:t>
            </w:r>
          </w:p>
        </w:tc>
        <w:tc>
          <w:tcPr>
            <w:tcW w:w="721"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5,</w:t>
            </w:r>
            <w:r>
              <w:rPr>
                <w:rFonts w:ascii="Times New Roman" w:hAnsi="Times New Roman"/>
                <w:sz w:val="14"/>
                <w:szCs w:val="14"/>
                <w:lang w:val="en-GB" w:eastAsia="en-GB"/>
              </w:rPr>
              <w:t>5</w:t>
            </w:r>
            <w:r w:rsidRPr="00FC4B6C">
              <w:rPr>
                <w:rFonts w:ascii="Times New Roman" w:hAnsi="Times New Roman"/>
                <w:sz w:val="14"/>
                <w:szCs w:val="14"/>
                <w:lang w:val="en-GB" w:eastAsia="en-GB"/>
              </w:rPr>
              <w:t>00</w:t>
            </w:r>
          </w:p>
        </w:tc>
      </w:tr>
      <w:tr>
        <w:tblPrEx>
          <w:tblW w:w="4885" w:type="pct"/>
          <w:tblInd w:w="108" w:type="dxa"/>
          <w:tblLook w:val="04A0"/>
        </w:tblPrEx>
        <w:trPr>
          <w:trHeight w:val="255"/>
        </w:trPr>
        <w:tc>
          <w:tcPr>
            <w:tcW w:w="2110"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rPr>
                <w:rFonts w:ascii="Times New Roman" w:hAnsi="Times New Roman"/>
                <w:sz w:val="14"/>
                <w:szCs w:val="14"/>
                <w:lang w:val="en-GB" w:eastAsia="en-GB"/>
              </w:rPr>
            </w:pPr>
            <w:r w:rsidRPr="00FC4B6C">
              <w:rPr>
                <w:rFonts w:ascii="Times New Roman" w:hAnsi="Times New Roman"/>
                <w:sz w:val="14"/>
                <w:szCs w:val="14"/>
                <w:lang w:val="en-GB" w:eastAsia="en-GB"/>
              </w:rPr>
              <w:t xml:space="preserve">5Y Eurobonds </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3,</w:t>
            </w:r>
            <w:r>
              <w:rPr>
                <w:rFonts w:ascii="Times New Roman" w:hAnsi="Times New Roman"/>
                <w:sz w:val="14"/>
                <w:szCs w:val="14"/>
                <w:lang w:val="en-GB" w:eastAsia="en-GB"/>
              </w:rPr>
              <w:t>670</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Pr>
                <w:rFonts w:ascii="Times New Roman" w:hAnsi="Times New Roman"/>
                <w:sz w:val="14"/>
                <w:szCs w:val="14"/>
                <w:lang w:val="en-GB" w:eastAsia="en-GB"/>
              </w:rPr>
              <w:t>3,889</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4,</w:t>
            </w:r>
            <w:r>
              <w:rPr>
                <w:rFonts w:ascii="Times New Roman" w:hAnsi="Times New Roman"/>
                <w:sz w:val="14"/>
                <w:szCs w:val="14"/>
                <w:lang w:val="en-GB" w:eastAsia="en-GB"/>
              </w:rPr>
              <w:t>382</w:t>
            </w:r>
          </w:p>
        </w:tc>
        <w:tc>
          <w:tcPr>
            <w:tcW w:w="721"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4,7</w:t>
            </w:r>
            <w:r>
              <w:rPr>
                <w:rFonts w:ascii="Times New Roman" w:hAnsi="Times New Roman"/>
                <w:sz w:val="14"/>
                <w:szCs w:val="14"/>
                <w:lang w:val="en-GB" w:eastAsia="en-GB"/>
              </w:rPr>
              <w:t>46</w:t>
            </w:r>
          </w:p>
        </w:tc>
      </w:tr>
      <w:tr>
        <w:tblPrEx>
          <w:tblW w:w="4885" w:type="pct"/>
          <w:tblInd w:w="108" w:type="dxa"/>
          <w:tblLook w:val="04A0"/>
        </w:tblPrEx>
        <w:trPr>
          <w:trHeight w:val="255"/>
        </w:trPr>
        <w:tc>
          <w:tcPr>
            <w:tcW w:w="2110"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rPr>
                <w:rFonts w:ascii="Times New Roman" w:hAnsi="Times New Roman"/>
                <w:sz w:val="14"/>
                <w:szCs w:val="14"/>
                <w:lang w:val="en-GB" w:eastAsia="en-GB"/>
              </w:rPr>
            </w:pPr>
            <w:r w:rsidRPr="00FC4B6C">
              <w:rPr>
                <w:rFonts w:ascii="Times New Roman" w:hAnsi="Times New Roman"/>
                <w:sz w:val="14"/>
                <w:szCs w:val="14"/>
                <w:lang w:val="en-GB" w:eastAsia="en-GB"/>
              </w:rPr>
              <w:t xml:space="preserve">10Y Eurobonds </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4,</w:t>
            </w:r>
            <w:r>
              <w:rPr>
                <w:rFonts w:ascii="Times New Roman" w:hAnsi="Times New Roman"/>
                <w:sz w:val="14"/>
                <w:szCs w:val="14"/>
                <w:lang w:val="en-GB" w:eastAsia="en-GB"/>
              </w:rPr>
              <w:t>521</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5,0</w:t>
            </w:r>
            <w:r>
              <w:rPr>
                <w:rFonts w:ascii="Times New Roman" w:hAnsi="Times New Roman"/>
                <w:sz w:val="14"/>
                <w:szCs w:val="14"/>
                <w:lang w:val="en-GB" w:eastAsia="en-GB"/>
              </w:rPr>
              <w:t>25</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5,</w:t>
            </w:r>
            <w:r>
              <w:rPr>
                <w:rFonts w:ascii="Times New Roman" w:hAnsi="Times New Roman"/>
                <w:sz w:val="14"/>
                <w:szCs w:val="14"/>
                <w:lang w:val="en-GB" w:eastAsia="en-GB"/>
              </w:rPr>
              <w:t>181</w:t>
            </w:r>
          </w:p>
        </w:tc>
        <w:tc>
          <w:tcPr>
            <w:tcW w:w="721"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5,</w:t>
            </w:r>
            <w:r>
              <w:rPr>
                <w:rFonts w:ascii="Times New Roman" w:hAnsi="Times New Roman"/>
                <w:sz w:val="14"/>
                <w:szCs w:val="14"/>
                <w:lang w:val="en-GB" w:eastAsia="en-GB"/>
              </w:rPr>
              <w:t>250</w:t>
            </w:r>
          </w:p>
        </w:tc>
      </w:tr>
      <w:tr>
        <w:tblPrEx>
          <w:tblW w:w="4885" w:type="pct"/>
          <w:tblInd w:w="108" w:type="dxa"/>
          <w:tblLook w:val="04A0"/>
        </w:tblPrEx>
        <w:trPr>
          <w:trHeight w:val="255"/>
        </w:trPr>
        <w:tc>
          <w:tcPr>
            <w:tcW w:w="2110"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rPr>
                <w:rFonts w:ascii="Times New Roman" w:hAnsi="Times New Roman"/>
                <w:sz w:val="14"/>
                <w:szCs w:val="14"/>
                <w:lang w:val="en-GB" w:eastAsia="en-GB"/>
              </w:rPr>
            </w:pPr>
            <w:r w:rsidRPr="00FC4B6C">
              <w:rPr>
                <w:rFonts w:ascii="Times New Roman" w:hAnsi="Times New Roman"/>
                <w:sz w:val="14"/>
                <w:szCs w:val="14"/>
                <w:lang w:val="en-GB" w:eastAsia="en-GB"/>
              </w:rPr>
              <w:t xml:space="preserve">15Y Eurobonds </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4,</w:t>
            </w:r>
            <w:r>
              <w:rPr>
                <w:rFonts w:ascii="Times New Roman" w:hAnsi="Times New Roman"/>
                <w:sz w:val="14"/>
                <w:szCs w:val="14"/>
                <w:lang w:val="en-GB" w:eastAsia="en-GB"/>
              </w:rPr>
              <w:t>696</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5,2</w:t>
            </w:r>
            <w:r>
              <w:rPr>
                <w:rFonts w:ascii="Times New Roman" w:hAnsi="Times New Roman"/>
                <w:sz w:val="14"/>
                <w:szCs w:val="14"/>
                <w:lang w:val="en-GB" w:eastAsia="en-GB"/>
              </w:rPr>
              <w:t>00</w:t>
            </w:r>
          </w:p>
        </w:tc>
        <w:tc>
          <w:tcPr>
            <w:tcW w:w="723"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5,</w:t>
            </w:r>
            <w:r>
              <w:rPr>
                <w:rFonts w:ascii="Times New Roman" w:hAnsi="Times New Roman"/>
                <w:sz w:val="14"/>
                <w:szCs w:val="14"/>
                <w:lang w:val="en-GB" w:eastAsia="en-GB"/>
              </w:rPr>
              <w:t>356</w:t>
            </w:r>
          </w:p>
        </w:tc>
        <w:tc>
          <w:tcPr>
            <w:tcW w:w="721" w:type="pct"/>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FC4B6C" w:rsidP="00F576BD">
            <w:pPr>
              <w:bidi w:val="0"/>
              <w:jc w:val="right"/>
              <w:rPr>
                <w:rFonts w:ascii="Times New Roman" w:hAnsi="Times New Roman"/>
                <w:sz w:val="14"/>
                <w:szCs w:val="14"/>
                <w:lang w:val="en-GB" w:eastAsia="en-GB"/>
              </w:rPr>
            </w:pPr>
            <w:r w:rsidRPr="00FC4B6C">
              <w:rPr>
                <w:rFonts w:ascii="Times New Roman" w:hAnsi="Times New Roman"/>
                <w:sz w:val="14"/>
                <w:szCs w:val="14"/>
                <w:lang w:val="en-GB" w:eastAsia="en-GB"/>
              </w:rPr>
              <w:t>5,4</w:t>
            </w:r>
            <w:r>
              <w:rPr>
                <w:rFonts w:ascii="Times New Roman" w:hAnsi="Times New Roman"/>
                <w:sz w:val="14"/>
                <w:szCs w:val="14"/>
                <w:lang w:val="en-GB" w:eastAsia="en-GB"/>
              </w:rPr>
              <w:t>25</w:t>
            </w:r>
          </w:p>
        </w:tc>
      </w:tr>
    </w:tbl>
    <w:p w:rsidR="00CF0B79" w:rsidRPr="00193117" w:rsidP="00CF0B79">
      <w:pPr>
        <w:pStyle w:val="ListParagraph"/>
        <w:bidi w:val="0"/>
        <w:ind w:left="0"/>
        <w:contextualSpacing w:val="0"/>
        <w:rPr>
          <w:b/>
        </w:rPr>
      </w:pPr>
    </w:p>
    <w:p w:rsidR="000F7251" w:rsidP="00CF0B79">
      <w:pPr>
        <w:pStyle w:val="ListParagraph"/>
        <w:bidi w:val="0"/>
        <w:ind w:left="0"/>
        <w:contextualSpacing w:val="0"/>
        <w:rPr>
          <w:rFonts w:ascii="Times New Roman" w:hAnsi="Times New Roman" w:cs="Times New Roman"/>
          <w:i/>
        </w:rPr>
      </w:pPr>
    </w:p>
    <w:p w:rsidR="00CF0B79" w:rsidRPr="006F0860" w:rsidP="00CF0B79">
      <w:pPr>
        <w:pStyle w:val="ListParagraph"/>
        <w:bidi w:val="0"/>
        <w:ind w:left="0"/>
        <w:contextualSpacing w:val="0"/>
        <w:rPr>
          <w:rFonts w:ascii="Times New Roman" w:hAnsi="Times New Roman" w:cs="Times New Roman"/>
          <w:i/>
        </w:rPr>
      </w:pPr>
      <w:r w:rsidRPr="006F0860">
        <w:rPr>
          <w:rFonts w:ascii="Times New Roman" w:hAnsi="Times New Roman" w:cs="Times New Roman"/>
          <w:i/>
        </w:rPr>
        <w:t>C. Iné predpoklady</w:t>
      </w:r>
    </w:p>
    <w:p w:rsidR="00CF0B79" w:rsidRPr="006F0860" w:rsidP="00CF0B79">
      <w:pPr>
        <w:bidi w:val="0"/>
        <w:jc w:val="both"/>
        <w:rPr>
          <w:rFonts w:ascii="Times New Roman" w:hAnsi="Times New Roman" w:cs="Times New Roman"/>
        </w:rPr>
      </w:pPr>
    </w:p>
    <w:p w:rsidR="00CF0B79" w:rsidRPr="006F0860" w:rsidP="00CF0B79">
      <w:pPr>
        <w:bidi w:val="0"/>
        <w:ind w:firstLine="360"/>
        <w:jc w:val="both"/>
        <w:rPr>
          <w:rFonts w:ascii="Times New Roman" w:hAnsi="Times New Roman" w:cs="Times New Roman"/>
        </w:rPr>
      </w:pPr>
      <w:r w:rsidRPr="006F0860">
        <w:rPr>
          <w:rFonts w:ascii="Times New Roman" w:hAnsi="Times New Roman" w:cs="Times New Roman"/>
        </w:rPr>
        <w:t>Celkové náklady na štátny dlh môžu v menšej miere ovplyvniť aj niektoré iné vplyvy, medzi ktoré napríklad patria:</w:t>
      </w:r>
    </w:p>
    <w:p w:rsidR="00CF0B79" w:rsidRPr="006F0860" w:rsidP="00CF0B79">
      <w:pPr>
        <w:bidi w:val="0"/>
        <w:jc w:val="both"/>
        <w:rPr>
          <w:rFonts w:ascii="Times New Roman" w:hAnsi="Times New Roman" w:cs="Times New Roman"/>
        </w:rPr>
      </w:pPr>
    </w:p>
    <w:p w:rsidR="00CF0B79" w:rsidRPr="006F0860" w:rsidP="00CF0B79">
      <w:pPr>
        <w:pStyle w:val="ListParagraph"/>
        <w:numPr>
          <w:numId w:val="41"/>
        </w:numPr>
        <w:bidi w:val="0"/>
        <w:contextualSpacing w:val="0"/>
        <w:jc w:val="both"/>
        <w:rPr>
          <w:rFonts w:ascii="Times New Roman" w:hAnsi="Times New Roman" w:cs="Times New Roman"/>
        </w:rPr>
      </w:pPr>
      <w:r w:rsidRPr="006F0860">
        <w:rPr>
          <w:rFonts w:ascii="Times New Roman" w:hAnsi="Times New Roman" w:cs="Times New Roman"/>
        </w:rPr>
        <w:t>Kurz eura voči doláru a jenu</w:t>
      </w:r>
    </w:p>
    <w:p w:rsidR="00CF0B79" w:rsidRPr="006F0860" w:rsidP="00CF0B79">
      <w:pPr>
        <w:pStyle w:val="ListParagraph"/>
        <w:bidi w:val="0"/>
        <w:contextualSpacing w:val="0"/>
        <w:jc w:val="both"/>
        <w:rPr>
          <w:rFonts w:ascii="Times New Roman" w:hAnsi="Times New Roman" w:cs="Times New Roman"/>
        </w:rPr>
      </w:pPr>
    </w:p>
    <w:p w:rsidR="00CF0B79" w:rsidRPr="006F0860" w:rsidP="00CF0B79">
      <w:pPr>
        <w:pStyle w:val="ListParagraph"/>
        <w:numPr>
          <w:numId w:val="41"/>
        </w:numPr>
        <w:bidi w:val="0"/>
        <w:contextualSpacing w:val="0"/>
        <w:jc w:val="both"/>
        <w:rPr>
          <w:rFonts w:ascii="Times New Roman" w:hAnsi="Times New Roman" w:cs="Times New Roman"/>
        </w:rPr>
      </w:pPr>
      <w:r w:rsidRPr="006F0860">
        <w:rPr>
          <w:rFonts w:ascii="Times New Roman" w:hAnsi="Times New Roman" w:cs="Times New Roman"/>
        </w:rPr>
        <w:t xml:space="preserve">Rýchlosť – dynamika rastu deficitu štátneho rozpočtu v priebehu roka. Ak deficit rastie rýchlejšie už v prvom polroku, výsledkom sú väčšie úrokové náklady v porovnaní so situáciou, keď deficit významne rastie až v závere roka. </w:t>
      </w:r>
    </w:p>
    <w:p w:rsidR="00CF0B79" w:rsidRPr="006F0860" w:rsidP="00CF0B79">
      <w:pPr>
        <w:pStyle w:val="ListParagraph"/>
        <w:bidi w:val="0"/>
        <w:ind w:left="0"/>
        <w:contextualSpacing w:val="0"/>
        <w:jc w:val="both"/>
        <w:rPr>
          <w:rFonts w:ascii="Times New Roman" w:hAnsi="Times New Roman" w:cs="Times New Roman"/>
        </w:rPr>
      </w:pPr>
    </w:p>
    <w:p w:rsidR="00CF0B79" w:rsidRPr="006F0860" w:rsidP="00CF0B79">
      <w:pPr>
        <w:pStyle w:val="ListParagraph"/>
        <w:numPr>
          <w:numId w:val="41"/>
        </w:numPr>
        <w:bidi w:val="0"/>
        <w:contextualSpacing w:val="0"/>
        <w:jc w:val="both"/>
        <w:rPr>
          <w:rFonts w:ascii="Times New Roman" w:hAnsi="Times New Roman" w:cs="Times New Roman"/>
        </w:rPr>
      </w:pPr>
      <w:r w:rsidRPr="006F0860">
        <w:rPr>
          <w:rFonts w:ascii="Times New Roman" w:hAnsi="Times New Roman" w:cs="Times New Roman"/>
        </w:rPr>
        <w:t>Štruktúra emitovaných štátnych dlhopisov a emisná politika v priebehu bežného roka. Ak MF SR emituje dlhopisy s kratšou dobou splatnosti, úrokové sadzby sú zvyčajne nižšie. Nevýhodou je však väčšie refinančné a úrokové riziko. A naopak, pri dlhších splatnostiach sú síce úroky vyššie, ale štát má väčšiu istotu stability pri financovaní štátneho dlhu.</w:t>
      </w:r>
    </w:p>
    <w:p w:rsidR="00CF0B79" w:rsidRPr="006F0860" w:rsidP="00CF0B79">
      <w:pPr>
        <w:bidi w:val="0"/>
        <w:rPr>
          <w:rFonts w:ascii="Times New Roman" w:hAnsi="Times New Roman" w:cs="Times New Roman"/>
          <w:b/>
        </w:rPr>
      </w:pPr>
    </w:p>
    <w:p w:rsidR="00CF0B79" w:rsidRPr="006F0860" w:rsidP="00CF0B79">
      <w:pPr>
        <w:bidi w:val="0"/>
        <w:rPr>
          <w:rFonts w:ascii="Times New Roman" w:hAnsi="Times New Roman" w:cs="Times New Roman"/>
          <w:i/>
          <w:iCs/>
          <w:u w:val="single"/>
        </w:rPr>
      </w:pPr>
      <w:r w:rsidRPr="006F0860">
        <w:rPr>
          <w:rFonts w:ascii="Times New Roman" w:hAnsi="Times New Roman" w:cs="Times New Roman"/>
          <w:i/>
          <w:u w:val="single"/>
        </w:rPr>
        <w:t xml:space="preserve">Náklady </w:t>
      </w:r>
      <w:r w:rsidRPr="006F0860">
        <w:rPr>
          <w:rFonts w:ascii="Times New Roman" w:hAnsi="Times New Roman" w:cs="Times New Roman"/>
          <w:i/>
          <w:iCs/>
          <w:u w:val="single"/>
        </w:rPr>
        <w:t>na financovanie štátneho dlhu</w:t>
      </w:r>
    </w:p>
    <w:p w:rsidR="00CF0B79" w:rsidRPr="00193117" w:rsidP="00CF0B79">
      <w:pPr>
        <w:bidi w:val="0"/>
        <w:jc w:val="both"/>
        <w:rPr>
          <w:rFonts w:ascii="Times New Roman" w:hAnsi="Times New Roman"/>
        </w:rPr>
      </w:pPr>
    </w:p>
    <w:p w:rsidR="00CF0B79" w:rsidRPr="00193117" w:rsidP="00CF0B79">
      <w:pPr>
        <w:bidi w:val="0"/>
        <w:ind w:firstLine="708"/>
        <w:jc w:val="both"/>
        <w:rPr>
          <w:rFonts w:ascii="Times New Roman" w:hAnsi="Times New Roman"/>
        </w:rPr>
      </w:pPr>
      <w:r w:rsidRPr="00193117">
        <w:rPr>
          <w:rFonts w:ascii="Times New Roman" w:hAnsi="Times New Roman"/>
        </w:rPr>
        <w:t>Zmeny úrokových sadzieb a zmeny deficitov štátneho rozpočtu sa prejavia v zmene nákladov na štátny dlh. Celkové zaťaženie verejných financií úrokovými nákladmi sa sleduje dvoma spôsobmi. Akruálne náklady (časovo rozlíšené) zodpovedajú nákladom na daný kalendárny rok, a to bez ohľadu na to, či sa úroky vyplatia v danom roku alebo až ďalších rokoch. Akruálne sledovanie a vykazovanie nákladov presnejšie odzrkadľuje reálne náklady štátu na dlhovú službu v jednotlivých rokoch.</w:t>
      </w:r>
    </w:p>
    <w:p w:rsidR="00CF0B79" w:rsidP="00CF0B79">
      <w:pPr>
        <w:bidi w:val="0"/>
        <w:jc w:val="both"/>
        <w:rPr>
          <w:rFonts w:ascii="Times New Roman" w:hAnsi="Times New Roman"/>
          <w:b/>
        </w:rPr>
      </w:pPr>
    </w:p>
    <w:p w:rsidR="00CF0B79" w:rsidRPr="00193117" w:rsidP="00CF0B79">
      <w:pPr>
        <w:bidi w:val="0"/>
        <w:jc w:val="both"/>
        <w:rPr>
          <w:rFonts w:ascii="Times New Roman" w:hAnsi="Times New Roman"/>
          <w:b/>
        </w:rPr>
      </w:pPr>
    </w:p>
    <w:tbl>
      <w:tblPr>
        <w:tblStyle w:val="TableNormal"/>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399"/>
        <w:gridCol w:w="945"/>
        <w:gridCol w:w="946"/>
        <w:gridCol w:w="945"/>
        <w:gridCol w:w="946"/>
        <w:gridCol w:w="945"/>
        <w:gridCol w:w="946"/>
      </w:tblGrid>
      <w:tr>
        <w:tblPrEx>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261"/>
        </w:trPr>
        <w:tc>
          <w:tcPr>
            <w:tcW w:w="3399"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193117" w:rsidP="00F576BD">
            <w:pPr>
              <w:bidi w:val="0"/>
              <w:rPr>
                <w:rFonts w:ascii="Times New Roman" w:hAnsi="Times New Roman"/>
                <w:b/>
                <w:sz w:val="14"/>
                <w:szCs w:val="14"/>
              </w:rPr>
            </w:pPr>
            <w:r w:rsidRPr="00193117">
              <w:rPr>
                <w:rFonts w:ascii="Times New Roman" w:hAnsi="Times New Roman"/>
                <w:b/>
                <w:sz w:val="14"/>
                <w:szCs w:val="14"/>
              </w:rPr>
              <w:t>Akruálne (časovo rozlíšené) náklady</w:t>
            </w:r>
            <w:r>
              <w:rPr>
                <w:rFonts w:ascii="Times New Roman" w:hAnsi="Times New Roman"/>
                <w:b/>
                <w:sz w:val="14"/>
                <w:szCs w:val="14"/>
              </w:rPr>
              <w:t xml:space="preserve"> </w:t>
            </w:r>
            <w:r w:rsidRPr="00193117">
              <w:rPr>
                <w:rFonts w:ascii="Times New Roman" w:hAnsi="Times New Roman"/>
                <w:b/>
                <w:sz w:val="14"/>
                <w:szCs w:val="14"/>
              </w:rPr>
              <w:t>[</w:t>
            </w:r>
            <w:r>
              <w:rPr>
                <w:rFonts w:ascii="Times New Roman" w:hAnsi="Times New Roman"/>
                <w:b/>
                <w:sz w:val="14"/>
                <w:szCs w:val="14"/>
              </w:rPr>
              <w:t xml:space="preserve">v </w:t>
            </w:r>
            <w:r w:rsidRPr="00193117">
              <w:rPr>
                <w:rFonts w:ascii="Times New Roman" w:hAnsi="Times New Roman"/>
                <w:b/>
                <w:sz w:val="14"/>
                <w:szCs w:val="14"/>
              </w:rPr>
              <w:t xml:space="preserve">mil. </w:t>
            </w:r>
            <w:r>
              <w:rPr>
                <w:rFonts w:ascii="Times New Roman" w:hAnsi="Times New Roman"/>
                <w:b/>
                <w:sz w:val="14"/>
                <w:szCs w:val="14"/>
              </w:rPr>
              <w:t>eur</w:t>
            </w:r>
            <w:r w:rsidRPr="00193117">
              <w:rPr>
                <w:rFonts w:ascii="Times New Roman" w:hAnsi="Times New Roman"/>
                <w:b/>
                <w:sz w:val="14"/>
                <w:szCs w:val="14"/>
              </w:rPr>
              <w:t>]</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193117" w:rsidP="00F576BD">
            <w:pPr>
              <w:bidi w:val="0"/>
              <w:jc w:val="center"/>
              <w:rPr>
                <w:rFonts w:ascii="Times New Roman" w:hAnsi="Times New Roman"/>
                <w:b/>
                <w:sz w:val="14"/>
                <w:szCs w:val="14"/>
              </w:rPr>
            </w:pPr>
            <w:r w:rsidRPr="00193117">
              <w:rPr>
                <w:rFonts w:ascii="Times New Roman" w:hAnsi="Times New Roman"/>
                <w:b/>
                <w:sz w:val="14"/>
                <w:szCs w:val="14"/>
              </w:rPr>
              <w:t>2009</w:t>
            </w:r>
            <w:r>
              <w:rPr>
                <w:rFonts w:ascii="Times New Roman" w:hAnsi="Times New Roman"/>
                <w:b/>
                <w:sz w:val="14"/>
                <w:szCs w:val="14"/>
              </w:rPr>
              <w:t xml:space="preserve"> S</w:t>
            </w:r>
          </w:p>
        </w:tc>
        <w:tc>
          <w:tcPr>
            <w:tcW w:w="946"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center"/>
              <w:rPr>
                <w:rFonts w:ascii="Times New Roman" w:hAnsi="Times New Roman"/>
                <w:b/>
                <w:sz w:val="14"/>
                <w:szCs w:val="14"/>
              </w:rPr>
            </w:pPr>
            <w:r w:rsidRPr="00193117">
              <w:rPr>
                <w:rFonts w:ascii="Times New Roman" w:hAnsi="Times New Roman"/>
                <w:b/>
                <w:sz w:val="14"/>
                <w:szCs w:val="14"/>
              </w:rPr>
              <w:t>2010</w:t>
            </w:r>
            <w:r>
              <w:rPr>
                <w:rFonts w:ascii="Times New Roman" w:hAnsi="Times New Roman"/>
                <w:b/>
                <w:sz w:val="14"/>
                <w:szCs w:val="14"/>
              </w:rPr>
              <w:t xml:space="preserve"> S</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193117" w:rsidP="00F576BD">
            <w:pPr>
              <w:bidi w:val="0"/>
              <w:jc w:val="center"/>
              <w:rPr>
                <w:rFonts w:ascii="Times New Roman" w:hAnsi="Times New Roman"/>
                <w:b/>
                <w:sz w:val="14"/>
                <w:szCs w:val="14"/>
              </w:rPr>
            </w:pPr>
            <w:r w:rsidRPr="00193117">
              <w:rPr>
                <w:rFonts w:ascii="Times New Roman" w:hAnsi="Times New Roman"/>
                <w:b/>
                <w:sz w:val="14"/>
                <w:szCs w:val="14"/>
              </w:rPr>
              <w:t>2011</w:t>
            </w:r>
            <w:r>
              <w:rPr>
                <w:rFonts w:ascii="Times New Roman" w:hAnsi="Times New Roman"/>
                <w:b/>
                <w:sz w:val="14"/>
                <w:szCs w:val="14"/>
              </w:rPr>
              <w:t xml:space="preserve"> R</w:t>
            </w:r>
          </w:p>
        </w:tc>
        <w:tc>
          <w:tcPr>
            <w:tcW w:w="946"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center"/>
              <w:rPr>
                <w:rFonts w:ascii="Times New Roman" w:hAnsi="Times New Roman"/>
                <w:b/>
                <w:sz w:val="14"/>
                <w:szCs w:val="14"/>
              </w:rPr>
            </w:pPr>
            <w:r w:rsidRPr="00193117">
              <w:rPr>
                <w:rFonts w:ascii="Times New Roman" w:hAnsi="Times New Roman"/>
                <w:b/>
                <w:sz w:val="14"/>
                <w:szCs w:val="14"/>
              </w:rPr>
              <w:t>2012</w:t>
            </w:r>
            <w:r>
              <w:rPr>
                <w:rFonts w:ascii="Times New Roman" w:hAnsi="Times New Roman"/>
                <w:b/>
                <w:sz w:val="14"/>
                <w:szCs w:val="14"/>
              </w:rPr>
              <w:t xml:space="preserve"> N</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center"/>
              <w:rPr>
                <w:rFonts w:ascii="Times New Roman" w:hAnsi="Times New Roman"/>
                <w:b/>
                <w:sz w:val="14"/>
                <w:szCs w:val="14"/>
              </w:rPr>
            </w:pPr>
            <w:r w:rsidRPr="00193117">
              <w:rPr>
                <w:rFonts w:ascii="Times New Roman" w:hAnsi="Times New Roman"/>
                <w:b/>
                <w:sz w:val="14"/>
                <w:szCs w:val="14"/>
              </w:rPr>
              <w:t>2013</w:t>
            </w:r>
            <w:r>
              <w:rPr>
                <w:rFonts w:ascii="Times New Roman" w:hAnsi="Times New Roman"/>
                <w:b/>
                <w:sz w:val="14"/>
                <w:szCs w:val="14"/>
              </w:rPr>
              <w:t xml:space="preserve"> N</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193117" w:rsidP="00F576BD">
            <w:pPr>
              <w:bidi w:val="0"/>
              <w:jc w:val="center"/>
              <w:rPr>
                <w:rFonts w:ascii="Times New Roman" w:hAnsi="Times New Roman"/>
                <w:b/>
                <w:sz w:val="14"/>
                <w:szCs w:val="14"/>
              </w:rPr>
            </w:pPr>
            <w:r w:rsidRPr="00193117">
              <w:rPr>
                <w:rFonts w:ascii="Times New Roman" w:hAnsi="Times New Roman"/>
                <w:b/>
                <w:sz w:val="14"/>
                <w:szCs w:val="14"/>
              </w:rPr>
              <w:t>2014</w:t>
            </w:r>
            <w:r>
              <w:rPr>
                <w:rFonts w:ascii="Times New Roman" w:hAnsi="Times New Roman"/>
                <w:b/>
                <w:sz w:val="14"/>
                <w:szCs w:val="14"/>
              </w:rPr>
              <w:t xml:space="preserve"> N</w:t>
            </w:r>
          </w:p>
        </w:tc>
      </w:tr>
      <w:tr>
        <w:tblPrEx>
          <w:tblW w:w="9072" w:type="dxa"/>
          <w:tblInd w:w="70" w:type="dxa"/>
          <w:tblLayout w:type="fixed"/>
          <w:tblCellMar>
            <w:left w:w="70" w:type="dxa"/>
            <w:right w:w="70" w:type="dxa"/>
          </w:tblCellMar>
          <w:tblLook w:val="04A0"/>
        </w:tblPrEx>
        <w:trPr>
          <w:trHeight w:val="255"/>
        </w:trPr>
        <w:tc>
          <w:tcPr>
            <w:tcW w:w="3399"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193117" w:rsidP="00F576BD">
            <w:pPr>
              <w:bidi w:val="0"/>
              <w:rPr>
                <w:rFonts w:ascii="Times New Roman" w:hAnsi="Times New Roman"/>
                <w:sz w:val="14"/>
                <w:szCs w:val="14"/>
              </w:rPr>
            </w:pPr>
            <w:r w:rsidRPr="00193117">
              <w:rPr>
                <w:rFonts w:ascii="Times New Roman" w:hAnsi="Times New Roman"/>
                <w:sz w:val="14"/>
                <w:szCs w:val="14"/>
              </w:rPr>
              <w:t>1.Úroky a diskont št</w:t>
            </w:r>
            <w:r>
              <w:rPr>
                <w:rFonts w:ascii="Times New Roman" w:hAnsi="Times New Roman"/>
                <w:sz w:val="14"/>
                <w:szCs w:val="14"/>
              </w:rPr>
              <w:t xml:space="preserve">átnych cenných papierov vrátane </w:t>
            </w:r>
            <w:r w:rsidRPr="00193117">
              <w:rPr>
                <w:rFonts w:ascii="Times New Roman" w:hAnsi="Times New Roman"/>
                <w:sz w:val="14"/>
                <w:szCs w:val="14"/>
              </w:rPr>
              <w:t>nákladov na fin. operácie ŠD</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929,3</w:t>
            </w:r>
          </w:p>
        </w:tc>
        <w:tc>
          <w:tcPr>
            <w:tcW w:w="946"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871,7</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1 184,0</w:t>
            </w:r>
          </w:p>
        </w:tc>
        <w:tc>
          <w:tcPr>
            <w:tcW w:w="946"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1</w:t>
            </w:r>
            <w:r>
              <w:rPr>
                <w:rFonts w:ascii="Times New Roman" w:hAnsi="Times New Roman"/>
                <w:sz w:val="14"/>
                <w:szCs w:val="14"/>
              </w:rPr>
              <w:t> 192,9</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1</w:t>
            </w:r>
            <w:r>
              <w:rPr>
                <w:rFonts w:ascii="Times New Roman" w:hAnsi="Times New Roman"/>
                <w:sz w:val="14"/>
                <w:szCs w:val="14"/>
              </w:rPr>
              <w:t> 338,4</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1</w:t>
            </w:r>
            <w:r>
              <w:rPr>
                <w:rFonts w:ascii="Times New Roman" w:hAnsi="Times New Roman"/>
                <w:sz w:val="14"/>
                <w:szCs w:val="14"/>
              </w:rPr>
              <w:t> 537,4</w:t>
            </w:r>
          </w:p>
        </w:tc>
      </w:tr>
      <w:tr>
        <w:tblPrEx>
          <w:tblW w:w="9072" w:type="dxa"/>
          <w:tblInd w:w="70" w:type="dxa"/>
          <w:tblLayout w:type="fixed"/>
          <w:tblCellMar>
            <w:left w:w="70" w:type="dxa"/>
            <w:right w:w="70" w:type="dxa"/>
          </w:tblCellMar>
          <w:tblLook w:val="04A0"/>
        </w:tblPrEx>
        <w:trPr>
          <w:trHeight w:val="239"/>
        </w:trPr>
        <w:tc>
          <w:tcPr>
            <w:tcW w:w="3399"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193117" w:rsidP="00F576BD">
            <w:pPr>
              <w:bidi w:val="0"/>
              <w:rPr>
                <w:rFonts w:ascii="Times New Roman" w:hAnsi="Times New Roman"/>
                <w:sz w:val="14"/>
                <w:szCs w:val="14"/>
              </w:rPr>
            </w:pPr>
            <w:r w:rsidRPr="00193117">
              <w:rPr>
                <w:rFonts w:ascii="Times New Roman" w:hAnsi="Times New Roman"/>
                <w:sz w:val="14"/>
                <w:szCs w:val="14"/>
              </w:rPr>
              <w:t>2. Úroky z prijatých vládnych úverov</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37,2</w:t>
            </w:r>
          </w:p>
        </w:tc>
        <w:tc>
          <w:tcPr>
            <w:tcW w:w="946"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30,6</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27,3</w:t>
            </w:r>
          </w:p>
        </w:tc>
        <w:tc>
          <w:tcPr>
            <w:tcW w:w="946"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75,3</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87,0</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78,5</w:t>
            </w:r>
          </w:p>
        </w:tc>
      </w:tr>
      <w:tr>
        <w:tblPrEx>
          <w:tblW w:w="9072" w:type="dxa"/>
          <w:tblInd w:w="70" w:type="dxa"/>
          <w:tblLayout w:type="fixed"/>
          <w:tblCellMar>
            <w:left w:w="70" w:type="dxa"/>
            <w:right w:w="70" w:type="dxa"/>
          </w:tblCellMar>
          <w:tblLook w:val="04A0"/>
        </w:tblPrEx>
        <w:trPr>
          <w:trHeight w:val="239"/>
        </w:trPr>
        <w:tc>
          <w:tcPr>
            <w:tcW w:w="3399"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193117" w:rsidP="00F576BD">
            <w:pPr>
              <w:bidi w:val="0"/>
              <w:rPr>
                <w:rFonts w:ascii="Times New Roman" w:hAnsi="Times New Roman"/>
                <w:sz w:val="14"/>
                <w:szCs w:val="14"/>
              </w:rPr>
            </w:pPr>
            <w:r w:rsidRPr="00193117">
              <w:rPr>
                <w:rFonts w:ascii="Times New Roman" w:hAnsi="Times New Roman"/>
                <w:sz w:val="14"/>
                <w:szCs w:val="14"/>
              </w:rPr>
              <w:t>3. Poplatky</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5,2</w:t>
            </w:r>
          </w:p>
        </w:tc>
        <w:tc>
          <w:tcPr>
            <w:tcW w:w="946"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10,7</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17,0</w:t>
            </w:r>
          </w:p>
        </w:tc>
        <w:tc>
          <w:tcPr>
            <w:tcW w:w="946"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17,0</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17,0</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17,0</w:t>
            </w:r>
          </w:p>
        </w:tc>
      </w:tr>
      <w:tr>
        <w:tblPrEx>
          <w:tblW w:w="9072" w:type="dxa"/>
          <w:tblInd w:w="70" w:type="dxa"/>
          <w:tblLayout w:type="fixed"/>
          <w:tblCellMar>
            <w:left w:w="70" w:type="dxa"/>
            <w:right w:w="70" w:type="dxa"/>
          </w:tblCellMar>
          <w:tblLook w:val="04A0"/>
        </w:tblPrEx>
        <w:trPr>
          <w:trHeight w:val="239"/>
        </w:trPr>
        <w:tc>
          <w:tcPr>
            <w:tcW w:w="3399"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193117" w:rsidP="00F576BD">
            <w:pPr>
              <w:bidi w:val="0"/>
              <w:ind w:left="224" w:hanging="224"/>
              <w:rPr>
                <w:rFonts w:ascii="Times New Roman" w:hAnsi="Times New Roman"/>
                <w:sz w:val="14"/>
                <w:szCs w:val="14"/>
              </w:rPr>
            </w:pPr>
            <w:r w:rsidRPr="00193117">
              <w:rPr>
                <w:rFonts w:ascii="Times New Roman" w:hAnsi="Times New Roman"/>
                <w:sz w:val="14"/>
                <w:szCs w:val="14"/>
              </w:rPr>
              <w:t>4. Úroky platené ŠP (refinančný systém)</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19,3</w:t>
            </w:r>
          </w:p>
        </w:tc>
        <w:tc>
          <w:tcPr>
            <w:tcW w:w="946"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18,6</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41,6</w:t>
            </w:r>
          </w:p>
        </w:tc>
        <w:tc>
          <w:tcPr>
            <w:tcW w:w="946"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rPr>
            </w:pPr>
            <w:r>
              <w:rPr>
                <w:rFonts w:ascii="Times New Roman" w:hAnsi="Times New Roman"/>
                <w:sz w:val="14"/>
                <w:szCs w:val="14"/>
              </w:rPr>
              <w:t>46,1</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4</w:t>
            </w:r>
            <w:r>
              <w:rPr>
                <w:rFonts w:ascii="Times New Roman" w:hAnsi="Times New Roman"/>
                <w:sz w:val="14"/>
                <w:szCs w:val="14"/>
              </w:rPr>
              <w:t>1,3</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rPr>
            </w:pPr>
            <w:r>
              <w:rPr>
                <w:rFonts w:ascii="Times New Roman" w:hAnsi="Times New Roman"/>
                <w:sz w:val="14"/>
                <w:szCs w:val="14"/>
              </w:rPr>
              <w:t>51,4</w:t>
            </w:r>
          </w:p>
        </w:tc>
      </w:tr>
      <w:tr>
        <w:tblPrEx>
          <w:tblW w:w="9072" w:type="dxa"/>
          <w:tblInd w:w="70" w:type="dxa"/>
          <w:tblLayout w:type="fixed"/>
          <w:tblCellMar>
            <w:left w:w="70" w:type="dxa"/>
            <w:right w:w="70" w:type="dxa"/>
          </w:tblCellMar>
          <w:tblLook w:val="04A0"/>
        </w:tblPrEx>
        <w:trPr>
          <w:trHeight w:val="239"/>
        </w:trPr>
        <w:tc>
          <w:tcPr>
            <w:tcW w:w="3399"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193117" w:rsidP="0043666E">
            <w:pPr>
              <w:bidi w:val="0"/>
              <w:rPr>
                <w:rFonts w:ascii="Times New Roman" w:hAnsi="Times New Roman"/>
                <w:b/>
                <w:sz w:val="14"/>
                <w:szCs w:val="14"/>
              </w:rPr>
            </w:pPr>
            <w:r w:rsidRPr="00193117">
              <w:rPr>
                <w:rFonts w:ascii="Times New Roman" w:hAnsi="Times New Roman"/>
                <w:b/>
                <w:sz w:val="14"/>
                <w:szCs w:val="14"/>
              </w:rPr>
              <w:t>Spolu</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b/>
                <w:sz w:val="14"/>
                <w:szCs w:val="14"/>
              </w:rPr>
            </w:pPr>
            <w:r w:rsidRPr="00193117">
              <w:rPr>
                <w:rFonts w:ascii="Times New Roman" w:hAnsi="Times New Roman"/>
                <w:b/>
                <w:sz w:val="14"/>
                <w:szCs w:val="14"/>
              </w:rPr>
              <w:t>991,0</w:t>
            </w:r>
          </w:p>
        </w:tc>
        <w:tc>
          <w:tcPr>
            <w:tcW w:w="946"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b/>
                <w:sz w:val="14"/>
                <w:szCs w:val="14"/>
              </w:rPr>
            </w:pPr>
            <w:r w:rsidRPr="00193117">
              <w:rPr>
                <w:rFonts w:ascii="Times New Roman" w:hAnsi="Times New Roman"/>
                <w:b/>
                <w:sz w:val="14"/>
                <w:szCs w:val="14"/>
              </w:rPr>
              <w:t>931,6</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b/>
                <w:sz w:val="14"/>
                <w:szCs w:val="14"/>
              </w:rPr>
            </w:pPr>
            <w:r w:rsidRPr="00193117">
              <w:rPr>
                <w:rFonts w:ascii="Times New Roman" w:hAnsi="Times New Roman"/>
                <w:b/>
                <w:sz w:val="14"/>
                <w:szCs w:val="14"/>
              </w:rPr>
              <w:t>1 269,9</w:t>
            </w:r>
          </w:p>
        </w:tc>
        <w:tc>
          <w:tcPr>
            <w:tcW w:w="946"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b/>
                <w:sz w:val="14"/>
                <w:szCs w:val="14"/>
              </w:rPr>
            </w:pPr>
            <w:r w:rsidRPr="00193117">
              <w:rPr>
                <w:rFonts w:ascii="Times New Roman" w:hAnsi="Times New Roman"/>
                <w:b/>
                <w:sz w:val="14"/>
                <w:szCs w:val="14"/>
              </w:rPr>
              <w:t>1</w:t>
            </w:r>
            <w:r>
              <w:rPr>
                <w:rFonts w:ascii="Times New Roman" w:hAnsi="Times New Roman"/>
                <w:b/>
                <w:sz w:val="14"/>
                <w:szCs w:val="14"/>
              </w:rPr>
              <w:t> </w:t>
            </w:r>
            <w:r w:rsidRPr="00193117">
              <w:rPr>
                <w:rFonts w:ascii="Times New Roman" w:hAnsi="Times New Roman"/>
                <w:b/>
                <w:sz w:val="14"/>
                <w:szCs w:val="14"/>
              </w:rPr>
              <w:t>3</w:t>
            </w:r>
            <w:r>
              <w:rPr>
                <w:rFonts w:ascii="Times New Roman" w:hAnsi="Times New Roman"/>
                <w:b/>
                <w:sz w:val="14"/>
                <w:szCs w:val="14"/>
              </w:rPr>
              <w:t>31,3</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b/>
                <w:sz w:val="14"/>
                <w:szCs w:val="14"/>
              </w:rPr>
            </w:pPr>
            <w:r w:rsidRPr="00193117">
              <w:rPr>
                <w:rFonts w:ascii="Times New Roman" w:hAnsi="Times New Roman"/>
                <w:b/>
                <w:sz w:val="14"/>
                <w:szCs w:val="14"/>
              </w:rPr>
              <w:t>1</w:t>
            </w:r>
            <w:r>
              <w:rPr>
                <w:rFonts w:ascii="Times New Roman" w:hAnsi="Times New Roman"/>
                <w:b/>
                <w:sz w:val="14"/>
                <w:szCs w:val="14"/>
              </w:rPr>
              <w:t> 483,7</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b/>
                <w:sz w:val="14"/>
                <w:szCs w:val="14"/>
              </w:rPr>
            </w:pPr>
            <w:r w:rsidRPr="00193117">
              <w:rPr>
                <w:rFonts w:ascii="Times New Roman" w:hAnsi="Times New Roman"/>
                <w:b/>
                <w:sz w:val="14"/>
                <w:szCs w:val="14"/>
              </w:rPr>
              <w:t>1</w:t>
            </w:r>
            <w:r>
              <w:rPr>
                <w:rFonts w:ascii="Times New Roman" w:hAnsi="Times New Roman"/>
                <w:b/>
                <w:sz w:val="14"/>
                <w:szCs w:val="14"/>
              </w:rPr>
              <w:t> 684,3</w:t>
            </w:r>
          </w:p>
        </w:tc>
      </w:tr>
    </w:tbl>
    <w:p w:rsidR="00CF0B79" w:rsidP="00CF0B79">
      <w:pPr>
        <w:bidi w:val="0"/>
        <w:jc w:val="both"/>
        <w:rPr>
          <w:rFonts w:ascii="Times New Roman" w:hAnsi="Times New Roman"/>
        </w:rPr>
      </w:pPr>
    </w:p>
    <w:p w:rsidR="00CF0B79" w:rsidP="00CF0B79">
      <w:pPr>
        <w:bidi w:val="0"/>
        <w:ind w:firstLine="708"/>
        <w:jc w:val="both"/>
        <w:rPr>
          <w:rFonts w:ascii="Times New Roman" w:hAnsi="Times New Roman"/>
        </w:rPr>
      </w:pPr>
      <w:r w:rsidRPr="00193117">
        <w:rPr>
          <w:rFonts w:ascii="Times New Roman" w:hAnsi="Times New Roman"/>
        </w:rPr>
        <w:t>Prehľad priemerných vážených úrokových sadzieb portfólia č</w:t>
      </w:r>
      <w:r w:rsidRPr="00193117">
        <w:rPr>
          <w:rFonts w:ascii="Times New Roman" w:hAnsi="Times New Roman"/>
          <w:bCs/>
          <w:color w:val="000000"/>
        </w:rPr>
        <w:t>istých štátnych záväzkov</w:t>
      </w:r>
      <w:r w:rsidRPr="00193117">
        <w:rPr>
          <w:rFonts w:ascii="Times New Roman" w:hAnsi="Times New Roman"/>
        </w:rPr>
        <w:t>.</w:t>
      </w:r>
    </w:p>
    <w:p w:rsidR="00CF0B79" w:rsidRPr="00193117" w:rsidP="00CF0B79">
      <w:pPr>
        <w:bidi w:val="0"/>
        <w:jc w:val="both"/>
        <w:rPr>
          <w:rFonts w:ascii="Times New Roman" w:hAnsi="Times New Roman"/>
        </w:rPr>
      </w:pPr>
    </w:p>
    <w:tbl>
      <w:tblPr>
        <w:tblStyle w:val="TableNormal"/>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402"/>
        <w:gridCol w:w="945"/>
        <w:gridCol w:w="945"/>
        <w:gridCol w:w="945"/>
        <w:gridCol w:w="945"/>
        <w:gridCol w:w="945"/>
        <w:gridCol w:w="945"/>
      </w:tblGrid>
      <w:tr>
        <w:tblPrEx>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293"/>
        </w:trPr>
        <w:tc>
          <w:tcPr>
            <w:tcW w:w="3402"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C90492" w:rsidP="00F576BD">
            <w:pPr>
              <w:bidi w:val="0"/>
              <w:rPr>
                <w:rFonts w:ascii="Times New Roman" w:hAnsi="Times New Roman"/>
                <w:b/>
                <w:sz w:val="14"/>
                <w:szCs w:val="14"/>
              </w:rPr>
            </w:pPr>
            <w:r w:rsidRPr="00C90492">
              <w:rPr>
                <w:rFonts w:ascii="Times New Roman" w:hAnsi="Times New Roman"/>
                <w:b/>
                <w:sz w:val="14"/>
                <w:szCs w:val="14"/>
              </w:rPr>
              <w:t>v % p. a.</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C90492" w:rsidP="00F576BD">
            <w:pPr>
              <w:bidi w:val="0"/>
              <w:jc w:val="center"/>
              <w:rPr>
                <w:rFonts w:ascii="Times New Roman" w:hAnsi="Times New Roman"/>
                <w:b/>
                <w:sz w:val="14"/>
                <w:szCs w:val="14"/>
              </w:rPr>
            </w:pPr>
            <w:r w:rsidRPr="00C90492">
              <w:rPr>
                <w:rFonts w:ascii="Times New Roman" w:hAnsi="Times New Roman"/>
                <w:b/>
                <w:sz w:val="14"/>
                <w:szCs w:val="14"/>
              </w:rPr>
              <w:t>2009 S</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CF0B79" w:rsidRPr="00C90492" w:rsidP="00F576BD">
            <w:pPr>
              <w:bidi w:val="0"/>
              <w:jc w:val="center"/>
              <w:rPr>
                <w:rFonts w:ascii="Times New Roman" w:hAnsi="Times New Roman"/>
                <w:b/>
                <w:sz w:val="14"/>
                <w:szCs w:val="14"/>
              </w:rPr>
            </w:pPr>
            <w:r w:rsidRPr="00C90492">
              <w:rPr>
                <w:rFonts w:ascii="Times New Roman" w:hAnsi="Times New Roman"/>
                <w:b/>
                <w:sz w:val="14"/>
                <w:szCs w:val="14"/>
              </w:rPr>
              <w:t>2010 S</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C90492" w:rsidP="00F576BD">
            <w:pPr>
              <w:bidi w:val="0"/>
              <w:jc w:val="center"/>
              <w:rPr>
                <w:rFonts w:ascii="Times New Roman" w:hAnsi="Times New Roman"/>
                <w:b/>
                <w:sz w:val="14"/>
                <w:szCs w:val="14"/>
              </w:rPr>
            </w:pPr>
            <w:r w:rsidRPr="00C90492">
              <w:rPr>
                <w:rFonts w:ascii="Times New Roman" w:hAnsi="Times New Roman"/>
                <w:b/>
                <w:sz w:val="14"/>
                <w:szCs w:val="14"/>
              </w:rPr>
              <w:t>2011 R</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CF0B79" w:rsidRPr="00C90492" w:rsidP="00F576BD">
            <w:pPr>
              <w:bidi w:val="0"/>
              <w:jc w:val="center"/>
              <w:rPr>
                <w:rFonts w:ascii="Times New Roman" w:hAnsi="Times New Roman"/>
                <w:b/>
                <w:sz w:val="14"/>
                <w:szCs w:val="14"/>
              </w:rPr>
            </w:pPr>
            <w:r w:rsidRPr="00C90492">
              <w:rPr>
                <w:rFonts w:ascii="Times New Roman" w:hAnsi="Times New Roman"/>
                <w:b/>
                <w:sz w:val="14"/>
                <w:szCs w:val="14"/>
              </w:rPr>
              <w:t>2012 N</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CF0B79" w:rsidRPr="00C90492" w:rsidP="00F576BD">
            <w:pPr>
              <w:bidi w:val="0"/>
              <w:jc w:val="center"/>
              <w:rPr>
                <w:rFonts w:ascii="Times New Roman" w:hAnsi="Times New Roman"/>
                <w:b/>
                <w:sz w:val="14"/>
                <w:szCs w:val="14"/>
              </w:rPr>
            </w:pPr>
            <w:r w:rsidRPr="00C90492">
              <w:rPr>
                <w:rFonts w:ascii="Times New Roman" w:hAnsi="Times New Roman"/>
                <w:b/>
                <w:sz w:val="14"/>
                <w:szCs w:val="14"/>
              </w:rPr>
              <w:t>2013 N</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C90492" w:rsidP="00F576BD">
            <w:pPr>
              <w:bidi w:val="0"/>
              <w:jc w:val="center"/>
              <w:rPr>
                <w:rFonts w:ascii="Times New Roman" w:hAnsi="Times New Roman"/>
                <w:b/>
                <w:sz w:val="14"/>
                <w:szCs w:val="14"/>
              </w:rPr>
            </w:pPr>
            <w:r w:rsidRPr="00C90492">
              <w:rPr>
                <w:rFonts w:ascii="Times New Roman" w:hAnsi="Times New Roman"/>
                <w:b/>
                <w:sz w:val="14"/>
                <w:szCs w:val="14"/>
              </w:rPr>
              <w:t>2014 N</w:t>
            </w:r>
          </w:p>
        </w:tc>
      </w:tr>
      <w:tr>
        <w:tblPrEx>
          <w:tblW w:w="9072" w:type="dxa"/>
          <w:tblInd w:w="70" w:type="dxa"/>
          <w:tblLayout w:type="fixed"/>
          <w:tblCellMar>
            <w:left w:w="70" w:type="dxa"/>
            <w:right w:w="70" w:type="dxa"/>
          </w:tblCellMar>
          <w:tblLook w:val="04A0"/>
        </w:tblPrEx>
        <w:trPr>
          <w:trHeight w:val="293"/>
        </w:trPr>
        <w:tc>
          <w:tcPr>
            <w:tcW w:w="3402"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193117" w:rsidP="00F576BD">
            <w:pPr>
              <w:bidi w:val="0"/>
              <w:rPr>
                <w:rFonts w:ascii="Times New Roman" w:hAnsi="Times New Roman"/>
                <w:sz w:val="14"/>
                <w:szCs w:val="14"/>
              </w:rPr>
            </w:pPr>
            <w:r w:rsidRPr="00193117">
              <w:rPr>
                <w:rFonts w:ascii="Times New Roman" w:hAnsi="Times New Roman"/>
                <w:sz w:val="14"/>
                <w:szCs w:val="14"/>
              </w:rPr>
              <w:t xml:space="preserve">Priemerný vážený úrok </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3,6</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3,2</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3,7</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3,9</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4,2</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4,4</w:t>
            </w:r>
          </w:p>
        </w:tc>
      </w:tr>
    </w:tbl>
    <w:p w:rsidR="00CF0B79" w:rsidP="00CF0B79">
      <w:pPr>
        <w:bidi w:val="0"/>
        <w:jc w:val="both"/>
        <w:rPr>
          <w:rFonts w:ascii="Times New Roman" w:hAnsi="Times New Roman"/>
        </w:rPr>
      </w:pPr>
    </w:p>
    <w:p w:rsidR="00CF0B79" w:rsidP="00CF0B79">
      <w:pPr>
        <w:bidi w:val="0"/>
        <w:ind w:firstLine="708"/>
        <w:jc w:val="both"/>
        <w:rPr>
          <w:rFonts w:ascii="Times New Roman" w:hAnsi="Times New Roman"/>
        </w:rPr>
      </w:pPr>
      <w:r w:rsidRPr="00193117">
        <w:rPr>
          <w:rFonts w:ascii="Times New Roman" w:hAnsi="Times New Roman"/>
        </w:rPr>
        <w:t>Druhý spôsob, tzv. hotovostné výdavky na štátny dlh sú dané hodnotou výdavkov, ktoré sa v danom roku vyplatia.</w:t>
      </w:r>
    </w:p>
    <w:p w:rsidR="00CF0B79" w:rsidRPr="00193117" w:rsidP="00CF0B79">
      <w:pPr>
        <w:bidi w:val="0"/>
        <w:jc w:val="both"/>
        <w:rPr>
          <w:rFonts w:ascii="Times New Roman" w:hAnsi="Times New Roman"/>
        </w:rPr>
      </w:pPr>
    </w:p>
    <w:tbl>
      <w:tblPr>
        <w:tblStyle w:val="TableNormal"/>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402"/>
        <w:gridCol w:w="945"/>
        <w:gridCol w:w="945"/>
        <w:gridCol w:w="945"/>
        <w:gridCol w:w="945"/>
        <w:gridCol w:w="945"/>
        <w:gridCol w:w="945"/>
      </w:tblGrid>
      <w:tr>
        <w:tblPrEx>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225"/>
        </w:trPr>
        <w:tc>
          <w:tcPr>
            <w:tcW w:w="3402"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193117" w:rsidP="00F576BD">
            <w:pPr>
              <w:bidi w:val="0"/>
              <w:rPr>
                <w:rFonts w:ascii="Times New Roman" w:hAnsi="Times New Roman"/>
                <w:b/>
                <w:sz w:val="14"/>
                <w:szCs w:val="14"/>
              </w:rPr>
            </w:pPr>
            <w:r w:rsidRPr="00193117">
              <w:rPr>
                <w:rFonts w:ascii="Times New Roman" w:hAnsi="Times New Roman"/>
                <w:b/>
                <w:sz w:val="14"/>
                <w:szCs w:val="14"/>
              </w:rPr>
              <w:t>Hotovostné náklady</w:t>
            </w:r>
            <w:r>
              <w:rPr>
                <w:rFonts w:ascii="Times New Roman" w:hAnsi="Times New Roman"/>
                <w:b/>
                <w:sz w:val="14"/>
                <w:szCs w:val="14"/>
              </w:rPr>
              <w:t xml:space="preserve"> </w:t>
            </w:r>
            <w:r w:rsidRPr="00193117">
              <w:rPr>
                <w:rFonts w:ascii="Times New Roman" w:hAnsi="Times New Roman"/>
                <w:b/>
                <w:sz w:val="14"/>
                <w:szCs w:val="14"/>
              </w:rPr>
              <w:t>[</w:t>
            </w:r>
            <w:r>
              <w:rPr>
                <w:rFonts w:ascii="Times New Roman" w:hAnsi="Times New Roman"/>
                <w:b/>
                <w:sz w:val="14"/>
                <w:szCs w:val="14"/>
              </w:rPr>
              <w:t xml:space="preserve">v </w:t>
            </w:r>
            <w:r w:rsidRPr="00193117">
              <w:rPr>
                <w:rFonts w:ascii="Times New Roman" w:hAnsi="Times New Roman"/>
                <w:b/>
                <w:sz w:val="14"/>
                <w:szCs w:val="14"/>
              </w:rPr>
              <w:t xml:space="preserve">mil. </w:t>
            </w:r>
            <w:r>
              <w:rPr>
                <w:rFonts w:ascii="Times New Roman" w:hAnsi="Times New Roman"/>
                <w:b/>
                <w:sz w:val="14"/>
                <w:szCs w:val="14"/>
              </w:rPr>
              <w:t>eur</w:t>
            </w:r>
            <w:r w:rsidRPr="00193117">
              <w:rPr>
                <w:rFonts w:ascii="Times New Roman" w:hAnsi="Times New Roman"/>
                <w:b/>
                <w:sz w:val="14"/>
                <w:szCs w:val="14"/>
              </w:rPr>
              <w:t>]</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193117" w:rsidP="00F576BD">
            <w:pPr>
              <w:bidi w:val="0"/>
              <w:jc w:val="center"/>
              <w:rPr>
                <w:rFonts w:ascii="Times New Roman" w:hAnsi="Times New Roman"/>
                <w:b/>
                <w:sz w:val="14"/>
                <w:szCs w:val="14"/>
              </w:rPr>
            </w:pPr>
            <w:r w:rsidRPr="00193117">
              <w:rPr>
                <w:rFonts w:ascii="Times New Roman" w:hAnsi="Times New Roman"/>
                <w:b/>
                <w:sz w:val="14"/>
                <w:szCs w:val="14"/>
              </w:rPr>
              <w:t>2009</w:t>
            </w:r>
            <w:r>
              <w:rPr>
                <w:rFonts w:ascii="Times New Roman" w:hAnsi="Times New Roman"/>
                <w:b/>
                <w:sz w:val="14"/>
                <w:szCs w:val="14"/>
              </w:rPr>
              <w:t xml:space="preserve"> S</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center"/>
              <w:rPr>
                <w:rFonts w:ascii="Times New Roman" w:hAnsi="Times New Roman"/>
                <w:b/>
                <w:sz w:val="14"/>
                <w:szCs w:val="14"/>
              </w:rPr>
            </w:pPr>
            <w:r w:rsidRPr="00193117">
              <w:rPr>
                <w:rFonts w:ascii="Times New Roman" w:hAnsi="Times New Roman"/>
                <w:b/>
                <w:sz w:val="14"/>
                <w:szCs w:val="14"/>
              </w:rPr>
              <w:t>2010</w:t>
            </w:r>
            <w:r>
              <w:rPr>
                <w:rFonts w:ascii="Times New Roman" w:hAnsi="Times New Roman"/>
                <w:b/>
                <w:sz w:val="14"/>
                <w:szCs w:val="14"/>
              </w:rPr>
              <w:t xml:space="preserve"> S</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193117" w:rsidP="00F576BD">
            <w:pPr>
              <w:bidi w:val="0"/>
              <w:jc w:val="center"/>
              <w:rPr>
                <w:rFonts w:ascii="Times New Roman" w:hAnsi="Times New Roman"/>
                <w:b/>
                <w:sz w:val="14"/>
                <w:szCs w:val="14"/>
              </w:rPr>
            </w:pPr>
            <w:r w:rsidRPr="00193117">
              <w:rPr>
                <w:rFonts w:ascii="Times New Roman" w:hAnsi="Times New Roman"/>
                <w:b/>
                <w:sz w:val="14"/>
                <w:szCs w:val="14"/>
              </w:rPr>
              <w:t>2011</w:t>
            </w:r>
            <w:r>
              <w:rPr>
                <w:rFonts w:ascii="Times New Roman" w:hAnsi="Times New Roman"/>
                <w:b/>
                <w:sz w:val="14"/>
                <w:szCs w:val="14"/>
              </w:rPr>
              <w:t xml:space="preserve"> R</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center"/>
              <w:rPr>
                <w:rFonts w:ascii="Times New Roman" w:hAnsi="Times New Roman"/>
                <w:b/>
                <w:sz w:val="14"/>
                <w:szCs w:val="14"/>
              </w:rPr>
            </w:pPr>
            <w:r w:rsidRPr="00193117">
              <w:rPr>
                <w:rFonts w:ascii="Times New Roman" w:hAnsi="Times New Roman"/>
                <w:b/>
                <w:sz w:val="14"/>
                <w:szCs w:val="14"/>
              </w:rPr>
              <w:t>2012</w:t>
            </w:r>
            <w:r>
              <w:rPr>
                <w:rFonts w:ascii="Times New Roman" w:hAnsi="Times New Roman"/>
                <w:b/>
                <w:sz w:val="14"/>
                <w:szCs w:val="14"/>
              </w:rPr>
              <w:t xml:space="preserve"> N</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center"/>
              <w:rPr>
                <w:rFonts w:ascii="Times New Roman" w:hAnsi="Times New Roman"/>
                <w:b/>
                <w:sz w:val="14"/>
                <w:szCs w:val="14"/>
              </w:rPr>
            </w:pPr>
            <w:r w:rsidRPr="00193117">
              <w:rPr>
                <w:rFonts w:ascii="Times New Roman" w:hAnsi="Times New Roman"/>
                <w:b/>
                <w:sz w:val="14"/>
                <w:szCs w:val="14"/>
              </w:rPr>
              <w:t>2013</w:t>
            </w:r>
            <w:r>
              <w:rPr>
                <w:rFonts w:ascii="Times New Roman" w:hAnsi="Times New Roman"/>
                <w:b/>
                <w:sz w:val="14"/>
                <w:szCs w:val="14"/>
              </w:rPr>
              <w:t xml:space="preserve"> N</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193117" w:rsidP="00F576BD">
            <w:pPr>
              <w:bidi w:val="0"/>
              <w:jc w:val="center"/>
              <w:rPr>
                <w:rFonts w:ascii="Times New Roman" w:hAnsi="Times New Roman"/>
                <w:b/>
                <w:sz w:val="14"/>
                <w:szCs w:val="14"/>
              </w:rPr>
            </w:pPr>
            <w:r w:rsidRPr="00193117">
              <w:rPr>
                <w:rFonts w:ascii="Times New Roman" w:hAnsi="Times New Roman"/>
                <w:b/>
                <w:sz w:val="14"/>
                <w:szCs w:val="14"/>
              </w:rPr>
              <w:t>2014</w:t>
            </w:r>
            <w:r>
              <w:rPr>
                <w:rFonts w:ascii="Times New Roman" w:hAnsi="Times New Roman"/>
                <w:b/>
                <w:sz w:val="14"/>
                <w:szCs w:val="14"/>
              </w:rPr>
              <w:t xml:space="preserve"> N</w:t>
            </w:r>
          </w:p>
        </w:tc>
      </w:tr>
      <w:tr>
        <w:tblPrEx>
          <w:tblW w:w="9072" w:type="dxa"/>
          <w:tblInd w:w="70" w:type="dxa"/>
          <w:tblLayout w:type="fixed"/>
          <w:tblCellMar>
            <w:left w:w="70" w:type="dxa"/>
            <w:right w:w="70" w:type="dxa"/>
          </w:tblCellMar>
          <w:tblLook w:val="04A0"/>
        </w:tblPrEx>
        <w:trPr>
          <w:trHeight w:val="255"/>
        </w:trPr>
        <w:tc>
          <w:tcPr>
            <w:tcW w:w="3402"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193117" w:rsidP="00F576BD">
            <w:pPr>
              <w:bidi w:val="0"/>
              <w:rPr>
                <w:rFonts w:ascii="Times New Roman" w:hAnsi="Times New Roman"/>
                <w:sz w:val="14"/>
                <w:szCs w:val="14"/>
              </w:rPr>
            </w:pPr>
            <w:r w:rsidRPr="00193117">
              <w:rPr>
                <w:rFonts w:ascii="Times New Roman" w:hAnsi="Times New Roman"/>
                <w:sz w:val="14"/>
                <w:szCs w:val="14"/>
              </w:rPr>
              <w:t>1. Úroky a diskont štátnych cenných papierov vrátane nákladov na fin. operácie ŠD</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672,3</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808,5</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1 076,4</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1</w:t>
            </w:r>
            <w:r>
              <w:rPr>
                <w:rFonts w:ascii="Times New Roman" w:hAnsi="Times New Roman"/>
                <w:sz w:val="14"/>
                <w:szCs w:val="14"/>
              </w:rPr>
              <w:t> </w:t>
            </w:r>
            <w:r w:rsidRPr="00193117">
              <w:rPr>
                <w:rFonts w:ascii="Times New Roman" w:hAnsi="Times New Roman"/>
                <w:sz w:val="14"/>
                <w:szCs w:val="14"/>
              </w:rPr>
              <w:t>3</w:t>
            </w:r>
            <w:r>
              <w:rPr>
                <w:rFonts w:ascii="Times New Roman" w:hAnsi="Times New Roman"/>
                <w:sz w:val="14"/>
                <w:szCs w:val="14"/>
              </w:rPr>
              <w:t>52,8</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1</w:t>
            </w:r>
            <w:r>
              <w:rPr>
                <w:rFonts w:ascii="Times New Roman" w:hAnsi="Times New Roman"/>
                <w:sz w:val="14"/>
                <w:szCs w:val="14"/>
              </w:rPr>
              <w:t> </w:t>
            </w:r>
            <w:r w:rsidRPr="00193117">
              <w:rPr>
                <w:rFonts w:ascii="Times New Roman" w:hAnsi="Times New Roman"/>
                <w:sz w:val="14"/>
                <w:szCs w:val="14"/>
              </w:rPr>
              <w:t>2</w:t>
            </w:r>
            <w:r>
              <w:rPr>
                <w:rFonts w:ascii="Times New Roman" w:hAnsi="Times New Roman"/>
                <w:sz w:val="14"/>
                <w:szCs w:val="14"/>
              </w:rPr>
              <w:t>63,1</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1</w:t>
            </w:r>
            <w:r>
              <w:rPr>
                <w:rFonts w:ascii="Times New Roman" w:hAnsi="Times New Roman"/>
                <w:sz w:val="14"/>
                <w:szCs w:val="14"/>
              </w:rPr>
              <w:t> </w:t>
            </w:r>
            <w:r w:rsidRPr="00193117">
              <w:rPr>
                <w:rFonts w:ascii="Times New Roman" w:hAnsi="Times New Roman"/>
                <w:sz w:val="14"/>
                <w:szCs w:val="14"/>
              </w:rPr>
              <w:t>4</w:t>
            </w:r>
            <w:r>
              <w:rPr>
                <w:rFonts w:ascii="Times New Roman" w:hAnsi="Times New Roman"/>
                <w:sz w:val="14"/>
                <w:szCs w:val="14"/>
              </w:rPr>
              <w:t>06,9</w:t>
            </w:r>
          </w:p>
        </w:tc>
      </w:tr>
      <w:tr>
        <w:tblPrEx>
          <w:tblW w:w="9072" w:type="dxa"/>
          <w:tblInd w:w="70" w:type="dxa"/>
          <w:tblLayout w:type="fixed"/>
          <w:tblCellMar>
            <w:left w:w="70" w:type="dxa"/>
            <w:right w:w="70" w:type="dxa"/>
          </w:tblCellMar>
          <w:tblLook w:val="04A0"/>
        </w:tblPrEx>
        <w:trPr>
          <w:trHeight w:val="239"/>
        </w:trPr>
        <w:tc>
          <w:tcPr>
            <w:tcW w:w="3402"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193117" w:rsidP="00F576BD">
            <w:pPr>
              <w:bidi w:val="0"/>
              <w:rPr>
                <w:rFonts w:ascii="Times New Roman" w:hAnsi="Times New Roman"/>
                <w:sz w:val="14"/>
                <w:szCs w:val="14"/>
              </w:rPr>
            </w:pPr>
            <w:r w:rsidRPr="00193117">
              <w:rPr>
                <w:rFonts w:ascii="Times New Roman" w:hAnsi="Times New Roman"/>
                <w:sz w:val="14"/>
                <w:szCs w:val="14"/>
              </w:rPr>
              <w:t>2. Úroky z prijatých vládnych úverov</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42,4</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30,1</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28,2</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39,0</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87,4</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83,3</w:t>
            </w:r>
          </w:p>
        </w:tc>
      </w:tr>
      <w:tr>
        <w:tblPrEx>
          <w:tblW w:w="9072" w:type="dxa"/>
          <w:tblInd w:w="70" w:type="dxa"/>
          <w:tblLayout w:type="fixed"/>
          <w:tblCellMar>
            <w:left w:w="70" w:type="dxa"/>
            <w:right w:w="70" w:type="dxa"/>
          </w:tblCellMar>
          <w:tblLook w:val="04A0"/>
        </w:tblPrEx>
        <w:trPr>
          <w:trHeight w:val="239"/>
        </w:trPr>
        <w:tc>
          <w:tcPr>
            <w:tcW w:w="3402"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193117" w:rsidP="00F576BD">
            <w:pPr>
              <w:bidi w:val="0"/>
              <w:rPr>
                <w:rFonts w:ascii="Times New Roman" w:hAnsi="Times New Roman"/>
                <w:sz w:val="14"/>
                <w:szCs w:val="14"/>
              </w:rPr>
            </w:pPr>
            <w:r w:rsidRPr="00193117">
              <w:rPr>
                <w:rFonts w:ascii="Times New Roman" w:hAnsi="Times New Roman"/>
                <w:sz w:val="14"/>
                <w:szCs w:val="14"/>
              </w:rPr>
              <w:t>3. Poplatky</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5,2</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10,7</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17,0</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17,0</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17,0</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17,0</w:t>
            </w:r>
          </w:p>
        </w:tc>
      </w:tr>
      <w:tr>
        <w:tblPrEx>
          <w:tblW w:w="9072" w:type="dxa"/>
          <w:tblInd w:w="70" w:type="dxa"/>
          <w:tblLayout w:type="fixed"/>
          <w:tblCellMar>
            <w:left w:w="70" w:type="dxa"/>
            <w:right w:w="70" w:type="dxa"/>
          </w:tblCellMar>
          <w:tblLook w:val="04A0"/>
        </w:tblPrEx>
        <w:trPr>
          <w:trHeight w:val="239"/>
        </w:trPr>
        <w:tc>
          <w:tcPr>
            <w:tcW w:w="3402"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193117" w:rsidP="00F576BD">
            <w:pPr>
              <w:bidi w:val="0"/>
              <w:ind w:left="224" w:hanging="224"/>
              <w:rPr>
                <w:rFonts w:ascii="Times New Roman" w:hAnsi="Times New Roman"/>
                <w:sz w:val="14"/>
                <w:szCs w:val="14"/>
              </w:rPr>
            </w:pPr>
            <w:r w:rsidRPr="00193117">
              <w:rPr>
                <w:rFonts w:ascii="Times New Roman" w:hAnsi="Times New Roman"/>
                <w:sz w:val="14"/>
                <w:szCs w:val="14"/>
              </w:rPr>
              <w:t>4. Úroky platené ŠP (refinančný systém)</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42,8</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14,7</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41,6</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rPr>
            </w:pPr>
            <w:r>
              <w:rPr>
                <w:rFonts w:ascii="Times New Roman" w:hAnsi="Times New Roman"/>
                <w:sz w:val="14"/>
                <w:szCs w:val="14"/>
              </w:rPr>
              <w:t>46,1</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rPr>
            </w:pPr>
            <w:r w:rsidRPr="00193117">
              <w:rPr>
                <w:rFonts w:ascii="Times New Roman" w:hAnsi="Times New Roman"/>
                <w:sz w:val="14"/>
                <w:szCs w:val="14"/>
              </w:rPr>
              <w:t>4</w:t>
            </w:r>
            <w:r>
              <w:rPr>
                <w:rFonts w:ascii="Times New Roman" w:hAnsi="Times New Roman"/>
                <w:sz w:val="14"/>
                <w:szCs w:val="14"/>
              </w:rPr>
              <w:t>1,3</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rPr>
            </w:pPr>
            <w:r>
              <w:rPr>
                <w:rFonts w:ascii="Times New Roman" w:hAnsi="Times New Roman"/>
                <w:sz w:val="14"/>
                <w:szCs w:val="14"/>
              </w:rPr>
              <w:t>51,5</w:t>
            </w:r>
          </w:p>
        </w:tc>
      </w:tr>
      <w:tr>
        <w:tblPrEx>
          <w:tblW w:w="9072" w:type="dxa"/>
          <w:tblInd w:w="70" w:type="dxa"/>
          <w:tblLayout w:type="fixed"/>
          <w:tblCellMar>
            <w:left w:w="70" w:type="dxa"/>
            <w:right w:w="70" w:type="dxa"/>
          </w:tblCellMar>
          <w:tblLook w:val="04A0"/>
        </w:tblPrEx>
        <w:trPr>
          <w:trHeight w:val="239"/>
        </w:trPr>
        <w:tc>
          <w:tcPr>
            <w:tcW w:w="3402" w:type="dxa"/>
            <w:tcBorders>
              <w:top w:val="single" w:sz="4" w:space="0" w:color="auto"/>
              <w:left w:val="single" w:sz="4" w:space="0" w:color="auto"/>
              <w:bottom w:val="single" w:sz="4" w:space="0" w:color="auto"/>
              <w:right w:val="single" w:sz="4" w:space="0" w:color="auto"/>
            </w:tcBorders>
            <w:noWrap/>
            <w:textDirection w:val="lrTb"/>
            <w:vAlign w:val="bottom"/>
            <w:hideMark/>
          </w:tcPr>
          <w:p w:rsidR="00CF0B79" w:rsidRPr="00193117" w:rsidP="0043666E">
            <w:pPr>
              <w:bidi w:val="0"/>
              <w:rPr>
                <w:rFonts w:ascii="Times New Roman" w:hAnsi="Times New Roman"/>
                <w:b/>
                <w:sz w:val="14"/>
                <w:szCs w:val="14"/>
              </w:rPr>
            </w:pPr>
            <w:r w:rsidRPr="00193117">
              <w:rPr>
                <w:rFonts w:ascii="Times New Roman" w:hAnsi="Times New Roman"/>
                <w:b/>
                <w:sz w:val="14"/>
                <w:szCs w:val="14"/>
              </w:rPr>
              <w:t>Spolu</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b/>
                <w:sz w:val="14"/>
                <w:szCs w:val="14"/>
              </w:rPr>
            </w:pPr>
            <w:r w:rsidRPr="00193117">
              <w:rPr>
                <w:rFonts w:ascii="Times New Roman" w:hAnsi="Times New Roman"/>
                <w:b/>
                <w:sz w:val="14"/>
                <w:szCs w:val="14"/>
              </w:rPr>
              <w:t>762,7</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b/>
                <w:sz w:val="14"/>
                <w:szCs w:val="14"/>
              </w:rPr>
            </w:pPr>
            <w:r w:rsidRPr="00193117">
              <w:rPr>
                <w:rFonts w:ascii="Times New Roman" w:hAnsi="Times New Roman"/>
                <w:b/>
                <w:sz w:val="14"/>
                <w:szCs w:val="14"/>
              </w:rPr>
              <w:t>864,0</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b/>
                <w:sz w:val="14"/>
                <w:szCs w:val="14"/>
              </w:rPr>
            </w:pPr>
            <w:r w:rsidRPr="00193117">
              <w:rPr>
                <w:rFonts w:ascii="Times New Roman" w:hAnsi="Times New Roman"/>
                <w:b/>
                <w:sz w:val="14"/>
                <w:szCs w:val="14"/>
              </w:rPr>
              <w:t>1 163,2</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b/>
                <w:sz w:val="14"/>
                <w:szCs w:val="14"/>
              </w:rPr>
            </w:pPr>
            <w:r w:rsidRPr="00193117">
              <w:rPr>
                <w:rFonts w:ascii="Times New Roman" w:hAnsi="Times New Roman"/>
                <w:b/>
                <w:sz w:val="14"/>
                <w:szCs w:val="14"/>
              </w:rPr>
              <w:t>1</w:t>
            </w:r>
            <w:r>
              <w:rPr>
                <w:rFonts w:ascii="Times New Roman" w:hAnsi="Times New Roman"/>
                <w:b/>
                <w:sz w:val="14"/>
                <w:szCs w:val="14"/>
              </w:rPr>
              <w:t> </w:t>
            </w:r>
            <w:r w:rsidRPr="00193117">
              <w:rPr>
                <w:rFonts w:ascii="Times New Roman" w:hAnsi="Times New Roman"/>
                <w:b/>
                <w:sz w:val="14"/>
                <w:szCs w:val="14"/>
              </w:rPr>
              <w:t>4</w:t>
            </w:r>
            <w:r>
              <w:rPr>
                <w:rFonts w:ascii="Times New Roman" w:hAnsi="Times New Roman"/>
                <w:b/>
                <w:sz w:val="14"/>
                <w:szCs w:val="14"/>
              </w:rPr>
              <w:t>54,9</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b/>
                <w:sz w:val="14"/>
                <w:szCs w:val="14"/>
              </w:rPr>
            </w:pPr>
            <w:r w:rsidRPr="00193117">
              <w:rPr>
                <w:rFonts w:ascii="Times New Roman" w:hAnsi="Times New Roman"/>
                <w:b/>
                <w:sz w:val="14"/>
                <w:szCs w:val="14"/>
              </w:rPr>
              <w:t>1</w:t>
            </w:r>
            <w:r>
              <w:rPr>
                <w:rFonts w:ascii="Times New Roman" w:hAnsi="Times New Roman"/>
                <w:b/>
                <w:sz w:val="14"/>
                <w:szCs w:val="14"/>
              </w:rPr>
              <w:t> </w:t>
            </w:r>
            <w:r w:rsidRPr="00193117">
              <w:rPr>
                <w:rFonts w:ascii="Times New Roman" w:hAnsi="Times New Roman"/>
                <w:b/>
                <w:sz w:val="14"/>
                <w:szCs w:val="14"/>
              </w:rPr>
              <w:t>4</w:t>
            </w:r>
            <w:r>
              <w:rPr>
                <w:rFonts w:ascii="Times New Roman" w:hAnsi="Times New Roman"/>
                <w:b/>
                <w:sz w:val="14"/>
                <w:szCs w:val="14"/>
              </w:rPr>
              <w:t>08,8</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b/>
                <w:sz w:val="14"/>
                <w:szCs w:val="14"/>
              </w:rPr>
            </w:pPr>
            <w:r w:rsidRPr="00193117">
              <w:rPr>
                <w:rFonts w:ascii="Times New Roman" w:hAnsi="Times New Roman"/>
                <w:b/>
                <w:sz w:val="14"/>
                <w:szCs w:val="14"/>
              </w:rPr>
              <w:t>1</w:t>
            </w:r>
            <w:r>
              <w:rPr>
                <w:rFonts w:ascii="Times New Roman" w:hAnsi="Times New Roman"/>
                <w:b/>
                <w:sz w:val="14"/>
                <w:szCs w:val="14"/>
              </w:rPr>
              <w:t> 558,7</w:t>
            </w:r>
          </w:p>
        </w:tc>
      </w:tr>
    </w:tbl>
    <w:p w:rsidR="00CF0B79" w:rsidP="00CF0B79">
      <w:pPr>
        <w:bidi w:val="0"/>
        <w:jc w:val="both"/>
        <w:rPr>
          <w:rFonts w:ascii="Times New Roman" w:hAnsi="Times New Roman"/>
        </w:rPr>
      </w:pPr>
    </w:p>
    <w:p w:rsidR="00CF0B79" w:rsidRPr="00193117" w:rsidP="00CF0B79">
      <w:pPr>
        <w:bidi w:val="0"/>
        <w:ind w:firstLine="708"/>
        <w:jc w:val="both"/>
        <w:rPr>
          <w:rFonts w:ascii="Times New Roman" w:hAnsi="Times New Roman"/>
        </w:rPr>
      </w:pPr>
      <w:r w:rsidRPr="00193117">
        <w:rPr>
          <w:rFonts w:ascii="Times New Roman" w:hAnsi="Times New Roman"/>
        </w:rPr>
        <w:t>Výrazný nárast hotovostných výdavkov v roku 2012 je spôsobený tým, že v tomto roku je splatný 7-ročný štátny dlhopis s nulovým kupónom a pri jeho splatnosti sa zaplatia aj úroky (diskont) za 7 rokov.</w:t>
      </w:r>
    </w:p>
    <w:p w:rsidR="00CF0B79" w:rsidP="00CF0B79">
      <w:pPr>
        <w:bidi w:val="0"/>
        <w:jc w:val="both"/>
        <w:rPr>
          <w:rFonts w:ascii="Times New Roman" w:hAnsi="Times New Roman"/>
        </w:rPr>
      </w:pPr>
    </w:p>
    <w:p w:rsidR="00CF0B79" w:rsidRPr="00193117" w:rsidP="00CF0B79">
      <w:pPr>
        <w:bidi w:val="0"/>
        <w:ind w:firstLine="708"/>
        <w:jc w:val="both"/>
        <w:rPr>
          <w:rFonts w:ascii="Times New Roman" w:hAnsi="Times New Roman"/>
        </w:rPr>
      </w:pPr>
      <w:r w:rsidRPr="00193117">
        <w:rPr>
          <w:rFonts w:ascii="Times New Roman" w:hAnsi="Times New Roman"/>
        </w:rPr>
        <w:t>Údaje výdavkov pre roky 2009 až 2011 sú uvádzané bez zahrnutia príjmov. Pre roky 2012 až 2014 sú rozpočtované výdavky zmenšené o príjmy, uvádzajú sa len čisté výdavky (saldo účet). Uvedené platí pre všetky jednotlivé položky tabuliek.</w:t>
      </w:r>
    </w:p>
    <w:p w:rsidR="00CF0B79" w:rsidRPr="00193117" w:rsidP="00CF0B79">
      <w:pPr>
        <w:bidi w:val="0"/>
        <w:jc w:val="both"/>
        <w:rPr>
          <w:rFonts w:ascii="Times New Roman" w:hAnsi="Times New Roman"/>
          <w:b/>
          <w:bCs/>
          <w:iCs/>
        </w:rPr>
      </w:pPr>
      <w:r w:rsidRPr="00193117">
        <w:rPr>
          <w:rFonts w:ascii="Times New Roman" w:hAnsi="Times New Roman"/>
          <w:b/>
          <w:bCs/>
          <w:iCs/>
        </w:rPr>
        <w:t>Transfer Sociálnej poisťovni</w:t>
      </w:r>
    </w:p>
    <w:p w:rsidR="00CF0B79" w:rsidRPr="00193117" w:rsidP="00CF0B79">
      <w:pPr>
        <w:bidi w:val="0"/>
        <w:jc w:val="both"/>
        <w:rPr>
          <w:rFonts w:ascii="Times New Roman" w:hAnsi="Times New Roman"/>
          <w:b/>
          <w:bCs/>
          <w:iCs/>
        </w:rPr>
      </w:pPr>
    </w:p>
    <w:tbl>
      <w:tblPr>
        <w:tblStyle w:val="TableNormal"/>
        <w:tblW w:w="9087" w:type="dxa"/>
        <w:tblInd w:w="55" w:type="dxa"/>
        <w:tblLayout w:type="fixed"/>
        <w:tblCellMar>
          <w:left w:w="70" w:type="dxa"/>
          <w:right w:w="70" w:type="dxa"/>
        </w:tblCellMar>
        <w:tblLook w:val="04A0"/>
      </w:tblPr>
      <w:tblGrid>
        <w:gridCol w:w="2142"/>
        <w:gridCol w:w="992"/>
        <w:gridCol w:w="992"/>
        <w:gridCol w:w="992"/>
        <w:gridCol w:w="992"/>
        <w:gridCol w:w="992"/>
        <w:gridCol w:w="992"/>
        <w:gridCol w:w="993"/>
      </w:tblGrid>
      <w:tr>
        <w:tblPrEx>
          <w:tblW w:w="9087" w:type="dxa"/>
          <w:tblInd w:w="55" w:type="dxa"/>
          <w:tblLayout w:type="fixed"/>
          <w:tblCellMar>
            <w:left w:w="70" w:type="dxa"/>
            <w:right w:w="70" w:type="dxa"/>
          </w:tblCellMar>
          <w:tblLook w:val="04A0"/>
        </w:tblPrEx>
        <w:trPr>
          <w:trHeight w:val="249"/>
        </w:trPr>
        <w:tc>
          <w:tcPr>
            <w:tcW w:w="214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rPr>
                <w:rFonts w:ascii="Times New Roman" w:hAnsi="Times New Roman"/>
                <w:b/>
                <w:bCs/>
                <w:sz w:val="14"/>
                <w:szCs w:val="14"/>
                <w:lang w:eastAsia="sk-SK"/>
              </w:rPr>
            </w:pPr>
            <w:r w:rsidRPr="00193117">
              <w:rPr>
                <w:rFonts w:ascii="Times New Roman" w:hAnsi="Times New Roman"/>
                <w:b/>
                <w:bCs/>
                <w:sz w:val="14"/>
                <w:szCs w:val="14"/>
                <w:lang w:eastAsia="sk-SK"/>
              </w:rPr>
              <w:t>v eurách</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center"/>
              <w:rPr>
                <w:rFonts w:ascii="Times New Roman" w:hAnsi="Times New Roman"/>
                <w:b/>
                <w:sz w:val="14"/>
                <w:szCs w:val="14"/>
                <w:lang w:eastAsia="sk-SK"/>
              </w:rPr>
            </w:pPr>
            <w:r w:rsidRPr="00193117">
              <w:rPr>
                <w:rFonts w:ascii="Times New Roman" w:hAnsi="Times New Roman"/>
                <w:b/>
                <w:sz w:val="14"/>
                <w:szCs w:val="14"/>
                <w:lang w:eastAsia="sk-SK"/>
              </w:rPr>
              <w:t>2009 S</w:t>
            </w:r>
          </w:p>
        </w:tc>
        <w:tc>
          <w:tcPr>
            <w:tcW w:w="992" w:type="dxa"/>
            <w:tcBorders>
              <w:top w:val="single" w:sz="4" w:space="0" w:color="auto"/>
              <w:left w:val="nil"/>
              <w:bottom w:val="single" w:sz="4" w:space="0" w:color="auto"/>
              <w:right w:val="single" w:sz="4" w:space="0" w:color="auto"/>
            </w:tcBorders>
            <w:noWrap/>
            <w:textDirection w:val="lrTb"/>
            <w:vAlign w:val="bottom"/>
          </w:tcPr>
          <w:p w:rsidR="00CF0B79" w:rsidRPr="00193117" w:rsidP="00F576BD">
            <w:pPr>
              <w:bidi w:val="0"/>
              <w:jc w:val="center"/>
              <w:rPr>
                <w:rFonts w:ascii="Times New Roman" w:hAnsi="Times New Roman"/>
                <w:b/>
                <w:sz w:val="14"/>
                <w:szCs w:val="14"/>
                <w:lang w:eastAsia="sk-SK"/>
              </w:rPr>
            </w:pPr>
            <w:r w:rsidRPr="00193117">
              <w:rPr>
                <w:rFonts w:ascii="Times New Roman" w:hAnsi="Times New Roman"/>
                <w:b/>
                <w:sz w:val="14"/>
                <w:szCs w:val="14"/>
                <w:lang w:eastAsia="sk-SK"/>
              </w:rPr>
              <w:t>2010 S</w:t>
            </w:r>
          </w:p>
        </w:tc>
        <w:tc>
          <w:tcPr>
            <w:tcW w:w="992" w:type="dxa"/>
            <w:tcBorders>
              <w:top w:val="single" w:sz="4" w:space="0" w:color="auto"/>
              <w:left w:val="nil"/>
              <w:bottom w:val="single" w:sz="4" w:space="0" w:color="auto"/>
              <w:right w:val="single" w:sz="4" w:space="0" w:color="auto"/>
            </w:tcBorders>
            <w:noWrap/>
            <w:textDirection w:val="lrTb"/>
            <w:vAlign w:val="bottom"/>
          </w:tcPr>
          <w:p w:rsidR="00CF0B79" w:rsidRPr="00193117" w:rsidP="00F576BD">
            <w:pPr>
              <w:bidi w:val="0"/>
              <w:jc w:val="center"/>
              <w:rPr>
                <w:rFonts w:ascii="Times New Roman" w:hAnsi="Times New Roman"/>
                <w:b/>
                <w:sz w:val="14"/>
                <w:szCs w:val="14"/>
                <w:lang w:eastAsia="sk-SK"/>
              </w:rPr>
            </w:pPr>
            <w:r w:rsidRPr="00193117">
              <w:rPr>
                <w:rFonts w:ascii="Times New Roman" w:hAnsi="Times New Roman"/>
                <w:b/>
                <w:sz w:val="14"/>
                <w:szCs w:val="14"/>
                <w:lang w:eastAsia="sk-SK"/>
              </w:rPr>
              <w:t>2011 R</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center"/>
              <w:rPr>
                <w:rFonts w:ascii="Times New Roman" w:hAnsi="Times New Roman"/>
                <w:b/>
                <w:sz w:val="14"/>
                <w:szCs w:val="14"/>
                <w:lang w:eastAsia="sk-SK"/>
              </w:rPr>
            </w:pPr>
            <w:r w:rsidRPr="00193117">
              <w:rPr>
                <w:rFonts w:ascii="Times New Roman" w:hAnsi="Times New Roman"/>
                <w:b/>
                <w:sz w:val="14"/>
                <w:szCs w:val="14"/>
                <w:lang w:eastAsia="sk-SK"/>
              </w:rPr>
              <w:t>2011 OS</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center"/>
              <w:rPr>
                <w:rFonts w:ascii="Times New Roman" w:hAnsi="Times New Roman"/>
                <w:b/>
                <w:sz w:val="14"/>
                <w:szCs w:val="14"/>
                <w:lang w:eastAsia="sk-SK"/>
              </w:rPr>
            </w:pPr>
            <w:r w:rsidRPr="00193117">
              <w:rPr>
                <w:rFonts w:ascii="Times New Roman" w:hAnsi="Times New Roman"/>
                <w:b/>
                <w:sz w:val="14"/>
                <w:szCs w:val="14"/>
                <w:lang w:eastAsia="sk-SK"/>
              </w:rPr>
              <w:t>2012 N</w:t>
            </w:r>
          </w:p>
        </w:tc>
        <w:tc>
          <w:tcPr>
            <w:tcW w:w="992" w:type="dxa"/>
            <w:tcBorders>
              <w:top w:val="single" w:sz="4" w:space="0" w:color="auto"/>
              <w:left w:val="nil"/>
              <w:bottom w:val="single" w:sz="4" w:space="0" w:color="auto"/>
              <w:right w:val="single" w:sz="4" w:space="0" w:color="auto"/>
            </w:tcBorders>
            <w:noWrap/>
            <w:textDirection w:val="lrTb"/>
            <w:vAlign w:val="bottom"/>
          </w:tcPr>
          <w:p w:rsidR="00CF0B79" w:rsidRPr="00193117" w:rsidP="00F576BD">
            <w:pPr>
              <w:bidi w:val="0"/>
              <w:jc w:val="center"/>
              <w:rPr>
                <w:rFonts w:ascii="Times New Roman" w:hAnsi="Times New Roman"/>
                <w:b/>
                <w:sz w:val="14"/>
                <w:szCs w:val="14"/>
                <w:lang w:eastAsia="sk-SK"/>
              </w:rPr>
            </w:pPr>
            <w:r w:rsidRPr="00193117">
              <w:rPr>
                <w:rFonts w:ascii="Times New Roman" w:hAnsi="Times New Roman"/>
                <w:b/>
                <w:sz w:val="14"/>
                <w:szCs w:val="14"/>
                <w:lang w:eastAsia="sk-SK"/>
              </w:rPr>
              <w:t>2013 N</w:t>
            </w:r>
          </w:p>
        </w:tc>
        <w:tc>
          <w:tcPr>
            <w:tcW w:w="993" w:type="dxa"/>
            <w:tcBorders>
              <w:top w:val="single" w:sz="4" w:space="0" w:color="auto"/>
              <w:left w:val="nil"/>
              <w:bottom w:val="single" w:sz="4" w:space="0" w:color="auto"/>
              <w:right w:val="single" w:sz="4" w:space="0" w:color="auto"/>
            </w:tcBorders>
            <w:noWrap/>
            <w:textDirection w:val="lrTb"/>
            <w:vAlign w:val="bottom"/>
          </w:tcPr>
          <w:p w:rsidR="00CF0B79" w:rsidRPr="00193117" w:rsidP="00F576BD">
            <w:pPr>
              <w:bidi w:val="0"/>
              <w:jc w:val="center"/>
              <w:rPr>
                <w:rFonts w:ascii="Times New Roman" w:hAnsi="Times New Roman"/>
                <w:b/>
                <w:sz w:val="14"/>
                <w:szCs w:val="14"/>
                <w:lang w:eastAsia="sk-SK"/>
              </w:rPr>
            </w:pPr>
            <w:r w:rsidRPr="00193117">
              <w:rPr>
                <w:rFonts w:ascii="Times New Roman" w:hAnsi="Times New Roman"/>
                <w:b/>
                <w:sz w:val="14"/>
                <w:szCs w:val="14"/>
                <w:lang w:eastAsia="sk-SK"/>
              </w:rPr>
              <w:t>2014 N</w:t>
            </w:r>
          </w:p>
        </w:tc>
      </w:tr>
      <w:tr>
        <w:tblPrEx>
          <w:tblW w:w="9087" w:type="dxa"/>
          <w:tblInd w:w="55" w:type="dxa"/>
          <w:tblLayout w:type="fixed"/>
          <w:tblCellMar>
            <w:left w:w="70" w:type="dxa"/>
            <w:right w:w="70" w:type="dxa"/>
          </w:tblCellMar>
          <w:tblLook w:val="04A0"/>
        </w:tblPrEx>
        <w:trPr>
          <w:trHeight w:val="249"/>
        </w:trPr>
        <w:tc>
          <w:tcPr>
            <w:tcW w:w="2142" w:type="dxa"/>
            <w:tcBorders>
              <w:top w:val="nil"/>
              <w:left w:val="single" w:sz="4" w:space="0" w:color="auto"/>
              <w:bottom w:val="single" w:sz="4" w:space="0" w:color="auto"/>
              <w:right w:val="single" w:sz="4" w:space="0" w:color="auto"/>
            </w:tcBorders>
            <w:textDirection w:val="lrTb"/>
            <w:vAlign w:val="bottom"/>
          </w:tcPr>
          <w:p w:rsidR="00CF0B79" w:rsidRPr="00193117" w:rsidP="00F576BD">
            <w:pPr>
              <w:bidi w:val="0"/>
              <w:rPr>
                <w:rFonts w:ascii="Times New Roman" w:hAnsi="Times New Roman"/>
                <w:bCs/>
                <w:sz w:val="14"/>
                <w:szCs w:val="14"/>
                <w:lang w:eastAsia="sk-SK"/>
              </w:rPr>
            </w:pPr>
            <w:r w:rsidRPr="00193117">
              <w:rPr>
                <w:rFonts w:ascii="Times New Roman" w:hAnsi="Times New Roman"/>
                <w:bCs/>
                <w:sz w:val="14"/>
                <w:szCs w:val="14"/>
                <w:lang w:eastAsia="sk-SK"/>
              </w:rPr>
              <w:t>Transfer Sociálnej poisťovni</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bCs/>
                <w:sz w:val="14"/>
                <w:szCs w:val="14"/>
                <w:lang w:eastAsia="sk-SK"/>
              </w:rPr>
            </w:pPr>
            <w:r w:rsidRPr="00193117">
              <w:rPr>
                <w:rFonts w:ascii="Times New Roman" w:hAnsi="Times New Roman"/>
                <w:bCs/>
                <w:sz w:val="14"/>
                <w:szCs w:val="14"/>
                <w:lang w:eastAsia="sk-SK"/>
              </w:rPr>
              <w:t>0</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bCs/>
                <w:sz w:val="14"/>
                <w:szCs w:val="14"/>
                <w:lang w:eastAsia="sk-SK"/>
              </w:rPr>
            </w:pPr>
            <w:r w:rsidRPr="00193117">
              <w:rPr>
                <w:rFonts w:ascii="Times New Roman" w:hAnsi="Times New Roman"/>
                <w:bCs/>
                <w:sz w:val="14"/>
                <w:szCs w:val="14"/>
                <w:lang w:eastAsia="sk-SK"/>
              </w:rPr>
              <w:t>1 441 708 625</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bCs/>
                <w:sz w:val="14"/>
                <w:szCs w:val="14"/>
                <w:lang w:eastAsia="sk-SK"/>
              </w:rPr>
            </w:pPr>
            <w:r w:rsidRPr="00193117">
              <w:rPr>
                <w:rFonts w:ascii="Times New Roman" w:hAnsi="Times New Roman"/>
                <w:bCs/>
                <w:sz w:val="14"/>
                <w:szCs w:val="14"/>
                <w:lang w:eastAsia="sk-SK"/>
              </w:rPr>
              <w:t>1 608 733 343</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bCs/>
                <w:sz w:val="14"/>
                <w:szCs w:val="14"/>
                <w:lang w:eastAsia="sk-SK"/>
              </w:rPr>
            </w:pPr>
            <w:r w:rsidRPr="00193117">
              <w:rPr>
                <w:rFonts w:ascii="Times New Roman" w:hAnsi="Times New Roman"/>
                <w:bCs/>
                <w:sz w:val="14"/>
                <w:szCs w:val="14"/>
                <w:lang w:eastAsia="sk-SK"/>
              </w:rPr>
              <w:t>1</w:t>
            </w:r>
            <w:r>
              <w:rPr>
                <w:rFonts w:ascii="Times New Roman" w:hAnsi="Times New Roman"/>
                <w:bCs/>
                <w:sz w:val="14"/>
                <w:szCs w:val="14"/>
                <w:lang w:eastAsia="sk-SK"/>
              </w:rPr>
              <w:t> </w:t>
            </w:r>
            <w:r w:rsidRPr="00193117">
              <w:rPr>
                <w:rFonts w:ascii="Times New Roman" w:hAnsi="Times New Roman"/>
                <w:bCs/>
                <w:sz w:val="14"/>
                <w:szCs w:val="14"/>
                <w:lang w:eastAsia="sk-SK"/>
              </w:rPr>
              <w:t>5</w:t>
            </w:r>
            <w:r>
              <w:rPr>
                <w:rFonts w:ascii="Times New Roman" w:hAnsi="Times New Roman"/>
                <w:bCs/>
                <w:sz w:val="14"/>
                <w:szCs w:val="14"/>
                <w:lang w:eastAsia="sk-SK"/>
              </w:rPr>
              <w:t>08 733 343</w:t>
            </w:r>
          </w:p>
        </w:tc>
        <w:tc>
          <w:tcPr>
            <w:tcW w:w="992" w:type="dxa"/>
            <w:tcBorders>
              <w:top w:val="nil"/>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bCs/>
                <w:sz w:val="14"/>
                <w:szCs w:val="14"/>
                <w:lang w:eastAsia="sk-SK"/>
              </w:rPr>
            </w:pPr>
            <w:r w:rsidRPr="00193117">
              <w:rPr>
                <w:rFonts w:ascii="Times New Roman" w:hAnsi="Times New Roman"/>
                <w:bCs/>
                <w:sz w:val="14"/>
                <w:szCs w:val="14"/>
                <w:lang w:eastAsia="sk-SK"/>
              </w:rPr>
              <w:t>2</w:t>
            </w:r>
            <w:r>
              <w:rPr>
                <w:rFonts w:ascii="Times New Roman" w:hAnsi="Times New Roman"/>
                <w:bCs/>
                <w:sz w:val="14"/>
                <w:szCs w:val="14"/>
                <w:lang w:eastAsia="sk-SK"/>
              </w:rPr>
              <w:t> 865 000 000</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bCs/>
                <w:sz w:val="14"/>
                <w:szCs w:val="14"/>
                <w:lang w:eastAsia="sk-SK"/>
              </w:rPr>
            </w:pPr>
            <w:r w:rsidRPr="00193117">
              <w:rPr>
                <w:rFonts w:ascii="Times New Roman" w:hAnsi="Times New Roman"/>
                <w:bCs/>
                <w:sz w:val="14"/>
                <w:szCs w:val="14"/>
                <w:lang w:eastAsia="sk-SK"/>
              </w:rPr>
              <w:t>3 </w:t>
            </w:r>
            <w:r>
              <w:rPr>
                <w:rFonts w:ascii="Times New Roman" w:hAnsi="Times New Roman"/>
                <w:bCs/>
                <w:sz w:val="14"/>
                <w:szCs w:val="14"/>
                <w:lang w:eastAsia="sk-SK"/>
              </w:rPr>
              <w:t>127</w:t>
            </w:r>
            <w:r w:rsidRPr="00193117">
              <w:rPr>
                <w:rFonts w:ascii="Times New Roman" w:hAnsi="Times New Roman"/>
                <w:bCs/>
                <w:sz w:val="14"/>
                <w:szCs w:val="14"/>
                <w:lang w:eastAsia="sk-SK"/>
              </w:rPr>
              <w:t> 000 000</w:t>
            </w:r>
          </w:p>
        </w:tc>
        <w:tc>
          <w:tcPr>
            <w:tcW w:w="993"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bCs/>
                <w:sz w:val="14"/>
                <w:szCs w:val="14"/>
                <w:lang w:eastAsia="sk-SK"/>
              </w:rPr>
            </w:pPr>
            <w:r w:rsidRPr="00193117">
              <w:rPr>
                <w:rFonts w:ascii="Times New Roman" w:hAnsi="Times New Roman"/>
                <w:bCs/>
                <w:sz w:val="14"/>
                <w:szCs w:val="14"/>
                <w:lang w:eastAsia="sk-SK"/>
              </w:rPr>
              <w:t>3 </w:t>
            </w:r>
            <w:r>
              <w:rPr>
                <w:rFonts w:ascii="Times New Roman" w:hAnsi="Times New Roman"/>
                <w:bCs/>
                <w:sz w:val="14"/>
                <w:szCs w:val="14"/>
                <w:lang w:eastAsia="sk-SK"/>
              </w:rPr>
              <w:t>248</w:t>
            </w:r>
            <w:r w:rsidRPr="00193117">
              <w:rPr>
                <w:rFonts w:ascii="Times New Roman" w:hAnsi="Times New Roman"/>
                <w:bCs/>
                <w:sz w:val="14"/>
                <w:szCs w:val="14"/>
                <w:lang w:eastAsia="sk-SK"/>
              </w:rPr>
              <w:t> 000 000</w:t>
            </w:r>
          </w:p>
        </w:tc>
      </w:tr>
    </w:tbl>
    <w:p w:rsidR="00CF0B79" w:rsidRPr="00193117" w:rsidP="00CF0B79">
      <w:pPr>
        <w:pStyle w:val="NormalWeb"/>
        <w:bidi w:val="0"/>
        <w:spacing w:before="0" w:beforeAutospacing="0" w:after="0" w:afterAutospacing="0"/>
        <w:jc w:val="both"/>
        <w:rPr>
          <w:rFonts w:ascii="Times New Roman" w:hAnsi="Times New Roman"/>
        </w:rPr>
      </w:pPr>
    </w:p>
    <w:p w:rsidR="00CF0B79" w:rsidRPr="00193117" w:rsidP="00CF0B79">
      <w:pPr>
        <w:pStyle w:val="NormalWeb"/>
        <w:bidi w:val="0"/>
        <w:spacing w:before="0" w:beforeAutospacing="0" w:after="0" w:afterAutospacing="0"/>
        <w:ind w:firstLine="709"/>
        <w:jc w:val="both"/>
        <w:rPr>
          <w:rFonts w:ascii="Times New Roman" w:hAnsi="Times New Roman"/>
        </w:rPr>
      </w:pPr>
      <w:r w:rsidRPr="00193117">
        <w:rPr>
          <w:rFonts w:ascii="Times New Roman" w:hAnsi="Times New Roman"/>
        </w:rPr>
        <w:t>V kapitole je rozpočtovaný transfer Sociálnej poisťovni na krytie deficitov základného fondu starobného poistenia v sume 2 </w:t>
      </w:r>
      <w:r>
        <w:rPr>
          <w:rFonts w:ascii="Times New Roman" w:hAnsi="Times New Roman"/>
        </w:rPr>
        <w:t>865</w:t>
      </w:r>
      <w:r w:rsidRPr="00193117">
        <w:rPr>
          <w:rFonts w:ascii="Times New Roman" w:hAnsi="Times New Roman"/>
        </w:rPr>
        <w:t xml:space="preserve">,0 mil. eur v roku 2012. </w:t>
      </w:r>
    </w:p>
    <w:p w:rsidR="00CF0B79" w:rsidRPr="00193117" w:rsidP="00CF0B79">
      <w:pPr>
        <w:pStyle w:val="NormalWeb"/>
        <w:bidi w:val="0"/>
        <w:spacing w:before="0" w:beforeAutospacing="0" w:after="0" w:afterAutospacing="0"/>
        <w:jc w:val="both"/>
        <w:rPr>
          <w:rFonts w:ascii="Times New Roman" w:hAnsi="Times New Roman"/>
        </w:rPr>
      </w:pPr>
    </w:p>
    <w:p w:rsidR="00CF0B79" w:rsidRPr="00193117" w:rsidP="000F7251">
      <w:pPr>
        <w:bidi w:val="0"/>
        <w:spacing w:after="120"/>
        <w:jc w:val="both"/>
        <w:rPr>
          <w:rFonts w:ascii="Times New Roman" w:hAnsi="Times New Roman"/>
          <w:b/>
          <w:i/>
          <w:iCs/>
        </w:rPr>
      </w:pPr>
      <w:r w:rsidRPr="00193117">
        <w:rPr>
          <w:rFonts w:ascii="Times New Roman" w:hAnsi="Times New Roman"/>
          <w:b/>
          <w:iCs/>
        </w:rPr>
        <w:t>Ostatné výdavky</w:t>
      </w:r>
    </w:p>
    <w:tbl>
      <w:tblPr>
        <w:tblStyle w:val="TableNormal"/>
        <w:tblW w:w="9087" w:type="dxa"/>
        <w:tblInd w:w="55" w:type="dxa"/>
        <w:tblLayout w:type="fixed"/>
        <w:tblCellMar>
          <w:left w:w="70" w:type="dxa"/>
          <w:right w:w="70" w:type="dxa"/>
        </w:tblCellMar>
        <w:tblLook w:val="04A0"/>
      </w:tblPr>
      <w:tblGrid>
        <w:gridCol w:w="2142"/>
        <w:gridCol w:w="992"/>
        <w:gridCol w:w="992"/>
        <w:gridCol w:w="992"/>
        <w:gridCol w:w="992"/>
        <w:gridCol w:w="992"/>
        <w:gridCol w:w="992"/>
        <w:gridCol w:w="993"/>
      </w:tblGrid>
      <w:tr>
        <w:tblPrEx>
          <w:tblW w:w="9087" w:type="dxa"/>
          <w:tblInd w:w="55" w:type="dxa"/>
          <w:tblLayout w:type="fixed"/>
          <w:tblCellMar>
            <w:left w:w="70" w:type="dxa"/>
            <w:right w:w="70" w:type="dxa"/>
          </w:tblCellMar>
          <w:tblLook w:val="04A0"/>
        </w:tblPrEx>
        <w:trPr>
          <w:trHeight w:val="270"/>
        </w:trPr>
        <w:tc>
          <w:tcPr>
            <w:tcW w:w="214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rPr>
                <w:rFonts w:ascii="Times New Roman" w:hAnsi="Times New Roman"/>
                <w:b/>
                <w:bCs/>
                <w:sz w:val="14"/>
                <w:szCs w:val="14"/>
                <w:lang w:eastAsia="sk-SK"/>
              </w:rPr>
            </w:pPr>
            <w:r w:rsidRPr="00193117">
              <w:rPr>
                <w:rFonts w:ascii="Times New Roman" w:hAnsi="Times New Roman"/>
                <w:b/>
                <w:bCs/>
                <w:sz w:val="14"/>
                <w:szCs w:val="14"/>
                <w:lang w:eastAsia="sk-SK"/>
              </w:rPr>
              <w:t>v eurách</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center"/>
              <w:rPr>
                <w:rFonts w:ascii="Times New Roman" w:hAnsi="Times New Roman"/>
                <w:b/>
                <w:sz w:val="14"/>
                <w:szCs w:val="14"/>
                <w:lang w:eastAsia="sk-SK"/>
              </w:rPr>
            </w:pPr>
            <w:r w:rsidRPr="00193117">
              <w:rPr>
                <w:rFonts w:ascii="Times New Roman" w:hAnsi="Times New Roman"/>
                <w:b/>
                <w:sz w:val="14"/>
                <w:szCs w:val="14"/>
                <w:lang w:eastAsia="sk-SK"/>
              </w:rPr>
              <w:t>2009 S*</w:t>
            </w:r>
          </w:p>
        </w:tc>
        <w:tc>
          <w:tcPr>
            <w:tcW w:w="992" w:type="dxa"/>
            <w:tcBorders>
              <w:top w:val="single" w:sz="4" w:space="0" w:color="auto"/>
              <w:left w:val="nil"/>
              <w:bottom w:val="single" w:sz="4" w:space="0" w:color="auto"/>
              <w:right w:val="single" w:sz="4" w:space="0" w:color="auto"/>
            </w:tcBorders>
            <w:noWrap/>
            <w:textDirection w:val="lrTb"/>
            <w:vAlign w:val="bottom"/>
          </w:tcPr>
          <w:p w:rsidR="00CF0B79" w:rsidRPr="00193117" w:rsidP="00F576BD">
            <w:pPr>
              <w:bidi w:val="0"/>
              <w:jc w:val="center"/>
              <w:rPr>
                <w:rFonts w:ascii="Times New Roman" w:hAnsi="Times New Roman"/>
                <w:b/>
                <w:sz w:val="14"/>
                <w:szCs w:val="14"/>
                <w:lang w:eastAsia="sk-SK"/>
              </w:rPr>
            </w:pPr>
            <w:r w:rsidRPr="00193117">
              <w:rPr>
                <w:rFonts w:ascii="Times New Roman" w:hAnsi="Times New Roman"/>
                <w:b/>
                <w:sz w:val="14"/>
                <w:szCs w:val="14"/>
                <w:lang w:eastAsia="sk-SK"/>
              </w:rPr>
              <w:t>2010 S*</w:t>
            </w:r>
          </w:p>
        </w:tc>
        <w:tc>
          <w:tcPr>
            <w:tcW w:w="992" w:type="dxa"/>
            <w:tcBorders>
              <w:top w:val="single" w:sz="4" w:space="0" w:color="auto"/>
              <w:left w:val="nil"/>
              <w:bottom w:val="single" w:sz="4" w:space="0" w:color="auto"/>
              <w:right w:val="single" w:sz="4" w:space="0" w:color="auto"/>
            </w:tcBorders>
            <w:noWrap/>
            <w:textDirection w:val="lrTb"/>
            <w:vAlign w:val="bottom"/>
          </w:tcPr>
          <w:p w:rsidR="00CF0B79" w:rsidRPr="00193117" w:rsidP="00F576BD">
            <w:pPr>
              <w:bidi w:val="0"/>
              <w:jc w:val="center"/>
              <w:rPr>
                <w:rFonts w:ascii="Times New Roman" w:hAnsi="Times New Roman"/>
                <w:b/>
                <w:sz w:val="14"/>
                <w:szCs w:val="14"/>
                <w:lang w:eastAsia="sk-SK"/>
              </w:rPr>
            </w:pPr>
            <w:r w:rsidRPr="00193117">
              <w:rPr>
                <w:rFonts w:ascii="Times New Roman" w:hAnsi="Times New Roman"/>
                <w:b/>
                <w:sz w:val="14"/>
                <w:szCs w:val="14"/>
                <w:lang w:eastAsia="sk-SK"/>
              </w:rPr>
              <w:t>2011 R</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center"/>
              <w:rPr>
                <w:rFonts w:ascii="Times New Roman" w:hAnsi="Times New Roman"/>
                <w:b/>
                <w:sz w:val="14"/>
                <w:szCs w:val="14"/>
                <w:lang w:eastAsia="sk-SK"/>
              </w:rPr>
            </w:pPr>
            <w:r w:rsidRPr="00193117">
              <w:rPr>
                <w:rFonts w:ascii="Times New Roman" w:hAnsi="Times New Roman"/>
                <w:b/>
                <w:sz w:val="14"/>
                <w:szCs w:val="14"/>
                <w:lang w:eastAsia="sk-SK"/>
              </w:rPr>
              <w:t>2011 OS*</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center"/>
              <w:rPr>
                <w:rFonts w:ascii="Times New Roman" w:hAnsi="Times New Roman"/>
                <w:b/>
                <w:sz w:val="14"/>
                <w:szCs w:val="14"/>
                <w:lang w:eastAsia="sk-SK"/>
              </w:rPr>
            </w:pPr>
            <w:r w:rsidRPr="00193117">
              <w:rPr>
                <w:rFonts w:ascii="Times New Roman" w:hAnsi="Times New Roman"/>
                <w:b/>
                <w:sz w:val="14"/>
                <w:szCs w:val="14"/>
                <w:lang w:eastAsia="sk-SK"/>
              </w:rPr>
              <w:t>2012 N</w:t>
            </w:r>
          </w:p>
        </w:tc>
        <w:tc>
          <w:tcPr>
            <w:tcW w:w="992" w:type="dxa"/>
            <w:tcBorders>
              <w:top w:val="single" w:sz="4" w:space="0" w:color="auto"/>
              <w:left w:val="nil"/>
              <w:bottom w:val="single" w:sz="4" w:space="0" w:color="auto"/>
              <w:right w:val="single" w:sz="4" w:space="0" w:color="auto"/>
            </w:tcBorders>
            <w:noWrap/>
            <w:textDirection w:val="lrTb"/>
            <w:vAlign w:val="bottom"/>
          </w:tcPr>
          <w:p w:rsidR="00CF0B79" w:rsidRPr="00193117" w:rsidP="00F576BD">
            <w:pPr>
              <w:bidi w:val="0"/>
              <w:jc w:val="center"/>
              <w:rPr>
                <w:rFonts w:ascii="Times New Roman" w:hAnsi="Times New Roman"/>
                <w:b/>
                <w:sz w:val="14"/>
                <w:szCs w:val="14"/>
                <w:lang w:eastAsia="sk-SK"/>
              </w:rPr>
            </w:pPr>
            <w:r w:rsidRPr="00193117">
              <w:rPr>
                <w:rFonts w:ascii="Times New Roman" w:hAnsi="Times New Roman"/>
                <w:b/>
                <w:sz w:val="14"/>
                <w:szCs w:val="14"/>
                <w:lang w:eastAsia="sk-SK"/>
              </w:rPr>
              <w:t>2013 N</w:t>
            </w:r>
          </w:p>
        </w:tc>
        <w:tc>
          <w:tcPr>
            <w:tcW w:w="993" w:type="dxa"/>
            <w:tcBorders>
              <w:top w:val="single" w:sz="4" w:space="0" w:color="auto"/>
              <w:left w:val="nil"/>
              <w:bottom w:val="single" w:sz="4" w:space="0" w:color="auto"/>
              <w:right w:val="single" w:sz="4" w:space="0" w:color="auto"/>
            </w:tcBorders>
            <w:noWrap/>
            <w:textDirection w:val="lrTb"/>
            <w:vAlign w:val="bottom"/>
          </w:tcPr>
          <w:p w:rsidR="00CF0B79" w:rsidRPr="00193117" w:rsidP="00F576BD">
            <w:pPr>
              <w:bidi w:val="0"/>
              <w:jc w:val="center"/>
              <w:rPr>
                <w:rFonts w:ascii="Times New Roman" w:hAnsi="Times New Roman"/>
                <w:b/>
                <w:sz w:val="14"/>
                <w:szCs w:val="14"/>
                <w:lang w:eastAsia="sk-SK"/>
              </w:rPr>
            </w:pPr>
            <w:r w:rsidRPr="00193117">
              <w:rPr>
                <w:rFonts w:ascii="Times New Roman" w:hAnsi="Times New Roman"/>
                <w:b/>
                <w:sz w:val="14"/>
                <w:szCs w:val="14"/>
                <w:lang w:eastAsia="sk-SK"/>
              </w:rPr>
              <w:t>2014 N</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textDirection w:val="lrTb"/>
            <w:vAlign w:val="bottom"/>
          </w:tcPr>
          <w:p w:rsidR="00CF0B79" w:rsidRPr="00193117" w:rsidP="00F576BD">
            <w:pPr>
              <w:bidi w:val="0"/>
              <w:rPr>
                <w:rFonts w:ascii="Times New Roman" w:hAnsi="Times New Roman"/>
                <w:b/>
                <w:bCs/>
                <w:sz w:val="14"/>
                <w:szCs w:val="14"/>
                <w:lang w:eastAsia="sk-SK"/>
              </w:rPr>
            </w:pPr>
            <w:r w:rsidRPr="00193117">
              <w:rPr>
                <w:rFonts w:ascii="Times New Roman" w:hAnsi="Times New Roman"/>
                <w:b/>
                <w:bCs/>
                <w:sz w:val="14"/>
                <w:szCs w:val="14"/>
                <w:lang w:eastAsia="sk-SK"/>
              </w:rPr>
              <w:t>Ostatné</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b/>
                <w:bCs/>
                <w:sz w:val="14"/>
                <w:szCs w:val="14"/>
                <w:lang w:eastAsia="sk-SK"/>
              </w:rPr>
            </w:pPr>
            <w:r w:rsidRPr="00193117">
              <w:rPr>
                <w:rFonts w:ascii="Times New Roman" w:hAnsi="Times New Roman"/>
                <w:b/>
                <w:bCs/>
                <w:sz w:val="14"/>
                <w:szCs w:val="14"/>
                <w:lang w:eastAsia="sk-SK"/>
              </w:rPr>
              <w:t>149 042 624</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b/>
                <w:bCs/>
                <w:sz w:val="14"/>
                <w:szCs w:val="14"/>
                <w:lang w:eastAsia="sk-SK"/>
              </w:rPr>
            </w:pPr>
            <w:r w:rsidRPr="00193117">
              <w:rPr>
                <w:rFonts w:ascii="Times New Roman" w:hAnsi="Times New Roman"/>
                <w:b/>
                <w:bCs/>
                <w:sz w:val="14"/>
                <w:szCs w:val="14"/>
                <w:lang w:eastAsia="sk-SK"/>
              </w:rPr>
              <w:t>178 785 471</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b/>
                <w:bCs/>
                <w:sz w:val="14"/>
                <w:szCs w:val="14"/>
                <w:lang w:eastAsia="sk-SK"/>
              </w:rPr>
            </w:pPr>
            <w:r w:rsidRPr="00193117">
              <w:rPr>
                <w:rFonts w:ascii="Times New Roman" w:hAnsi="Times New Roman"/>
                <w:b/>
                <w:bCs/>
                <w:sz w:val="14"/>
                <w:szCs w:val="14"/>
                <w:lang w:eastAsia="sk-SK"/>
              </w:rPr>
              <w:t>95 383 185</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b/>
                <w:bCs/>
                <w:sz w:val="14"/>
                <w:szCs w:val="14"/>
                <w:lang w:eastAsia="sk-SK"/>
              </w:rPr>
            </w:pPr>
            <w:r>
              <w:rPr>
                <w:rFonts w:ascii="Times New Roman" w:hAnsi="Times New Roman"/>
                <w:b/>
                <w:bCs/>
                <w:sz w:val="14"/>
                <w:szCs w:val="14"/>
                <w:lang w:eastAsia="sk-SK"/>
              </w:rPr>
              <w:t>67 500 187</w:t>
            </w:r>
          </w:p>
        </w:tc>
        <w:tc>
          <w:tcPr>
            <w:tcW w:w="992" w:type="dxa"/>
            <w:tcBorders>
              <w:top w:val="nil"/>
              <w:left w:val="single" w:sz="4" w:space="0" w:color="auto"/>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b/>
                <w:bCs/>
                <w:sz w:val="14"/>
                <w:szCs w:val="14"/>
                <w:lang w:eastAsia="sk-SK"/>
              </w:rPr>
            </w:pPr>
            <w:r w:rsidRPr="00193117">
              <w:rPr>
                <w:rFonts w:ascii="Times New Roman" w:hAnsi="Times New Roman"/>
                <w:b/>
                <w:bCs/>
                <w:sz w:val="14"/>
                <w:szCs w:val="14"/>
                <w:lang w:eastAsia="sk-SK"/>
              </w:rPr>
              <w:t>215 458 554</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b/>
                <w:bCs/>
                <w:sz w:val="14"/>
                <w:szCs w:val="14"/>
                <w:lang w:eastAsia="sk-SK"/>
              </w:rPr>
            </w:pPr>
            <w:r w:rsidRPr="00193117">
              <w:rPr>
                <w:rFonts w:ascii="Times New Roman" w:hAnsi="Times New Roman"/>
                <w:b/>
                <w:bCs/>
                <w:sz w:val="14"/>
                <w:szCs w:val="14"/>
                <w:lang w:eastAsia="sk-SK"/>
              </w:rPr>
              <w:t>131 608 837</w:t>
            </w:r>
          </w:p>
        </w:tc>
        <w:tc>
          <w:tcPr>
            <w:tcW w:w="993"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b/>
                <w:bCs/>
                <w:sz w:val="14"/>
                <w:szCs w:val="14"/>
                <w:lang w:eastAsia="sk-SK"/>
              </w:rPr>
            </w:pPr>
            <w:r w:rsidRPr="00193117">
              <w:rPr>
                <w:rFonts w:ascii="Times New Roman" w:hAnsi="Times New Roman"/>
                <w:b/>
                <w:bCs/>
                <w:sz w:val="14"/>
                <w:szCs w:val="14"/>
                <w:lang w:eastAsia="sk-SK"/>
              </w:rPr>
              <w:t>155 690 674</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textDirection w:val="lrTb"/>
            <w:vAlign w:val="bottom"/>
          </w:tcPr>
          <w:p w:rsidR="00CF0B79" w:rsidRPr="00193117" w:rsidP="00F576BD">
            <w:pPr>
              <w:bidi w:val="0"/>
              <w:rPr>
                <w:rFonts w:ascii="Times New Roman" w:hAnsi="Times New Roman"/>
                <w:sz w:val="14"/>
                <w:szCs w:val="14"/>
                <w:lang w:eastAsia="sk-SK"/>
              </w:rPr>
            </w:pPr>
            <w:r w:rsidRPr="00193117">
              <w:rPr>
                <w:rFonts w:ascii="Times New Roman" w:hAnsi="Times New Roman"/>
                <w:sz w:val="14"/>
                <w:szCs w:val="14"/>
                <w:lang w:eastAsia="sk-SK"/>
              </w:rPr>
              <w:t xml:space="preserve">Úhrada majetkovej ujmy </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1 548 000</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1 356 180</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2 552 500</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2 501 500</w:t>
            </w:r>
          </w:p>
        </w:tc>
        <w:tc>
          <w:tcPr>
            <w:tcW w:w="992" w:type="dxa"/>
            <w:tcBorders>
              <w:top w:val="nil"/>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2 000 900</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2 001 000</w:t>
            </w:r>
          </w:p>
        </w:tc>
        <w:tc>
          <w:tcPr>
            <w:tcW w:w="993"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2 025 000</w:t>
            </w:r>
          </w:p>
        </w:tc>
      </w:tr>
      <w:tr>
        <w:tblPrEx>
          <w:tblW w:w="9087" w:type="dxa"/>
          <w:tblInd w:w="55" w:type="dxa"/>
          <w:tblLayout w:type="fixed"/>
          <w:tblCellMar>
            <w:left w:w="70" w:type="dxa"/>
            <w:right w:w="70" w:type="dxa"/>
          </w:tblCellMar>
          <w:tblLook w:val="04A0"/>
        </w:tblPrEx>
        <w:trPr>
          <w:trHeight w:val="390"/>
        </w:trPr>
        <w:tc>
          <w:tcPr>
            <w:tcW w:w="2142" w:type="dxa"/>
            <w:tcBorders>
              <w:top w:val="nil"/>
              <w:left w:val="single" w:sz="4" w:space="0" w:color="auto"/>
              <w:bottom w:val="single" w:sz="4" w:space="0" w:color="auto"/>
              <w:right w:val="single" w:sz="4" w:space="0" w:color="auto"/>
            </w:tcBorders>
            <w:textDirection w:val="lrTb"/>
            <w:vAlign w:val="bottom"/>
          </w:tcPr>
          <w:p w:rsidR="00CF0B79" w:rsidRPr="00193117" w:rsidP="00F576BD">
            <w:pPr>
              <w:bidi w:val="0"/>
              <w:rPr>
                <w:rFonts w:ascii="Times New Roman" w:hAnsi="Times New Roman"/>
                <w:sz w:val="14"/>
                <w:szCs w:val="14"/>
                <w:lang w:eastAsia="sk-SK"/>
              </w:rPr>
            </w:pPr>
            <w:r w:rsidRPr="00193117">
              <w:rPr>
                <w:rFonts w:ascii="Times New Roman" w:hAnsi="Times New Roman"/>
                <w:sz w:val="14"/>
                <w:szCs w:val="14"/>
                <w:lang w:eastAsia="sk-SK"/>
              </w:rPr>
              <w:t xml:space="preserve">Príspevky politickým stranám a politickým hnutiam </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5 500 954</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18 982 174</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7 333 300</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7</w:t>
            </w:r>
            <w:r>
              <w:rPr>
                <w:rFonts w:ascii="Times New Roman" w:hAnsi="Times New Roman"/>
                <w:sz w:val="14"/>
                <w:szCs w:val="14"/>
                <w:lang w:eastAsia="sk-SK"/>
              </w:rPr>
              <w:t> 333 170</w:t>
            </w:r>
          </w:p>
        </w:tc>
        <w:tc>
          <w:tcPr>
            <w:tcW w:w="992" w:type="dxa"/>
            <w:tcBorders>
              <w:top w:val="nil"/>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7 333 300</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7 333 300</w:t>
            </w:r>
          </w:p>
        </w:tc>
        <w:tc>
          <w:tcPr>
            <w:tcW w:w="993"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28 874 550</w:t>
            </w:r>
          </w:p>
        </w:tc>
      </w:tr>
      <w:tr>
        <w:tblPrEx>
          <w:tblW w:w="9087" w:type="dxa"/>
          <w:tblInd w:w="55" w:type="dxa"/>
          <w:tblLayout w:type="fixed"/>
          <w:tblCellMar>
            <w:left w:w="70" w:type="dxa"/>
            <w:right w:w="70" w:type="dxa"/>
          </w:tblCellMar>
          <w:tblLook w:val="04A0"/>
        </w:tblPrEx>
        <w:trPr>
          <w:trHeight w:val="780"/>
        </w:trPr>
        <w:tc>
          <w:tcPr>
            <w:tcW w:w="2142" w:type="dxa"/>
            <w:tcBorders>
              <w:top w:val="nil"/>
              <w:left w:val="single" w:sz="4" w:space="0" w:color="auto"/>
              <w:bottom w:val="single" w:sz="4" w:space="0" w:color="auto"/>
              <w:right w:val="single" w:sz="4" w:space="0" w:color="auto"/>
            </w:tcBorders>
            <w:textDirection w:val="lrTb"/>
            <w:vAlign w:val="center"/>
          </w:tcPr>
          <w:p w:rsidR="00CF0B79" w:rsidRPr="00193117" w:rsidP="00F576BD">
            <w:pPr>
              <w:bidi w:val="0"/>
              <w:rPr>
                <w:rFonts w:ascii="Times New Roman" w:hAnsi="Times New Roman"/>
                <w:sz w:val="14"/>
                <w:szCs w:val="14"/>
                <w:lang w:eastAsia="sk-SK"/>
              </w:rPr>
            </w:pPr>
            <w:r w:rsidRPr="00193117">
              <w:rPr>
                <w:rFonts w:ascii="Times New Roman" w:hAnsi="Times New Roman"/>
                <w:sz w:val="14"/>
                <w:szCs w:val="14"/>
                <w:lang w:eastAsia="sk-SK"/>
              </w:rPr>
              <w:t xml:space="preserve">Výdavky na všeobecne prospešné služby podľa č. 171/2005 Z. z. o hazardných hrách a dotácie na individuálne potreby obcí </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7 782 933</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3 269 601</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3 269 601</w:t>
            </w:r>
          </w:p>
        </w:tc>
        <w:tc>
          <w:tcPr>
            <w:tcW w:w="992" w:type="dxa"/>
            <w:tcBorders>
              <w:top w:val="nil"/>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3 269 500</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3 269 500</w:t>
            </w:r>
          </w:p>
        </w:tc>
        <w:tc>
          <w:tcPr>
            <w:tcW w:w="993"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3 269 500</w:t>
            </w:r>
          </w:p>
        </w:tc>
      </w:tr>
      <w:tr>
        <w:tblPrEx>
          <w:tblW w:w="9087" w:type="dxa"/>
          <w:tblInd w:w="55" w:type="dxa"/>
          <w:tblLayout w:type="fixed"/>
          <w:tblCellMar>
            <w:left w:w="70" w:type="dxa"/>
            <w:right w:w="70" w:type="dxa"/>
          </w:tblCellMar>
          <w:tblLook w:val="04A0"/>
        </w:tblPrEx>
        <w:trPr>
          <w:trHeight w:val="780"/>
        </w:trPr>
        <w:tc>
          <w:tcPr>
            <w:tcW w:w="2142" w:type="dxa"/>
            <w:tcBorders>
              <w:top w:val="nil"/>
              <w:left w:val="single" w:sz="4" w:space="0" w:color="auto"/>
              <w:bottom w:val="single" w:sz="4" w:space="0" w:color="auto"/>
              <w:right w:val="single" w:sz="4" w:space="0" w:color="auto"/>
            </w:tcBorders>
            <w:textDirection w:val="lrTb"/>
            <w:vAlign w:val="center"/>
          </w:tcPr>
          <w:p w:rsidR="00CF0B79" w:rsidRPr="00193117" w:rsidP="00F576BD">
            <w:pPr>
              <w:bidi w:val="0"/>
              <w:rPr>
                <w:rFonts w:ascii="Times New Roman" w:hAnsi="Times New Roman"/>
                <w:sz w:val="14"/>
                <w:szCs w:val="14"/>
                <w:lang w:eastAsia="sk-SK"/>
              </w:rPr>
            </w:pPr>
            <w:r w:rsidRPr="00193117">
              <w:rPr>
                <w:rFonts w:ascii="Times New Roman" w:hAnsi="Times New Roman"/>
                <w:sz w:val="14"/>
                <w:szCs w:val="14"/>
                <w:lang w:eastAsia="sk-SK"/>
              </w:rPr>
              <w:t>Štátny príspevok na pôžičky mladým manželom a štátny príspevok pre mladomanželov na mladomanželské úvery</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403</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2 947</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9 361 000</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361 000</w:t>
            </w:r>
          </w:p>
        </w:tc>
        <w:tc>
          <w:tcPr>
            <w:tcW w:w="992" w:type="dxa"/>
            <w:tcBorders>
              <w:top w:val="nil"/>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68 000</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112 000</w:t>
            </w:r>
          </w:p>
        </w:tc>
        <w:tc>
          <w:tcPr>
            <w:tcW w:w="993"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167 500</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textDirection w:val="lrTb"/>
            <w:vAlign w:val="center"/>
          </w:tcPr>
          <w:p w:rsidR="00CF0B79" w:rsidRPr="00193117" w:rsidP="00F576BD">
            <w:pPr>
              <w:bidi w:val="0"/>
              <w:rPr>
                <w:rFonts w:ascii="Times New Roman" w:hAnsi="Times New Roman"/>
                <w:sz w:val="14"/>
                <w:szCs w:val="14"/>
                <w:lang w:eastAsia="sk-SK"/>
              </w:rPr>
            </w:pPr>
            <w:r w:rsidRPr="00193117">
              <w:rPr>
                <w:rFonts w:ascii="Times New Roman" w:hAnsi="Times New Roman"/>
                <w:sz w:val="14"/>
                <w:szCs w:val="14"/>
                <w:lang w:eastAsia="sk-SK"/>
              </w:rPr>
              <w:t>Úhrada poplatkov Štátnej pokladnici</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1 285</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1 232</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2 821</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2 821</w:t>
            </w:r>
          </w:p>
        </w:tc>
        <w:tc>
          <w:tcPr>
            <w:tcW w:w="992" w:type="dxa"/>
            <w:tcBorders>
              <w:top w:val="nil"/>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2 800</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2 800</w:t>
            </w:r>
          </w:p>
        </w:tc>
        <w:tc>
          <w:tcPr>
            <w:tcW w:w="993"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2 800</w:t>
            </w:r>
          </w:p>
        </w:tc>
      </w:tr>
      <w:tr>
        <w:tblPrEx>
          <w:tblW w:w="9087" w:type="dxa"/>
          <w:tblInd w:w="55" w:type="dxa"/>
          <w:tblLayout w:type="fixed"/>
          <w:tblCellMar>
            <w:left w:w="70" w:type="dxa"/>
            <w:right w:w="70" w:type="dxa"/>
          </w:tblCellMar>
          <w:tblLook w:val="04A0"/>
        </w:tblPrEx>
        <w:trPr>
          <w:trHeight w:val="390"/>
        </w:trPr>
        <w:tc>
          <w:tcPr>
            <w:tcW w:w="2142" w:type="dxa"/>
            <w:tcBorders>
              <w:top w:val="nil"/>
              <w:left w:val="single" w:sz="4" w:space="0" w:color="auto"/>
              <w:bottom w:val="single" w:sz="4" w:space="0" w:color="auto"/>
              <w:right w:val="single" w:sz="4" w:space="0" w:color="auto"/>
            </w:tcBorders>
            <w:textDirection w:val="lrTb"/>
            <w:vAlign w:val="center"/>
          </w:tcPr>
          <w:p w:rsidR="00CF0B79" w:rsidRPr="00193117" w:rsidP="00F576BD">
            <w:pPr>
              <w:bidi w:val="0"/>
              <w:rPr>
                <w:rFonts w:ascii="Times New Roman" w:hAnsi="Times New Roman"/>
                <w:sz w:val="14"/>
                <w:szCs w:val="14"/>
                <w:lang w:eastAsia="sk-SK"/>
              </w:rPr>
            </w:pPr>
            <w:r w:rsidRPr="00193117">
              <w:rPr>
                <w:rFonts w:ascii="Times New Roman" w:hAnsi="Times New Roman"/>
                <w:sz w:val="14"/>
                <w:szCs w:val="14"/>
                <w:lang w:eastAsia="sk-SK"/>
              </w:rPr>
              <w:t xml:space="preserve">Výdavky na administratívny poplatok EIB </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3 725</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3 725</w:t>
            </w:r>
          </w:p>
        </w:tc>
        <w:tc>
          <w:tcPr>
            <w:tcW w:w="992" w:type="dxa"/>
            <w:tcBorders>
              <w:top w:val="nil"/>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5 711</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8 039</w:t>
            </w:r>
          </w:p>
        </w:tc>
        <w:tc>
          <w:tcPr>
            <w:tcW w:w="993"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9 521</w:t>
            </w:r>
          </w:p>
        </w:tc>
      </w:tr>
      <w:tr>
        <w:tblPrEx>
          <w:tblW w:w="9087" w:type="dxa"/>
          <w:tblInd w:w="55" w:type="dxa"/>
          <w:tblLayout w:type="fixed"/>
          <w:tblCellMar>
            <w:left w:w="70" w:type="dxa"/>
            <w:right w:w="70" w:type="dxa"/>
          </w:tblCellMar>
          <w:tblLook w:val="04A0"/>
        </w:tblPrEx>
        <w:trPr>
          <w:trHeight w:val="390"/>
        </w:trPr>
        <w:tc>
          <w:tcPr>
            <w:tcW w:w="2142" w:type="dxa"/>
            <w:tcBorders>
              <w:top w:val="nil"/>
              <w:left w:val="single" w:sz="4" w:space="0" w:color="auto"/>
              <w:bottom w:val="single" w:sz="4" w:space="0" w:color="auto"/>
              <w:right w:val="single" w:sz="4" w:space="0" w:color="auto"/>
            </w:tcBorders>
            <w:textDirection w:val="lrTb"/>
            <w:vAlign w:val="center"/>
          </w:tcPr>
          <w:p w:rsidR="00CF0B79" w:rsidRPr="00193117" w:rsidP="00F576BD">
            <w:pPr>
              <w:bidi w:val="0"/>
              <w:rPr>
                <w:rFonts w:ascii="Times New Roman" w:hAnsi="Times New Roman"/>
                <w:sz w:val="14"/>
                <w:szCs w:val="14"/>
                <w:lang w:eastAsia="sk-SK"/>
              </w:rPr>
            </w:pPr>
            <w:r w:rsidRPr="00193117">
              <w:rPr>
                <w:rFonts w:ascii="Times New Roman" w:hAnsi="Times New Roman"/>
                <w:sz w:val="14"/>
                <w:szCs w:val="14"/>
                <w:lang w:eastAsia="sk-SK"/>
              </w:rPr>
              <w:t>Dotácie pre zariadenia sociálnych služieb pre obce</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24 628 455</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25 835 275</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26 636 423</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26 636 423</w:t>
            </w:r>
          </w:p>
        </w:tc>
        <w:tc>
          <w:tcPr>
            <w:tcW w:w="992" w:type="dxa"/>
            <w:tcBorders>
              <w:top w:val="nil"/>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27 509 000</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28 219 800</w:t>
            </w:r>
          </w:p>
        </w:tc>
        <w:tc>
          <w:tcPr>
            <w:tcW w:w="993"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28 784 200</w:t>
            </w:r>
          </w:p>
        </w:tc>
      </w:tr>
      <w:tr>
        <w:tblPrEx>
          <w:tblW w:w="9087" w:type="dxa"/>
          <w:tblInd w:w="55" w:type="dxa"/>
          <w:tblLayout w:type="fixed"/>
          <w:tblCellMar>
            <w:left w:w="70" w:type="dxa"/>
            <w:right w:w="70" w:type="dxa"/>
          </w:tblCellMar>
          <w:tblLook w:val="04A0"/>
        </w:tblPrEx>
        <w:trPr>
          <w:trHeight w:val="390"/>
        </w:trPr>
        <w:tc>
          <w:tcPr>
            <w:tcW w:w="2142" w:type="dxa"/>
            <w:tcBorders>
              <w:top w:val="nil"/>
              <w:left w:val="single" w:sz="4" w:space="0" w:color="auto"/>
              <w:bottom w:val="single" w:sz="4" w:space="0" w:color="auto"/>
              <w:right w:val="single" w:sz="4" w:space="0" w:color="auto"/>
            </w:tcBorders>
            <w:textDirection w:val="lrTb"/>
            <w:vAlign w:val="center"/>
          </w:tcPr>
          <w:p w:rsidR="00CF0B79" w:rsidRPr="00193117" w:rsidP="00F576BD">
            <w:pPr>
              <w:bidi w:val="0"/>
              <w:rPr>
                <w:rFonts w:ascii="Times New Roman" w:hAnsi="Times New Roman"/>
                <w:sz w:val="14"/>
                <w:szCs w:val="14"/>
                <w:lang w:eastAsia="sk-SK"/>
              </w:rPr>
            </w:pPr>
            <w:r w:rsidRPr="00193117">
              <w:rPr>
                <w:rFonts w:ascii="Times New Roman" w:hAnsi="Times New Roman"/>
                <w:sz w:val="14"/>
                <w:szCs w:val="14"/>
                <w:lang w:eastAsia="sk-SK"/>
              </w:rPr>
              <w:t>Dotácie na záchranu a obnovu kultúrnych pamiatok pre obce</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1 984 997</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2 024 829</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2 024 829</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2 024 829</w:t>
            </w:r>
          </w:p>
        </w:tc>
        <w:tc>
          <w:tcPr>
            <w:tcW w:w="992" w:type="dxa"/>
            <w:tcBorders>
              <w:top w:val="nil"/>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2 024 800</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2 024 800</w:t>
            </w:r>
          </w:p>
        </w:tc>
        <w:tc>
          <w:tcPr>
            <w:tcW w:w="993"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2 024 800</w:t>
            </w:r>
          </w:p>
        </w:tc>
      </w:tr>
      <w:tr>
        <w:tblPrEx>
          <w:tblW w:w="9087" w:type="dxa"/>
          <w:tblInd w:w="55" w:type="dxa"/>
          <w:tblLayout w:type="fixed"/>
          <w:tblCellMar>
            <w:left w:w="70" w:type="dxa"/>
            <w:right w:w="70" w:type="dxa"/>
          </w:tblCellMar>
          <w:tblLook w:val="04A0"/>
        </w:tblPrEx>
        <w:trPr>
          <w:trHeight w:val="301"/>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CF0B79" w:rsidRPr="00193117" w:rsidP="00F576BD">
            <w:pPr>
              <w:bidi w:val="0"/>
              <w:rPr>
                <w:rFonts w:ascii="Times New Roman" w:hAnsi="Times New Roman"/>
                <w:sz w:val="14"/>
                <w:szCs w:val="14"/>
                <w:lang w:eastAsia="sk-SK"/>
              </w:rPr>
            </w:pPr>
            <w:r w:rsidRPr="00193117">
              <w:rPr>
                <w:rFonts w:ascii="Times New Roman" w:hAnsi="Times New Roman"/>
                <w:sz w:val="14"/>
                <w:szCs w:val="14"/>
                <w:lang w:eastAsia="sk-SK"/>
              </w:rPr>
              <w:t>Výdavky na iné zákonné úpravy</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100 000 000</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85 699 999</w:t>
            </w:r>
          </w:p>
        </w:tc>
        <w:tc>
          <w:tcPr>
            <w:tcW w:w="992" w:type="dxa"/>
            <w:tcBorders>
              <w:top w:val="single" w:sz="4" w:space="0" w:color="auto"/>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r>
      <w:tr>
        <w:tblPrEx>
          <w:tblW w:w="9087" w:type="dxa"/>
          <w:tblInd w:w="55" w:type="dxa"/>
          <w:tblLayout w:type="fixed"/>
          <w:tblCellMar>
            <w:left w:w="70" w:type="dxa"/>
            <w:right w:w="70" w:type="dxa"/>
          </w:tblCellMar>
          <w:tblLook w:val="04A0"/>
        </w:tblPrEx>
        <w:trPr>
          <w:trHeight w:val="510"/>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CF0B79" w:rsidRPr="00193117" w:rsidP="00F576BD">
            <w:pPr>
              <w:bidi w:val="0"/>
              <w:rPr>
                <w:rFonts w:ascii="Times New Roman" w:hAnsi="Times New Roman"/>
                <w:sz w:val="14"/>
                <w:szCs w:val="14"/>
                <w:lang w:eastAsia="sk-SK"/>
              </w:rPr>
            </w:pPr>
            <w:r w:rsidRPr="00193117">
              <w:rPr>
                <w:rFonts w:ascii="Times New Roman" w:hAnsi="Times New Roman"/>
                <w:sz w:val="14"/>
                <w:szCs w:val="14"/>
                <w:lang w:eastAsia="sk-SK"/>
              </w:rPr>
              <w:t>Finančné zúčtovanie (poistného VZP platené štátom)</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5 000</w:t>
            </w:r>
          </w:p>
        </w:tc>
        <w:tc>
          <w:tcPr>
            <w:tcW w:w="992" w:type="dxa"/>
            <w:tcBorders>
              <w:top w:val="single" w:sz="4" w:space="0" w:color="auto"/>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10 000 000</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75 000 000</w:t>
            </w:r>
          </w:p>
        </w:tc>
        <w:tc>
          <w:tcPr>
            <w:tcW w:w="992" w:type="dxa"/>
            <w:tcBorders>
              <w:top w:val="single" w:sz="4" w:space="0" w:color="auto"/>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r>
      <w:tr>
        <w:tblPrEx>
          <w:tblW w:w="9087" w:type="dxa"/>
          <w:tblInd w:w="55" w:type="dxa"/>
          <w:tblLayout w:type="fixed"/>
          <w:tblCellMar>
            <w:left w:w="70" w:type="dxa"/>
            <w:right w:w="70" w:type="dxa"/>
          </w:tblCellMar>
          <w:tblLook w:val="04A0"/>
        </w:tblPrEx>
        <w:trPr>
          <w:trHeight w:val="390"/>
        </w:trPr>
        <w:tc>
          <w:tcPr>
            <w:tcW w:w="2142" w:type="dxa"/>
            <w:tcBorders>
              <w:top w:val="nil"/>
              <w:left w:val="single" w:sz="4" w:space="0" w:color="auto"/>
              <w:bottom w:val="single" w:sz="4" w:space="0" w:color="auto"/>
              <w:right w:val="single" w:sz="4" w:space="0" w:color="auto"/>
            </w:tcBorders>
            <w:textDirection w:val="lrTb"/>
            <w:vAlign w:val="center"/>
          </w:tcPr>
          <w:p w:rsidR="00CF0B79" w:rsidRPr="00193117" w:rsidP="00F576BD">
            <w:pPr>
              <w:bidi w:val="0"/>
              <w:rPr>
                <w:rFonts w:ascii="Times New Roman" w:hAnsi="Times New Roman"/>
                <w:sz w:val="14"/>
                <w:szCs w:val="14"/>
                <w:lang w:eastAsia="sk-SK"/>
              </w:rPr>
            </w:pPr>
            <w:r w:rsidRPr="00193117">
              <w:rPr>
                <w:rFonts w:ascii="Times New Roman" w:hAnsi="Times New Roman"/>
                <w:sz w:val="14"/>
                <w:szCs w:val="14"/>
                <w:lang w:eastAsia="sk-SK"/>
              </w:rPr>
              <w:t>Príspevky do medzinárodných organizácií</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1 949 576</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736 629</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1 600 000</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 xml:space="preserve"> 1 600 000 </w:t>
            </w:r>
          </w:p>
        </w:tc>
        <w:tc>
          <w:tcPr>
            <w:tcW w:w="992" w:type="dxa"/>
            <w:tcBorders>
              <w:top w:val="nil"/>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2 100 000</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2 100 000</w:t>
            </w:r>
          </w:p>
        </w:tc>
        <w:tc>
          <w:tcPr>
            <w:tcW w:w="993"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2 100 000</w:t>
            </w:r>
          </w:p>
        </w:tc>
      </w:tr>
      <w:tr>
        <w:tblPrEx>
          <w:tblW w:w="9087" w:type="dxa"/>
          <w:tblInd w:w="55" w:type="dxa"/>
          <w:tblLayout w:type="fixed"/>
          <w:tblCellMar>
            <w:left w:w="70" w:type="dxa"/>
            <w:right w:w="70" w:type="dxa"/>
          </w:tblCellMar>
          <w:tblLook w:val="04A0"/>
        </w:tblPrEx>
        <w:trPr>
          <w:trHeight w:val="255"/>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CF0B79" w:rsidRPr="00193117" w:rsidP="00F576BD">
            <w:pPr>
              <w:bidi w:val="0"/>
              <w:rPr>
                <w:rFonts w:ascii="Times New Roman" w:hAnsi="Times New Roman"/>
                <w:sz w:val="14"/>
                <w:szCs w:val="14"/>
                <w:lang w:eastAsia="sk-SK"/>
              </w:rPr>
            </w:pPr>
            <w:r w:rsidRPr="00193117">
              <w:rPr>
                <w:rFonts w:ascii="Times New Roman" w:hAnsi="Times New Roman"/>
                <w:sz w:val="14"/>
                <w:szCs w:val="14"/>
                <w:lang w:eastAsia="sk-SK"/>
              </w:rPr>
              <w:t>Výdavky na zastupovanie pri medzinárodných arbitrážach</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10 000 000</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10 000 000</w:t>
            </w:r>
          </w:p>
        </w:tc>
        <w:tc>
          <w:tcPr>
            <w:tcW w:w="992" w:type="dxa"/>
            <w:tcBorders>
              <w:top w:val="single" w:sz="4" w:space="0" w:color="auto"/>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10 000 000</w:t>
            </w:r>
          </w:p>
        </w:tc>
        <w:tc>
          <w:tcPr>
            <w:tcW w:w="993" w:type="dxa"/>
            <w:tcBorders>
              <w:top w:val="single" w:sz="4" w:space="0" w:color="auto"/>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10 000 000</w:t>
            </w:r>
          </w:p>
        </w:tc>
      </w:tr>
      <w:tr>
        <w:tblPrEx>
          <w:tblW w:w="9087" w:type="dxa"/>
          <w:tblInd w:w="55" w:type="dxa"/>
          <w:tblLayout w:type="fixed"/>
          <w:tblCellMar>
            <w:left w:w="70" w:type="dxa"/>
            <w:right w:w="70" w:type="dxa"/>
          </w:tblCellMar>
          <w:tblLook w:val="04A0"/>
        </w:tblPrEx>
        <w:trPr>
          <w:trHeight w:val="255"/>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CF0B79" w:rsidRPr="00193117" w:rsidP="00F576BD">
            <w:pPr>
              <w:bidi w:val="0"/>
              <w:rPr>
                <w:rFonts w:ascii="Times New Roman" w:hAnsi="Times New Roman"/>
                <w:sz w:val="14"/>
                <w:szCs w:val="14"/>
                <w:lang w:eastAsia="sk-SK"/>
              </w:rPr>
            </w:pPr>
            <w:r w:rsidRPr="00193117">
              <w:rPr>
                <w:rFonts w:ascii="Times New Roman" w:hAnsi="Times New Roman"/>
                <w:sz w:val="14"/>
                <w:szCs w:val="14"/>
                <w:lang w:eastAsia="sk-SK"/>
              </w:rPr>
              <w:t>Výdavky na plnenie multilicenčnej zmluvy s Microsoft</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12 600 000</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16 000 000</w:t>
            </w:r>
          </w:p>
        </w:tc>
        <w:tc>
          <w:tcPr>
            <w:tcW w:w="992" w:type="dxa"/>
            <w:tcBorders>
              <w:top w:val="single" w:sz="4" w:space="0" w:color="auto"/>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16 000 000</w:t>
            </w:r>
          </w:p>
        </w:tc>
        <w:tc>
          <w:tcPr>
            <w:tcW w:w="993" w:type="dxa"/>
            <w:tcBorders>
              <w:top w:val="single" w:sz="4" w:space="0" w:color="auto"/>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16 000 000</w:t>
            </w:r>
          </w:p>
        </w:tc>
      </w:tr>
      <w:tr>
        <w:tblPrEx>
          <w:tblW w:w="9087" w:type="dxa"/>
          <w:tblInd w:w="55" w:type="dxa"/>
          <w:tblLayout w:type="fixed"/>
          <w:tblCellMar>
            <w:left w:w="70" w:type="dxa"/>
            <w:right w:w="70" w:type="dxa"/>
          </w:tblCellMar>
          <w:tblLook w:val="04A0"/>
        </w:tblPrEx>
        <w:trPr>
          <w:trHeight w:val="255"/>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CF0B79" w:rsidRPr="00193117" w:rsidP="00F576BD">
            <w:pPr>
              <w:bidi w:val="0"/>
              <w:rPr>
                <w:rFonts w:ascii="Times New Roman" w:hAnsi="Times New Roman"/>
                <w:sz w:val="14"/>
                <w:szCs w:val="14"/>
                <w:lang w:eastAsia="sk-SK"/>
              </w:rPr>
            </w:pPr>
            <w:r w:rsidRPr="00193117">
              <w:rPr>
                <w:rFonts w:ascii="Times New Roman" w:hAnsi="Times New Roman"/>
                <w:sz w:val="14"/>
                <w:szCs w:val="14"/>
                <w:lang w:eastAsia="sk-SK"/>
              </w:rPr>
              <w:t>Výdavky na audit verejnej správy</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5 000 000</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4 000 000</w:t>
            </w:r>
          </w:p>
        </w:tc>
        <w:tc>
          <w:tcPr>
            <w:tcW w:w="992" w:type="dxa"/>
            <w:tcBorders>
              <w:top w:val="single" w:sz="4" w:space="0" w:color="auto"/>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1 500 000</w:t>
            </w:r>
          </w:p>
        </w:tc>
        <w:tc>
          <w:tcPr>
            <w:tcW w:w="993" w:type="dxa"/>
            <w:tcBorders>
              <w:top w:val="single" w:sz="4" w:space="0" w:color="auto"/>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textDirection w:val="lrTb"/>
            <w:vAlign w:val="center"/>
          </w:tcPr>
          <w:p w:rsidR="00CF0B79" w:rsidRPr="00193117" w:rsidP="00F576BD">
            <w:pPr>
              <w:bidi w:val="0"/>
              <w:rPr>
                <w:rFonts w:ascii="Times New Roman" w:hAnsi="Times New Roman"/>
                <w:sz w:val="14"/>
                <w:szCs w:val="14"/>
                <w:lang w:eastAsia="sk-SK"/>
              </w:rPr>
            </w:pPr>
            <w:r w:rsidRPr="00193117">
              <w:rPr>
                <w:rFonts w:ascii="Times New Roman" w:hAnsi="Times New Roman"/>
                <w:sz w:val="14"/>
                <w:szCs w:val="14"/>
                <w:lang w:eastAsia="sk-SK"/>
              </w:rPr>
              <w:t>Výdavky na garančné poistenie</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nil"/>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48 099 000</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50 976 000</w:t>
            </w:r>
          </w:p>
        </w:tc>
        <w:tc>
          <w:tcPr>
            <w:tcW w:w="993"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54 341 000</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textDirection w:val="lrTb"/>
            <w:vAlign w:val="center"/>
          </w:tcPr>
          <w:p w:rsidR="00CF0B79" w:rsidRPr="00193117" w:rsidP="00F576BD">
            <w:pPr>
              <w:bidi w:val="0"/>
              <w:rPr>
                <w:rFonts w:ascii="Times New Roman" w:hAnsi="Times New Roman"/>
                <w:sz w:val="14"/>
                <w:szCs w:val="14"/>
                <w:lang w:eastAsia="sk-SK"/>
              </w:rPr>
            </w:pPr>
            <w:r w:rsidRPr="00193117">
              <w:rPr>
                <w:rFonts w:ascii="Times New Roman" w:hAnsi="Times New Roman"/>
                <w:sz w:val="14"/>
                <w:szCs w:val="14"/>
                <w:lang w:eastAsia="sk-SK"/>
              </w:rPr>
              <w:t>Výdavky na sanačné a základné rekonštrukčné práce - Rusovce</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nil"/>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3 000 000</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3 000 000</w:t>
            </w:r>
          </w:p>
        </w:tc>
        <w:tc>
          <w:tcPr>
            <w:tcW w:w="993"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3 000 000</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textDirection w:val="lrTb"/>
            <w:vAlign w:val="center"/>
          </w:tcPr>
          <w:p w:rsidR="00CF0B79" w:rsidRPr="00193117" w:rsidP="00F576BD">
            <w:pPr>
              <w:bidi w:val="0"/>
              <w:rPr>
                <w:rFonts w:ascii="Times New Roman" w:hAnsi="Times New Roman"/>
                <w:sz w:val="14"/>
                <w:szCs w:val="14"/>
                <w:lang w:eastAsia="sk-SK"/>
              </w:rPr>
            </w:pPr>
            <w:r w:rsidRPr="00193117">
              <w:rPr>
                <w:rFonts w:ascii="Times New Roman" w:hAnsi="Times New Roman"/>
                <w:sz w:val="14"/>
                <w:szCs w:val="14"/>
                <w:lang w:eastAsia="sk-SK"/>
              </w:rPr>
              <w:t>Výdavky na projekt Minerva 2.0</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nil"/>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10 000 000</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3"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textDirection w:val="lrTb"/>
            <w:vAlign w:val="center"/>
          </w:tcPr>
          <w:p w:rsidR="00CF0B79" w:rsidRPr="00193117" w:rsidP="00F576BD">
            <w:pPr>
              <w:bidi w:val="0"/>
              <w:rPr>
                <w:rFonts w:ascii="Times New Roman" w:hAnsi="Times New Roman"/>
                <w:sz w:val="14"/>
                <w:szCs w:val="14"/>
                <w:lang w:eastAsia="sk-SK"/>
              </w:rPr>
            </w:pPr>
            <w:r w:rsidRPr="00193117">
              <w:rPr>
                <w:rFonts w:ascii="Times New Roman" w:hAnsi="Times New Roman"/>
                <w:sz w:val="14"/>
                <w:szCs w:val="14"/>
                <w:lang w:eastAsia="sk-SK"/>
              </w:rPr>
              <w:t>Rada pre vysielanie a retransmisiu</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1 193 981</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1 193 006</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1 157 367</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1 157 367</w:t>
            </w:r>
          </w:p>
        </w:tc>
        <w:tc>
          <w:tcPr>
            <w:tcW w:w="992" w:type="dxa"/>
            <w:tcBorders>
              <w:top w:val="nil"/>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1 202 314</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 xml:space="preserve"> 1 214 530</w:t>
            </w:r>
          </w:p>
        </w:tc>
        <w:tc>
          <w:tcPr>
            <w:tcW w:w="993"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1 241 690</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textDirection w:val="lrTb"/>
            <w:vAlign w:val="center"/>
          </w:tcPr>
          <w:p w:rsidR="00CF0B79" w:rsidRPr="00193117" w:rsidP="00F576BD">
            <w:pPr>
              <w:bidi w:val="0"/>
              <w:rPr>
                <w:rFonts w:ascii="Times New Roman" w:hAnsi="Times New Roman"/>
                <w:sz w:val="14"/>
                <w:szCs w:val="14"/>
                <w:lang w:eastAsia="sk-SK"/>
              </w:rPr>
            </w:pPr>
            <w:r w:rsidRPr="00193117">
              <w:rPr>
                <w:rFonts w:ascii="Times New Roman" w:hAnsi="Times New Roman"/>
                <w:sz w:val="14"/>
                <w:szCs w:val="14"/>
                <w:lang w:eastAsia="sk-SK"/>
              </w:rPr>
              <w:t>Kancelária verejného ochrancu práv</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1 328 577</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1 248 871</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1 165 236</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1 165 236</w:t>
            </w:r>
          </w:p>
        </w:tc>
        <w:tc>
          <w:tcPr>
            <w:tcW w:w="992" w:type="dxa"/>
            <w:tcBorders>
              <w:top w:val="nil"/>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1 166 276</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1 169 918</w:t>
            </w:r>
          </w:p>
        </w:tc>
        <w:tc>
          <w:tcPr>
            <w:tcW w:w="993"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1 172 963</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textDirection w:val="lrTb"/>
            <w:vAlign w:val="center"/>
          </w:tcPr>
          <w:p w:rsidR="00CF0B79" w:rsidRPr="00193117" w:rsidP="00F576BD">
            <w:pPr>
              <w:bidi w:val="0"/>
              <w:rPr>
                <w:rFonts w:ascii="Times New Roman" w:hAnsi="Times New Roman"/>
                <w:sz w:val="14"/>
                <w:szCs w:val="14"/>
                <w:lang w:eastAsia="sk-SK"/>
              </w:rPr>
            </w:pPr>
            <w:r w:rsidRPr="00193117">
              <w:rPr>
                <w:rFonts w:ascii="Times New Roman" w:hAnsi="Times New Roman"/>
                <w:sz w:val="14"/>
                <w:szCs w:val="14"/>
                <w:lang w:eastAsia="sk-SK"/>
              </w:rPr>
              <w:t>Úrad na ochranu osobných údajov</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863 919</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775 158</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684 349</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684 349</w:t>
            </w:r>
          </w:p>
        </w:tc>
        <w:tc>
          <w:tcPr>
            <w:tcW w:w="992" w:type="dxa"/>
            <w:tcBorders>
              <w:top w:val="nil"/>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684 919</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684 919</w:t>
            </w:r>
          </w:p>
        </w:tc>
        <w:tc>
          <w:tcPr>
            <w:tcW w:w="993"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684 919</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textDirection w:val="lrTb"/>
            <w:vAlign w:val="center"/>
          </w:tcPr>
          <w:p w:rsidR="00CF0B79" w:rsidRPr="00193117" w:rsidP="00F576BD">
            <w:pPr>
              <w:bidi w:val="0"/>
              <w:rPr>
                <w:rFonts w:ascii="Times New Roman" w:hAnsi="Times New Roman"/>
                <w:sz w:val="14"/>
                <w:szCs w:val="14"/>
                <w:lang w:eastAsia="sk-SK"/>
              </w:rPr>
            </w:pPr>
            <w:r w:rsidRPr="00193117">
              <w:rPr>
                <w:rFonts w:ascii="Times New Roman" w:hAnsi="Times New Roman"/>
                <w:sz w:val="14"/>
                <w:szCs w:val="14"/>
                <w:lang w:eastAsia="sk-SK"/>
              </w:rPr>
              <w:t xml:space="preserve">Transfer Ústavu pamäti národa </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1 616 146</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1 610 826</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1 463 570</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1 463 570</w:t>
            </w:r>
          </w:p>
        </w:tc>
        <w:tc>
          <w:tcPr>
            <w:tcW w:w="992" w:type="dxa"/>
            <w:tcBorders>
              <w:top w:val="nil"/>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1 463 570</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1 463 730</w:t>
            </w:r>
          </w:p>
        </w:tc>
        <w:tc>
          <w:tcPr>
            <w:tcW w:w="993"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1 463 730</w:t>
            </w:r>
          </w:p>
        </w:tc>
      </w:tr>
      <w:tr>
        <w:tblPrEx>
          <w:tblW w:w="9087" w:type="dxa"/>
          <w:tblInd w:w="55" w:type="dxa"/>
          <w:tblLayout w:type="fixed"/>
          <w:tblCellMar>
            <w:left w:w="70" w:type="dxa"/>
            <w:right w:w="70" w:type="dxa"/>
          </w:tblCellMar>
          <w:tblLook w:val="04A0"/>
        </w:tblPrEx>
        <w:trPr>
          <w:trHeight w:val="390"/>
        </w:trPr>
        <w:tc>
          <w:tcPr>
            <w:tcW w:w="2142" w:type="dxa"/>
            <w:tcBorders>
              <w:top w:val="nil"/>
              <w:left w:val="single" w:sz="4" w:space="0" w:color="auto"/>
              <w:bottom w:val="single" w:sz="4" w:space="0" w:color="auto"/>
              <w:right w:val="single" w:sz="4" w:space="0" w:color="auto"/>
            </w:tcBorders>
            <w:textDirection w:val="lrTb"/>
            <w:vAlign w:val="center"/>
          </w:tcPr>
          <w:p w:rsidR="00CF0B79" w:rsidRPr="00193117" w:rsidP="00F576BD">
            <w:pPr>
              <w:bidi w:val="0"/>
              <w:rPr>
                <w:rFonts w:ascii="Times New Roman" w:hAnsi="Times New Roman"/>
                <w:sz w:val="14"/>
                <w:szCs w:val="14"/>
                <w:lang w:eastAsia="sk-SK"/>
              </w:rPr>
            </w:pPr>
            <w:r w:rsidRPr="00193117">
              <w:rPr>
                <w:rFonts w:ascii="Times New Roman" w:hAnsi="Times New Roman"/>
                <w:sz w:val="14"/>
                <w:szCs w:val="14"/>
                <w:lang w:eastAsia="sk-SK"/>
              </w:rPr>
              <w:t>Transfer Slovenskému národnému stredisku pre ľudské práva</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643 398</w:t>
            </w:r>
          </w:p>
        </w:tc>
        <w:tc>
          <w:tcPr>
            <w:tcW w:w="992" w:type="dxa"/>
            <w:tcBorders>
              <w:top w:val="nil"/>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643 081</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528 464</w:t>
            </w:r>
          </w:p>
        </w:tc>
        <w:tc>
          <w:tcPr>
            <w:tcW w:w="992" w:type="dxa"/>
            <w:tcBorders>
              <w:top w:val="single" w:sz="4" w:space="0" w:color="auto"/>
              <w:left w:val="nil"/>
              <w:bottom w:val="single" w:sz="4" w:space="0" w:color="auto"/>
              <w:right w:val="single" w:sz="4" w:space="0" w:color="auto"/>
            </w:tcBorders>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528 464</w:t>
            </w:r>
          </w:p>
        </w:tc>
        <w:tc>
          <w:tcPr>
            <w:tcW w:w="992" w:type="dxa"/>
            <w:tcBorders>
              <w:top w:val="nil"/>
              <w:left w:val="single" w:sz="4" w:space="0" w:color="auto"/>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528 464</w:t>
            </w:r>
          </w:p>
        </w:tc>
        <w:tc>
          <w:tcPr>
            <w:tcW w:w="992"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528 501</w:t>
            </w:r>
          </w:p>
        </w:tc>
        <w:tc>
          <w:tcPr>
            <w:tcW w:w="993" w:type="dxa"/>
            <w:tcBorders>
              <w:top w:val="nil"/>
              <w:left w:val="nil"/>
              <w:bottom w:val="single" w:sz="4" w:space="0" w:color="auto"/>
              <w:right w:val="single" w:sz="4" w:space="0" w:color="auto"/>
            </w:tcBorders>
            <w:noWrap/>
            <w:textDirection w:val="lrTb"/>
            <w:vAlign w:val="bottom"/>
          </w:tcPr>
          <w:p w:rsidR="00CF0B79" w:rsidRPr="00193117" w:rsidP="00F576BD">
            <w:pPr>
              <w:bidi w:val="0"/>
              <w:jc w:val="right"/>
              <w:rPr>
                <w:rFonts w:ascii="Times New Roman" w:hAnsi="Times New Roman"/>
                <w:sz w:val="14"/>
                <w:szCs w:val="14"/>
                <w:lang w:eastAsia="sk-SK"/>
              </w:rPr>
            </w:pPr>
            <w:r w:rsidRPr="00193117">
              <w:rPr>
                <w:rFonts w:ascii="Times New Roman" w:hAnsi="Times New Roman"/>
                <w:sz w:val="14"/>
                <w:szCs w:val="14"/>
                <w:lang w:eastAsia="sk-SK"/>
              </w:rPr>
              <w:t>528 501</w:t>
            </w:r>
          </w:p>
        </w:tc>
      </w:tr>
    </w:tbl>
    <w:p w:rsidR="00CF0B79" w:rsidRPr="00193117" w:rsidP="00CF0B79">
      <w:pPr>
        <w:bidi w:val="0"/>
        <w:jc w:val="both"/>
        <w:rPr>
          <w:rFonts w:ascii="Times New Roman" w:hAnsi="Times New Roman"/>
          <w:sz w:val="14"/>
          <w:szCs w:val="14"/>
        </w:rPr>
      </w:pPr>
      <w:r w:rsidRPr="00193117">
        <w:rPr>
          <w:rFonts w:ascii="Times New Roman" w:hAnsi="Times New Roman"/>
          <w:sz w:val="14"/>
          <w:szCs w:val="14"/>
        </w:rPr>
        <w:t xml:space="preserve">*Do skutočnosti za roky 2009 a 2010 a očakávanej skutočnosti na rok 2011 sú dopočítané výdavky, ktoré nie sú rozpočtované v roku 2011 a v návrhu rozpočtu kapitoly na roky 2012 až 2014. </w:t>
      </w:r>
    </w:p>
    <w:p w:rsidR="001768B3" w:rsidP="00CF0B79">
      <w:pPr>
        <w:bidi w:val="0"/>
        <w:ind w:firstLine="708"/>
        <w:jc w:val="both"/>
        <w:rPr>
          <w:rFonts w:ascii="Times New Roman" w:hAnsi="Times New Roman"/>
          <w:lang w:eastAsia="sk-SK"/>
        </w:rPr>
      </w:pPr>
    </w:p>
    <w:p w:rsidR="00CF0B79" w:rsidRPr="00193117" w:rsidP="00CF0B79">
      <w:pPr>
        <w:bidi w:val="0"/>
        <w:ind w:firstLine="708"/>
        <w:jc w:val="both"/>
        <w:rPr>
          <w:rFonts w:ascii="Times New Roman" w:hAnsi="Times New Roman"/>
          <w:lang w:eastAsia="sk-SK"/>
        </w:rPr>
      </w:pPr>
      <w:r w:rsidRPr="00193117">
        <w:rPr>
          <w:rFonts w:ascii="Times New Roman" w:hAnsi="Times New Roman"/>
          <w:lang w:eastAsia="sk-SK"/>
        </w:rPr>
        <w:t xml:space="preserve">Pokles rozpočtu výdavkov v prípade štátneho príspevku na pôžičky mladým manželom a štátneho príspevku pre mladomanželov na mladomanželské úvery v porovnaní so schváleným rozpočtom na rok 2011 o 9,29 mil. eur súvisí s nízkym záujmom o tento  produkt. </w:t>
      </w:r>
    </w:p>
    <w:p w:rsidR="00CF0B79" w:rsidRPr="00193117" w:rsidP="00CF0B79">
      <w:pPr>
        <w:bidi w:val="0"/>
        <w:ind w:firstLine="708"/>
        <w:jc w:val="both"/>
        <w:rPr>
          <w:rFonts w:ascii="Times New Roman" w:hAnsi="Times New Roman"/>
          <w:lang w:eastAsia="sk-SK"/>
        </w:rPr>
      </w:pPr>
    </w:p>
    <w:p w:rsidR="00CF0B79" w:rsidRPr="00193117" w:rsidP="00CF0B79">
      <w:pPr>
        <w:bidi w:val="0"/>
        <w:ind w:firstLine="708"/>
        <w:jc w:val="both"/>
        <w:rPr>
          <w:rFonts w:ascii="Times New Roman" w:hAnsi="Times New Roman"/>
          <w:lang w:eastAsia="sk-SK"/>
        </w:rPr>
      </w:pPr>
      <w:r w:rsidRPr="00193117">
        <w:rPr>
          <w:rFonts w:ascii="Times New Roman" w:hAnsi="Times New Roman"/>
          <w:lang w:eastAsia="sk-SK"/>
        </w:rPr>
        <w:t>Na doplatenie štátom plateného poistného na zdravotné poistenie za zákonom určené skupiny osôb za rok 201</w:t>
      </w:r>
      <w:r>
        <w:rPr>
          <w:rFonts w:ascii="Times New Roman" w:hAnsi="Times New Roman"/>
          <w:lang w:eastAsia="sk-SK"/>
        </w:rPr>
        <w:t>2</w:t>
      </w:r>
      <w:r w:rsidRPr="00193117">
        <w:rPr>
          <w:rFonts w:ascii="Times New Roman" w:hAnsi="Times New Roman"/>
          <w:lang w:eastAsia="sk-SK"/>
        </w:rPr>
        <w:t xml:space="preserve">  sa rozpočtuje 75 mil. eur, čo je o 65 mil. eur viac ako v schválenom rozpočte  na rok 2011.</w:t>
      </w:r>
    </w:p>
    <w:p w:rsidR="00CF0B79" w:rsidRPr="00193117" w:rsidP="00CF0B79">
      <w:pPr>
        <w:bidi w:val="0"/>
        <w:ind w:firstLine="708"/>
        <w:jc w:val="both"/>
        <w:rPr>
          <w:rFonts w:ascii="Times New Roman" w:hAnsi="Times New Roman"/>
          <w:lang w:eastAsia="sk-SK"/>
        </w:rPr>
      </w:pPr>
      <w:r w:rsidRPr="00193117">
        <w:rPr>
          <w:rFonts w:ascii="Times New Roman" w:hAnsi="Times New Roman"/>
          <w:lang w:eastAsia="sk-SK"/>
        </w:rPr>
        <w:t xml:space="preserve">Na plnenie multilicenčnej zmluvy s Microsoft sa rozpočtujú výdavky na roky 2012 až 2014 vo výške 16 mil. eur. V rokoch 2009 a 2010 boli tieto výdavky uhrádzané z kapitoly MF SR. V roku 2011 sú výdavky rozpočtované v kapitole Všeobecná pokladničná správa. V prípade plnenia zmluvy bude na tento účel rozpočtovým opatrením zvýšený limit výdavkov kapitoly MF SR. </w:t>
      </w:r>
    </w:p>
    <w:p w:rsidR="00CF0B79" w:rsidRPr="00193117" w:rsidP="00CF0B79">
      <w:pPr>
        <w:bidi w:val="0"/>
        <w:ind w:firstLine="708"/>
        <w:jc w:val="both"/>
        <w:rPr>
          <w:rFonts w:ascii="Times New Roman" w:hAnsi="Times New Roman"/>
          <w:lang w:eastAsia="sk-SK"/>
        </w:rPr>
      </w:pPr>
    </w:p>
    <w:p w:rsidR="00CF0B79" w:rsidRPr="00193117" w:rsidP="00CF0B79">
      <w:pPr>
        <w:bidi w:val="0"/>
        <w:ind w:firstLine="708"/>
        <w:jc w:val="both"/>
        <w:rPr>
          <w:rFonts w:ascii="Times New Roman" w:hAnsi="Times New Roman"/>
        </w:rPr>
      </w:pPr>
      <w:r w:rsidRPr="00193117">
        <w:rPr>
          <w:rFonts w:ascii="Times New Roman" w:hAnsi="Times New Roman"/>
        </w:rPr>
        <w:t>Na poskytovanie garančnej dávky ako štátnej sociálnej dávky a úhradu neodvedených príspevkov zamestnávateľom na starobné dôchodkové sporenie zo štátneho rozpočtu sa rozpočtujú finančné prostriedky v sume 48,1 mil. eur v roku 2012, 51,0 mil. eur v roku 2013 a 54,3 mil. eur v roku 2014. Garančná dávka aj príspevky na starobné dôchodkové sporenie boli do roku 2011 hradené prostredníctvom Sociálnej poisťovne.</w:t>
      </w:r>
    </w:p>
    <w:p w:rsidR="00CF0B79" w:rsidRPr="00CF0B79" w:rsidP="00CF0B79">
      <w:pPr>
        <w:bidi w:val="0"/>
        <w:jc w:val="both"/>
        <w:rPr>
          <w:rFonts w:ascii="Times New Roman" w:hAnsi="Times New Roman"/>
        </w:rPr>
      </w:pPr>
    </w:p>
    <w:p w:rsidR="00CF0B79" w:rsidRPr="00193117" w:rsidP="00CF0B79">
      <w:pPr>
        <w:bidi w:val="0"/>
        <w:jc w:val="both"/>
        <w:rPr>
          <w:rFonts w:ascii="Times New Roman" w:hAnsi="Times New Roman"/>
          <w:i/>
          <w:u w:val="single"/>
        </w:rPr>
      </w:pPr>
      <w:r w:rsidRPr="00193117">
        <w:rPr>
          <w:rFonts w:ascii="Times New Roman" w:hAnsi="Times New Roman"/>
          <w:i/>
          <w:u w:val="single"/>
        </w:rPr>
        <w:t>Rada pre vysielanie a retransmisiu</w:t>
      </w:r>
    </w:p>
    <w:p w:rsidR="00CF0B79" w:rsidRPr="00193117" w:rsidP="00CF0B79">
      <w:pPr>
        <w:bidi w:val="0"/>
        <w:jc w:val="both"/>
        <w:rPr>
          <w:rFonts w:ascii="Times New Roman" w:hAnsi="Times New Roman"/>
        </w:rPr>
      </w:pPr>
    </w:p>
    <w:p w:rsidR="00CF0B79" w:rsidRPr="00193117" w:rsidP="00CF0B79">
      <w:pPr>
        <w:bidi w:val="0"/>
        <w:ind w:firstLine="708"/>
        <w:jc w:val="both"/>
        <w:rPr>
          <w:rFonts w:ascii="Times New Roman" w:hAnsi="Times New Roman"/>
        </w:rPr>
      </w:pPr>
      <w:r w:rsidRPr="00193117">
        <w:rPr>
          <w:rFonts w:ascii="Times New Roman" w:hAnsi="Times New Roman"/>
        </w:rPr>
        <w:t>Celkové výdavky RVR na rok 2012 sú rozpočtované v sume 1,2 mil. eur, čo v porovnaní so schváleným rozpočtom na rok 2011 predstavuje nárast o  45,0  tis. eur.</w:t>
      </w:r>
    </w:p>
    <w:p w:rsidR="00CF0B79" w:rsidRPr="00193117" w:rsidP="00CF0B79">
      <w:pPr>
        <w:bidi w:val="0"/>
        <w:ind w:firstLine="708"/>
        <w:jc w:val="both"/>
        <w:rPr>
          <w:rFonts w:ascii="Times New Roman" w:hAnsi="Times New Roman"/>
        </w:rPr>
      </w:pPr>
    </w:p>
    <w:p w:rsidR="00CF0B79" w:rsidRPr="00193117" w:rsidP="00CF0B79">
      <w:pPr>
        <w:bidi w:val="0"/>
        <w:jc w:val="both"/>
        <w:rPr>
          <w:rFonts w:ascii="Times New Roman" w:hAnsi="Times New Roman"/>
        </w:rPr>
      </w:pPr>
      <w:r w:rsidRPr="00193117">
        <w:rPr>
          <w:rFonts w:ascii="Times New Roman" w:hAnsi="Times New Roman"/>
        </w:rPr>
        <w:t xml:space="preserve">Objem osobných výdavkov sa navrhuje v sume 634 tis. eur, v porovnaní so schváleným rozpočtom na rok 2011 rastú o 2,31 %. Mzdové výdavky zostávajú na úrovni schváleného rozpočtu  na rok 2011, rast výdavkov v kategórii odvody o 8,07 % je v dôsledku zvýšených výdavkov na odmeny členom rady, ktoré sa rozpočtujú v rámci výdavkov na tovary a služby. Z uvedeného  dôvodu  aj kategória tovarov a služieb medziročne rastie o 6,9 %. Výška odmien členov rady je naviazaná na plat poslanca Národnej rady SR. V porovnaní s rokom  2011 predstavuje nárast platu poslanca NR SR 15,7 %. </w:t>
      </w:r>
    </w:p>
    <w:p w:rsidR="00CF0B79" w:rsidRPr="00193117" w:rsidP="00CF0B79">
      <w:pPr>
        <w:bidi w:val="0"/>
        <w:jc w:val="both"/>
        <w:rPr>
          <w:rFonts w:ascii="Times New Roman" w:hAnsi="Times New Roman"/>
        </w:rPr>
      </w:pPr>
    </w:p>
    <w:p w:rsidR="00CF0B79" w:rsidRPr="00193117" w:rsidP="00CF0B79">
      <w:pPr>
        <w:bidi w:val="0"/>
        <w:ind w:firstLine="708"/>
        <w:jc w:val="both"/>
        <w:rPr>
          <w:rFonts w:ascii="Times New Roman" w:hAnsi="Times New Roman"/>
        </w:rPr>
      </w:pPr>
      <w:r w:rsidRPr="00193117">
        <w:rPr>
          <w:rFonts w:ascii="Times New Roman" w:hAnsi="Times New Roman"/>
        </w:rPr>
        <w:t xml:space="preserve">V porovnaní so schváleným rozpočtom na rok 2011 bežné transfery výrazne klesajú o 80,2 %, t. j. o 10,6 tis. eur v dôsledku vyššieho rozpisu ostatných kategórií, najmä kapitálových výdavkov, ktoré medziročne  rastú o 91,7 %, t. j. o 5,5 tis. eur. </w:t>
      </w:r>
    </w:p>
    <w:p w:rsidR="00CF0B79" w:rsidP="00CF0B79">
      <w:pPr>
        <w:bidi w:val="0"/>
        <w:jc w:val="both"/>
        <w:rPr>
          <w:rFonts w:ascii="Times New Roman" w:hAnsi="Times New Roman"/>
          <w:i/>
          <w:u w:val="single"/>
        </w:rPr>
      </w:pPr>
    </w:p>
    <w:p w:rsidR="00CF0B79" w:rsidRPr="00193117" w:rsidP="00CF0B79">
      <w:pPr>
        <w:bidi w:val="0"/>
        <w:jc w:val="both"/>
        <w:rPr>
          <w:rFonts w:ascii="Times New Roman" w:hAnsi="Times New Roman"/>
          <w:i/>
          <w:u w:val="single"/>
        </w:rPr>
      </w:pPr>
      <w:r w:rsidRPr="00193117">
        <w:rPr>
          <w:rFonts w:ascii="Times New Roman" w:hAnsi="Times New Roman"/>
          <w:i/>
          <w:u w:val="single"/>
        </w:rPr>
        <w:t>Kancelária verejného ochrancu práv</w:t>
      </w:r>
    </w:p>
    <w:p w:rsidR="00CF0B79" w:rsidRPr="00193117" w:rsidP="00CF0B79">
      <w:pPr>
        <w:bidi w:val="0"/>
        <w:jc w:val="both"/>
        <w:rPr>
          <w:rFonts w:ascii="Times New Roman" w:hAnsi="Times New Roman"/>
          <w:i/>
          <w:u w:val="single"/>
        </w:rPr>
      </w:pPr>
    </w:p>
    <w:p w:rsidR="00CF0B79" w:rsidRPr="00193117" w:rsidP="00CF0B79">
      <w:pPr>
        <w:bidi w:val="0"/>
        <w:ind w:firstLine="708"/>
        <w:jc w:val="both"/>
        <w:rPr>
          <w:rFonts w:ascii="Times New Roman" w:hAnsi="Times New Roman"/>
        </w:rPr>
      </w:pPr>
      <w:r w:rsidRPr="00193117">
        <w:rPr>
          <w:rFonts w:ascii="Times New Roman" w:hAnsi="Times New Roman"/>
        </w:rPr>
        <w:t xml:space="preserve">Na rok 2012 sa pre organizáciu navrhuje limit výdavkov vo výške 1,16 mil. eur, na rovnakej úrovni ako je schválený rozpočet na rok 2011. </w:t>
      </w:r>
    </w:p>
    <w:p w:rsidR="00CF0B79" w:rsidRPr="00193117" w:rsidP="00CF0B79">
      <w:pPr>
        <w:bidi w:val="0"/>
        <w:jc w:val="both"/>
        <w:rPr>
          <w:rFonts w:ascii="Times New Roman" w:hAnsi="Times New Roman"/>
        </w:rPr>
      </w:pPr>
    </w:p>
    <w:p w:rsidR="00CF0B79" w:rsidRPr="00193117" w:rsidP="00CF0B79">
      <w:pPr>
        <w:bidi w:val="0"/>
        <w:ind w:firstLine="708"/>
        <w:jc w:val="both"/>
        <w:rPr>
          <w:rFonts w:ascii="Times New Roman" w:hAnsi="Times New Roman"/>
        </w:rPr>
      </w:pPr>
      <w:r w:rsidRPr="00193117">
        <w:rPr>
          <w:rFonts w:ascii="Times New Roman" w:hAnsi="Times New Roman"/>
        </w:rPr>
        <w:t xml:space="preserve">Objem osobných výdavkov sa na rok 2012 rozpočtuje takmer na úrovni predchádzajúceho roka, na tovary a služby sa rozpočtuje suma 364 tis. eur a bežné transfery sa rozpisujú v sume 3 520 eur. </w:t>
      </w:r>
    </w:p>
    <w:p w:rsidR="00CF0B79" w:rsidRPr="00193117" w:rsidP="00CF0B79">
      <w:pPr>
        <w:bidi w:val="0"/>
        <w:ind w:firstLine="708"/>
        <w:jc w:val="both"/>
        <w:rPr>
          <w:rFonts w:ascii="Times New Roman" w:hAnsi="Times New Roman"/>
        </w:rPr>
      </w:pPr>
    </w:p>
    <w:p w:rsidR="00CF0B79" w:rsidRPr="00193117" w:rsidP="00CF0B79">
      <w:pPr>
        <w:bidi w:val="0"/>
        <w:ind w:firstLine="708"/>
        <w:jc w:val="both"/>
        <w:rPr>
          <w:rFonts w:ascii="Times New Roman" w:hAnsi="Times New Roman"/>
        </w:rPr>
      </w:pPr>
      <w:r w:rsidRPr="00193117">
        <w:rPr>
          <w:rFonts w:ascii="Times New Roman" w:hAnsi="Times New Roman"/>
        </w:rPr>
        <w:t>Kapitálové výdavky sú na rok 2012 navrhované v sume 4 800 eur</w:t>
      </w:r>
      <w:r w:rsidRPr="00193117">
        <w:rPr>
          <w:rFonts w:ascii="Times New Roman" w:hAnsi="Times New Roman"/>
          <w:b/>
        </w:rPr>
        <w:t xml:space="preserve">. </w:t>
      </w:r>
      <w:r w:rsidRPr="00193117">
        <w:rPr>
          <w:rFonts w:ascii="Times New Roman" w:hAnsi="Times New Roman"/>
        </w:rPr>
        <w:t>Kancelária verejného ochrancu práv plánuje vynaložiť prostriedky na nákup výpočtovej techniky.</w:t>
      </w:r>
    </w:p>
    <w:p w:rsidR="000F7251" w:rsidP="00CF0B79">
      <w:pPr>
        <w:bidi w:val="0"/>
        <w:rPr>
          <w:rFonts w:ascii="Times New Roman" w:hAnsi="Times New Roman"/>
          <w:i/>
          <w:u w:val="single"/>
        </w:rPr>
      </w:pPr>
    </w:p>
    <w:p w:rsidR="00CF0B79" w:rsidRPr="00193117" w:rsidP="00CF0B79">
      <w:pPr>
        <w:bidi w:val="0"/>
        <w:rPr>
          <w:rFonts w:ascii="Times New Roman" w:hAnsi="Times New Roman"/>
          <w:i/>
          <w:u w:val="single"/>
        </w:rPr>
      </w:pPr>
      <w:r w:rsidRPr="00193117">
        <w:rPr>
          <w:rFonts w:ascii="Times New Roman" w:hAnsi="Times New Roman"/>
          <w:i/>
          <w:u w:val="single"/>
        </w:rPr>
        <w:t>Úrad na ochranu osobných údajov</w:t>
      </w:r>
    </w:p>
    <w:p w:rsidR="00CF0B79" w:rsidRPr="00193117" w:rsidP="00CF0B79">
      <w:pPr>
        <w:bidi w:val="0"/>
        <w:rPr>
          <w:rFonts w:ascii="Times New Roman" w:hAnsi="Times New Roman"/>
          <w:i/>
          <w:u w:val="single"/>
        </w:rPr>
      </w:pPr>
    </w:p>
    <w:p w:rsidR="00CF0B79" w:rsidRPr="00193117" w:rsidP="00CF0B79">
      <w:pPr>
        <w:bidi w:val="0"/>
        <w:ind w:firstLine="708"/>
        <w:jc w:val="both"/>
        <w:rPr>
          <w:rFonts w:ascii="Times New Roman" w:hAnsi="Times New Roman"/>
        </w:rPr>
      </w:pPr>
      <w:r w:rsidRPr="00193117">
        <w:rPr>
          <w:rFonts w:ascii="Times New Roman" w:hAnsi="Times New Roman"/>
        </w:rPr>
        <w:t>Na rok 2012 sa pre organizáciu navrhuje limit výdavkov vo výške 684 tis. eur, čo je o 0,1 % viac v porovnaní so schváleným rozpočtom na  rok 2011.</w:t>
      </w:r>
    </w:p>
    <w:p w:rsidR="00CF0B79" w:rsidRPr="00193117" w:rsidP="00CF0B79">
      <w:pPr>
        <w:bidi w:val="0"/>
        <w:ind w:firstLine="708"/>
        <w:jc w:val="both"/>
        <w:rPr>
          <w:rFonts w:ascii="Times New Roman" w:hAnsi="Times New Roman"/>
        </w:rPr>
      </w:pPr>
    </w:p>
    <w:p w:rsidR="00CF0B79" w:rsidRPr="00193117" w:rsidP="00CF0B79">
      <w:pPr>
        <w:bidi w:val="0"/>
        <w:ind w:firstLine="708"/>
        <w:jc w:val="both"/>
        <w:rPr>
          <w:rFonts w:ascii="Times New Roman" w:hAnsi="Times New Roman"/>
        </w:rPr>
      </w:pPr>
      <w:r w:rsidRPr="00193117">
        <w:rPr>
          <w:rFonts w:ascii="Times New Roman" w:hAnsi="Times New Roman"/>
        </w:rPr>
        <w:t xml:space="preserve">Objem osobných výdavkov sa na rok 2012 rozpočtuje v sume 500 tis. eur, čo v porovnaní so schváleným rozpočtom na rok 2011 predstavuje pokles o 0,65 %. </w:t>
      </w:r>
    </w:p>
    <w:p w:rsidR="00CF0B79" w:rsidRPr="00193117" w:rsidP="00CF0B79">
      <w:pPr>
        <w:bidi w:val="0"/>
        <w:ind w:firstLine="708"/>
        <w:jc w:val="both"/>
        <w:rPr>
          <w:rFonts w:ascii="Times New Roman" w:hAnsi="Times New Roman"/>
        </w:rPr>
      </w:pPr>
      <w:r w:rsidRPr="00193117">
        <w:rPr>
          <w:rFonts w:ascii="Times New Roman" w:hAnsi="Times New Roman"/>
        </w:rPr>
        <w:t xml:space="preserve">Návrh rozpočtu verejnej správy na roky 2012 až 2014 v organizácii ÚOOÚ vychádza zo schváleného rozpočtu na rok 2011. Na tovary a služby sa rozpočtuje suma 179 tis. eur, čo v porovnaní so schváleným rozpočtom na rok 2011 predstavuje nárast o 6,0 % v nadväznosti na nerozpočtovanie kapitálových výdavkov. Výdavky na bežné transfery sa rozpisujú v sume </w:t>
      </w:r>
      <w:r w:rsidR="00C420B9">
        <w:rPr>
          <w:rFonts w:ascii="Times New Roman" w:hAnsi="Times New Roman"/>
        </w:rPr>
        <w:br/>
      </w:r>
      <w:r w:rsidRPr="00193117">
        <w:rPr>
          <w:rFonts w:ascii="Times New Roman" w:hAnsi="Times New Roman"/>
        </w:rPr>
        <w:t xml:space="preserve">5 tis. eur. </w:t>
      </w:r>
    </w:p>
    <w:p w:rsidR="00CF0B79" w:rsidP="00CF0B79">
      <w:pPr>
        <w:bidi w:val="0"/>
        <w:jc w:val="both"/>
        <w:rPr>
          <w:rFonts w:ascii="Times New Roman" w:hAnsi="Times New Roman"/>
          <w:i/>
          <w:u w:val="single"/>
        </w:rPr>
      </w:pPr>
    </w:p>
    <w:p w:rsidR="00CF0B79" w:rsidRPr="00193117" w:rsidP="00CF0B79">
      <w:pPr>
        <w:bidi w:val="0"/>
        <w:jc w:val="both"/>
        <w:rPr>
          <w:rFonts w:ascii="Times New Roman" w:hAnsi="Times New Roman"/>
          <w:i/>
          <w:iCs/>
          <w:u w:val="single"/>
        </w:rPr>
      </w:pPr>
      <w:r w:rsidRPr="00193117">
        <w:rPr>
          <w:rFonts w:ascii="Times New Roman" w:hAnsi="Times New Roman"/>
          <w:i/>
          <w:u w:val="single"/>
        </w:rPr>
        <w:t xml:space="preserve">Ústav pamäti národa a </w:t>
      </w:r>
      <w:r w:rsidRPr="00193117">
        <w:rPr>
          <w:rFonts w:ascii="Times New Roman" w:hAnsi="Times New Roman"/>
          <w:i/>
          <w:iCs/>
          <w:u w:val="single"/>
        </w:rPr>
        <w:t>Slovenské národné stredisko pre ľudské práva</w:t>
      </w:r>
    </w:p>
    <w:p w:rsidR="00CF0B79" w:rsidRPr="00193117" w:rsidP="00CF0B79">
      <w:pPr>
        <w:bidi w:val="0"/>
        <w:jc w:val="both"/>
        <w:rPr>
          <w:rFonts w:ascii="Times New Roman" w:hAnsi="Times New Roman"/>
          <w:i/>
          <w:u w:val="single"/>
        </w:rPr>
      </w:pPr>
    </w:p>
    <w:p w:rsidR="00CF0B79" w:rsidRPr="00193117" w:rsidP="00CF0B79">
      <w:pPr>
        <w:bidi w:val="0"/>
        <w:ind w:firstLine="708"/>
        <w:jc w:val="both"/>
        <w:rPr>
          <w:rFonts w:ascii="Times New Roman" w:hAnsi="Times New Roman"/>
        </w:rPr>
      </w:pPr>
      <w:r w:rsidRPr="00193117">
        <w:rPr>
          <w:rFonts w:ascii="Times New Roman" w:hAnsi="Times New Roman"/>
        </w:rPr>
        <w:t>Transfer na činnosť verejnoprávnej ustanovizne ÚPN na rok 201</w:t>
      </w:r>
      <w:r>
        <w:rPr>
          <w:rFonts w:ascii="Times New Roman" w:hAnsi="Times New Roman"/>
        </w:rPr>
        <w:t>2</w:t>
      </w:r>
      <w:r w:rsidRPr="00193117">
        <w:rPr>
          <w:rFonts w:ascii="Times New Roman" w:hAnsi="Times New Roman"/>
        </w:rPr>
        <w:t xml:space="preserve"> je  rozpočtovaný v sume 1,46 mil. eur a  transfer na činnosť pre nezávislú právnickú osobu Slovenské národné stredisko pre ľudské práva je vo výške 528 tis. eur, čo je na úrovni schváleného rozpočtu roku 2011. </w:t>
      </w:r>
    </w:p>
    <w:p w:rsidR="00CF0B79" w:rsidP="00CF0B79">
      <w:pPr>
        <w:bidi w:val="0"/>
        <w:jc w:val="both"/>
        <w:rPr>
          <w:rFonts w:ascii="Times New Roman" w:hAnsi="Times New Roman"/>
          <w:color w:val="0070C0"/>
        </w:rPr>
      </w:pPr>
    </w:p>
    <w:p w:rsidR="00257E12" w:rsidP="00CF0B79">
      <w:pPr>
        <w:bidi w:val="0"/>
        <w:jc w:val="both"/>
        <w:rPr>
          <w:rFonts w:ascii="Times New Roman" w:hAnsi="Times New Roman"/>
          <w:color w:val="0070C0"/>
        </w:rPr>
      </w:pPr>
    </w:p>
    <w:p w:rsidR="00257E12" w:rsidP="00CF0B79">
      <w:pPr>
        <w:bidi w:val="0"/>
        <w:jc w:val="both"/>
        <w:rPr>
          <w:rFonts w:ascii="Times New Roman" w:hAnsi="Times New Roman"/>
          <w:color w:val="0070C0"/>
        </w:rPr>
      </w:pPr>
    </w:p>
    <w:p w:rsidR="000F7251" w:rsidP="00CF0B79">
      <w:pPr>
        <w:bidi w:val="0"/>
        <w:jc w:val="both"/>
        <w:rPr>
          <w:rFonts w:ascii="Times New Roman" w:hAnsi="Times New Roman"/>
          <w:color w:val="0070C0"/>
        </w:rPr>
      </w:pPr>
    </w:p>
    <w:p w:rsidR="000F7251" w:rsidP="00CF0B79">
      <w:pPr>
        <w:bidi w:val="0"/>
        <w:jc w:val="both"/>
        <w:rPr>
          <w:rFonts w:ascii="Times New Roman" w:hAnsi="Times New Roman"/>
          <w:color w:val="0070C0"/>
        </w:rPr>
      </w:pPr>
    </w:p>
    <w:p w:rsidR="000F7251" w:rsidP="00CF0B79">
      <w:pPr>
        <w:bidi w:val="0"/>
        <w:jc w:val="both"/>
        <w:rPr>
          <w:rFonts w:ascii="Times New Roman" w:hAnsi="Times New Roman"/>
          <w:color w:val="0070C0"/>
        </w:rPr>
      </w:pPr>
    </w:p>
    <w:p w:rsidR="000F7251" w:rsidP="00CF0B79">
      <w:pPr>
        <w:bidi w:val="0"/>
        <w:jc w:val="both"/>
        <w:rPr>
          <w:rFonts w:ascii="Times New Roman" w:hAnsi="Times New Roman"/>
          <w:color w:val="0070C0"/>
        </w:rPr>
      </w:pPr>
    </w:p>
    <w:p w:rsidR="000F7251" w:rsidP="00CF0B79">
      <w:pPr>
        <w:bidi w:val="0"/>
        <w:jc w:val="both"/>
        <w:rPr>
          <w:rFonts w:ascii="Times New Roman" w:hAnsi="Times New Roman"/>
          <w:color w:val="0070C0"/>
        </w:rPr>
      </w:pPr>
    </w:p>
    <w:p w:rsidR="000F7251" w:rsidP="00CF0B79">
      <w:pPr>
        <w:bidi w:val="0"/>
        <w:jc w:val="both"/>
        <w:rPr>
          <w:rFonts w:ascii="Times New Roman" w:hAnsi="Times New Roman"/>
          <w:color w:val="0070C0"/>
        </w:rPr>
      </w:pPr>
    </w:p>
    <w:p w:rsidR="000F7251" w:rsidP="00CF0B79">
      <w:pPr>
        <w:bidi w:val="0"/>
        <w:jc w:val="both"/>
        <w:rPr>
          <w:rFonts w:ascii="Times New Roman" w:hAnsi="Times New Roman"/>
          <w:color w:val="0070C0"/>
        </w:rPr>
      </w:pPr>
    </w:p>
    <w:p w:rsidR="000F7251" w:rsidP="00CF0B79">
      <w:pPr>
        <w:bidi w:val="0"/>
        <w:jc w:val="both"/>
        <w:rPr>
          <w:rFonts w:ascii="Times New Roman" w:hAnsi="Times New Roman"/>
          <w:color w:val="0070C0"/>
        </w:rPr>
      </w:pPr>
    </w:p>
    <w:p w:rsidR="000F7251" w:rsidP="00CF0B79">
      <w:pPr>
        <w:bidi w:val="0"/>
        <w:jc w:val="both"/>
        <w:rPr>
          <w:rFonts w:ascii="Times New Roman" w:hAnsi="Times New Roman"/>
          <w:color w:val="0070C0"/>
        </w:rPr>
      </w:pPr>
    </w:p>
    <w:p w:rsidR="000F7251" w:rsidP="00CF0B79">
      <w:pPr>
        <w:bidi w:val="0"/>
        <w:jc w:val="both"/>
        <w:rPr>
          <w:rFonts w:ascii="Times New Roman" w:hAnsi="Times New Roman"/>
          <w:color w:val="0070C0"/>
        </w:rPr>
      </w:pPr>
    </w:p>
    <w:p w:rsidR="000F7251" w:rsidP="00CF0B79">
      <w:pPr>
        <w:bidi w:val="0"/>
        <w:jc w:val="both"/>
        <w:rPr>
          <w:rFonts w:ascii="Times New Roman" w:hAnsi="Times New Roman"/>
          <w:color w:val="0070C0"/>
        </w:rPr>
      </w:pPr>
    </w:p>
    <w:p w:rsidR="000F7251" w:rsidP="00CF0B79">
      <w:pPr>
        <w:bidi w:val="0"/>
        <w:jc w:val="both"/>
        <w:rPr>
          <w:rFonts w:ascii="Times New Roman" w:hAnsi="Times New Roman"/>
          <w:color w:val="0070C0"/>
        </w:rPr>
      </w:pPr>
    </w:p>
    <w:p w:rsidR="000F7251" w:rsidP="00CF0B79">
      <w:pPr>
        <w:bidi w:val="0"/>
        <w:jc w:val="both"/>
        <w:rPr>
          <w:rFonts w:ascii="Times New Roman" w:hAnsi="Times New Roman"/>
          <w:color w:val="0070C0"/>
        </w:rPr>
      </w:pPr>
    </w:p>
    <w:p w:rsidR="000F7251" w:rsidP="00CF0B79">
      <w:pPr>
        <w:bidi w:val="0"/>
        <w:jc w:val="both"/>
        <w:rPr>
          <w:rFonts w:ascii="Times New Roman" w:hAnsi="Times New Roman"/>
          <w:color w:val="0070C0"/>
        </w:rPr>
      </w:pPr>
    </w:p>
    <w:p w:rsidR="000F7251" w:rsidP="00CF0B79">
      <w:pPr>
        <w:bidi w:val="0"/>
        <w:jc w:val="both"/>
        <w:rPr>
          <w:rFonts w:ascii="Times New Roman" w:hAnsi="Times New Roman"/>
          <w:color w:val="0070C0"/>
        </w:rPr>
      </w:pPr>
    </w:p>
    <w:p w:rsidR="000F7251" w:rsidP="00CF0B79">
      <w:pPr>
        <w:bidi w:val="0"/>
        <w:jc w:val="both"/>
        <w:rPr>
          <w:rFonts w:ascii="Times New Roman" w:hAnsi="Times New Roman"/>
          <w:color w:val="0070C0"/>
        </w:rPr>
      </w:pPr>
    </w:p>
    <w:p w:rsidR="000F7251" w:rsidP="00CF0B79">
      <w:pPr>
        <w:bidi w:val="0"/>
        <w:jc w:val="both"/>
        <w:rPr>
          <w:rFonts w:ascii="Times New Roman" w:hAnsi="Times New Roman"/>
          <w:color w:val="0070C0"/>
        </w:rPr>
      </w:pPr>
    </w:p>
    <w:p w:rsidR="000F7251" w:rsidP="00CF0B79">
      <w:pPr>
        <w:bidi w:val="0"/>
        <w:jc w:val="both"/>
        <w:rPr>
          <w:rFonts w:ascii="Times New Roman" w:hAnsi="Times New Roman"/>
          <w:color w:val="0070C0"/>
        </w:rPr>
      </w:pPr>
    </w:p>
    <w:p w:rsidR="000F7251" w:rsidP="00CF0B79">
      <w:pPr>
        <w:bidi w:val="0"/>
        <w:jc w:val="both"/>
        <w:rPr>
          <w:rFonts w:ascii="Times New Roman" w:hAnsi="Times New Roman"/>
          <w:color w:val="0070C0"/>
        </w:rPr>
      </w:pPr>
    </w:p>
    <w:p w:rsidR="000F7251" w:rsidP="00CF0B79">
      <w:pPr>
        <w:bidi w:val="0"/>
        <w:jc w:val="both"/>
        <w:rPr>
          <w:rFonts w:ascii="Times New Roman" w:hAnsi="Times New Roman"/>
          <w:color w:val="0070C0"/>
        </w:rPr>
      </w:pPr>
    </w:p>
    <w:p w:rsidR="000F7251" w:rsidP="00CF0B79">
      <w:pPr>
        <w:bidi w:val="0"/>
        <w:jc w:val="both"/>
        <w:rPr>
          <w:rFonts w:ascii="Times New Roman" w:hAnsi="Times New Roman"/>
          <w:color w:val="0070C0"/>
        </w:rPr>
      </w:pPr>
    </w:p>
    <w:p w:rsidR="000F7251" w:rsidP="00CF0B79">
      <w:pPr>
        <w:bidi w:val="0"/>
        <w:jc w:val="both"/>
        <w:rPr>
          <w:rFonts w:ascii="Times New Roman" w:hAnsi="Times New Roman"/>
          <w:color w:val="0070C0"/>
        </w:rPr>
      </w:pPr>
    </w:p>
    <w:p w:rsidR="0043666E" w:rsidP="00CF0B79">
      <w:pPr>
        <w:bidi w:val="0"/>
        <w:jc w:val="both"/>
        <w:rPr>
          <w:rFonts w:ascii="Times New Roman" w:hAnsi="Times New Roman"/>
          <w:color w:val="0070C0"/>
        </w:rPr>
      </w:pPr>
    </w:p>
    <w:p w:rsidR="0043666E" w:rsidP="00CF0B79">
      <w:pPr>
        <w:bidi w:val="0"/>
        <w:jc w:val="both"/>
        <w:rPr>
          <w:rFonts w:ascii="Times New Roman" w:hAnsi="Times New Roman"/>
          <w:color w:val="0070C0"/>
        </w:rPr>
      </w:pPr>
    </w:p>
    <w:p w:rsidR="000F7251" w:rsidP="00CF0B79">
      <w:pPr>
        <w:bidi w:val="0"/>
        <w:jc w:val="both"/>
        <w:rPr>
          <w:rFonts w:ascii="Times New Roman" w:hAnsi="Times New Roman"/>
          <w:color w:val="0070C0"/>
        </w:rPr>
      </w:pPr>
    </w:p>
    <w:p w:rsidR="000F7251" w:rsidP="00CF0B79">
      <w:pPr>
        <w:bidi w:val="0"/>
        <w:jc w:val="both"/>
        <w:rPr>
          <w:rFonts w:ascii="Times New Roman" w:hAnsi="Times New Roman"/>
          <w:color w:val="0070C0"/>
        </w:rPr>
      </w:pPr>
    </w:p>
    <w:p w:rsidR="000F7251" w:rsidP="00CF0B79">
      <w:pPr>
        <w:bidi w:val="0"/>
        <w:jc w:val="both"/>
        <w:rPr>
          <w:rFonts w:ascii="Times New Roman" w:hAnsi="Times New Roman"/>
          <w:color w:val="0070C0"/>
        </w:rPr>
      </w:pPr>
    </w:p>
    <w:p w:rsidR="000F7251" w:rsidP="00CF0B79">
      <w:pPr>
        <w:bidi w:val="0"/>
        <w:jc w:val="both"/>
        <w:rPr>
          <w:rFonts w:ascii="Times New Roman" w:hAnsi="Times New Roman"/>
          <w:color w:val="0070C0"/>
        </w:rPr>
      </w:pPr>
    </w:p>
    <w:p w:rsidR="000F7251" w:rsidP="00CF0B79">
      <w:pPr>
        <w:bidi w:val="0"/>
        <w:jc w:val="both"/>
        <w:rPr>
          <w:rFonts w:ascii="Times New Roman" w:hAnsi="Times New Roman"/>
          <w:color w:val="0070C0"/>
        </w:rPr>
      </w:pPr>
    </w:p>
    <w:p w:rsidR="00257E12" w:rsidP="00CF0B79">
      <w:pPr>
        <w:bidi w:val="0"/>
        <w:jc w:val="both"/>
        <w:rPr>
          <w:rFonts w:ascii="Times New Roman" w:hAnsi="Times New Roman"/>
          <w:color w:val="0070C0"/>
        </w:rPr>
      </w:pPr>
    </w:p>
    <w:p w:rsidR="00257E12" w:rsidP="00CF0B79">
      <w:pPr>
        <w:bidi w:val="0"/>
        <w:jc w:val="both"/>
        <w:rPr>
          <w:rFonts w:ascii="Times New Roman" w:hAnsi="Times New Roman"/>
          <w:color w:val="0070C0"/>
        </w:rPr>
      </w:pPr>
    </w:p>
    <w:p w:rsidR="00257E12" w:rsidP="00CF0B79">
      <w:pPr>
        <w:bidi w:val="0"/>
        <w:jc w:val="both"/>
        <w:rPr>
          <w:rFonts w:ascii="Times New Roman" w:hAnsi="Times New Roman"/>
          <w:color w:val="0070C0"/>
        </w:rPr>
      </w:pPr>
    </w:p>
    <w:p w:rsidR="00257E12" w:rsidP="00CF0B79">
      <w:pPr>
        <w:bidi w:val="0"/>
        <w:jc w:val="both"/>
        <w:rPr>
          <w:rFonts w:ascii="Times New Roman" w:hAnsi="Times New Roman"/>
          <w:color w:val="0070C0"/>
        </w:rPr>
      </w:pPr>
    </w:p>
    <w:p w:rsidR="00257E12" w:rsidP="00CF0B79">
      <w:pPr>
        <w:bidi w:val="0"/>
        <w:jc w:val="both"/>
        <w:rPr>
          <w:rFonts w:ascii="Times New Roman" w:hAnsi="Times New Roman"/>
          <w:color w:val="0070C0"/>
        </w:rPr>
      </w:pPr>
    </w:p>
    <w:p w:rsidR="00257E12" w:rsidP="00CF0B79">
      <w:pPr>
        <w:bidi w:val="0"/>
        <w:jc w:val="both"/>
        <w:rPr>
          <w:rFonts w:ascii="Times New Roman" w:hAnsi="Times New Roman"/>
          <w:color w:val="0070C0"/>
        </w:rPr>
      </w:pPr>
    </w:p>
    <w:p w:rsidR="00FB42DF" w:rsidRPr="000B4441" w:rsidP="00CF0B79">
      <w:pPr>
        <w:bidi w:val="0"/>
        <w:jc w:val="both"/>
        <w:rPr>
          <w:rFonts w:ascii="Times New Roman" w:hAnsi="Times New Roman"/>
          <w:color w:val="0070C0"/>
        </w:rPr>
      </w:pPr>
    </w:p>
    <w:p w:rsidR="005F6BCE" w:rsidRPr="00E51092" w:rsidP="00FB42DF">
      <w:pPr>
        <w:pStyle w:val="Heading1"/>
        <w:bidi w:val="0"/>
        <w:spacing w:before="0" w:after="0"/>
        <w:rPr>
          <w:rFonts w:ascii="Times New Roman" w:hAnsi="Times New Roman" w:cs="Times New Roman"/>
          <w:sz w:val="28"/>
          <w:szCs w:val="28"/>
        </w:rPr>
      </w:pPr>
      <w:bookmarkStart w:id="70" w:name="_Toc306089069"/>
      <w:r w:rsidR="00260649">
        <w:rPr>
          <w:rFonts w:ascii="Times New Roman" w:hAnsi="Times New Roman" w:cs="Times New Roman"/>
          <w:sz w:val="28"/>
          <w:szCs w:val="28"/>
        </w:rPr>
        <w:t>6</w:t>
      </w:r>
      <w:r w:rsidRPr="00A45ACC">
        <w:rPr>
          <w:rFonts w:ascii="Times New Roman" w:hAnsi="Times New Roman" w:cs="Times New Roman"/>
          <w:sz w:val="28"/>
          <w:szCs w:val="28"/>
        </w:rPr>
        <w:t>. Štátne finančné aktíva</w:t>
      </w:r>
      <w:bookmarkEnd w:id="70"/>
    </w:p>
    <w:p w:rsidR="003A003E" w:rsidP="003A003E">
      <w:pPr>
        <w:bidi w:val="0"/>
        <w:ind w:firstLine="708"/>
        <w:jc w:val="both"/>
        <w:rPr>
          <w:rFonts w:ascii="Times New Roman" w:hAnsi="Times New Roman" w:cs="Times New Roman"/>
        </w:rPr>
      </w:pPr>
      <w:bookmarkStart w:id="71" w:name="_Toc116476498"/>
      <w:bookmarkStart w:id="72" w:name="_Toc141529500"/>
    </w:p>
    <w:p w:rsidR="000B4441" w:rsidP="000B4441">
      <w:pPr>
        <w:bidi w:val="0"/>
        <w:ind w:firstLine="708"/>
        <w:jc w:val="both"/>
        <w:rPr>
          <w:rFonts w:ascii="Times New Roman" w:hAnsi="Times New Roman" w:cs="Times New Roman"/>
        </w:rPr>
      </w:pPr>
      <w:r w:rsidRPr="00CD6110">
        <w:rPr>
          <w:rFonts w:ascii="Times New Roman" w:hAnsi="Times New Roman" w:cs="Times New Roman"/>
        </w:rPr>
        <w:t xml:space="preserve">Štátne finančné aktíva sú definované zákonom č. 523/2004 Z. z. o rozpočtových pravidlách verejnej správy v znení neskorších predpisov. </w:t>
      </w:r>
    </w:p>
    <w:p w:rsidR="000B4441" w:rsidRPr="00D366EF" w:rsidP="000B4441">
      <w:pPr>
        <w:bidi w:val="0"/>
        <w:ind w:firstLine="708"/>
        <w:jc w:val="both"/>
        <w:rPr>
          <w:rFonts w:ascii="Times New Roman" w:hAnsi="Times New Roman" w:cs="Times New Roman"/>
          <w:sz w:val="16"/>
          <w:szCs w:val="16"/>
        </w:rPr>
      </w:pPr>
    </w:p>
    <w:tbl>
      <w:tblPr>
        <w:tblStyle w:val="TableNormal"/>
        <w:tblW w:w="9077" w:type="dxa"/>
        <w:jc w:val="center"/>
        <w:tblInd w:w="414" w:type="dxa"/>
        <w:tblCellMar>
          <w:left w:w="70" w:type="dxa"/>
          <w:right w:w="70" w:type="dxa"/>
        </w:tblCellMar>
        <w:tblLook w:val="04A0"/>
      </w:tblPr>
      <w:tblGrid>
        <w:gridCol w:w="3078"/>
        <w:gridCol w:w="857"/>
        <w:gridCol w:w="857"/>
        <w:gridCol w:w="857"/>
        <w:gridCol w:w="857"/>
        <w:gridCol w:w="857"/>
        <w:gridCol w:w="857"/>
        <w:gridCol w:w="857"/>
      </w:tblGrid>
      <w:tr>
        <w:tblPrEx>
          <w:tblW w:w="9077" w:type="dxa"/>
          <w:jc w:val="center"/>
          <w:tblInd w:w="414" w:type="dxa"/>
          <w:tblCellMar>
            <w:left w:w="70" w:type="dxa"/>
            <w:right w:w="70" w:type="dxa"/>
          </w:tblCellMar>
          <w:tblLook w:val="04A0"/>
        </w:tblPrEx>
        <w:trPr>
          <w:trHeight w:val="480"/>
          <w:jc w:val="center"/>
        </w:trPr>
        <w:tc>
          <w:tcPr>
            <w:tcW w:w="3078" w:type="dxa"/>
            <w:tcBorders>
              <w:top w:val="single" w:sz="8" w:space="0" w:color="auto"/>
              <w:left w:val="single" w:sz="8" w:space="0" w:color="auto"/>
              <w:bottom w:val="single" w:sz="8" w:space="0" w:color="auto"/>
              <w:right w:val="single" w:sz="4" w:space="0" w:color="auto"/>
            </w:tcBorders>
            <w:textDirection w:val="lrTb"/>
            <w:vAlign w:val="center"/>
            <w:hideMark/>
          </w:tcPr>
          <w:p w:rsidR="000B4441" w:rsidRPr="00E17B00" w:rsidP="00F576BD">
            <w:pPr>
              <w:bidi w:val="0"/>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Rozpočtové operácie ŠFA</w:t>
              <w:br/>
            </w:r>
            <w:r w:rsidRPr="00E17B00">
              <w:rPr>
                <w:rFonts w:ascii="Times New Roman" w:hAnsi="Times New Roman" w:cs="Times New Roman"/>
                <w:sz w:val="14"/>
                <w:szCs w:val="14"/>
                <w:lang w:eastAsia="sk-SK"/>
              </w:rPr>
              <w:t>(v tis. eur; ESA 95)</w:t>
            </w:r>
          </w:p>
        </w:tc>
        <w:tc>
          <w:tcPr>
            <w:tcW w:w="857" w:type="dxa"/>
            <w:tcBorders>
              <w:top w:val="single" w:sz="8" w:space="0" w:color="auto"/>
              <w:left w:val="nil"/>
              <w:bottom w:val="single" w:sz="8" w:space="0" w:color="auto"/>
              <w:right w:val="single" w:sz="4" w:space="0" w:color="auto"/>
            </w:tcBorders>
            <w:noWrap/>
            <w:textDirection w:val="lrTb"/>
            <w:vAlign w:val="center"/>
            <w:hideMark/>
          </w:tcPr>
          <w:p w:rsidR="000B4441" w:rsidRPr="00E17B00" w:rsidP="00F576BD">
            <w:pPr>
              <w:bidi w:val="0"/>
              <w:jc w:val="center"/>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2009 S</w:t>
            </w:r>
          </w:p>
        </w:tc>
        <w:tc>
          <w:tcPr>
            <w:tcW w:w="857" w:type="dxa"/>
            <w:tcBorders>
              <w:top w:val="single" w:sz="8" w:space="0" w:color="auto"/>
              <w:left w:val="nil"/>
              <w:bottom w:val="single" w:sz="8" w:space="0" w:color="auto"/>
              <w:right w:val="single" w:sz="4" w:space="0" w:color="auto"/>
            </w:tcBorders>
            <w:noWrap/>
            <w:textDirection w:val="lrTb"/>
            <w:vAlign w:val="center"/>
            <w:hideMark/>
          </w:tcPr>
          <w:p w:rsidR="000B4441" w:rsidRPr="00E17B00" w:rsidP="00F576BD">
            <w:pPr>
              <w:bidi w:val="0"/>
              <w:jc w:val="center"/>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2010 S</w:t>
            </w:r>
          </w:p>
        </w:tc>
        <w:tc>
          <w:tcPr>
            <w:tcW w:w="857" w:type="dxa"/>
            <w:tcBorders>
              <w:top w:val="single" w:sz="8" w:space="0" w:color="auto"/>
              <w:left w:val="nil"/>
              <w:bottom w:val="single" w:sz="8" w:space="0" w:color="auto"/>
              <w:right w:val="single" w:sz="4" w:space="0" w:color="auto"/>
            </w:tcBorders>
            <w:noWrap/>
            <w:textDirection w:val="lrTb"/>
            <w:vAlign w:val="center"/>
            <w:hideMark/>
          </w:tcPr>
          <w:p w:rsidR="000B4441" w:rsidRPr="00E17B00" w:rsidP="00F576BD">
            <w:pPr>
              <w:bidi w:val="0"/>
              <w:jc w:val="center"/>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2011 R</w:t>
            </w:r>
          </w:p>
        </w:tc>
        <w:tc>
          <w:tcPr>
            <w:tcW w:w="857" w:type="dxa"/>
            <w:tcBorders>
              <w:top w:val="single" w:sz="8" w:space="0" w:color="auto"/>
              <w:left w:val="nil"/>
              <w:bottom w:val="single" w:sz="8" w:space="0" w:color="auto"/>
              <w:right w:val="single" w:sz="4" w:space="0" w:color="auto"/>
            </w:tcBorders>
            <w:noWrap/>
            <w:textDirection w:val="lrTb"/>
            <w:vAlign w:val="center"/>
            <w:hideMark/>
          </w:tcPr>
          <w:p w:rsidR="000B4441" w:rsidRPr="00E17B00" w:rsidP="00F576BD">
            <w:pPr>
              <w:bidi w:val="0"/>
              <w:jc w:val="center"/>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2011 OS</w:t>
            </w:r>
          </w:p>
        </w:tc>
        <w:tc>
          <w:tcPr>
            <w:tcW w:w="857" w:type="dxa"/>
            <w:tcBorders>
              <w:top w:val="single" w:sz="8" w:space="0" w:color="auto"/>
              <w:left w:val="nil"/>
              <w:bottom w:val="single" w:sz="8" w:space="0" w:color="auto"/>
              <w:right w:val="single" w:sz="4" w:space="0" w:color="auto"/>
            </w:tcBorders>
            <w:noWrap/>
            <w:textDirection w:val="lrTb"/>
            <w:vAlign w:val="center"/>
            <w:hideMark/>
          </w:tcPr>
          <w:p w:rsidR="000B4441" w:rsidRPr="00E17B00" w:rsidP="00F576BD">
            <w:pPr>
              <w:bidi w:val="0"/>
              <w:jc w:val="center"/>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2012 N</w:t>
            </w:r>
          </w:p>
        </w:tc>
        <w:tc>
          <w:tcPr>
            <w:tcW w:w="857" w:type="dxa"/>
            <w:tcBorders>
              <w:top w:val="single" w:sz="8" w:space="0" w:color="auto"/>
              <w:left w:val="nil"/>
              <w:bottom w:val="single" w:sz="8" w:space="0" w:color="auto"/>
              <w:right w:val="single" w:sz="4" w:space="0" w:color="auto"/>
            </w:tcBorders>
            <w:noWrap/>
            <w:textDirection w:val="lrTb"/>
            <w:vAlign w:val="center"/>
            <w:hideMark/>
          </w:tcPr>
          <w:p w:rsidR="000B4441" w:rsidRPr="00E17B00" w:rsidP="00F576BD">
            <w:pPr>
              <w:bidi w:val="0"/>
              <w:jc w:val="center"/>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2013 N</w:t>
            </w:r>
          </w:p>
        </w:tc>
        <w:tc>
          <w:tcPr>
            <w:tcW w:w="857" w:type="dxa"/>
            <w:tcBorders>
              <w:top w:val="single" w:sz="8" w:space="0" w:color="auto"/>
              <w:left w:val="nil"/>
              <w:bottom w:val="single" w:sz="8" w:space="0" w:color="auto"/>
              <w:right w:val="single" w:sz="8" w:space="0" w:color="auto"/>
            </w:tcBorders>
            <w:noWrap/>
            <w:textDirection w:val="lrTb"/>
            <w:vAlign w:val="center"/>
            <w:hideMark/>
          </w:tcPr>
          <w:p w:rsidR="000B4441" w:rsidRPr="00E17B00" w:rsidP="00F576BD">
            <w:pPr>
              <w:bidi w:val="0"/>
              <w:jc w:val="center"/>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2014 N</w:t>
            </w:r>
          </w:p>
        </w:tc>
      </w:tr>
      <w:tr>
        <w:tblPrEx>
          <w:tblW w:w="9077" w:type="dxa"/>
          <w:jc w:val="center"/>
          <w:tblInd w:w="414" w:type="dxa"/>
          <w:tblCellMar>
            <w:left w:w="70" w:type="dxa"/>
            <w:right w:w="70" w:type="dxa"/>
          </w:tblCellMar>
          <w:tblLook w:val="04A0"/>
        </w:tblPrEx>
        <w:trPr>
          <w:trHeight w:val="240"/>
          <w:jc w:val="center"/>
        </w:trPr>
        <w:tc>
          <w:tcPr>
            <w:tcW w:w="3078" w:type="dxa"/>
            <w:tcBorders>
              <w:top w:val="single" w:sz="8" w:space="0" w:color="auto"/>
              <w:left w:val="single" w:sz="8" w:space="0" w:color="auto"/>
              <w:bottom w:val="single" w:sz="4" w:space="0" w:color="auto"/>
              <w:right w:val="single" w:sz="4" w:space="0" w:color="auto"/>
            </w:tcBorders>
            <w:noWrap/>
            <w:textDirection w:val="lrTb"/>
            <w:vAlign w:val="center"/>
            <w:hideMark/>
          </w:tcPr>
          <w:p w:rsidR="000B4441" w:rsidRPr="00E17B00" w:rsidP="00F576BD">
            <w:pPr>
              <w:bidi w:val="0"/>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 xml:space="preserve">1. Príjmy </w:t>
            </w:r>
            <w:r w:rsidRPr="00E17B00">
              <w:rPr>
                <w:rFonts w:ascii="Times New Roman" w:hAnsi="Times New Roman" w:cs="Times New Roman"/>
                <w:sz w:val="14"/>
                <w:szCs w:val="14"/>
                <w:lang w:eastAsia="sk-SK"/>
              </w:rPr>
              <w:t xml:space="preserve">- zvýšenie ŠFA </w:t>
            </w:r>
          </w:p>
        </w:tc>
        <w:tc>
          <w:tcPr>
            <w:tcW w:w="857" w:type="dxa"/>
            <w:tcBorders>
              <w:top w:val="single" w:sz="8" w:space="0" w:color="auto"/>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556 896,7</w:t>
            </w:r>
          </w:p>
        </w:tc>
        <w:tc>
          <w:tcPr>
            <w:tcW w:w="857" w:type="dxa"/>
            <w:tcBorders>
              <w:top w:val="single" w:sz="8" w:space="0" w:color="auto"/>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644 363,3</w:t>
            </w:r>
          </w:p>
        </w:tc>
        <w:tc>
          <w:tcPr>
            <w:tcW w:w="857" w:type="dxa"/>
            <w:tcBorders>
              <w:top w:val="single" w:sz="8" w:space="0" w:color="auto"/>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378 691,4</w:t>
            </w:r>
          </w:p>
        </w:tc>
        <w:tc>
          <w:tcPr>
            <w:tcW w:w="857" w:type="dxa"/>
            <w:tcBorders>
              <w:top w:val="single" w:sz="8" w:space="0" w:color="auto"/>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718 362,2</w:t>
            </w:r>
          </w:p>
        </w:tc>
        <w:tc>
          <w:tcPr>
            <w:tcW w:w="857" w:type="dxa"/>
            <w:tcBorders>
              <w:top w:val="single" w:sz="8" w:space="0" w:color="auto"/>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550 560,0</w:t>
            </w:r>
          </w:p>
        </w:tc>
        <w:tc>
          <w:tcPr>
            <w:tcW w:w="857" w:type="dxa"/>
            <w:tcBorders>
              <w:top w:val="single" w:sz="8" w:space="0" w:color="auto"/>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507 955,8</w:t>
            </w:r>
          </w:p>
        </w:tc>
        <w:tc>
          <w:tcPr>
            <w:tcW w:w="857" w:type="dxa"/>
            <w:tcBorders>
              <w:top w:val="single" w:sz="8" w:space="0" w:color="auto"/>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485 404,4</w:t>
            </w:r>
          </w:p>
        </w:tc>
      </w:tr>
      <w:tr>
        <w:tblPrEx>
          <w:tblW w:w="9077" w:type="dxa"/>
          <w:jc w:val="center"/>
          <w:tblInd w:w="414" w:type="dxa"/>
          <w:tblCellMar>
            <w:left w:w="70" w:type="dxa"/>
            <w:right w:w="70" w:type="dxa"/>
          </w:tblCellMar>
          <w:tblLook w:val="04A0"/>
        </w:tblPrEx>
        <w:trPr>
          <w:trHeight w:val="240"/>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1.1. dividendy z FNM SR</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531 879,0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544 230,4</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298 204,0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439 055,0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385 863,6</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358 083,6</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353 354,6</w:t>
            </w:r>
          </w:p>
        </w:tc>
      </w:tr>
      <w:tr>
        <w:tblPrEx>
          <w:tblW w:w="9077" w:type="dxa"/>
          <w:jc w:val="center"/>
          <w:tblInd w:w="414" w:type="dxa"/>
          <w:tblCellMar>
            <w:left w:w="70" w:type="dxa"/>
            <w:right w:w="70" w:type="dxa"/>
          </w:tblCellMar>
          <w:tblLook w:val="04A0"/>
        </w:tblPrEx>
        <w:trPr>
          <w:trHeight w:val="240"/>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1.2. splátka NFV VHV, š. p. - kapitálový transfer</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21 138,0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21 908,0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22 007,6</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22 007,6</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27 007,6</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22 339,5</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23 003,4</w:t>
            </w:r>
          </w:p>
        </w:tc>
      </w:tr>
      <w:tr>
        <w:tblPrEx>
          <w:tblW w:w="9077" w:type="dxa"/>
          <w:jc w:val="center"/>
          <w:tblInd w:w="414" w:type="dxa"/>
          <w:tblCellMar>
            <w:left w:w="70" w:type="dxa"/>
            <w:right w:w="70" w:type="dxa"/>
          </w:tblCellMar>
          <w:tblLook w:val="04A0"/>
        </w:tblPrEx>
        <w:trPr>
          <w:trHeight w:val="240"/>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 xml:space="preserve">1.3. osobitný odvod vybraných finančných inštitúcií </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91 000,0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91 000,0</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91 000,0</w:t>
            </w:r>
          </w:p>
        </w:tc>
      </w:tr>
      <w:tr>
        <w:tblPrEx>
          <w:tblW w:w="9077" w:type="dxa"/>
          <w:jc w:val="center"/>
          <w:tblInd w:w="414" w:type="dxa"/>
          <w:tblCellMar>
            <w:left w:w="70" w:type="dxa"/>
            <w:right w:w="70" w:type="dxa"/>
          </w:tblCellMar>
          <w:tblLook w:val="04A0"/>
        </w:tblPrEx>
        <w:trPr>
          <w:trHeight w:val="240"/>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1.4. vrát. prostr. od Nemocnice Sv. Michala, a.s.</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46 000,0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r>
      <w:tr>
        <w:tblPrEx>
          <w:tblW w:w="9077" w:type="dxa"/>
          <w:jc w:val="center"/>
          <w:tblInd w:w="414" w:type="dxa"/>
          <w:tblCellMar>
            <w:left w:w="70" w:type="dxa"/>
            <w:right w:w="70" w:type="dxa"/>
          </w:tblCellMar>
          <w:tblLook w:val="04A0"/>
        </w:tblPrEx>
        <w:trPr>
          <w:trHeight w:val="274"/>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 xml:space="preserve">1.5. prijaté splátky vlád. úverov a vlád. pohľ. </w:t>
              <w:br/>
              <w:t xml:space="preserve">       zo zahraničia (FO)</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657,0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688,8</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588,6</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588,6</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522,4</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554,0</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406,5</w:t>
            </w:r>
          </w:p>
        </w:tc>
      </w:tr>
      <w:tr>
        <w:tblPrEx>
          <w:tblW w:w="9077" w:type="dxa"/>
          <w:jc w:val="center"/>
          <w:tblInd w:w="414" w:type="dxa"/>
          <w:tblCellMar>
            <w:left w:w="70" w:type="dxa"/>
            <w:right w:w="70" w:type="dxa"/>
          </w:tblCellMar>
          <w:tblLook w:val="04A0"/>
        </w:tblPrEx>
        <w:trPr>
          <w:trHeight w:val="240"/>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1.6. príjmy zo splátok úver. a pôžič. - NFV (FO)</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3 222,7</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2 910,3</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44 026,2</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22 647,9</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166,4</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35 978,7</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17 639,9</w:t>
            </w:r>
          </w:p>
        </w:tc>
      </w:tr>
      <w:tr>
        <w:tblPrEx>
          <w:tblW w:w="9077" w:type="dxa"/>
          <w:jc w:val="center"/>
          <w:tblInd w:w="414" w:type="dxa"/>
          <w:tblCellMar>
            <w:left w:w="70" w:type="dxa"/>
            <w:right w:w="70" w:type="dxa"/>
          </w:tblCellMar>
          <w:tblLook w:val="04A0"/>
        </w:tblPrEx>
        <w:trPr>
          <w:trHeight w:val="240"/>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1.7. MH Invest (FO)</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5 619,9</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r>
      <w:tr>
        <w:tblPrEx>
          <w:tblW w:w="9077" w:type="dxa"/>
          <w:jc w:val="center"/>
          <w:tblInd w:w="414" w:type="dxa"/>
          <w:tblCellMar>
            <w:left w:w="70" w:type="dxa"/>
            <w:right w:w="70" w:type="dxa"/>
          </w:tblCellMar>
          <w:tblLook w:val="04A0"/>
        </w:tblPrEx>
        <w:trPr>
          <w:trHeight w:val="300"/>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1.8. vrátenie nepoužitých fin. prostr. na oddlženie</w:t>
              <w:br/>
              <w:t xml:space="preserve">       zdravot. zar. v roku 2009 (FO)</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1 290,3</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r>
      <w:tr>
        <w:tblPrEx>
          <w:tblW w:w="9077" w:type="dxa"/>
          <w:jc w:val="center"/>
          <w:tblInd w:w="414" w:type="dxa"/>
          <w:tblCellMar>
            <w:left w:w="70" w:type="dxa"/>
            <w:right w:w="70" w:type="dxa"/>
          </w:tblCellMar>
          <w:tblLook w:val="04A0"/>
        </w:tblPrEx>
        <w:trPr>
          <w:trHeight w:val="240"/>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1.9. posilnenie ŠFA zo zost. min. rokov FNM SR</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67 715,6</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13 865,0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213 865,0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r>
      <w:tr>
        <w:tblPrEx>
          <w:tblW w:w="9077" w:type="dxa"/>
          <w:jc w:val="center"/>
          <w:tblInd w:w="414" w:type="dxa"/>
          <w:tblCellMar>
            <w:left w:w="70" w:type="dxa"/>
            <w:right w:w="70" w:type="dxa"/>
          </w:tblCellMar>
          <w:tblLook w:val="04A0"/>
        </w:tblPrEx>
        <w:trPr>
          <w:trHeight w:val="240"/>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1.10. NFV mestu Žilina</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20 198,1</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r>
      <w:tr>
        <w:tblPrEx>
          <w:tblW w:w="9077" w:type="dxa"/>
          <w:jc w:val="center"/>
          <w:tblInd w:w="414" w:type="dxa"/>
          <w:tblCellMar>
            <w:left w:w="70" w:type="dxa"/>
            <w:right w:w="70" w:type="dxa"/>
          </w:tblCellMar>
          <w:tblLook w:val="04A0"/>
        </w:tblPrEx>
        <w:trPr>
          <w:trHeight w:val="240"/>
          <w:jc w:val="center"/>
        </w:trPr>
        <w:tc>
          <w:tcPr>
            <w:tcW w:w="3078" w:type="dxa"/>
            <w:tcBorders>
              <w:top w:val="single" w:sz="4" w:space="0" w:color="auto"/>
              <w:left w:val="single" w:sz="8" w:space="0" w:color="auto"/>
              <w:bottom w:val="single" w:sz="4" w:space="0" w:color="auto"/>
              <w:right w:val="single" w:sz="4" w:space="0" w:color="auto"/>
            </w:tcBorders>
            <w:noWrap/>
            <w:textDirection w:val="lrTb"/>
            <w:vAlign w:val="center"/>
            <w:hideMark/>
          </w:tcPr>
          <w:p w:rsidR="000B4441" w:rsidRPr="00E17B00" w:rsidP="00F576BD">
            <w:pPr>
              <w:bidi w:val="0"/>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2. Výdavky</w:t>
            </w:r>
            <w:r w:rsidRPr="00E17B00">
              <w:rPr>
                <w:rFonts w:ascii="Times New Roman" w:hAnsi="Times New Roman" w:cs="Times New Roman"/>
                <w:sz w:val="14"/>
                <w:szCs w:val="14"/>
                <w:lang w:eastAsia="sk-SK"/>
              </w:rPr>
              <w:t xml:space="preserve"> - zníženie ŠFA </w:t>
            </w:r>
          </w:p>
        </w:tc>
        <w:tc>
          <w:tcPr>
            <w:tcW w:w="857" w:type="dxa"/>
            <w:tcBorders>
              <w:top w:val="single" w:sz="4" w:space="0" w:color="auto"/>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2 253 370,1</w:t>
            </w:r>
          </w:p>
        </w:tc>
        <w:tc>
          <w:tcPr>
            <w:tcW w:w="857" w:type="dxa"/>
            <w:tcBorders>
              <w:top w:val="single" w:sz="4" w:space="0" w:color="auto"/>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631 754,4</w:t>
            </w:r>
          </w:p>
        </w:tc>
        <w:tc>
          <w:tcPr>
            <w:tcW w:w="857" w:type="dxa"/>
            <w:tcBorders>
              <w:top w:val="single" w:sz="4" w:space="0" w:color="auto"/>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303 070,2</w:t>
            </w:r>
          </w:p>
        </w:tc>
        <w:tc>
          <w:tcPr>
            <w:tcW w:w="857" w:type="dxa"/>
            <w:tcBorders>
              <w:top w:val="single" w:sz="4" w:space="0" w:color="auto"/>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730 067,6</w:t>
            </w:r>
          </w:p>
        </w:tc>
        <w:tc>
          <w:tcPr>
            <w:tcW w:w="857" w:type="dxa"/>
            <w:tcBorders>
              <w:top w:val="single" w:sz="4" w:space="0" w:color="auto"/>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388 709,1</w:t>
            </w:r>
          </w:p>
        </w:tc>
        <w:tc>
          <w:tcPr>
            <w:tcW w:w="857" w:type="dxa"/>
            <w:tcBorders>
              <w:top w:val="single" w:sz="4" w:space="0" w:color="auto"/>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361 055,5</w:t>
            </w:r>
          </w:p>
        </w:tc>
        <w:tc>
          <w:tcPr>
            <w:tcW w:w="857" w:type="dxa"/>
            <w:tcBorders>
              <w:top w:val="single" w:sz="4" w:space="0" w:color="auto"/>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356 400,6</w:t>
            </w:r>
          </w:p>
        </w:tc>
      </w:tr>
      <w:tr>
        <w:tblPrEx>
          <w:tblW w:w="9077" w:type="dxa"/>
          <w:jc w:val="center"/>
          <w:tblInd w:w="414" w:type="dxa"/>
          <w:tblCellMar>
            <w:left w:w="70" w:type="dxa"/>
            <w:right w:w="70" w:type="dxa"/>
          </w:tblCellMar>
          <w:tblLook w:val="04A0"/>
        </w:tblPrEx>
        <w:trPr>
          <w:trHeight w:val="240"/>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2.1. prevod prostr. z dividend od FNM SR do ŠR</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531 879,0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544 230,4</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298 204,0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373 979,0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385 863,6</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358 083,6</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353 354,6</w:t>
            </w:r>
          </w:p>
        </w:tc>
      </w:tr>
      <w:tr>
        <w:tblPrEx>
          <w:tblW w:w="9077" w:type="dxa"/>
          <w:jc w:val="center"/>
          <w:tblInd w:w="414" w:type="dxa"/>
          <w:tblCellMar>
            <w:left w:w="70" w:type="dxa"/>
            <w:right w:w="70" w:type="dxa"/>
          </w:tblCellMar>
          <w:tblLook w:val="04A0"/>
        </w:tblPrEx>
        <w:trPr>
          <w:trHeight w:val="240"/>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2.2. poskyt. úver. a pôž., účasť v medz. org. (FO)</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10 211,2</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827,7</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4 866,2</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4 866,2</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2 845,5</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2 971,9</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3 046,0</w:t>
            </w:r>
          </w:p>
        </w:tc>
      </w:tr>
      <w:tr>
        <w:tblPrEx>
          <w:tblW w:w="9077" w:type="dxa"/>
          <w:jc w:val="center"/>
          <w:tblInd w:w="414" w:type="dxa"/>
          <w:tblCellMar>
            <w:left w:w="70" w:type="dxa"/>
            <w:right w:w="70" w:type="dxa"/>
          </w:tblCellMar>
          <w:tblLook w:val="04A0"/>
        </w:tblPrEx>
        <w:trPr>
          <w:trHeight w:val="240"/>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2.3. prevod prostriedkov do Sociálnej poisťovne</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875 300,0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75 507,4</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r>
      <w:tr>
        <w:tblPrEx>
          <w:tblW w:w="9077" w:type="dxa"/>
          <w:jc w:val="center"/>
          <w:tblInd w:w="414" w:type="dxa"/>
          <w:tblCellMar>
            <w:left w:w="70" w:type="dxa"/>
            <w:right w:w="70" w:type="dxa"/>
          </w:tblCellMar>
          <w:tblLook w:val="04A0"/>
        </w:tblPrEx>
        <w:trPr>
          <w:trHeight w:val="240"/>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2.4. vklad do ZI EXIMBANKY SR (FO)</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41 439,0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r>
      <w:tr>
        <w:tblPrEx>
          <w:tblW w:w="9077" w:type="dxa"/>
          <w:jc w:val="center"/>
          <w:tblInd w:w="414" w:type="dxa"/>
          <w:tblCellMar>
            <w:left w:w="70" w:type="dxa"/>
            <w:right w:w="70" w:type="dxa"/>
          </w:tblCellMar>
          <w:tblLook w:val="04A0"/>
        </w:tblPrEx>
        <w:trPr>
          <w:trHeight w:val="240"/>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2.5. vklad do ZI SZRB, a. s. (FO)</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32 368,0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r>
      <w:tr>
        <w:tblPrEx>
          <w:tblW w:w="9077" w:type="dxa"/>
          <w:jc w:val="center"/>
          <w:tblInd w:w="414" w:type="dxa"/>
          <w:tblCellMar>
            <w:left w:w="70" w:type="dxa"/>
            <w:right w:w="70" w:type="dxa"/>
          </w:tblCellMar>
          <w:tblLook w:val="04A0"/>
        </w:tblPrEx>
        <w:trPr>
          <w:trHeight w:val="240"/>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2.6. vklad do ZI SPV - pr. širokorozch. trať (FO)</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1 525,0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r>
      <w:tr>
        <w:tblPrEx>
          <w:tblW w:w="9077" w:type="dxa"/>
          <w:jc w:val="center"/>
          <w:tblInd w:w="414" w:type="dxa"/>
          <w:tblCellMar>
            <w:left w:w="70" w:type="dxa"/>
            <w:right w:w="70" w:type="dxa"/>
          </w:tblCellMar>
          <w:tblLook w:val="04A0"/>
        </w:tblPrEx>
        <w:trPr>
          <w:trHeight w:val="240"/>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2.7. vklad do ZI NÚSCH</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17 326,0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r>
      <w:tr>
        <w:tblPrEx>
          <w:tblW w:w="9077" w:type="dxa"/>
          <w:jc w:val="center"/>
          <w:tblInd w:w="414" w:type="dxa"/>
          <w:tblCellMar>
            <w:left w:w="70" w:type="dxa"/>
            <w:right w:w="70" w:type="dxa"/>
          </w:tblCellMar>
          <w:tblLook w:val="04A0"/>
        </w:tblPrEx>
        <w:trPr>
          <w:trHeight w:val="240"/>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2.8. Transpetrol, a. s. - spätné odkúp. akcií (FO)</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180 519,0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r>
      <w:tr>
        <w:tblPrEx>
          <w:tblW w:w="9077" w:type="dxa"/>
          <w:jc w:val="center"/>
          <w:tblInd w:w="414" w:type="dxa"/>
          <w:tblCellMar>
            <w:left w:w="70" w:type="dxa"/>
            <w:right w:w="70" w:type="dxa"/>
          </w:tblCellMar>
          <w:tblLook w:val="04A0"/>
        </w:tblPrEx>
        <w:trPr>
          <w:trHeight w:val="344"/>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2.9. zvýšenie ZI Všeobecnej zdravotnej poisťovne,</w:t>
              <w:br/>
              <w:t xml:space="preserve">       a. s. (FO)</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65 100,0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r>
      <w:tr>
        <w:tblPrEx>
          <w:tblW w:w="9077" w:type="dxa"/>
          <w:jc w:val="center"/>
          <w:tblInd w:w="414" w:type="dxa"/>
          <w:tblCellMar>
            <w:left w:w="70" w:type="dxa"/>
            <w:right w:w="70" w:type="dxa"/>
          </w:tblCellMar>
          <w:tblLook w:val="04A0"/>
        </w:tblPrEx>
        <w:trPr>
          <w:trHeight w:val="265"/>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2.10. NFV mestu Žilina - KIA Hyundai</w:t>
              <w:br/>
              <w:t xml:space="preserve">         (Uzn. vl. 750/2009) (FO)</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1 932,0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r>
      <w:tr>
        <w:tblPrEx>
          <w:tblW w:w="9077" w:type="dxa"/>
          <w:jc w:val="center"/>
          <w:tblInd w:w="414" w:type="dxa"/>
          <w:tblCellMar>
            <w:left w:w="70" w:type="dxa"/>
            <w:right w:w="70" w:type="dxa"/>
          </w:tblCellMar>
          <w:tblLook w:val="04A0"/>
        </w:tblPrEx>
        <w:trPr>
          <w:trHeight w:val="354"/>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 xml:space="preserve">2.11. NFV </w:t>
            </w:r>
            <w:r>
              <w:rPr>
                <w:rFonts w:ascii="Times New Roman" w:hAnsi="Times New Roman" w:cs="Times New Roman"/>
                <w:sz w:val="14"/>
                <w:szCs w:val="14"/>
                <w:lang w:eastAsia="sk-SK"/>
              </w:rPr>
              <w:t xml:space="preserve">pre MH Invest - </w:t>
            </w:r>
            <w:r w:rsidRPr="00E17B00">
              <w:rPr>
                <w:rFonts w:ascii="Times New Roman" w:hAnsi="Times New Roman" w:cs="Times New Roman"/>
                <w:sz w:val="14"/>
                <w:szCs w:val="14"/>
                <w:lang w:eastAsia="sk-SK"/>
              </w:rPr>
              <w:t xml:space="preserve">AU Optronics (L) </w:t>
            </w:r>
          </w:p>
          <w:p w:rsidR="000B4441" w:rsidRPr="00E17B00" w:rsidP="00F576BD">
            <w:pPr>
              <w:bidi w:val="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Corporation </w:t>
            </w:r>
            <w:r w:rsidRPr="00E17B00">
              <w:rPr>
                <w:rFonts w:ascii="Times New Roman" w:hAnsi="Times New Roman" w:cs="Times New Roman"/>
                <w:sz w:val="14"/>
                <w:szCs w:val="14"/>
                <w:lang w:eastAsia="sk-SK"/>
              </w:rPr>
              <w:t>(Uzn. vl. 865/2009) (FO)</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5 619,9</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r>
      <w:tr>
        <w:tblPrEx>
          <w:tblW w:w="9077" w:type="dxa"/>
          <w:jc w:val="center"/>
          <w:tblInd w:w="414" w:type="dxa"/>
          <w:tblCellMar>
            <w:left w:w="70" w:type="dxa"/>
            <w:right w:w="70" w:type="dxa"/>
          </w:tblCellMar>
          <w:tblLook w:val="04A0"/>
        </w:tblPrEx>
        <w:trPr>
          <w:trHeight w:val="290"/>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2.12. vklad do ZI Letiska M. R. Štefánika - Airport</w:t>
              <w:br/>
              <w:t xml:space="preserve">         Bratislava (FO)</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47 111,0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r>
      <w:tr>
        <w:tblPrEx>
          <w:tblW w:w="9077" w:type="dxa"/>
          <w:jc w:val="center"/>
          <w:tblInd w:w="414" w:type="dxa"/>
          <w:tblCellMar>
            <w:left w:w="70" w:type="dxa"/>
            <w:right w:w="70" w:type="dxa"/>
          </w:tblCellMar>
          <w:tblLook w:val="04A0"/>
        </w:tblPrEx>
        <w:trPr>
          <w:trHeight w:val="238"/>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2.13. vklad do ZI Letiska M. R. Štefánika - Airport</w:t>
              <w:br/>
              <w:t xml:space="preserve">         Bratislava</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5 999,0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9 958,2</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r>
      <w:tr>
        <w:tblPrEx>
          <w:tblW w:w="9077" w:type="dxa"/>
          <w:jc w:val="center"/>
          <w:tblInd w:w="414" w:type="dxa"/>
          <w:tblCellMar>
            <w:left w:w="70" w:type="dxa"/>
            <w:right w:w="70" w:type="dxa"/>
          </w:tblCellMar>
          <w:tblLook w:val="04A0"/>
        </w:tblPrEx>
        <w:trPr>
          <w:trHeight w:val="240"/>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2.14. Slovnaft,a.s. - rozsudok NS SR</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16 713,0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r>
      <w:tr>
        <w:tblPrEx>
          <w:tblW w:w="9077" w:type="dxa"/>
          <w:jc w:val="center"/>
          <w:tblInd w:w="414" w:type="dxa"/>
          <w:tblCellMar>
            <w:left w:w="70" w:type="dxa"/>
            <w:right w:w="70" w:type="dxa"/>
          </w:tblCellMar>
          <w:tblLook w:val="04A0"/>
        </w:tblPrEx>
        <w:trPr>
          <w:trHeight w:val="240"/>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2.15. zvýšenie ZI Nemocnice sv. Michala, a. s.</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53 300,0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r>
      <w:tr>
        <w:tblPrEx>
          <w:tblW w:w="9077" w:type="dxa"/>
          <w:jc w:val="center"/>
          <w:tblInd w:w="414" w:type="dxa"/>
          <w:tblCellMar>
            <w:left w:w="70" w:type="dxa"/>
            <w:right w:w="70" w:type="dxa"/>
          </w:tblCellMar>
          <w:tblLook w:val="04A0"/>
        </w:tblPrEx>
        <w:trPr>
          <w:trHeight w:val="240"/>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2.16. NFV Cargo Slovakia a.s.</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165 970,0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r>
      <w:tr>
        <w:tblPrEx>
          <w:tblW w:w="9077" w:type="dxa"/>
          <w:jc w:val="center"/>
          <w:tblInd w:w="414" w:type="dxa"/>
          <w:tblCellMar>
            <w:left w:w="70" w:type="dxa"/>
            <w:right w:w="70" w:type="dxa"/>
          </w:tblCellMar>
          <w:tblLook w:val="04A0"/>
        </w:tblPrEx>
        <w:trPr>
          <w:trHeight w:val="240"/>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2.17. NFV ŽSR</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69 906,0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r>
      <w:tr>
        <w:tblPrEx>
          <w:tblW w:w="9077" w:type="dxa"/>
          <w:jc w:val="center"/>
          <w:tblInd w:w="414" w:type="dxa"/>
          <w:tblCellMar>
            <w:left w:w="70" w:type="dxa"/>
            <w:right w:w="70" w:type="dxa"/>
          </w:tblCellMar>
          <w:tblLook w:val="04A0"/>
        </w:tblPrEx>
        <w:trPr>
          <w:trHeight w:val="328"/>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2.18. zvýšenie ZI MH SR Invest, s.r.o. - projekt</w:t>
              <w:br/>
              <w:t xml:space="preserve">         Samsung (Uzn. vl. 1070/2006 a č. 229/2007)</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1 389,0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r>
      <w:tr>
        <w:tblPrEx>
          <w:tblW w:w="9077" w:type="dxa"/>
          <w:jc w:val="center"/>
          <w:tblInd w:w="414" w:type="dxa"/>
          <w:tblCellMar>
            <w:left w:w="70" w:type="dxa"/>
            <w:right w:w="70" w:type="dxa"/>
          </w:tblCellMar>
          <w:tblLook w:val="04A0"/>
        </w:tblPrEx>
        <w:trPr>
          <w:trHeight w:val="275"/>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2.19. MZ SR - oddlženie zdravot. zariadení (NFV)</w:t>
              <w:br/>
              <w:t xml:space="preserve">         (Uzn. vl. 938/2008)</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129 763,0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r>
      <w:tr>
        <w:tblPrEx>
          <w:tblW w:w="9077" w:type="dxa"/>
          <w:jc w:val="center"/>
          <w:tblInd w:w="414" w:type="dxa"/>
          <w:tblCellMar>
            <w:left w:w="70" w:type="dxa"/>
            <w:right w:w="70" w:type="dxa"/>
          </w:tblCellMar>
          <w:tblLook w:val="04A0"/>
        </w:tblPrEx>
        <w:trPr>
          <w:trHeight w:val="240"/>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2.20. vklad do základného imania MH Invest</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1 047,5</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r>
      <w:tr>
        <w:tblPrEx>
          <w:tblW w:w="9077" w:type="dxa"/>
          <w:jc w:val="center"/>
          <w:tblInd w:w="414" w:type="dxa"/>
          <w:tblCellMar>
            <w:left w:w="70" w:type="dxa"/>
            <w:right w:w="70" w:type="dxa"/>
          </w:tblCellMar>
          <w:tblLook w:val="04A0"/>
        </w:tblPrEx>
        <w:trPr>
          <w:trHeight w:val="240"/>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2.21. vklad do základného imania EFSF (FO)</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183,2</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r>
      <w:tr>
        <w:tblPrEx>
          <w:tblW w:w="9077" w:type="dxa"/>
          <w:jc w:val="center"/>
          <w:tblInd w:w="414" w:type="dxa"/>
          <w:tblCellMar>
            <w:left w:w="70" w:type="dxa"/>
            <w:right w:w="70" w:type="dxa"/>
          </w:tblCellMar>
          <w:tblLook w:val="04A0"/>
        </w:tblPrEx>
        <w:trPr>
          <w:trHeight w:val="240"/>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2.22. vklad do KI Vojenské lesy a majetky, š.p.</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161,9</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r>
      <w:tr>
        <w:tblPrEx>
          <w:tblW w:w="9077" w:type="dxa"/>
          <w:jc w:val="center"/>
          <w:tblInd w:w="414" w:type="dxa"/>
          <w:tblCellMar>
            <w:left w:w="70" w:type="dxa"/>
            <w:right w:w="70" w:type="dxa"/>
          </w:tblCellMar>
          <w:tblLook w:val="04A0"/>
        </w:tblPrEx>
        <w:trPr>
          <w:trHeight w:val="240"/>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2.23. vklad do MH Invest (FO)</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1 060,5</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r>
      <w:tr>
        <w:tblPrEx>
          <w:tblW w:w="9077" w:type="dxa"/>
          <w:jc w:val="center"/>
          <w:tblInd w:w="414" w:type="dxa"/>
          <w:tblCellMar>
            <w:left w:w="70" w:type="dxa"/>
            <w:right w:w="70" w:type="dxa"/>
          </w:tblCellMar>
          <w:tblLook w:val="04A0"/>
        </w:tblPrEx>
        <w:trPr>
          <w:trHeight w:val="240"/>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2.24. prostriedky na oddlženie zdravot. zariadení</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350 000,0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0,0</w:t>
            </w:r>
          </w:p>
        </w:tc>
      </w:tr>
      <w:tr>
        <w:tblPrEx>
          <w:tblW w:w="9077" w:type="dxa"/>
          <w:jc w:val="center"/>
          <w:tblInd w:w="414" w:type="dxa"/>
          <w:tblCellMar>
            <w:left w:w="70" w:type="dxa"/>
            <w:right w:w="70" w:type="dxa"/>
          </w:tblCellMar>
          <w:tblLook w:val="04A0"/>
        </w:tblPrEx>
        <w:trPr>
          <w:trHeight w:val="240"/>
          <w:jc w:val="center"/>
        </w:trPr>
        <w:tc>
          <w:tcPr>
            <w:tcW w:w="3078"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 xml:space="preserve">Saldo rozpočtových operácií </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-1 696 473,4</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12 608,9</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75 621,2</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-11 705,4</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161 850,9</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146 900,3</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129 003,8</w:t>
            </w:r>
          </w:p>
        </w:tc>
      </w:tr>
      <w:tr>
        <w:tblPrEx>
          <w:tblW w:w="9077" w:type="dxa"/>
          <w:jc w:val="center"/>
          <w:tblInd w:w="414" w:type="dxa"/>
          <w:tblCellMar>
            <w:left w:w="70" w:type="dxa"/>
            <w:right w:w="70" w:type="dxa"/>
          </w:tblCellMar>
          <w:tblLook w:val="04A0"/>
        </w:tblPrEx>
        <w:trPr>
          <w:trHeight w:val="240"/>
          <w:jc w:val="center"/>
        </w:trPr>
        <w:tc>
          <w:tcPr>
            <w:tcW w:w="3078" w:type="dxa"/>
            <w:tcBorders>
              <w:top w:val="nil"/>
              <w:left w:val="single" w:sz="8" w:space="0" w:color="auto"/>
              <w:bottom w:val="single" w:sz="4" w:space="0" w:color="auto"/>
              <w:right w:val="single" w:sz="4" w:space="0" w:color="auto"/>
            </w:tcBorders>
            <w:noWrap/>
            <w:textDirection w:val="lrTb"/>
            <w:vAlign w:val="center"/>
            <w:hideMark/>
          </w:tcPr>
          <w:p w:rsidR="000B4441" w:rsidRPr="00E17B00" w:rsidP="00F576BD">
            <w:pPr>
              <w:bidi w:val="0"/>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Vylúčenie finančných operácií</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381 945,4</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-9 498,4</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-39 748,6</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-17 309,8</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2 156,7</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-33 560,8</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-15 000,4</w:t>
            </w:r>
          </w:p>
        </w:tc>
      </w:tr>
      <w:tr>
        <w:tblPrEx>
          <w:tblW w:w="9077" w:type="dxa"/>
          <w:jc w:val="center"/>
          <w:tblInd w:w="414" w:type="dxa"/>
          <w:tblCellMar>
            <w:left w:w="70" w:type="dxa"/>
            <w:right w:w="70" w:type="dxa"/>
          </w:tblCellMar>
          <w:tblLook w:val="04A0"/>
        </w:tblPrEx>
        <w:trPr>
          <w:trHeight w:val="240"/>
          <w:jc w:val="center"/>
        </w:trPr>
        <w:tc>
          <w:tcPr>
            <w:tcW w:w="3078" w:type="dxa"/>
            <w:tcBorders>
              <w:top w:val="nil"/>
              <w:left w:val="single" w:sz="8" w:space="0" w:color="auto"/>
              <w:bottom w:val="single" w:sz="4" w:space="0" w:color="auto"/>
              <w:right w:val="single" w:sz="4" w:space="0" w:color="auto"/>
            </w:tcBorders>
            <w:noWrap/>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 xml:space="preserve">      vylúčenie príjmových FO</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-3 879,7</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-10 509,3</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-44 614,8</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-23 236,5</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-688,8</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-36 532,7</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-18 046,4</w:t>
            </w:r>
          </w:p>
        </w:tc>
      </w:tr>
      <w:tr>
        <w:tblPrEx>
          <w:tblW w:w="9077" w:type="dxa"/>
          <w:jc w:val="center"/>
          <w:tblInd w:w="414" w:type="dxa"/>
          <w:tblCellMar>
            <w:left w:w="70" w:type="dxa"/>
            <w:right w:w="70" w:type="dxa"/>
          </w:tblCellMar>
          <w:tblLook w:val="04A0"/>
        </w:tblPrEx>
        <w:trPr>
          <w:trHeight w:val="240"/>
          <w:jc w:val="center"/>
        </w:trPr>
        <w:tc>
          <w:tcPr>
            <w:tcW w:w="3078" w:type="dxa"/>
            <w:tcBorders>
              <w:top w:val="nil"/>
              <w:left w:val="single" w:sz="8" w:space="0" w:color="auto"/>
              <w:bottom w:val="single" w:sz="4" w:space="0" w:color="auto"/>
              <w:right w:val="single" w:sz="4" w:space="0" w:color="auto"/>
            </w:tcBorders>
            <w:noWrap/>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 xml:space="preserve">      vylúčenie výdavkových FO</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385 825,1</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1 010,9</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4 866,2</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5 926,7</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2 845,5</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2 971,9</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3 046,0</w:t>
            </w:r>
          </w:p>
        </w:tc>
      </w:tr>
      <w:tr>
        <w:tblPrEx>
          <w:tblW w:w="9077" w:type="dxa"/>
          <w:jc w:val="center"/>
          <w:tblInd w:w="414" w:type="dxa"/>
          <w:tblCellMar>
            <w:left w:w="70" w:type="dxa"/>
            <w:right w:w="70" w:type="dxa"/>
          </w:tblCellMar>
          <w:tblLook w:val="04A0"/>
        </w:tblPrEx>
        <w:trPr>
          <w:trHeight w:val="240"/>
          <w:jc w:val="center"/>
        </w:trPr>
        <w:tc>
          <w:tcPr>
            <w:tcW w:w="3078" w:type="dxa"/>
            <w:tcBorders>
              <w:top w:val="nil"/>
              <w:left w:val="single" w:sz="8" w:space="0" w:color="auto"/>
              <w:bottom w:val="single" w:sz="4" w:space="0" w:color="auto"/>
              <w:right w:val="single" w:sz="4" w:space="0" w:color="auto"/>
            </w:tcBorders>
            <w:noWrap/>
            <w:textDirection w:val="lrTb"/>
            <w:vAlign w:val="center"/>
            <w:hideMark/>
          </w:tcPr>
          <w:p w:rsidR="000B4441" w:rsidRPr="00E17B00" w:rsidP="00F576BD">
            <w:pPr>
              <w:bidi w:val="0"/>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Ostatné úpravy</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153,0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107,0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0,0</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0,0</w:t>
            </w:r>
          </w:p>
        </w:tc>
      </w:tr>
      <w:tr>
        <w:tblPrEx>
          <w:tblW w:w="9077" w:type="dxa"/>
          <w:jc w:val="center"/>
          <w:tblInd w:w="414" w:type="dxa"/>
          <w:tblCellMar>
            <w:left w:w="70" w:type="dxa"/>
            <w:right w:w="70" w:type="dxa"/>
          </w:tblCellMar>
          <w:tblLook w:val="04A0"/>
        </w:tblPrEx>
        <w:trPr>
          <w:trHeight w:val="240"/>
          <w:jc w:val="center"/>
        </w:trPr>
        <w:tc>
          <w:tcPr>
            <w:tcW w:w="3078" w:type="dxa"/>
            <w:tcBorders>
              <w:top w:val="nil"/>
              <w:left w:val="single" w:sz="8" w:space="0" w:color="auto"/>
              <w:bottom w:val="single" w:sz="4" w:space="0" w:color="auto"/>
              <w:right w:val="single" w:sz="4" w:space="0" w:color="auto"/>
            </w:tcBorders>
            <w:noWrap/>
            <w:textDirection w:val="lrTb"/>
            <w:vAlign w:val="center"/>
            <w:hideMark/>
          </w:tcPr>
          <w:p w:rsidR="000B4441" w:rsidRPr="00E17B00" w:rsidP="00F576BD">
            <w:pPr>
              <w:bidi w:val="0"/>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Prekl. nevydob. NFV poskyt. nefin.korpor. (š.p.) v minulosti</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-77 800,0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0,0</w:t>
            </w:r>
          </w:p>
        </w:tc>
        <w:tc>
          <w:tcPr>
            <w:tcW w:w="857"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0,0</w:t>
            </w:r>
          </w:p>
        </w:tc>
      </w:tr>
      <w:tr>
        <w:tblPrEx>
          <w:tblW w:w="9077" w:type="dxa"/>
          <w:jc w:val="center"/>
          <w:tblInd w:w="414" w:type="dxa"/>
          <w:tblCellMar>
            <w:left w:w="70" w:type="dxa"/>
            <w:right w:w="70" w:type="dxa"/>
          </w:tblCellMar>
          <w:tblLook w:val="04A0"/>
        </w:tblPrEx>
        <w:trPr>
          <w:trHeight w:val="405"/>
          <w:jc w:val="center"/>
        </w:trPr>
        <w:tc>
          <w:tcPr>
            <w:tcW w:w="3078" w:type="dxa"/>
            <w:tcBorders>
              <w:top w:val="single" w:sz="4" w:space="0" w:color="auto"/>
              <w:left w:val="single" w:sz="8" w:space="0" w:color="auto"/>
              <w:bottom w:val="single" w:sz="8" w:space="0" w:color="auto"/>
              <w:right w:val="single" w:sz="4" w:space="0" w:color="auto"/>
            </w:tcBorders>
            <w:textDirection w:val="lrTb"/>
            <w:vAlign w:val="center"/>
            <w:hideMark/>
          </w:tcPr>
          <w:p w:rsidR="000B4441" w:rsidRPr="00E17B00" w:rsidP="00F576BD">
            <w:pPr>
              <w:bidi w:val="0"/>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Saldo rozpočtových operácií bez FO</w:t>
              <w:br/>
            </w:r>
            <w:r w:rsidRPr="00E17B00">
              <w:rPr>
                <w:rFonts w:ascii="Times New Roman" w:hAnsi="Times New Roman" w:cs="Times New Roman"/>
                <w:sz w:val="14"/>
                <w:szCs w:val="14"/>
                <w:lang w:eastAsia="sk-SK"/>
              </w:rPr>
              <w:t>(vplyv na RVS v metodike ESA 95)</w:t>
            </w:r>
          </w:p>
        </w:tc>
        <w:tc>
          <w:tcPr>
            <w:tcW w:w="857" w:type="dxa"/>
            <w:tcBorders>
              <w:top w:val="single" w:sz="4" w:space="0" w:color="auto"/>
              <w:left w:val="nil"/>
              <w:bottom w:val="single" w:sz="8"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-1 314 375,0</w:t>
            </w:r>
          </w:p>
        </w:tc>
        <w:tc>
          <w:tcPr>
            <w:tcW w:w="857" w:type="dxa"/>
            <w:tcBorders>
              <w:top w:val="single" w:sz="4" w:space="0" w:color="auto"/>
              <w:left w:val="nil"/>
              <w:bottom w:val="single" w:sz="8"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-74 582,5</w:t>
            </w:r>
          </w:p>
        </w:tc>
        <w:tc>
          <w:tcPr>
            <w:tcW w:w="857" w:type="dxa"/>
            <w:tcBorders>
              <w:top w:val="single" w:sz="4" w:space="0" w:color="auto"/>
              <w:left w:val="nil"/>
              <w:bottom w:val="single" w:sz="8"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35 872,6</w:t>
            </w:r>
          </w:p>
        </w:tc>
        <w:tc>
          <w:tcPr>
            <w:tcW w:w="857" w:type="dxa"/>
            <w:tcBorders>
              <w:top w:val="single" w:sz="4" w:space="0" w:color="auto"/>
              <w:left w:val="nil"/>
              <w:bottom w:val="single" w:sz="8"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-29 015,2</w:t>
            </w:r>
          </w:p>
        </w:tc>
        <w:tc>
          <w:tcPr>
            <w:tcW w:w="857" w:type="dxa"/>
            <w:tcBorders>
              <w:top w:val="single" w:sz="4" w:space="0" w:color="auto"/>
              <w:left w:val="nil"/>
              <w:bottom w:val="single" w:sz="8"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164 007,6</w:t>
            </w:r>
          </w:p>
        </w:tc>
        <w:tc>
          <w:tcPr>
            <w:tcW w:w="857" w:type="dxa"/>
            <w:tcBorders>
              <w:top w:val="single" w:sz="4" w:space="0" w:color="auto"/>
              <w:left w:val="nil"/>
              <w:bottom w:val="single" w:sz="8"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113 339,5</w:t>
            </w:r>
          </w:p>
        </w:tc>
        <w:tc>
          <w:tcPr>
            <w:tcW w:w="857" w:type="dxa"/>
            <w:tcBorders>
              <w:top w:val="single" w:sz="4" w:space="0" w:color="auto"/>
              <w:left w:val="nil"/>
              <w:bottom w:val="single" w:sz="8"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114 003,4</w:t>
            </w:r>
          </w:p>
        </w:tc>
      </w:tr>
    </w:tbl>
    <w:p w:rsidR="000B4441" w:rsidP="000B4441">
      <w:pPr>
        <w:bidi w:val="0"/>
        <w:ind w:firstLine="708"/>
        <w:jc w:val="both"/>
        <w:rPr>
          <w:rFonts w:ascii="Times New Roman" w:hAnsi="Times New Roman" w:cs="Times New Roman"/>
        </w:rPr>
      </w:pPr>
      <w:r w:rsidRPr="00CD6110">
        <w:rPr>
          <w:rFonts w:ascii="Times New Roman" w:hAnsi="Times New Roman" w:cs="Times New Roman"/>
        </w:rPr>
        <w:t xml:space="preserve">Finančné operácie, ktoré ovplyvňujú stav štátnych finančných aktív, sa tak na strane príjmov ako aj na strane výdavkov vylučujú z príjmov a výdavkov štátneho rozpočtu podľa metodiky ESA 95. </w:t>
      </w:r>
    </w:p>
    <w:p w:rsidR="000B4441" w:rsidP="000B4441">
      <w:pPr>
        <w:bidi w:val="0"/>
        <w:ind w:firstLine="708"/>
        <w:jc w:val="both"/>
        <w:rPr>
          <w:rFonts w:ascii="Times New Roman" w:hAnsi="Times New Roman" w:cs="Times New Roman"/>
        </w:rPr>
      </w:pPr>
    </w:p>
    <w:p w:rsidR="000B4441" w:rsidRPr="00CD6110" w:rsidP="000B4441">
      <w:pPr>
        <w:pStyle w:val="Heading2"/>
        <w:bidi w:val="0"/>
        <w:spacing w:before="0" w:after="0"/>
        <w:rPr>
          <w:rFonts w:ascii="Times New Roman" w:hAnsi="Times New Roman"/>
          <w:i w:val="0"/>
          <w:iCs w:val="0"/>
          <w:sz w:val="24"/>
          <w:szCs w:val="24"/>
        </w:rPr>
      </w:pPr>
      <w:bookmarkStart w:id="73" w:name="_Toc143348614"/>
      <w:bookmarkStart w:id="74" w:name="_Toc148255260"/>
      <w:bookmarkStart w:id="75" w:name="_Toc174871977"/>
      <w:bookmarkStart w:id="76" w:name="_Toc206478412"/>
      <w:bookmarkStart w:id="77" w:name="_Toc241846650"/>
      <w:bookmarkStart w:id="78" w:name="_Toc273979633"/>
      <w:bookmarkStart w:id="79" w:name="_Toc300912266"/>
      <w:bookmarkStart w:id="80" w:name="_Toc306089070"/>
      <w:r>
        <w:rPr>
          <w:rFonts w:ascii="Times New Roman" w:hAnsi="Times New Roman"/>
          <w:i w:val="0"/>
          <w:iCs w:val="0"/>
          <w:sz w:val="24"/>
          <w:szCs w:val="24"/>
        </w:rPr>
        <w:t>6</w:t>
      </w:r>
      <w:r w:rsidRPr="00CD6110">
        <w:rPr>
          <w:rFonts w:ascii="Times New Roman" w:hAnsi="Times New Roman"/>
          <w:i w:val="0"/>
          <w:iCs w:val="0"/>
          <w:sz w:val="24"/>
          <w:szCs w:val="24"/>
        </w:rPr>
        <w:t>.1. Príjmové operácie</w:t>
      </w:r>
      <w:bookmarkEnd w:id="73"/>
      <w:bookmarkEnd w:id="74"/>
      <w:bookmarkEnd w:id="75"/>
      <w:bookmarkEnd w:id="76"/>
      <w:bookmarkEnd w:id="77"/>
      <w:bookmarkEnd w:id="78"/>
      <w:bookmarkEnd w:id="79"/>
      <w:bookmarkEnd w:id="80"/>
    </w:p>
    <w:p w:rsidR="000B4441" w:rsidRPr="00CD6110" w:rsidP="000B4441">
      <w:pPr>
        <w:bidi w:val="0"/>
        <w:ind w:firstLine="708"/>
        <w:jc w:val="both"/>
        <w:rPr>
          <w:rFonts w:ascii="Times New Roman" w:hAnsi="Times New Roman" w:cs="Times New Roman"/>
          <w:sz w:val="16"/>
          <w:szCs w:val="16"/>
          <w:highlight w:val="yellow"/>
          <w:u w:val="single"/>
        </w:rPr>
      </w:pPr>
    </w:p>
    <w:p w:rsidR="000B4441" w:rsidRPr="00CD6110" w:rsidP="000B4441">
      <w:pPr>
        <w:bidi w:val="0"/>
        <w:adjustRightInd w:val="0"/>
        <w:jc w:val="both"/>
        <w:rPr>
          <w:rFonts w:ascii="Times New Roman" w:hAnsi="Times New Roman" w:cs="Times New Roman"/>
        </w:rPr>
      </w:pPr>
      <w:bookmarkStart w:id="81" w:name="_Toc116476499"/>
      <w:bookmarkStart w:id="82" w:name="_Toc141529501"/>
      <w:r>
        <w:rPr>
          <w:rFonts w:ascii="Times New Roman" w:hAnsi="Times New Roman" w:cs="Times New Roman"/>
        </w:rPr>
        <w:t>6.1.1.</w:t>
        <w:tab/>
      </w:r>
      <w:r w:rsidRPr="00CD6110">
        <w:rPr>
          <w:rFonts w:ascii="Times New Roman" w:hAnsi="Times New Roman" w:cs="Times New Roman"/>
        </w:rPr>
        <w:t>Z hľadiska finančného objemu medzi najdôležitejšie príjmové operácie štátnych finančných aktív patria príjmy z Fondu národného majetku SR z dividend od spoločností s majetkovou účasťou Fondu národného majetku SR. Všetky riadne dividendy (v zmysle metodiky ESA 95 – ide len o dividendy získané z hospodárskej činnosti) sa prevedú do príjmov štátneho rozpočtu. Mimoriadne dividendy (napr. získané precenením majetku spoločnosti) posilnia štátne finančné aktíva a zostanú k dispozícii na ďalšie použitie.</w:t>
      </w:r>
    </w:p>
    <w:p w:rsidR="000B4441" w:rsidRPr="00CD6110" w:rsidP="000B4441">
      <w:pPr>
        <w:bidi w:val="0"/>
        <w:jc w:val="both"/>
        <w:rPr>
          <w:rFonts w:ascii="Times New Roman" w:hAnsi="Times New Roman" w:cs="Times New Roman"/>
          <w:sz w:val="16"/>
          <w:szCs w:val="16"/>
        </w:rPr>
      </w:pPr>
    </w:p>
    <w:p w:rsidR="000B4441" w:rsidP="000B4441">
      <w:pPr>
        <w:bidi w:val="0"/>
        <w:jc w:val="both"/>
        <w:rPr>
          <w:rFonts w:ascii="Times New Roman" w:hAnsi="Times New Roman" w:cs="Times New Roman"/>
        </w:rPr>
      </w:pPr>
      <w:r>
        <w:rPr>
          <w:rFonts w:ascii="Times New Roman" w:hAnsi="Times New Roman" w:cs="Times New Roman"/>
        </w:rPr>
        <w:t>6.1.2.</w:t>
        <w:tab/>
      </w:r>
      <w:r w:rsidRPr="00CD6110">
        <w:rPr>
          <w:rFonts w:ascii="Times New Roman" w:hAnsi="Times New Roman" w:cs="Times New Roman"/>
        </w:rPr>
        <w:t>Ide o príjem za zrealizované štátne záruky voči Vodohospodárskej výstavbe, š. p., ktoré v minulosti ovplyvnili schodok a dlh verejnej správy.</w:t>
      </w:r>
    </w:p>
    <w:p w:rsidR="000B4441" w:rsidRPr="00E01AF0" w:rsidP="000B4441">
      <w:pPr>
        <w:bidi w:val="0"/>
        <w:jc w:val="both"/>
        <w:rPr>
          <w:rFonts w:ascii="Times New Roman" w:hAnsi="Times New Roman" w:cs="Times New Roman"/>
          <w:sz w:val="16"/>
          <w:szCs w:val="16"/>
        </w:rPr>
      </w:pPr>
    </w:p>
    <w:p w:rsidR="000B4441" w:rsidP="000B4441">
      <w:pPr>
        <w:bidi w:val="0"/>
        <w:jc w:val="both"/>
        <w:rPr>
          <w:rFonts w:ascii="Times New Roman" w:hAnsi="Times New Roman" w:cs="Times New Roman"/>
        </w:rPr>
      </w:pPr>
      <w:r>
        <w:rPr>
          <w:rFonts w:ascii="Times New Roman" w:hAnsi="Times New Roman" w:cs="Times New Roman"/>
        </w:rPr>
        <w:t>6.1.3.</w:t>
        <w:tab/>
        <w:t>O</w:t>
      </w:r>
      <w:r w:rsidRPr="00E01AF0">
        <w:rPr>
          <w:rFonts w:ascii="Times New Roman" w:hAnsi="Times New Roman" w:cs="Times New Roman"/>
        </w:rPr>
        <w:t xml:space="preserve">dvod pre vybrané finančné inštitúcie </w:t>
      </w:r>
      <w:r>
        <w:rPr>
          <w:rFonts w:ascii="Times New Roman" w:hAnsi="Times New Roman" w:cs="Times New Roman"/>
        </w:rPr>
        <w:t>má</w:t>
      </w:r>
      <w:r w:rsidRPr="00E01AF0">
        <w:rPr>
          <w:rFonts w:ascii="Times New Roman" w:hAnsi="Times New Roman" w:cs="Times New Roman"/>
        </w:rPr>
        <w:t xml:space="preserve"> prispieť k vytvoreniu mechanizmov podieľania sa </w:t>
      </w:r>
      <w:r>
        <w:rPr>
          <w:rFonts w:ascii="Times New Roman" w:hAnsi="Times New Roman" w:cs="Times New Roman"/>
        </w:rPr>
        <w:t xml:space="preserve">týchto </w:t>
      </w:r>
      <w:r w:rsidRPr="00E01AF0">
        <w:rPr>
          <w:rFonts w:ascii="Times New Roman" w:hAnsi="Times New Roman" w:cs="Times New Roman"/>
        </w:rPr>
        <w:t>finančných inštitúcií na nákladoch budúcich finančných kríz v bankovom sektore, k zabezpečeniu spravodlivého rozdelenia záťaže a k predchádzaniu vzniku rozsiahlych výdavkov pre daňových poplatníkov, vládu a hospodárstvo v prípade riešenia finančných kríz, k stimulovaniu vybraných finančných inštitúcií obmedzovať systémové riziká a k ochrane stability finančného sektora Slovenskej republiky.</w:t>
      </w:r>
    </w:p>
    <w:p w:rsidR="000B4441" w:rsidP="000B4441">
      <w:pPr>
        <w:bidi w:val="0"/>
        <w:jc w:val="both"/>
        <w:rPr>
          <w:rFonts w:ascii="Times New Roman" w:hAnsi="Times New Roman" w:cs="Times New Roman"/>
        </w:rPr>
      </w:pPr>
    </w:p>
    <w:p w:rsidR="000B4441" w:rsidRPr="001A460B" w:rsidP="000B4441">
      <w:pPr>
        <w:bidi w:val="0"/>
        <w:jc w:val="both"/>
        <w:rPr>
          <w:rFonts w:ascii="Times New Roman" w:hAnsi="Times New Roman" w:cs="Times New Roman"/>
        </w:rPr>
      </w:pPr>
      <w:r>
        <w:rPr>
          <w:rFonts w:ascii="Times New Roman" w:hAnsi="Times New Roman" w:cs="Times New Roman"/>
        </w:rPr>
        <w:t>6.1.4.</w:t>
        <w:tab/>
      </w:r>
      <w:r w:rsidRPr="001A460B">
        <w:rPr>
          <w:rFonts w:ascii="Times New Roman" w:hAnsi="Times New Roman" w:cs="Times New Roman"/>
        </w:rPr>
        <w:t xml:space="preserve">V rámci zlučovania nemocníc rezortu vnútra a obrany v Bratislave bolo uznesením vlády SR č. 916/2008 rozhodnuté o odpredaji nemocnice MV SR a vojenskej nemocnice s tým, že prostriedky získané z predaja v predpokladanej sume 53,3 mil. eur mali byť použité na splatenie zvýšenia základného imania </w:t>
      </w:r>
      <w:r>
        <w:rPr>
          <w:rFonts w:ascii="Times New Roman" w:hAnsi="Times New Roman" w:cs="Times New Roman"/>
        </w:rPr>
        <w:t>N</w:t>
      </w:r>
      <w:r w:rsidRPr="001A460B">
        <w:rPr>
          <w:rFonts w:ascii="Times New Roman" w:hAnsi="Times New Roman" w:cs="Times New Roman"/>
        </w:rPr>
        <w:t xml:space="preserve">emocnice Sv. Michala, ktoré malo slúžiť na výstavbu novej </w:t>
      </w:r>
      <w:r>
        <w:rPr>
          <w:rFonts w:ascii="Times New Roman" w:hAnsi="Times New Roman" w:cs="Times New Roman"/>
        </w:rPr>
        <w:t xml:space="preserve">spoločnej </w:t>
      </w:r>
      <w:r w:rsidRPr="001A460B">
        <w:rPr>
          <w:rFonts w:ascii="Times New Roman" w:hAnsi="Times New Roman" w:cs="Times New Roman"/>
        </w:rPr>
        <w:t xml:space="preserve">nemocnice. Do samotného predaja sa rovnaké zdroje </w:t>
      </w:r>
      <w:r>
        <w:rPr>
          <w:rFonts w:ascii="Times New Roman" w:hAnsi="Times New Roman" w:cs="Times New Roman"/>
        </w:rPr>
        <w:t xml:space="preserve">v roku 2009 </w:t>
      </w:r>
      <w:r w:rsidRPr="001A460B">
        <w:rPr>
          <w:rFonts w:ascii="Times New Roman" w:hAnsi="Times New Roman" w:cs="Times New Roman"/>
        </w:rPr>
        <w:t xml:space="preserve">uvoľnili zo </w:t>
      </w:r>
      <w:r>
        <w:rPr>
          <w:rFonts w:ascii="Times New Roman" w:hAnsi="Times New Roman" w:cs="Times New Roman"/>
        </w:rPr>
        <w:t>štátnych finančných aktív</w:t>
      </w:r>
      <w:r w:rsidRPr="001A460B">
        <w:rPr>
          <w:rFonts w:ascii="Times New Roman" w:hAnsi="Times New Roman" w:cs="Times New Roman"/>
        </w:rPr>
        <w:t xml:space="preserve"> s tým, že po predaji </w:t>
      </w:r>
      <w:r>
        <w:rPr>
          <w:rFonts w:ascii="Times New Roman" w:hAnsi="Times New Roman" w:cs="Times New Roman"/>
        </w:rPr>
        <w:t>nehnuteľností sa majú</w:t>
      </w:r>
      <w:r w:rsidRPr="001A460B">
        <w:rPr>
          <w:rFonts w:ascii="Times New Roman" w:hAnsi="Times New Roman" w:cs="Times New Roman"/>
        </w:rPr>
        <w:t xml:space="preserve"> vrátiť. V súčasnej dobe sa navrhuje vrátiť prostriedky vo výške 4</w:t>
      </w:r>
      <w:r>
        <w:rPr>
          <w:rFonts w:ascii="Times New Roman" w:hAnsi="Times New Roman" w:cs="Times New Roman"/>
        </w:rPr>
        <w:t>6</w:t>
      </w:r>
      <w:r w:rsidRPr="001A460B">
        <w:rPr>
          <w:rFonts w:ascii="Times New Roman" w:hAnsi="Times New Roman" w:cs="Times New Roman"/>
        </w:rPr>
        <w:t xml:space="preserve"> mil. eur späť do štátnych finančných aktív a novú nemocnicu stavať až po odpredaji majetku súčasnej nemocnice.</w:t>
      </w:r>
      <w:r>
        <w:rPr>
          <w:rFonts w:ascii="Times New Roman" w:hAnsi="Times New Roman" w:cs="Times New Roman"/>
        </w:rPr>
        <w:t xml:space="preserve"> Uvedená transakcia bude mať pozitívny vplyv na hospodárenie štátnych finančných aktív, nakoľko prvotný vklad do základného imania spoločnosti v roku 2009 bol klasifikovaný ako kapitálový transfer, a teda mal negatívny dopad na schodok rozpočtu verejnej správy.</w:t>
      </w:r>
    </w:p>
    <w:p w:rsidR="000B4441" w:rsidRPr="00CD6110" w:rsidP="000B4441">
      <w:pPr>
        <w:bidi w:val="0"/>
        <w:jc w:val="both"/>
        <w:rPr>
          <w:rFonts w:ascii="Times New Roman" w:hAnsi="Times New Roman" w:cs="Times New Roman"/>
          <w:sz w:val="16"/>
          <w:szCs w:val="16"/>
          <w:highlight w:val="yellow"/>
        </w:rPr>
      </w:pPr>
    </w:p>
    <w:p w:rsidR="000B4441" w:rsidRPr="00CD6110" w:rsidP="000B4441">
      <w:pPr>
        <w:bidi w:val="0"/>
        <w:jc w:val="both"/>
        <w:rPr>
          <w:rFonts w:ascii="Times New Roman" w:hAnsi="Times New Roman" w:cs="Times New Roman"/>
        </w:rPr>
      </w:pPr>
      <w:r>
        <w:rPr>
          <w:rFonts w:ascii="Times New Roman" w:hAnsi="Times New Roman" w:cs="Times New Roman"/>
        </w:rPr>
        <w:t>6.1.5.</w:t>
        <w:tab/>
      </w:r>
      <w:r w:rsidRPr="00CD6110">
        <w:rPr>
          <w:rFonts w:ascii="Times New Roman" w:hAnsi="Times New Roman" w:cs="Times New Roman"/>
        </w:rPr>
        <w:t xml:space="preserve">Príjmy z vymáhania zahraničných pohľadávok, ktoré Slovenská republika získala pri delení majetku bývalej ČSFR, sa na základe výsledkov doterajších rokovaní s dlžníckymi krajinami a aktuálneho stavu zmluvnej dokumentácie rozpočtujú v rokoch 2012 až 2014 v rozsahu od 406,5 do 554 tis. eur. Bližšie k jednotlivým rokom je uvedené v úvodnej tabuľke. Úrokové príjmy zo zahraničných úverov, pôžičiek a vkladov sú príjmom štátneho rozpočtu a sú zapracované v rozpočte Štátneho dlhu (kapitola Všeobecná pokladničná správa). </w:t>
      </w:r>
    </w:p>
    <w:p w:rsidR="000B4441" w:rsidRPr="00CD6110" w:rsidP="000B4441">
      <w:pPr>
        <w:bidi w:val="0"/>
        <w:ind w:firstLine="708"/>
        <w:jc w:val="both"/>
        <w:rPr>
          <w:rFonts w:ascii="Times New Roman" w:hAnsi="Times New Roman" w:cs="Times New Roman"/>
          <w:sz w:val="16"/>
          <w:szCs w:val="16"/>
          <w:highlight w:val="yellow"/>
        </w:rPr>
      </w:pPr>
    </w:p>
    <w:p w:rsidR="000B4441" w:rsidRPr="00CD6110" w:rsidP="000B4441">
      <w:pPr>
        <w:tabs>
          <w:tab w:val="left" w:pos="0"/>
        </w:tabs>
        <w:bidi w:val="0"/>
        <w:jc w:val="both"/>
        <w:rPr>
          <w:rFonts w:ascii="Times New Roman" w:hAnsi="Times New Roman" w:cs="Times New Roman"/>
        </w:rPr>
      </w:pPr>
      <w:r>
        <w:rPr>
          <w:rFonts w:ascii="Times New Roman" w:hAnsi="Times New Roman" w:cs="Times New Roman"/>
        </w:rPr>
        <w:t>6.1.6.</w:t>
        <w:tab/>
      </w:r>
      <w:r w:rsidRPr="00CD6110">
        <w:rPr>
          <w:rFonts w:ascii="Times New Roman" w:hAnsi="Times New Roman" w:cs="Times New Roman"/>
        </w:rPr>
        <w:t xml:space="preserve">Medzi finančné operácie štátnych finančných aktív na strane príjmov zaraďujeme aj príjmy zo splácania poskytnutých úverov a pôžičiek – istín i návratných finančných výpomocí. Ide o príjmy, ktoré boli v minulosti príjmom niektorých kapitol štátneho rozpočtu. Nasledovná tabuľka uvádza príjmové finančné operácie podľa pôsobnosti a zodpovednosti príslušných kapitol štátneho rozpočtu. </w:t>
      </w:r>
    </w:p>
    <w:p w:rsidR="000B4441" w:rsidP="000B4441">
      <w:pPr>
        <w:bidi w:val="0"/>
        <w:jc w:val="both"/>
        <w:rPr>
          <w:rFonts w:ascii="Times New Roman" w:hAnsi="Times New Roman" w:cs="Times New Roman"/>
          <w:sz w:val="16"/>
          <w:szCs w:val="16"/>
        </w:rPr>
      </w:pPr>
    </w:p>
    <w:p w:rsidR="000F7251" w:rsidP="000B4441">
      <w:pPr>
        <w:bidi w:val="0"/>
        <w:jc w:val="both"/>
        <w:rPr>
          <w:rFonts w:ascii="Times New Roman" w:hAnsi="Times New Roman" w:cs="Times New Roman"/>
          <w:sz w:val="16"/>
          <w:szCs w:val="16"/>
        </w:rPr>
      </w:pPr>
    </w:p>
    <w:p w:rsidR="000F7251" w:rsidP="000B4441">
      <w:pPr>
        <w:bidi w:val="0"/>
        <w:jc w:val="both"/>
        <w:rPr>
          <w:rFonts w:ascii="Times New Roman" w:hAnsi="Times New Roman" w:cs="Times New Roman"/>
          <w:sz w:val="16"/>
          <w:szCs w:val="16"/>
        </w:rPr>
      </w:pPr>
    </w:p>
    <w:p w:rsidR="000F7251" w:rsidP="000B4441">
      <w:pPr>
        <w:bidi w:val="0"/>
        <w:jc w:val="both"/>
        <w:rPr>
          <w:rFonts w:ascii="Times New Roman" w:hAnsi="Times New Roman" w:cs="Times New Roman"/>
          <w:sz w:val="16"/>
          <w:szCs w:val="16"/>
        </w:rPr>
      </w:pPr>
    </w:p>
    <w:p w:rsidR="000B4441" w:rsidP="000B4441">
      <w:pPr>
        <w:bidi w:val="0"/>
        <w:jc w:val="both"/>
        <w:rPr>
          <w:rFonts w:ascii="Times New Roman" w:hAnsi="Times New Roman" w:cs="Times New Roman"/>
          <w:sz w:val="16"/>
          <w:szCs w:val="16"/>
        </w:rPr>
      </w:pPr>
    </w:p>
    <w:tbl>
      <w:tblPr>
        <w:tblStyle w:val="TableNormal"/>
        <w:tblW w:w="9080" w:type="dxa"/>
        <w:jc w:val="center"/>
        <w:tblInd w:w="575" w:type="dxa"/>
        <w:tblCellMar>
          <w:left w:w="70" w:type="dxa"/>
          <w:right w:w="70" w:type="dxa"/>
        </w:tblCellMar>
        <w:tblLook w:val="04A0"/>
      </w:tblPr>
      <w:tblGrid>
        <w:gridCol w:w="3340"/>
        <w:gridCol w:w="820"/>
        <w:gridCol w:w="820"/>
        <w:gridCol w:w="820"/>
        <w:gridCol w:w="820"/>
        <w:gridCol w:w="820"/>
        <w:gridCol w:w="820"/>
        <w:gridCol w:w="820"/>
      </w:tblGrid>
      <w:tr>
        <w:tblPrEx>
          <w:tblW w:w="9080" w:type="dxa"/>
          <w:jc w:val="center"/>
          <w:tblInd w:w="575" w:type="dxa"/>
          <w:tblCellMar>
            <w:left w:w="70" w:type="dxa"/>
            <w:right w:w="70" w:type="dxa"/>
          </w:tblCellMar>
          <w:tblLook w:val="04A0"/>
        </w:tblPrEx>
        <w:trPr>
          <w:trHeight w:val="270"/>
          <w:jc w:val="center"/>
        </w:trPr>
        <w:tc>
          <w:tcPr>
            <w:tcW w:w="3340" w:type="dxa"/>
            <w:tcBorders>
              <w:top w:val="single" w:sz="8" w:space="0" w:color="auto"/>
              <w:left w:val="single" w:sz="8" w:space="0" w:color="auto"/>
              <w:bottom w:val="single" w:sz="8" w:space="0" w:color="auto"/>
              <w:right w:val="single" w:sz="4" w:space="0" w:color="auto"/>
            </w:tcBorders>
            <w:noWrap/>
            <w:textDirection w:val="lrTb"/>
            <w:vAlign w:val="center"/>
            <w:hideMark/>
          </w:tcPr>
          <w:p w:rsidR="000B4441" w:rsidRPr="000F20A7" w:rsidP="00F576BD">
            <w:pPr>
              <w:bidi w:val="0"/>
              <w:rPr>
                <w:rFonts w:ascii="Times New Roman" w:hAnsi="Times New Roman" w:cs="Times New Roman"/>
                <w:sz w:val="14"/>
                <w:szCs w:val="14"/>
                <w:lang w:eastAsia="sk-SK"/>
              </w:rPr>
            </w:pPr>
            <w:r w:rsidRPr="000F20A7">
              <w:rPr>
                <w:rFonts w:ascii="Times New Roman" w:hAnsi="Times New Roman" w:cs="Times New Roman"/>
                <w:sz w:val="14"/>
                <w:szCs w:val="14"/>
                <w:lang w:eastAsia="sk-SK"/>
              </w:rPr>
              <w:t xml:space="preserve"> (v tis. eur)</w:t>
            </w:r>
          </w:p>
        </w:tc>
        <w:tc>
          <w:tcPr>
            <w:tcW w:w="820" w:type="dxa"/>
            <w:tcBorders>
              <w:top w:val="single" w:sz="8" w:space="0" w:color="auto"/>
              <w:left w:val="nil"/>
              <w:bottom w:val="single" w:sz="8" w:space="0" w:color="auto"/>
              <w:right w:val="single" w:sz="4" w:space="0" w:color="auto"/>
            </w:tcBorders>
            <w:noWrap/>
            <w:textDirection w:val="lrTb"/>
            <w:vAlign w:val="center"/>
            <w:hideMark/>
          </w:tcPr>
          <w:p w:rsidR="000B4441" w:rsidRPr="000F20A7" w:rsidP="00F576BD">
            <w:pPr>
              <w:bidi w:val="0"/>
              <w:jc w:val="center"/>
              <w:rPr>
                <w:rFonts w:ascii="Times New Roman" w:hAnsi="Times New Roman" w:cs="Times New Roman"/>
                <w:b/>
                <w:bCs/>
                <w:sz w:val="14"/>
                <w:szCs w:val="14"/>
                <w:lang w:eastAsia="sk-SK"/>
              </w:rPr>
            </w:pPr>
            <w:r w:rsidRPr="000F20A7">
              <w:rPr>
                <w:rFonts w:ascii="Times New Roman" w:hAnsi="Times New Roman" w:cs="Times New Roman"/>
                <w:b/>
                <w:bCs/>
                <w:sz w:val="14"/>
                <w:szCs w:val="14"/>
                <w:lang w:eastAsia="sk-SK"/>
              </w:rPr>
              <w:t>2009 S</w:t>
            </w:r>
          </w:p>
        </w:tc>
        <w:tc>
          <w:tcPr>
            <w:tcW w:w="820" w:type="dxa"/>
            <w:tcBorders>
              <w:top w:val="single" w:sz="8" w:space="0" w:color="auto"/>
              <w:left w:val="nil"/>
              <w:bottom w:val="single" w:sz="8" w:space="0" w:color="auto"/>
              <w:right w:val="single" w:sz="4" w:space="0" w:color="auto"/>
            </w:tcBorders>
            <w:noWrap/>
            <w:textDirection w:val="lrTb"/>
            <w:vAlign w:val="center"/>
            <w:hideMark/>
          </w:tcPr>
          <w:p w:rsidR="000B4441" w:rsidRPr="000F20A7" w:rsidP="00F576BD">
            <w:pPr>
              <w:bidi w:val="0"/>
              <w:jc w:val="center"/>
              <w:rPr>
                <w:rFonts w:ascii="Times New Roman" w:hAnsi="Times New Roman" w:cs="Times New Roman"/>
                <w:b/>
                <w:bCs/>
                <w:sz w:val="14"/>
                <w:szCs w:val="14"/>
                <w:lang w:eastAsia="sk-SK"/>
              </w:rPr>
            </w:pPr>
            <w:r w:rsidRPr="000F20A7">
              <w:rPr>
                <w:rFonts w:ascii="Times New Roman" w:hAnsi="Times New Roman" w:cs="Times New Roman"/>
                <w:b/>
                <w:bCs/>
                <w:sz w:val="14"/>
                <w:szCs w:val="14"/>
                <w:lang w:eastAsia="sk-SK"/>
              </w:rPr>
              <w:t>2010 S</w:t>
            </w:r>
          </w:p>
        </w:tc>
        <w:tc>
          <w:tcPr>
            <w:tcW w:w="820" w:type="dxa"/>
            <w:tcBorders>
              <w:top w:val="single" w:sz="8" w:space="0" w:color="auto"/>
              <w:left w:val="nil"/>
              <w:bottom w:val="single" w:sz="8" w:space="0" w:color="auto"/>
              <w:right w:val="single" w:sz="4" w:space="0" w:color="auto"/>
            </w:tcBorders>
            <w:noWrap/>
            <w:textDirection w:val="lrTb"/>
            <w:vAlign w:val="center"/>
            <w:hideMark/>
          </w:tcPr>
          <w:p w:rsidR="000B4441" w:rsidRPr="000F20A7" w:rsidP="00F576BD">
            <w:pPr>
              <w:bidi w:val="0"/>
              <w:jc w:val="center"/>
              <w:rPr>
                <w:rFonts w:ascii="Times New Roman" w:hAnsi="Times New Roman" w:cs="Times New Roman"/>
                <w:b/>
                <w:bCs/>
                <w:sz w:val="14"/>
                <w:szCs w:val="14"/>
                <w:lang w:eastAsia="sk-SK"/>
              </w:rPr>
            </w:pPr>
            <w:r w:rsidRPr="000F20A7">
              <w:rPr>
                <w:rFonts w:ascii="Times New Roman" w:hAnsi="Times New Roman" w:cs="Times New Roman"/>
                <w:b/>
                <w:bCs/>
                <w:sz w:val="14"/>
                <w:szCs w:val="14"/>
                <w:lang w:eastAsia="sk-SK"/>
              </w:rPr>
              <w:t>2011 R</w:t>
            </w:r>
          </w:p>
        </w:tc>
        <w:tc>
          <w:tcPr>
            <w:tcW w:w="820" w:type="dxa"/>
            <w:tcBorders>
              <w:top w:val="single" w:sz="8" w:space="0" w:color="auto"/>
              <w:left w:val="nil"/>
              <w:bottom w:val="single" w:sz="8" w:space="0" w:color="auto"/>
              <w:right w:val="single" w:sz="4" w:space="0" w:color="auto"/>
            </w:tcBorders>
            <w:noWrap/>
            <w:textDirection w:val="lrTb"/>
            <w:vAlign w:val="center"/>
            <w:hideMark/>
          </w:tcPr>
          <w:p w:rsidR="000B4441" w:rsidRPr="000F20A7" w:rsidP="00F576BD">
            <w:pPr>
              <w:bidi w:val="0"/>
              <w:jc w:val="center"/>
              <w:rPr>
                <w:rFonts w:ascii="Times New Roman" w:hAnsi="Times New Roman" w:cs="Times New Roman"/>
                <w:b/>
                <w:bCs/>
                <w:sz w:val="14"/>
                <w:szCs w:val="14"/>
                <w:lang w:eastAsia="sk-SK"/>
              </w:rPr>
            </w:pPr>
            <w:r w:rsidRPr="000F20A7">
              <w:rPr>
                <w:rFonts w:ascii="Times New Roman" w:hAnsi="Times New Roman" w:cs="Times New Roman"/>
                <w:b/>
                <w:bCs/>
                <w:sz w:val="14"/>
                <w:szCs w:val="14"/>
                <w:lang w:eastAsia="sk-SK"/>
              </w:rPr>
              <w:t>2011 OS</w:t>
            </w:r>
          </w:p>
        </w:tc>
        <w:tc>
          <w:tcPr>
            <w:tcW w:w="820" w:type="dxa"/>
            <w:tcBorders>
              <w:top w:val="single" w:sz="8" w:space="0" w:color="auto"/>
              <w:left w:val="nil"/>
              <w:bottom w:val="single" w:sz="8" w:space="0" w:color="auto"/>
              <w:right w:val="single" w:sz="4" w:space="0" w:color="auto"/>
            </w:tcBorders>
            <w:noWrap/>
            <w:textDirection w:val="lrTb"/>
            <w:vAlign w:val="center"/>
            <w:hideMark/>
          </w:tcPr>
          <w:p w:rsidR="000B4441" w:rsidRPr="000F20A7" w:rsidP="00F576BD">
            <w:pPr>
              <w:bidi w:val="0"/>
              <w:jc w:val="center"/>
              <w:rPr>
                <w:rFonts w:ascii="Times New Roman" w:hAnsi="Times New Roman" w:cs="Times New Roman"/>
                <w:b/>
                <w:bCs/>
                <w:sz w:val="14"/>
                <w:szCs w:val="14"/>
                <w:lang w:eastAsia="sk-SK"/>
              </w:rPr>
            </w:pPr>
            <w:r w:rsidRPr="000F20A7">
              <w:rPr>
                <w:rFonts w:ascii="Times New Roman" w:hAnsi="Times New Roman" w:cs="Times New Roman"/>
                <w:b/>
                <w:bCs/>
                <w:sz w:val="14"/>
                <w:szCs w:val="14"/>
                <w:lang w:eastAsia="sk-SK"/>
              </w:rPr>
              <w:t>2012 N</w:t>
            </w:r>
          </w:p>
        </w:tc>
        <w:tc>
          <w:tcPr>
            <w:tcW w:w="820" w:type="dxa"/>
            <w:tcBorders>
              <w:top w:val="single" w:sz="8" w:space="0" w:color="auto"/>
              <w:left w:val="nil"/>
              <w:bottom w:val="single" w:sz="8" w:space="0" w:color="auto"/>
              <w:right w:val="single" w:sz="4" w:space="0" w:color="auto"/>
            </w:tcBorders>
            <w:noWrap/>
            <w:textDirection w:val="lrTb"/>
            <w:vAlign w:val="center"/>
            <w:hideMark/>
          </w:tcPr>
          <w:p w:rsidR="000B4441" w:rsidRPr="000F20A7" w:rsidP="00F576BD">
            <w:pPr>
              <w:bidi w:val="0"/>
              <w:jc w:val="center"/>
              <w:rPr>
                <w:rFonts w:ascii="Times New Roman" w:hAnsi="Times New Roman" w:cs="Times New Roman"/>
                <w:b/>
                <w:bCs/>
                <w:sz w:val="14"/>
                <w:szCs w:val="14"/>
                <w:lang w:eastAsia="sk-SK"/>
              </w:rPr>
            </w:pPr>
            <w:r w:rsidRPr="000F20A7">
              <w:rPr>
                <w:rFonts w:ascii="Times New Roman" w:hAnsi="Times New Roman" w:cs="Times New Roman"/>
                <w:b/>
                <w:bCs/>
                <w:sz w:val="14"/>
                <w:szCs w:val="14"/>
                <w:lang w:eastAsia="sk-SK"/>
              </w:rPr>
              <w:t>2013 N</w:t>
            </w:r>
          </w:p>
        </w:tc>
        <w:tc>
          <w:tcPr>
            <w:tcW w:w="820" w:type="dxa"/>
            <w:tcBorders>
              <w:top w:val="single" w:sz="8" w:space="0" w:color="auto"/>
              <w:left w:val="nil"/>
              <w:bottom w:val="single" w:sz="8" w:space="0" w:color="auto"/>
              <w:right w:val="single" w:sz="8" w:space="0" w:color="auto"/>
            </w:tcBorders>
            <w:noWrap/>
            <w:textDirection w:val="lrTb"/>
            <w:vAlign w:val="center"/>
            <w:hideMark/>
          </w:tcPr>
          <w:p w:rsidR="000B4441" w:rsidRPr="000F20A7" w:rsidP="00F576BD">
            <w:pPr>
              <w:bidi w:val="0"/>
              <w:jc w:val="center"/>
              <w:rPr>
                <w:rFonts w:ascii="Times New Roman" w:hAnsi="Times New Roman" w:cs="Times New Roman"/>
                <w:b/>
                <w:bCs/>
                <w:sz w:val="14"/>
                <w:szCs w:val="14"/>
                <w:lang w:eastAsia="sk-SK"/>
              </w:rPr>
            </w:pPr>
            <w:r w:rsidRPr="000F20A7">
              <w:rPr>
                <w:rFonts w:ascii="Times New Roman" w:hAnsi="Times New Roman" w:cs="Times New Roman"/>
                <w:b/>
                <w:bCs/>
                <w:sz w:val="14"/>
                <w:szCs w:val="14"/>
                <w:lang w:eastAsia="sk-SK"/>
              </w:rPr>
              <w:t>2014 N</w:t>
            </w:r>
          </w:p>
        </w:tc>
      </w:tr>
      <w:tr>
        <w:tblPrEx>
          <w:tblW w:w="9080" w:type="dxa"/>
          <w:jc w:val="center"/>
          <w:tblInd w:w="575" w:type="dxa"/>
          <w:tblCellMar>
            <w:left w:w="70" w:type="dxa"/>
            <w:right w:w="70" w:type="dxa"/>
          </w:tblCellMar>
          <w:tblLook w:val="04A0"/>
        </w:tblPrEx>
        <w:trPr>
          <w:trHeight w:val="255"/>
          <w:jc w:val="center"/>
        </w:trPr>
        <w:tc>
          <w:tcPr>
            <w:tcW w:w="3340" w:type="dxa"/>
            <w:tcBorders>
              <w:top w:val="nil"/>
              <w:left w:val="single" w:sz="8" w:space="0" w:color="auto"/>
              <w:bottom w:val="single" w:sz="4" w:space="0" w:color="auto"/>
              <w:right w:val="single" w:sz="4" w:space="0" w:color="auto"/>
            </w:tcBorders>
            <w:noWrap/>
            <w:textDirection w:val="lrTb"/>
            <w:vAlign w:val="center"/>
            <w:hideMark/>
          </w:tcPr>
          <w:p w:rsidR="000B4441" w:rsidRPr="000F20A7" w:rsidP="00F576BD">
            <w:pPr>
              <w:bidi w:val="0"/>
              <w:rPr>
                <w:rFonts w:ascii="Times New Roman" w:hAnsi="Times New Roman" w:cs="Times New Roman"/>
                <w:b/>
                <w:bCs/>
                <w:sz w:val="14"/>
                <w:szCs w:val="14"/>
                <w:lang w:eastAsia="sk-SK"/>
              </w:rPr>
            </w:pPr>
            <w:r w:rsidRPr="000F20A7">
              <w:rPr>
                <w:rFonts w:ascii="Times New Roman" w:hAnsi="Times New Roman" w:cs="Times New Roman"/>
                <w:b/>
                <w:bCs/>
                <w:sz w:val="14"/>
                <w:szCs w:val="14"/>
                <w:lang w:eastAsia="sk-SK"/>
              </w:rPr>
              <w:t>Ministerstvo financií SR</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22,9</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0,5</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17,0</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17,0</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17,0</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17,0</w:t>
            </w:r>
          </w:p>
        </w:tc>
        <w:tc>
          <w:tcPr>
            <w:tcW w:w="820" w:type="dxa"/>
            <w:tcBorders>
              <w:top w:val="nil"/>
              <w:left w:val="nil"/>
              <w:bottom w:val="single" w:sz="4" w:space="0" w:color="auto"/>
              <w:right w:val="single" w:sz="8"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17,0</w:t>
            </w:r>
          </w:p>
        </w:tc>
      </w:tr>
      <w:tr>
        <w:tblPrEx>
          <w:tblW w:w="9080" w:type="dxa"/>
          <w:jc w:val="center"/>
          <w:tblInd w:w="575" w:type="dxa"/>
          <w:tblCellMar>
            <w:left w:w="70" w:type="dxa"/>
            <w:right w:w="70" w:type="dxa"/>
          </w:tblCellMar>
          <w:tblLook w:val="04A0"/>
        </w:tblPrEx>
        <w:trPr>
          <w:trHeight w:val="255"/>
          <w:jc w:val="center"/>
        </w:trPr>
        <w:tc>
          <w:tcPr>
            <w:tcW w:w="3340" w:type="dxa"/>
            <w:tcBorders>
              <w:top w:val="nil"/>
              <w:left w:val="single" w:sz="8" w:space="0" w:color="auto"/>
              <w:bottom w:val="single" w:sz="4" w:space="0" w:color="auto"/>
              <w:right w:val="single" w:sz="4" w:space="0" w:color="auto"/>
            </w:tcBorders>
            <w:noWrap/>
            <w:textDirection w:val="lrTb"/>
            <w:vAlign w:val="center"/>
            <w:hideMark/>
          </w:tcPr>
          <w:p w:rsidR="000B4441" w:rsidRPr="000F20A7" w:rsidP="00F576BD">
            <w:pPr>
              <w:bidi w:val="0"/>
              <w:rPr>
                <w:rFonts w:ascii="Times New Roman" w:hAnsi="Times New Roman" w:cs="Times New Roman"/>
                <w:b/>
                <w:bCs/>
                <w:sz w:val="14"/>
                <w:szCs w:val="14"/>
                <w:lang w:eastAsia="sk-SK"/>
              </w:rPr>
            </w:pPr>
            <w:r w:rsidRPr="000F20A7">
              <w:rPr>
                <w:rFonts w:ascii="Times New Roman" w:hAnsi="Times New Roman" w:cs="Times New Roman"/>
                <w:b/>
                <w:bCs/>
                <w:sz w:val="14"/>
                <w:szCs w:val="14"/>
                <w:lang w:eastAsia="sk-SK"/>
              </w:rPr>
              <w:t>Ministerstvo pôdohospodárstva a rozvoja vidieka SR</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1 816,7</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1 526,7</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506,9</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506,9</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99,6</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66,4</w:t>
            </w:r>
          </w:p>
        </w:tc>
        <w:tc>
          <w:tcPr>
            <w:tcW w:w="820" w:type="dxa"/>
            <w:tcBorders>
              <w:top w:val="nil"/>
              <w:left w:val="nil"/>
              <w:bottom w:val="single" w:sz="4" w:space="0" w:color="auto"/>
              <w:right w:val="single" w:sz="8"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r>
      <w:tr>
        <w:tblPrEx>
          <w:tblW w:w="9080" w:type="dxa"/>
          <w:jc w:val="center"/>
          <w:tblInd w:w="575" w:type="dxa"/>
          <w:tblCellMar>
            <w:left w:w="70" w:type="dxa"/>
            <w:right w:w="70" w:type="dxa"/>
          </w:tblCellMar>
          <w:tblLook w:val="04A0"/>
        </w:tblPrEx>
        <w:trPr>
          <w:trHeight w:val="255"/>
          <w:jc w:val="center"/>
        </w:trPr>
        <w:tc>
          <w:tcPr>
            <w:tcW w:w="3340" w:type="dxa"/>
            <w:tcBorders>
              <w:top w:val="nil"/>
              <w:left w:val="single" w:sz="8" w:space="0" w:color="auto"/>
              <w:bottom w:val="single" w:sz="4" w:space="0" w:color="auto"/>
              <w:right w:val="single" w:sz="4" w:space="0" w:color="auto"/>
            </w:tcBorders>
            <w:noWrap/>
            <w:textDirection w:val="lrTb"/>
            <w:vAlign w:val="center"/>
            <w:hideMark/>
          </w:tcPr>
          <w:p w:rsidR="000B4441" w:rsidRPr="000F20A7" w:rsidP="00F576BD">
            <w:pPr>
              <w:bidi w:val="0"/>
              <w:rPr>
                <w:rFonts w:ascii="Times New Roman" w:hAnsi="Times New Roman" w:cs="Times New Roman"/>
                <w:b/>
                <w:bCs/>
                <w:sz w:val="14"/>
                <w:szCs w:val="14"/>
                <w:lang w:eastAsia="sk-SK"/>
              </w:rPr>
            </w:pPr>
            <w:r w:rsidRPr="000F20A7">
              <w:rPr>
                <w:rFonts w:ascii="Times New Roman" w:hAnsi="Times New Roman" w:cs="Times New Roman"/>
                <w:b/>
                <w:bCs/>
                <w:sz w:val="14"/>
                <w:szCs w:val="14"/>
                <w:lang w:eastAsia="sk-SK"/>
              </w:rPr>
              <w:t>Všeobecná pokladničná správa</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1 383,1</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1 383,1</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43 502,3</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22 124,0</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49,8</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35 895,3</w:t>
            </w:r>
          </w:p>
        </w:tc>
        <w:tc>
          <w:tcPr>
            <w:tcW w:w="820" w:type="dxa"/>
            <w:tcBorders>
              <w:top w:val="nil"/>
              <w:left w:val="nil"/>
              <w:bottom w:val="single" w:sz="4" w:space="0" w:color="auto"/>
              <w:right w:val="single" w:sz="8"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17 622,9</w:t>
            </w:r>
          </w:p>
        </w:tc>
      </w:tr>
      <w:tr>
        <w:tblPrEx>
          <w:tblW w:w="9080" w:type="dxa"/>
          <w:jc w:val="center"/>
          <w:tblInd w:w="575" w:type="dxa"/>
          <w:tblCellMar>
            <w:left w:w="70" w:type="dxa"/>
            <w:right w:w="70" w:type="dxa"/>
          </w:tblCellMar>
          <w:tblLook w:val="04A0"/>
        </w:tblPrEx>
        <w:trPr>
          <w:trHeight w:val="180"/>
          <w:jc w:val="center"/>
        </w:trPr>
        <w:tc>
          <w:tcPr>
            <w:tcW w:w="3340" w:type="dxa"/>
            <w:tcBorders>
              <w:top w:val="nil"/>
              <w:left w:val="single" w:sz="8" w:space="0" w:color="auto"/>
              <w:bottom w:val="single" w:sz="4" w:space="0" w:color="auto"/>
              <w:right w:val="nil"/>
            </w:tcBorders>
            <w:noWrap/>
            <w:textDirection w:val="lrTb"/>
            <w:vAlign w:val="center"/>
            <w:hideMark/>
          </w:tcPr>
          <w:p w:rsidR="000B4441" w:rsidRPr="000F20A7" w:rsidP="00F576BD">
            <w:pPr>
              <w:bidi w:val="0"/>
              <w:rPr>
                <w:rFonts w:ascii="Times New Roman" w:hAnsi="Times New Roman" w:cs="Times New Roman"/>
                <w:sz w:val="14"/>
                <w:szCs w:val="14"/>
                <w:lang w:eastAsia="sk-SK"/>
              </w:rPr>
            </w:pPr>
            <w:r w:rsidRPr="000F20A7">
              <w:rPr>
                <w:rFonts w:ascii="Times New Roman" w:hAnsi="Times New Roman" w:cs="Times New Roman"/>
                <w:sz w:val="14"/>
                <w:szCs w:val="14"/>
                <w:lang w:eastAsia="sk-SK"/>
              </w:rPr>
              <w:t>z toho:</w:t>
            </w:r>
          </w:p>
        </w:tc>
        <w:tc>
          <w:tcPr>
            <w:tcW w:w="820" w:type="dxa"/>
            <w:tcBorders>
              <w:top w:val="nil"/>
              <w:left w:val="nil"/>
              <w:bottom w:val="single" w:sz="4" w:space="0" w:color="auto"/>
              <w:right w:val="nil"/>
            </w:tcBorders>
            <w:noWrap/>
            <w:textDirection w:val="lrTb"/>
            <w:vAlign w:val="center"/>
            <w:hideMark/>
          </w:tcPr>
          <w:p w:rsidR="000B4441" w:rsidRPr="000F20A7" w:rsidP="00F576BD">
            <w:pPr>
              <w:bidi w:val="0"/>
              <w:rPr>
                <w:rFonts w:ascii="Times New Roman" w:hAnsi="Times New Roman" w:cs="Times New Roman"/>
                <w:sz w:val="14"/>
                <w:szCs w:val="14"/>
                <w:lang w:eastAsia="sk-SK"/>
              </w:rPr>
            </w:pPr>
            <w:r w:rsidRPr="000F20A7">
              <w:rPr>
                <w:rFonts w:ascii="Times New Roman" w:hAnsi="Times New Roman" w:cs="Times New Roman"/>
                <w:sz w:val="14"/>
                <w:szCs w:val="14"/>
                <w:lang w:eastAsia="sk-SK"/>
              </w:rPr>
              <w:t> </w:t>
            </w:r>
          </w:p>
        </w:tc>
        <w:tc>
          <w:tcPr>
            <w:tcW w:w="820" w:type="dxa"/>
            <w:tcBorders>
              <w:top w:val="nil"/>
              <w:left w:val="nil"/>
              <w:bottom w:val="single" w:sz="4" w:space="0" w:color="auto"/>
              <w:right w:val="nil"/>
            </w:tcBorders>
            <w:noWrap/>
            <w:textDirection w:val="lrTb"/>
            <w:vAlign w:val="center"/>
            <w:hideMark/>
          </w:tcPr>
          <w:p w:rsidR="000B4441" w:rsidRPr="000F20A7" w:rsidP="00F576BD">
            <w:pPr>
              <w:bidi w:val="0"/>
              <w:rPr>
                <w:rFonts w:ascii="Times New Roman" w:hAnsi="Times New Roman" w:cs="Times New Roman"/>
                <w:sz w:val="14"/>
                <w:szCs w:val="14"/>
                <w:lang w:eastAsia="sk-SK"/>
              </w:rPr>
            </w:pPr>
            <w:r w:rsidRPr="000F20A7">
              <w:rPr>
                <w:rFonts w:ascii="Times New Roman" w:hAnsi="Times New Roman" w:cs="Times New Roman"/>
                <w:sz w:val="14"/>
                <w:szCs w:val="14"/>
                <w:lang w:eastAsia="sk-SK"/>
              </w:rPr>
              <w:t> </w:t>
            </w:r>
          </w:p>
        </w:tc>
        <w:tc>
          <w:tcPr>
            <w:tcW w:w="820" w:type="dxa"/>
            <w:tcBorders>
              <w:top w:val="nil"/>
              <w:left w:val="nil"/>
              <w:bottom w:val="single" w:sz="4" w:space="0" w:color="auto"/>
              <w:right w:val="nil"/>
            </w:tcBorders>
            <w:noWrap/>
            <w:textDirection w:val="lrTb"/>
            <w:vAlign w:val="center"/>
            <w:hideMark/>
          </w:tcPr>
          <w:p w:rsidR="000B4441" w:rsidRPr="000F20A7" w:rsidP="00F576BD">
            <w:pPr>
              <w:bidi w:val="0"/>
              <w:rPr>
                <w:rFonts w:ascii="Times New Roman" w:hAnsi="Times New Roman" w:cs="Times New Roman"/>
                <w:sz w:val="14"/>
                <w:szCs w:val="14"/>
                <w:lang w:eastAsia="sk-SK"/>
              </w:rPr>
            </w:pPr>
            <w:r w:rsidRPr="000F20A7">
              <w:rPr>
                <w:rFonts w:ascii="Times New Roman" w:hAnsi="Times New Roman" w:cs="Times New Roman"/>
                <w:sz w:val="14"/>
                <w:szCs w:val="14"/>
                <w:lang w:eastAsia="sk-SK"/>
              </w:rPr>
              <w:t> </w:t>
            </w:r>
          </w:p>
        </w:tc>
        <w:tc>
          <w:tcPr>
            <w:tcW w:w="820" w:type="dxa"/>
            <w:tcBorders>
              <w:top w:val="nil"/>
              <w:left w:val="nil"/>
              <w:bottom w:val="single" w:sz="4" w:space="0" w:color="auto"/>
              <w:right w:val="nil"/>
            </w:tcBorders>
            <w:noWrap/>
            <w:textDirection w:val="lrTb"/>
            <w:vAlign w:val="center"/>
            <w:hideMark/>
          </w:tcPr>
          <w:p w:rsidR="000B4441" w:rsidRPr="000F20A7" w:rsidP="00F576BD">
            <w:pPr>
              <w:bidi w:val="0"/>
              <w:rPr>
                <w:rFonts w:ascii="Times New Roman" w:hAnsi="Times New Roman" w:cs="Times New Roman"/>
                <w:sz w:val="14"/>
                <w:szCs w:val="14"/>
                <w:lang w:eastAsia="sk-SK"/>
              </w:rPr>
            </w:pPr>
            <w:r w:rsidRPr="000F20A7">
              <w:rPr>
                <w:rFonts w:ascii="Times New Roman" w:hAnsi="Times New Roman" w:cs="Times New Roman"/>
                <w:sz w:val="14"/>
                <w:szCs w:val="14"/>
                <w:lang w:eastAsia="sk-SK"/>
              </w:rPr>
              <w:t> </w:t>
            </w:r>
          </w:p>
        </w:tc>
        <w:tc>
          <w:tcPr>
            <w:tcW w:w="820" w:type="dxa"/>
            <w:tcBorders>
              <w:top w:val="nil"/>
              <w:left w:val="nil"/>
              <w:bottom w:val="single" w:sz="4" w:space="0" w:color="auto"/>
              <w:right w:val="nil"/>
            </w:tcBorders>
            <w:noWrap/>
            <w:textDirection w:val="lrTb"/>
            <w:vAlign w:val="center"/>
            <w:hideMark/>
          </w:tcPr>
          <w:p w:rsidR="000B4441" w:rsidRPr="000F20A7" w:rsidP="00F576BD">
            <w:pPr>
              <w:bidi w:val="0"/>
              <w:rPr>
                <w:rFonts w:ascii="Times New Roman" w:hAnsi="Times New Roman" w:cs="Times New Roman"/>
                <w:sz w:val="14"/>
                <w:szCs w:val="14"/>
                <w:lang w:eastAsia="sk-SK"/>
              </w:rPr>
            </w:pPr>
            <w:r w:rsidRPr="000F20A7">
              <w:rPr>
                <w:rFonts w:ascii="Times New Roman" w:hAnsi="Times New Roman" w:cs="Times New Roman"/>
                <w:sz w:val="14"/>
                <w:szCs w:val="14"/>
                <w:lang w:eastAsia="sk-SK"/>
              </w:rPr>
              <w:t> </w:t>
            </w:r>
          </w:p>
        </w:tc>
        <w:tc>
          <w:tcPr>
            <w:tcW w:w="820" w:type="dxa"/>
            <w:tcBorders>
              <w:top w:val="nil"/>
              <w:left w:val="nil"/>
              <w:bottom w:val="single" w:sz="4" w:space="0" w:color="auto"/>
              <w:right w:val="nil"/>
            </w:tcBorders>
            <w:noWrap/>
            <w:textDirection w:val="lrTb"/>
            <w:vAlign w:val="center"/>
            <w:hideMark/>
          </w:tcPr>
          <w:p w:rsidR="000B4441" w:rsidRPr="000F20A7" w:rsidP="00F576BD">
            <w:pPr>
              <w:bidi w:val="0"/>
              <w:rPr>
                <w:rFonts w:ascii="Times New Roman" w:hAnsi="Times New Roman" w:cs="Times New Roman"/>
                <w:sz w:val="14"/>
                <w:szCs w:val="14"/>
                <w:lang w:eastAsia="sk-SK"/>
              </w:rPr>
            </w:pPr>
            <w:r w:rsidRPr="000F20A7">
              <w:rPr>
                <w:rFonts w:ascii="Times New Roman" w:hAnsi="Times New Roman" w:cs="Times New Roman"/>
                <w:sz w:val="14"/>
                <w:szCs w:val="14"/>
                <w:lang w:eastAsia="sk-SK"/>
              </w:rPr>
              <w:t> </w:t>
            </w:r>
          </w:p>
        </w:tc>
        <w:tc>
          <w:tcPr>
            <w:tcW w:w="820" w:type="dxa"/>
            <w:tcBorders>
              <w:top w:val="nil"/>
              <w:left w:val="nil"/>
              <w:bottom w:val="single" w:sz="4" w:space="0" w:color="auto"/>
              <w:right w:val="single" w:sz="8" w:space="0" w:color="auto"/>
            </w:tcBorders>
            <w:noWrap/>
            <w:textDirection w:val="lrTb"/>
            <w:vAlign w:val="center"/>
            <w:hideMark/>
          </w:tcPr>
          <w:p w:rsidR="000B4441" w:rsidRPr="000F20A7" w:rsidP="00F576BD">
            <w:pPr>
              <w:bidi w:val="0"/>
              <w:rPr>
                <w:rFonts w:ascii="Times New Roman" w:hAnsi="Times New Roman" w:cs="Times New Roman"/>
                <w:sz w:val="14"/>
                <w:szCs w:val="14"/>
                <w:lang w:eastAsia="sk-SK"/>
              </w:rPr>
            </w:pPr>
            <w:r w:rsidRPr="000F20A7">
              <w:rPr>
                <w:rFonts w:ascii="Times New Roman" w:hAnsi="Times New Roman" w:cs="Times New Roman"/>
                <w:sz w:val="14"/>
                <w:szCs w:val="14"/>
                <w:lang w:eastAsia="sk-SK"/>
              </w:rPr>
              <w:t> </w:t>
            </w:r>
          </w:p>
        </w:tc>
      </w:tr>
      <w:tr>
        <w:tblPrEx>
          <w:tblW w:w="9080" w:type="dxa"/>
          <w:jc w:val="center"/>
          <w:tblInd w:w="575" w:type="dxa"/>
          <w:tblCellMar>
            <w:left w:w="70" w:type="dxa"/>
            <w:right w:w="70" w:type="dxa"/>
          </w:tblCellMar>
          <w:tblLook w:val="04A0"/>
        </w:tblPrEx>
        <w:trPr>
          <w:trHeight w:val="255"/>
          <w:jc w:val="center"/>
        </w:trPr>
        <w:tc>
          <w:tcPr>
            <w:tcW w:w="3340" w:type="dxa"/>
            <w:tcBorders>
              <w:top w:val="nil"/>
              <w:left w:val="single" w:sz="8" w:space="0" w:color="auto"/>
              <w:bottom w:val="single" w:sz="4" w:space="0" w:color="auto"/>
              <w:right w:val="single" w:sz="4" w:space="0" w:color="auto"/>
            </w:tcBorders>
            <w:noWrap/>
            <w:textDirection w:val="lrTb"/>
            <w:vAlign w:val="center"/>
            <w:hideMark/>
          </w:tcPr>
          <w:p w:rsidR="000B4441" w:rsidRPr="000F20A7" w:rsidP="00F576BD">
            <w:pPr>
              <w:bidi w:val="0"/>
              <w:rPr>
                <w:rFonts w:ascii="Times New Roman" w:hAnsi="Times New Roman" w:cs="Times New Roman"/>
                <w:sz w:val="14"/>
                <w:szCs w:val="14"/>
                <w:lang w:eastAsia="sk-SK"/>
              </w:rPr>
            </w:pPr>
            <w:r w:rsidRPr="000F20A7">
              <w:rPr>
                <w:rFonts w:ascii="Times New Roman" w:hAnsi="Times New Roman" w:cs="Times New Roman"/>
                <w:sz w:val="14"/>
                <w:szCs w:val="14"/>
                <w:lang w:eastAsia="sk-SK"/>
              </w:rPr>
              <w:t xml:space="preserve">  - </w:t>
            </w:r>
            <w:r>
              <w:rPr>
                <w:rFonts w:ascii="Times New Roman" w:hAnsi="Times New Roman" w:cs="Times New Roman"/>
                <w:sz w:val="14"/>
                <w:szCs w:val="14"/>
                <w:lang w:eastAsia="sk-SK"/>
              </w:rPr>
              <w:t xml:space="preserve"> </w:t>
            </w:r>
            <w:r w:rsidRPr="000F20A7">
              <w:rPr>
                <w:rFonts w:ascii="Times New Roman" w:hAnsi="Times New Roman" w:cs="Times New Roman"/>
                <w:sz w:val="14"/>
                <w:szCs w:val="14"/>
                <w:lang w:eastAsia="sk-SK"/>
              </w:rPr>
              <w:t>z konkurzov</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66,4</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66,4</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49,8</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49,8</w:t>
            </w:r>
          </w:p>
        </w:tc>
        <w:tc>
          <w:tcPr>
            <w:tcW w:w="820" w:type="dxa"/>
            <w:tcBorders>
              <w:top w:val="nil"/>
              <w:left w:val="nil"/>
              <w:bottom w:val="single" w:sz="4" w:space="0" w:color="auto"/>
              <w:right w:val="single" w:sz="8"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49,8</w:t>
            </w:r>
          </w:p>
        </w:tc>
      </w:tr>
      <w:tr>
        <w:tblPrEx>
          <w:tblW w:w="9080" w:type="dxa"/>
          <w:jc w:val="center"/>
          <w:tblInd w:w="575" w:type="dxa"/>
          <w:tblCellMar>
            <w:left w:w="70" w:type="dxa"/>
            <w:right w:w="70" w:type="dxa"/>
          </w:tblCellMar>
          <w:tblLook w:val="04A0"/>
        </w:tblPrEx>
        <w:trPr>
          <w:trHeight w:val="255"/>
          <w:jc w:val="center"/>
        </w:trPr>
        <w:tc>
          <w:tcPr>
            <w:tcW w:w="3340" w:type="dxa"/>
            <w:tcBorders>
              <w:top w:val="nil"/>
              <w:left w:val="single" w:sz="8" w:space="0" w:color="auto"/>
              <w:bottom w:val="single" w:sz="4" w:space="0" w:color="auto"/>
              <w:right w:val="single" w:sz="4" w:space="0" w:color="auto"/>
            </w:tcBorders>
            <w:noWrap/>
            <w:textDirection w:val="lrTb"/>
            <w:vAlign w:val="center"/>
            <w:hideMark/>
          </w:tcPr>
          <w:p w:rsidR="000B4441" w:rsidRPr="000F20A7" w:rsidP="00F576BD">
            <w:pPr>
              <w:bidi w:val="0"/>
              <w:rPr>
                <w:rFonts w:ascii="Times New Roman" w:hAnsi="Times New Roman" w:cs="Times New Roman"/>
                <w:sz w:val="14"/>
                <w:szCs w:val="14"/>
                <w:lang w:eastAsia="sk-SK"/>
              </w:rPr>
            </w:pPr>
            <w:r w:rsidRPr="000F20A7">
              <w:rPr>
                <w:rFonts w:ascii="Times New Roman" w:hAnsi="Times New Roman" w:cs="Times New Roman"/>
                <w:sz w:val="14"/>
                <w:szCs w:val="14"/>
                <w:lang w:eastAsia="sk-SK"/>
              </w:rPr>
              <w:t xml:space="preserve">  - </w:t>
            </w:r>
            <w:r>
              <w:rPr>
                <w:rFonts w:ascii="Times New Roman" w:hAnsi="Times New Roman" w:cs="Times New Roman"/>
                <w:sz w:val="14"/>
                <w:szCs w:val="14"/>
                <w:lang w:eastAsia="sk-SK"/>
              </w:rPr>
              <w:t xml:space="preserve"> </w:t>
            </w:r>
            <w:r w:rsidRPr="000F20A7">
              <w:rPr>
                <w:rFonts w:ascii="Times New Roman" w:hAnsi="Times New Roman" w:cs="Times New Roman"/>
                <w:sz w:val="14"/>
                <w:szCs w:val="14"/>
                <w:lang w:eastAsia="sk-SK"/>
              </w:rPr>
              <w:t>mesto Košice</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1 383,1</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1 383,1</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1 383,1</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9 105,3</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c>
          <w:tcPr>
            <w:tcW w:w="820" w:type="dxa"/>
            <w:tcBorders>
              <w:top w:val="nil"/>
              <w:left w:val="nil"/>
              <w:bottom w:val="single" w:sz="4" w:space="0" w:color="auto"/>
              <w:right w:val="single" w:sz="8"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r>
      <w:tr>
        <w:tblPrEx>
          <w:tblW w:w="9080" w:type="dxa"/>
          <w:jc w:val="center"/>
          <w:tblInd w:w="575" w:type="dxa"/>
          <w:tblCellMar>
            <w:left w:w="70" w:type="dxa"/>
            <w:right w:w="70" w:type="dxa"/>
          </w:tblCellMar>
          <w:tblLook w:val="04A0"/>
        </w:tblPrEx>
        <w:trPr>
          <w:trHeight w:val="255"/>
          <w:jc w:val="center"/>
        </w:trPr>
        <w:tc>
          <w:tcPr>
            <w:tcW w:w="3340" w:type="dxa"/>
            <w:tcBorders>
              <w:top w:val="nil"/>
              <w:left w:val="single" w:sz="8" w:space="0" w:color="auto"/>
              <w:bottom w:val="single" w:sz="4" w:space="0" w:color="auto"/>
              <w:right w:val="single" w:sz="4" w:space="0" w:color="auto"/>
            </w:tcBorders>
            <w:textDirection w:val="lrTb"/>
            <w:vAlign w:val="center"/>
            <w:hideMark/>
          </w:tcPr>
          <w:p w:rsidR="000B4441" w:rsidRPr="000F20A7" w:rsidP="00F576BD">
            <w:pPr>
              <w:bidi w:val="0"/>
              <w:rPr>
                <w:rFonts w:ascii="Times New Roman" w:hAnsi="Times New Roman" w:cs="Times New Roman"/>
                <w:sz w:val="14"/>
                <w:szCs w:val="14"/>
                <w:lang w:eastAsia="sk-SK"/>
              </w:rPr>
            </w:pPr>
            <w:r w:rsidRPr="000F20A7">
              <w:rPr>
                <w:rFonts w:ascii="Times New Roman" w:hAnsi="Times New Roman" w:cs="Times New Roman"/>
                <w:sz w:val="14"/>
                <w:szCs w:val="14"/>
                <w:lang w:eastAsia="sk-SK"/>
              </w:rPr>
              <w:t xml:space="preserve">  -  splátka NFV posky</w:t>
            </w:r>
            <w:r>
              <w:rPr>
                <w:rFonts w:ascii="Times New Roman" w:hAnsi="Times New Roman" w:cs="Times New Roman"/>
                <w:sz w:val="14"/>
                <w:szCs w:val="14"/>
                <w:lang w:eastAsia="sk-SK"/>
              </w:rPr>
              <w:t>tnutá</w:t>
            </w:r>
            <w:r w:rsidRPr="000F20A7">
              <w:rPr>
                <w:rFonts w:ascii="Times New Roman" w:hAnsi="Times New Roman" w:cs="Times New Roman"/>
                <w:sz w:val="14"/>
                <w:szCs w:val="14"/>
                <w:lang w:eastAsia="sk-SK"/>
              </w:rPr>
              <w:t xml:space="preserve"> Bratislav</w:t>
            </w:r>
            <w:r>
              <w:rPr>
                <w:rFonts w:ascii="Times New Roman" w:hAnsi="Times New Roman" w:cs="Times New Roman"/>
                <w:sz w:val="14"/>
                <w:szCs w:val="14"/>
                <w:lang w:eastAsia="sk-SK"/>
              </w:rPr>
              <w:t>.</w:t>
            </w:r>
            <w:r w:rsidRPr="000F20A7">
              <w:rPr>
                <w:rFonts w:ascii="Times New Roman" w:hAnsi="Times New Roman" w:cs="Times New Roman"/>
                <w:sz w:val="14"/>
                <w:szCs w:val="14"/>
                <w:lang w:eastAsia="sk-SK"/>
              </w:rPr>
              <w:t xml:space="preserve"> samospráv. kraju</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4 813,1</w:t>
            </w:r>
          </w:p>
        </w:tc>
        <w:tc>
          <w:tcPr>
            <w:tcW w:w="820" w:type="dxa"/>
            <w:tcBorders>
              <w:top w:val="nil"/>
              <w:left w:val="nil"/>
              <w:bottom w:val="single" w:sz="4" w:space="0" w:color="auto"/>
              <w:right w:val="single" w:sz="8"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r>
      <w:tr>
        <w:tblPrEx>
          <w:tblW w:w="9080" w:type="dxa"/>
          <w:jc w:val="center"/>
          <w:tblInd w:w="575" w:type="dxa"/>
          <w:tblCellMar>
            <w:left w:w="70" w:type="dxa"/>
            <w:right w:w="70" w:type="dxa"/>
          </w:tblCellMar>
          <w:tblLook w:val="04A0"/>
        </w:tblPrEx>
        <w:trPr>
          <w:trHeight w:val="255"/>
          <w:jc w:val="center"/>
        </w:trPr>
        <w:tc>
          <w:tcPr>
            <w:tcW w:w="3340" w:type="dxa"/>
            <w:tcBorders>
              <w:top w:val="nil"/>
              <w:left w:val="single" w:sz="8" w:space="0" w:color="auto"/>
              <w:bottom w:val="single" w:sz="4" w:space="0" w:color="auto"/>
              <w:right w:val="single" w:sz="4" w:space="0" w:color="auto"/>
            </w:tcBorders>
            <w:textDirection w:val="lrTb"/>
            <w:vAlign w:val="center"/>
            <w:hideMark/>
          </w:tcPr>
          <w:p w:rsidR="000B4441" w:rsidRPr="000F20A7" w:rsidP="00F576BD">
            <w:pPr>
              <w:bidi w:val="0"/>
              <w:rPr>
                <w:rFonts w:ascii="Times New Roman" w:hAnsi="Times New Roman" w:cs="Times New Roman"/>
                <w:sz w:val="14"/>
                <w:szCs w:val="14"/>
                <w:lang w:eastAsia="sk-SK"/>
              </w:rPr>
            </w:pPr>
            <w:r w:rsidRPr="000F20A7">
              <w:rPr>
                <w:rFonts w:ascii="Times New Roman" w:hAnsi="Times New Roman" w:cs="Times New Roman"/>
                <w:sz w:val="14"/>
                <w:szCs w:val="14"/>
                <w:lang w:eastAsia="sk-SK"/>
              </w:rPr>
              <w:t xml:space="preserve">  -  splátka NFV mesto Žilina</w:t>
            </w:r>
          </w:p>
        </w:tc>
        <w:tc>
          <w:tcPr>
            <w:tcW w:w="820" w:type="dxa"/>
            <w:tcBorders>
              <w:top w:val="nil"/>
              <w:left w:val="nil"/>
              <w:bottom w:val="nil"/>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c>
          <w:tcPr>
            <w:tcW w:w="820" w:type="dxa"/>
            <w:tcBorders>
              <w:top w:val="nil"/>
              <w:left w:val="nil"/>
              <w:bottom w:val="nil"/>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c>
          <w:tcPr>
            <w:tcW w:w="820" w:type="dxa"/>
            <w:tcBorders>
              <w:top w:val="nil"/>
              <w:left w:val="nil"/>
              <w:bottom w:val="nil"/>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c>
          <w:tcPr>
            <w:tcW w:w="820" w:type="dxa"/>
            <w:tcBorders>
              <w:top w:val="nil"/>
              <w:left w:val="nil"/>
              <w:bottom w:val="nil"/>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c>
          <w:tcPr>
            <w:tcW w:w="820" w:type="dxa"/>
            <w:tcBorders>
              <w:top w:val="nil"/>
              <w:left w:val="nil"/>
              <w:bottom w:val="nil"/>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c>
          <w:tcPr>
            <w:tcW w:w="820" w:type="dxa"/>
            <w:tcBorders>
              <w:top w:val="nil"/>
              <w:left w:val="nil"/>
              <w:bottom w:val="nil"/>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c>
          <w:tcPr>
            <w:tcW w:w="820" w:type="dxa"/>
            <w:tcBorders>
              <w:top w:val="nil"/>
              <w:left w:val="nil"/>
              <w:bottom w:val="nil"/>
              <w:right w:val="single" w:sz="8"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17 573,1</w:t>
            </w:r>
          </w:p>
        </w:tc>
      </w:tr>
      <w:tr>
        <w:tblPrEx>
          <w:tblW w:w="9080" w:type="dxa"/>
          <w:jc w:val="center"/>
          <w:tblInd w:w="575" w:type="dxa"/>
          <w:tblCellMar>
            <w:left w:w="70" w:type="dxa"/>
            <w:right w:w="70" w:type="dxa"/>
          </w:tblCellMar>
          <w:tblLook w:val="04A0"/>
        </w:tblPrEx>
        <w:trPr>
          <w:trHeight w:val="226"/>
          <w:jc w:val="center"/>
        </w:trPr>
        <w:tc>
          <w:tcPr>
            <w:tcW w:w="3340" w:type="dxa"/>
            <w:tcBorders>
              <w:top w:val="nil"/>
              <w:left w:val="single" w:sz="8" w:space="0" w:color="auto"/>
              <w:bottom w:val="single" w:sz="4" w:space="0" w:color="auto"/>
              <w:right w:val="single" w:sz="4" w:space="0" w:color="auto"/>
            </w:tcBorders>
            <w:textDirection w:val="lrTb"/>
            <w:vAlign w:val="center"/>
            <w:hideMark/>
          </w:tcPr>
          <w:p w:rsidR="000B4441" w:rsidP="00F576BD">
            <w:pPr>
              <w:bidi w:val="0"/>
              <w:rPr>
                <w:rFonts w:ascii="Times New Roman" w:hAnsi="Times New Roman" w:cs="Times New Roman"/>
                <w:sz w:val="14"/>
                <w:szCs w:val="14"/>
                <w:lang w:eastAsia="sk-SK"/>
              </w:rPr>
            </w:pPr>
            <w:r w:rsidRPr="000F20A7">
              <w:rPr>
                <w:rFonts w:ascii="Times New Roman" w:hAnsi="Times New Roman" w:cs="Times New Roman"/>
                <w:sz w:val="14"/>
                <w:szCs w:val="14"/>
                <w:lang w:eastAsia="sk-SK"/>
              </w:rPr>
              <w:t xml:space="preserve">  -  splátka</w:t>
            </w:r>
            <w:r>
              <w:rPr>
                <w:rFonts w:ascii="Times New Roman" w:hAnsi="Times New Roman" w:cs="Times New Roman"/>
                <w:sz w:val="14"/>
                <w:szCs w:val="14"/>
                <w:lang w:eastAsia="sk-SK"/>
              </w:rPr>
              <w:t xml:space="preserve"> NFV mesto Žilina - KIA Hyundai</w:t>
            </w:r>
          </w:p>
          <w:p w:rsidR="000B4441" w:rsidRPr="000F20A7" w:rsidP="00F576BD">
            <w:pPr>
              <w:bidi w:val="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w:t>
            </w:r>
            <w:r w:rsidRPr="000F20A7">
              <w:rPr>
                <w:rFonts w:ascii="Times New Roman" w:hAnsi="Times New Roman" w:cs="Times New Roman"/>
                <w:sz w:val="14"/>
                <w:szCs w:val="14"/>
                <w:lang w:eastAsia="sk-SK"/>
              </w:rPr>
              <w:t xml:space="preserve">(Uzn. vl. 750/2009) </w:t>
            </w:r>
          </w:p>
        </w:tc>
        <w:tc>
          <w:tcPr>
            <w:tcW w:w="820" w:type="dxa"/>
            <w:tcBorders>
              <w:top w:val="single" w:sz="4" w:space="0" w:color="auto"/>
              <w:left w:val="nil"/>
              <w:bottom w:val="nil"/>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c>
          <w:tcPr>
            <w:tcW w:w="820" w:type="dxa"/>
            <w:tcBorders>
              <w:top w:val="single" w:sz="4" w:space="0" w:color="auto"/>
              <w:left w:val="nil"/>
              <w:bottom w:val="nil"/>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c>
          <w:tcPr>
            <w:tcW w:w="820" w:type="dxa"/>
            <w:tcBorders>
              <w:top w:val="single" w:sz="4" w:space="0" w:color="auto"/>
              <w:left w:val="nil"/>
              <w:bottom w:val="nil"/>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c>
          <w:tcPr>
            <w:tcW w:w="820" w:type="dxa"/>
            <w:tcBorders>
              <w:top w:val="single" w:sz="4" w:space="0" w:color="auto"/>
              <w:left w:val="nil"/>
              <w:bottom w:val="nil"/>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1 931,9</w:t>
            </w:r>
          </w:p>
        </w:tc>
        <w:tc>
          <w:tcPr>
            <w:tcW w:w="820" w:type="dxa"/>
            <w:tcBorders>
              <w:top w:val="single" w:sz="4" w:space="0" w:color="auto"/>
              <w:left w:val="nil"/>
              <w:bottom w:val="nil"/>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c>
          <w:tcPr>
            <w:tcW w:w="820" w:type="dxa"/>
            <w:tcBorders>
              <w:top w:val="single" w:sz="4" w:space="0" w:color="auto"/>
              <w:left w:val="nil"/>
              <w:bottom w:val="nil"/>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c>
          <w:tcPr>
            <w:tcW w:w="820" w:type="dxa"/>
            <w:tcBorders>
              <w:top w:val="single" w:sz="4" w:space="0" w:color="auto"/>
              <w:left w:val="nil"/>
              <w:bottom w:val="nil"/>
              <w:right w:val="single" w:sz="8"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r>
      <w:tr>
        <w:tblPrEx>
          <w:tblW w:w="9080" w:type="dxa"/>
          <w:jc w:val="center"/>
          <w:tblInd w:w="575" w:type="dxa"/>
          <w:tblCellMar>
            <w:left w:w="70" w:type="dxa"/>
            <w:right w:w="70" w:type="dxa"/>
          </w:tblCellMar>
          <w:tblLook w:val="04A0"/>
        </w:tblPrEx>
        <w:trPr>
          <w:trHeight w:val="330"/>
          <w:jc w:val="center"/>
        </w:trPr>
        <w:tc>
          <w:tcPr>
            <w:tcW w:w="3340" w:type="dxa"/>
            <w:tcBorders>
              <w:top w:val="nil"/>
              <w:left w:val="single" w:sz="8" w:space="0" w:color="auto"/>
              <w:bottom w:val="single" w:sz="4" w:space="0" w:color="auto"/>
              <w:right w:val="single" w:sz="4" w:space="0" w:color="auto"/>
            </w:tcBorders>
            <w:textDirection w:val="lrTb"/>
            <w:vAlign w:val="center"/>
            <w:hideMark/>
          </w:tcPr>
          <w:p w:rsidR="000B4441" w:rsidRPr="000F20A7" w:rsidP="00F576BD">
            <w:pPr>
              <w:bidi w:val="0"/>
              <w:rPr>
                <w:rFonts w:ascii="Times New Roman" w:hAnsi="Times New Roman" w:cs="Times New Roman"/>
                <w:sz w:val="14"/>
                <w:szCs w:val="14"/>
                <w:lang w:eastAsia="sk-SK"/>
              </w:rPr>
            </w:pPr>
            <w:r w:rsidRPr="000F20A7">
              <w:rPr>
                <w:rFonts w:ascii="Times New Roman" w:hAnsi="Times New Roman" w:cs="Times New Roman"/>
                <w:sz w:val="14"/>
                <w:szCs w:val="14"/>
                <w:lang w:eastAsia="sk-SK"/>
              </w:rPr>
              <w:t xml:space="preserve">  -  príjem z predaja ubytovacích kapacít zahraničných</w:t>
              <w:br/>
              <w:t xml:space="preserve">     investorov - Kia/Hyundai - MH SR</w:t>
            </w:r>
          </w:p>
        </w:tc>
        <w:tc>
          <w:tcPr>
            <w:tcW w:w="820" w:type="dxa"/>
            <w:tcBorders>
              <w:top w:val="single" w:sz="4" w:space="0" w:color="auto"/>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c>
          <w:tcPr>
            <w:tcW w:w="820" w:type="dxa"/>
            <w:tcBorders>
              <w:top w:val="single" w:sz="4" w:space="0" w:color="auto"/>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c>
          <w:tcPr>
            <w:tcW w:w="820" w:type="dxa"/>
            <w:tcBorders>
              <w:top w:val="single" w:sz="4" w:space="0" w:color="auto"/>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31 032,4</w:t>
            </w:r>
          </w:p>
        </w:tc>
        <w:tc>
          <w:tcPr>
            <w:tcW w:w="820" w:type="dxa"/>
            <w:tcBorders>
              <w:top w:val="single" w:sz="4" w:space="0" w:color="auto"/>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c>
          <w:tcPr>
            <w:tcW w:w="820" w:type="dxa"/>
            <w:tcBorders>
              <w:top w:val="single" w:sz="4" w:space="0" w:color="auto"/>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c>
          <w:tcPr>
            <w:tcW w:w="820" w:type="dxa"/>
            <w:tcBorders>
              <w:top w:val="single" w:sz="4" w:space="0" w:color="auto"/>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31 032,4</w:t>
            </w:r>
          </w:p>
        </w:tc>
        <w:tc>
          <w:tcPr>
            <w:tcW w:w="820" w:type="dxa"/>
            <w:tcBorders>
              <w:top w:val="single" w:sz="4" w:space="0" w:color="auto"/>
              <w:left w:val="nil"/>
              <w:bottom w:val="single" w:sz="4" w:space="0" w:color="auto"/>
              <w:right w:val="single" w:sz="8"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r>
      <w:tr>
        <w:tblPrEx>
          <w:tblW w:w="9080" w:type="dxa"/>
          <w:jc w:val="center"/>
          <w:tblInd w:w="575" w:type="dxa"/>
          <w:tblCellMar>
            <w:left w:w="70" w:type="dxa"/>
            <w:right w:w="70" w:type="dxa"/>
          </w:tblCellMar>
          <w:tblLook w:val="04A0"/>
        </w:tblPrEx>
        <w:trPr>
          <w:trHeight w:val="264"/>
          <w:jc w:val="center"/>
        </w:trPr>
        <w:tc>
          <w:tcPr>
            <w:tcW w:w="3340" w:type="dxa"/>
            <w:tcBorders>
              <w:top w:val="nil"/>
              <w:left w:val="single" w:sz="8" w:space="0" w:color="auto"/>
              <w:bottom w:val="single" w:sz="4" w:space="0" w:color="auto"/>
              <w:right w:val="single" w:sz="4" w:space="0" w:color="auto"/>
            </w:tcBorders>
            <w:textDirection w:val="lrTb"/>
            <w:vAlign w:val="center"/>
            <w:hideMark/>
          </w:tcPr>
          <w:p w:rsidR="000B4441" w:rsidP="00F576BD">
            <w:pPr>
              <w:bidi w:val="0"/>
              <w:rPr>
                <w:rFonts w:ascii="Times New Roman" w:hAnsi="Times New Roman" w:cs="Times New Roman"/>
                <w:sz w:val="14"/>
                <w:szCs w:val="14"/>
                <w:lang w:eastAsia="sk-SK"/>
              </w:rPr>
            </w:pPr>
            <w:r w:rsidRPr="000F20A7">
              <w:rPr>
                <w:rFonts w:ascii="Times New Roman" w:hAnsi="Times New Roman" w:cs="Times New Roman"/>
                <w:sz w:val="14"/>
                <w:szCs w:val="14"/>
                <w:lang w:eastAsia="sk-SK"/>
              </w:rPr>
              <w:t xml:space="preserve">  -  splátka NFV poskytnutej v súvislosti so </w:t>
            </w:r>
            <w:r>
              <w:rPr>
                <w:rFonts w:ascii="Times New Roman" w:hAnsi="Times New Roman" w:cs="Times New Roman"/>
                <w:sz w:val="14"/>
                <w:szCs w:val="14"/>
                <w:lang w:eastAsia="sk-SK"/>
              </w:rPr>
              <w:t xml:space="preserve">   </w:t>
            </w:r>
          </w:p>
          <w:p w:rsidR="000B4441" w:rsidRPr="000F20A7" w:rsidP="00F576BD">
            <w:pPr>
              <w:bidi w:val="0"/>
              <w:rPr>
                <w:rFonts w:ascii="Times New Roman" w:hAnsi="Times New Roman" w:cs="Times New Roman"/>
                <w:sz w:val="14"/>
                <w:szCs w:val="14"/>
                <w:lang w:eastAsia="sk-SK"/>
              </w:rPr>
            </w:pPr>
            <w:r>
              <w:rPr>
                <w:rFonts w:ascii="Times New Roman" w:hAnsi="Times New Roman" w:cs="Times New Roman"/>
                <w:sz w:val="14"/>
                <w:szCs w:val="14"/>
                <w:lang w:eastAsia="sk-SK"/>
              </w:rPr>
              <w:t xml:space="preserve">     zabezpečením </w:t>
            </w:r>
            <w:r w:rsidRPr="000F20A7">
              <w:rPr>
                <w:rFonts w:ascii="Times New Roman" w:hAnsi="Times New Roman" w:cs="Times New Roman"/>
                <w:sz w:val="14"/>
                <w:szCs w:val="14"/>
                <w:lang w:eastAsia="sk-SK"/>
              </w:rPr>
              <w:t>projektu Samsung</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11 020,4</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11 020,4</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c>
          <w:tcPr>
            <w:tcW w:w="820" w:type="dxa"/>
            <w:tcBorders>
              <w:top w:val="nil"/>
              <w:left w:val="nil"/>
              <w:bottom w:val="single" w:sz="4" w:space="0" w:color="auto"/>
              <w:right w:val="single" w:sz="8" w:space="0" w:color="auto"/>
            </w:tcBorders>
            <w:noWrap/>
            <w:textDirection w:val="lrTb"/>
            <w:vAlign w:val="center"/>
            <w:hideMark/>
          </w:tcPr>
          <w:p w:rsidR="000B4441" w:rsidRPr="000F20A7" w:rsidP="00F576BD">
            <w:pPr>
              <w:bidi w:val="0"/>
              <w:jc w:val="right"/>
              <w:rPr>
                <w:rFonts w:ascii="Times New Roman" w:hAnsi="Times New Roman" w:cs="Times New Roman"/>
                <w:sz w:val="14"/>
                <w:szCs w:val="14"/>
                <w:lang w:eastAsia="sk-SK"/>
              </w:rPr>
            </w:pPr>
            <w:r w:rsidRPr="000F20A7">
              <w:rPr>
                <w:rFonts w:ascii="Times New Roman" w:hAnsi="Times New Roman" w:cs="Times New Roman"/>
                <w:sz w:val="14"/>
                <w:szCs w:val="14"/>
                <w:lang w:eastAsia="sk-SK"/>
              </w:rPr>
              <w:t>0,0</w:t>
            </w:r>
          </w:p>
        </w:tc>
      </w:tr>
      <w:tr>
        <w:tblPrEx>
          <w:tblW w:w="9080" w:type="dxa"/>
          <w:jc w:val="center"/>
          <w:tblInd w:w="575" w:type="dxa"/>
          <w:tblCellMar>
            <w:left w:w="70" w:type="dxa"/>
            <w:right w:w="70" w:type="dxa"/>
          </w:tblCellMar>
          <w:tblLook w:val="04A0"/>
        </w:tblPrEx>
        <w:trPr>
          <w:trHeight w:val="270"/>
          <w:jc w:val="center"/>
        </w:trPr>
        <w:tc>
          <w:tcPr>
            <w:tcW w:w="3340" w:type="dxa"/>
            <w:tcBorders>
              <w:top w:val="nil"/>
              <w:left w:val="single" w:sz="8" w:space="0" w:color="auto"/>
              <w:bottom w:val="single" w:sz="8" w:space="0" w:color="auto"/>
              <w:right w:val="single" w:sz="4" w:space="0" w:color="auto"/>
            </w:tcBorders>
            <w:noWrap/>
            <w:textDirection w:val="lrTb"/>
            <w:vAlign w:val="center"/>
            <w:hideMark/>
          </w:tcPr>
          <w:p w:rsidR="000B4441" w:rsidRPr="000F20A7" w:rsidP="00F576BD">
            <w:pPr>
              <w:bidi w:val="0"/>
              <w:rPr>
                <w:rFonts w:ascii="Times New Roman" w:hAnsi="Times New Roman" w:cs="Times New Roman"/>
                <w:b/>
                <w:bCs/>
                <w:sz w:val="14"/>
                <w:szCs w:val="14"/>
                <w:lang w:eastAsia="sk-SK"/>
              </w:rPr>
            </w:pPr>
            <w:r w:rsidRPr="000F20A7">
              <w:rPr>
                <w:rFonts w:ascii="Times New Roman" w:hAnsi="Times New Roman" w:cs="Times New Roman"/>
                <w:b/>
                <w:bCs/>
                <w:sz w:val="14"/>
                <w:szCs w:val="14"/>
                <w:lang w:eastAsia="sk-SK"/>
              </w:rPr>
              <w:t>Celkom</w:t>
            </w:r>
          </w:p>
        </w:tc>
        <w:tc>
          <w:tcPr>
            <w:tcW w:w="820" w:type="dxa"/>
            <w:tcBorders>
              <w:top w:val="nil"/>
              <w:left w:val="nil"/>
              <w:bottom w:val="single" w:sz="8"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b/>
                <w:bCs/>
                <w:sz w:val="14"/>
                <w:szCs w:val="14"/>
                <w:lang w:eastAsia="sk-SK"/>
              </w:rPr>
            </w:pPr>
            <w:r w:rsidRPr="000F20A7">
              <w:rPr>
                <w:rFonts w:ascii="Times New Roman" w:hAnsi="Times New Roman" w:cs="Times New Roman"/>
                <w:b/>
                <w:bCs/>
                <w:sz w:val="14"/>
                <w:szCs w:val="14"/>
                <w:lang w:eastAsia="sk-SK"/>
              </w:rPr>
              <w:t>3 222,7</w:t>
            </w:r>
          </w:p>
        </w:tc>
        <w:tc>
          <w:tcPr>
            <w:tcW w:w="820" w:type="dxa"/>
            <w:tcBorders>
              <w:top w:val="nil"/>
              <w:left w:val="nil"/>
              <w:bottom w:val="single" w:sz="8"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b/>
                <w:bCs/>
                <w:sz w:val="14"/>
                <w:szCs w:val="14"/>
                <w:lang w:eastAsia="sk-SK"/>
              </w:rPr>
            </w:pPr>
            <w:r w:rsidRPr="000F20A7">
              <w:rPr>
                <w:rFonts w:ascii="Times New Roman" w:hAnsi="Times New Roman" w:cs="Times New Roman"/>
                <w:b/>
                <w:bCs/>
                <w:sz w:val="14"/>
                <w:szCs w:val="14"/>
                <w:lang w:eastAsia="sk-SK"/>
              </w:rPr>
              <w:t>2 910,3</w:t>
            </w:r>
          </w:p>
        </w:tc>
        <w:tc>
          <w:tcPr>
            <w:tcW w:w="820" w:type="dxa"/>
            <w:tcBorders>
              <w:top w:val="nil"/>
              <w:left w:val="nil"/>
              <w:bottom w:val="single" w:sz="8"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b/>
                <w:bCs/>
                <w:sz w:val="14"/>
                <w:szCs w:val="14"/>
                <w:lang w:eastAsia="sk-SK"/>
              </w:rPr>
            </w:pPr>
            <w:r w:rsidRPr="000F20A7">
              <w:rPr>
                <w:rFonts w:ascii="Times New Roman" w:hAnsi="Times New Roman" w:cs="Times New Roman"/>
                <w:b/>
                <w:bCs/>
                <w:sz w:val="14"/>
                <w:szCs w:val="14"/>
                <w:lang w:eastAsia="sk-SK"/>
              </w:rPr>
              <w:t>44 026,2</w:t>
            </w:r>
          </w:p>
        </w:tc>
        <w:tc>
          <w:tcPr>
            <w:tcW w:w="820" w:type="dxa"/>
            <w:tcBorders>
              <w:top w:val="nil"/>
              <w:left w:val="nil"/>
              <w:bottom w:val="single" w:sz="8"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b/>
                <w:bCs/>
                <w:sz w:val="14"/>
                <w:szCs w:val="14"/>
                <w:lang w:eastAsia="sk-SK"/>
              </w:rPr>
            </w:pPr>
            <w:r w:rsidRPr="000F20A7">
              <w:rPr>
                <w:rFonts w:ascii="Times New Roman" w:hAnsi="Times New Roman" w:cs="Times New Roman"/>
                <w:b/>
                <w:bCs/>
                <w:sz w:val="14"/>
                <w:szCs w:val="14"/>
                <w:lang w:eastAsia="sk-SK"/>
              </w:rPr>
              <w:t>22 647,9</w:t>
            </w:r>
          </w:p>
        </w:tc>
        <w:tc>
          <w:tcPr>
            <w:tcW w:w="820" w:type="dxa"/>
            <w:tcBorders>
              <w:top w:val="nil"/>
              <w:left w:val="nil"/>
              <w:bottom w:val="single" w:sz="8"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b/>
                <w:bCs/>
                <w:sz w:val="14"/>
                <w:szCs w:val="14"/>
                <w:lang w:eastAsia="sk-SK"/>
              </w:rPr>
            </w:pPr>
            <w:r w:rsidRPr="000F20A7">
              <w:rPr>
                <w:rFonts w:ascii="Times New Roman" w:hAnsi="Times New Roman" w:cs="Times New Roman"/>
                <w:b/>
                <w:bCs/>
                <w:sz w:val="14"/>
                <w:szCs w:val="14"/>
                <w:lang w:eastAsia="sk-SK"/>
              </w:rPr>
              <w:t>166,4</w:t>
            </w:r>
          </w:p>
        </w:tc>
        <w:tc>
          <w:tcPr>
            <w:tcW w:w="820" w:type="dxa"/>
            <w:tcBorders>
              <w:top w:val="nil"/>
              <w:left w:val="nil"/>
              <w:bottom w:val="single" w:sz="8" w:space="0" w:color="auto"/>
              <w:right w:val="single" w:sz="4" w:space="0" w:color="auto"/>
            </w:tcBorders>
            <w:noWrap/>
            <w:textDirection w:val="lrTb"/>
            <w:vAlign w:val="center"/>
            <w:hideMark/>
          </w:tcPr>
          <w:p w:rsidR="000B4441" w:rsidRPr="000F20A7" w:rsidP="00F576BD">
            <w:pPr>
              <w:bidi w:val="0"/>
              <w:jc w:val="right"/>
              <w:rPr>
                <w:rFonts w:ascii="Times New Roman" w:hAnsi="Times New Roman" w:cs="Times New Roman"/>
                <w:b/>
                <w:bCs/>
                <w:sz w:val="14"/>
                <w:szCs w:val="14"/>
                <w:lang w:eastAsia="sk-SK"/>
              </w:rPr>
            </w:pPr>
            <w:r w:rsidRPr="000F20A7">
              <w:rPr>
                <w:rFonts w:ascii="Times New Roman" w:hAnsi="Times New Roman" w:cs="Times New Roman"/>
                <w:b/>
                <w:bCs/>
                <w:sz w:val="14"/>
                <w:szCs w:val="14"/>
                <w:lang w:eastAsia="sk-SK"/>
              </w:rPr>
              <w:t>35 978,7</w:t>
            </w:r>
          </w:p>
        </w:tc>
        <w:tc>
          <w:tcPr>
            <w:tcW w:w="820" w:type="dxa"/>
            <w:tcBorders>
              <w:top w:val="nil"/>
              <w:left w:val="nil"/>
              <w:bottom w:val="single" w:sz="8" w:space="0" w:color="auto"/>
              <w:right w:val="single" w:sz="8" w:space="0" w:color="auto"/>
            </w:tcBorders>
            <w:noWrap/>
            <w:textDirection w:val="lrTb"/>
            <w:vAlign w:val="center"/>
            <w:hideMark/>
          </w:tcPr>
          <w:p w:rsidR="000B4441" w:rsidRPr="000F20A7" w:rsidP="00F576BD">
            <w:pPr>
              <w:bidi w:val="0"/>
              <w:jc w:val="right"/>
              <w:rPr>
                <w:rFonts w:ascii="Times New Roman" w:hAnsi="Times New Roman" w:cs="Times New Roman"/>
                <w:b/>
                <w:bCs/>
                <w:sz w:val="14"/>
                <w:szCs w:val="14"/>
                <w:lang w:eastAsia="sk-SK"/>
              </w:rPr>
            </w:pPr>
            <w:r w:rsidRPr="000F20A7">
              <w:rPr>
                <w:rFonts w:ascii="Times New Roman" w:hAnsi="Times New Roman" w:cs="Times New Roman"/>
                <w:b/>
                <w:bCs/>
                <w:sz w:val="14"/>
                <w:szCs w:val="14"/>
                <w:lang w:eastAsia="sk-SK"/>
              </w:rPr>
              <w:t>17 639,9</w:t>
            </w:r>
          </w:p>
        </w:tc>
      </w:tr>
    </w:tbl>
    <w:p w:rsidR="000B4441" w:rsidRPr="00957F25" w:rsidP="000B4441">
      <w:pPr>
        <w:bidi w:val="0"/>
        <w:ind w:right="72"/>
        <w:jc w:val="both"/>
        <w:rPr>
          <w:rFonts w:ascii="Times New Roman" w:hAnsi="Times New Roman" w:cs="Times New Roman"/>
          <w:sz w:val="16"/>
          <w:szCs w:val="16"/>
          <w:highlight w:val="yellow"/>
        </w:rPr>
      </w:pPr>
    </w:p>
    <w:p w:rsidR="000B4441" w:rsidRPr="00A45ACC" w:rsidP="000B4441">
      <w:pPr>
        <w:bidi w:val="0"/>
        <w:ind w:firstLine="703"/>
        <w:jc w:val="both"/>
        <w:rPr>
          <w:rFonts w:ascii="Times New Roman" w:hAnsi="Times New Roman" w:cs="Times New Roman"/>
        </w:rPr>
      </w:pPr>
      <w:r w:rsidRPr="00A45ACC">
        <w:rPr>
          <w:rFonts w:ascii="Times New Roman" w:hAnsi="Times New Roman" w:cs="Times New Roman"/>
        </w:rPr>
        <w:t xml:space="preserve">Do pôsobnosti Ministerstva financií SR patrí správa a vymáhanie pohľadávok štátu z titulu prídelu doplnkového pozemkového majetku presídlencom z Maďarska na základe Dohody medzi Československom a Maďarskom o výmene obyvateľstva publikovanej pod </w:t>
      </w:r>
      <w:r>
        <w:rPr>
          <w:rFonts w:ascii="Times New Roman" w:hAnsi="Times New Roman" w:cs="Times New Roman"/>
        </w:rPr>
        <w:t xml:space="preserve">    </w:t>
      </w:r>
      <w:r w:rsidRPr="00A45ACC">
        <w:rPr>
          <w:rFonts w:ascii="Times New Roman" w:hAnsi="Times New Roman" w:cs="Times New Roman"/>
        </w:rPr>
        <w:t xml:space="preserve">č. 145/1946 Zb. Celková pohľadávka štátu voči týmto fyzickým osobám bola k 30. júnu 2011 v sume 355,1 tis. eur. Príjmy z tohto titulu sa v jednotlivých rokoch predpokladajú konštantne na úrovni 17 tis. eur. </w:t>
      </w:r>
    </w:p>
    <w:p w:rsidR="000B4441" w:rsidRPr="00957F25" w:rsidP="000B4441">
      <w:pPr>
        <w:bidi w:val="0"/>
        <w:ind w:firstLine="705"/>
        <w:jc w:val="both"/>
        <w:rPr>
          <w:rFonts w:ascii="Times New Roman" w:hAnsi="Times New Roman" w:cs="Times New Roman"/>
          <w:sz w:val="16"/>
          <w:szCs w:val="16"/>
        </w:rPr>
      </w:pPr>
    </w:p>
    <w:p w:rsidR="000B4441" w:rsidRPr="00A45ACC" w:rsidP="000B4441">
      <w:pPr>
        <w:bidi w:val="0"/>
        <w:ind w:firstLine="705"/>
        <w:jc w:val="both"/>
        <w:rPr>
          <w:rFonts w:ascii="Times New Roman" w:hAnsi="Times New Roman" w:cs="Times New Roman"/>
        </w:rPr>
      </w:pPr>
      <w:r w:rsidRPr="00A45ACC">
        <w:rPr>
          <w:rFonts w:ascii="Times New Roman" w:hAnsi="Times New Roman" w:cs="Times New Roman"/>
        </w:rPr>
        <w:t xml:space="preserve">V pôsobnosti kapitoly Ministerstva pôdohospodárstva a rozvoja vidieka SR ide o príjmy zo splácania návratných finančných výpomocí poskytnutých </w:t>
      </w:r>
      <w:r>
        <w:rPr>
          <w:rFonts w:ascii="Times New Roman" w:hAnsi="Times New Roman" w:cs="Times New Roman"/>
        </w:rPr>
        <w:t>bývalým</w:t>
      </w:r>
      <w:r w:rsidRPr="00A45ACC">
        <w:rPr>
          <w:rFonts w:ascii="Times New Roman" w:hAnsi="Times New Roman" w:cs="Times New Roman"/>
        </w:rPr>
        <w:t xml:space="preserve"> štátnym fond</w:t>
      </w:r>
      <w:r>
        <w:rPr>
          <w:rFonts w:ascii="Times New Roman" w:hAnsi="Times New Roman" w:cs="Times New Roman"/>
        </w:rPr>
        <w:t>o</w:t>
      </w:r>
      <w:r w:rsidRPr="00A45ACC">
        <w:rPr>
          <w:rFonts w:ascii="Times New Roman" w:hAnsi="Times New Roman" w:cs="Times New Roman"/>
        </w:rPr>
        <w:t xml:space="preserve">m. </w:t>
      </w:r>
    </w:p>
    <w:p w:rsidR="000B4441" w:rsidRPr="00957F25" w:rsidP="000B4441">
      <w:pPr>
        <w:bidi w:val="0"/>
        <w:ind w:right="72"/>
        <w:jc w:val="both"/>
        <w:rPr>
          <w:rFonts w:ascii="Times New Roman" w:hAnsi="Times New Roman" w:cs="Times New Roman"/>
          <w:sz w:val="16"/>
          <w:szCs w:val="16"/>
          <w:highlight w:val="yellow"/>
        </w:rPr>
      </w:pPr>
    </w:p>
    <w:p w:rsidR="000B4441" w:rsidRPr="00A45ACC" w:rsidP="000B4441">
      <w:pPr>
        <w:bidi w:val="0"/>
        <w:ind w:firstLine="705"/>
        <w:jc w:val="both"/>
        <w:rPr>
          <w:rFonts w:ascii="Times New Roman" w:hAnsi="Times New Roman" w:cs="Times New Roman"/>
        </w:rPr>
      </w:pPr>
      <w:r w:rsidRPr="00A45ACC">
        <w:rPr>
          <w:rFonts w:ascii="Times New Roman" w:hAnsi="Times New Roman" w:cs="Times New Roman"/>
        </w:rPr>
        <w:t>Príjmy z realizovaných štátnych záruk od nefinančných subjektov a splátok návratných finančných výpomocí sú v pôsobnosti kapitoly Všeobecná pokladničná správa a v zmysle splátkových kalendárov sa v jednotlivých rokoch rozpočtového rámca 2012 až 2014 očakávajú v objemoch ako je uvedené vo vyššie uvedenej tabuľke a v nasledovnom texte:</w:t>
      </w:r>
    </w:p>
    <w:p w:rsidR="000B4441" w:rsidRPr="00957F25" w:rsidP="000B4441">
      <w:pPr>
        <w:bidi w:val="0"/>
        <w:ind w:firstLine="705"/>
        <w:jc w:val="both"/>
        <w:rPr>
          <w:rFonts w:ascii="Times New Roman" w:hAnsi="Times New Roman" w:cs="Times New Roman"/>
          <w:sz w:val="16"/>
          <w:szCs w:val="16"/>
        </w:rPr>
      </w:pPr>
    </w:p>
    <w:p w:rsidR="000B4441" w:rsidRPr="00A45ACC" w:rsidP="000B4441">
      <w:pPr>
        <w:numPr>
          <w:numId w:val="1"/>
        </w:numPr>
        <w:bidi w:val="0"/>
        <w:jc w:val="both"/>
        <w:rPr>
          <w:rFonts w:ascii="Times New Roman" w:hAnsi="Times New Roman" w:cs="Times New Roman"/>
        </w:rPr>
      </w:pPr>
      <w:r>
        <w:rPr>
          <w:rFonts w:ascii="Times New Roman" w:hAnsi="Times New Roman" w:cs="Times New Roman"/>
        </w:rPr>
        <w:t>o</w:t>
      </w:r>
      <w:r w:rsidRPr="00A45ACC">
        <w:rPr>
          <w:rFonts w:ascii="Times New Roman" w:hAnsi="Times New Roman" w:cs="Times New Roman"/>
        </w:rPr>
        <w:t>dhaduje sa, že z prebiehajúcich konkurzných konaní, v ktorých si Ministerstvo financií SR uplatnilo svoje pohľadávky, možno získať príjmy vo výške 49,8 tis. eur ročne</w:t>
      </w:r>
      <w:r>
        <w:rPr>
          <w:rFonts w:ascii="Times New Roman" w:hAnsi="Times New Roman" w:cs="Times New Roman"/>
        </w:rPr>
        <w:t>;</w:t>
      </w:r>
      <w:r w:rsidRPr="00A45ACC">
        <w:rPr>
          <w:rFonts w:ascii="Times New Roman" w:hAnsi="Times New Roman" w:cs="Times New Roman"/>
        </w:rPr>
        <w:t xml:space="preserve"> </w:t>
      </w:r>
    </w:p>
    <w:p w:rsidR="000B4441" w:rsidRPr="00957F25" w:rsidP="000B4441">
      <w:pPr>
        <w:bidi w:val="0"/>
        <w:ind w:firstLine="705"/>
        <w:jc w:val="both"/>
        <w:rPr>
          <w:rFonts w:ascii="Times New Roman" w:hAnsi="Times New Roman" w:cs="Times New Roman"/>
          <w:sz w:val="16"/>
          <w:szCs w:val="16"/>
        </w:rPr>
      </w:pPr>
    </w:p>
    <w:p w:rsidR="000B4441" w:rsidRPr="00A45ACC" w:rsidP="000B4441">
      <w:pPr>
        <w:numPr>
          <w:numId w:val="1"/>
        </w:numPr>
        <w:bidi w:val="0"/>
        <w:jc w:val="both"/>
        <w:rPr>
          <w:rFonts w:ascii="Times New Roman" w:hAnsi="Times New Roman" w:cs="Times New Roman"/>
        </w:rPr>
      </w:pPr>
      <w:r>
        <w:rPr>
          <w:rFonts w:ascii="Times New Roman" w:hAnsi="Times New Roman" w:cs="Times New Roman"/>
        </w:rPr>
        <w:t>v</w:t>
      </w:r>
      <w:r w:rsidRPr="00A45ACC">
        <w:rPr>
          <w:rFonts w:ascii="Times New Roman" w:hAnsi="Times New Roman" w:cs="Times New Roman"/>
        </w:rPr>
        <w:t xml:space="preserve"> roku 2013 sa predpokladá jednorazový príjem z návratnej finančnej výpomoci poskytnutej Bratislavskému samosprávnemu kraju na riešenie výpadku vlastných príjmov rozpočtu dlžníka z titulu výnosu dane z </w:t>
      </w:r>
      <w:r>
        <w:rPr>
          <w:rFonts w:ascii="Times New Roman" w:hAnsi="Times New Roman" w:cs="Times New Roman"/>
        </w:rPr>
        <w:t>motorových vozidiel v roku 2008;</w:t>
      </w:r>
    </w:p>
    <w:p w:rsidR="000B4441" w:rsidRPr="00957F25" w:rsidP="000B4441">
      <w:pPr>
        <w:pStyle w:val="ListParagraph"/>
        <w:bidi w:val="0"/>
        <w:rPr>
          <w:rFonts w:ascii="Times New Roman" w:hAnsi="Times New Roman" w:cs="Times New Roman"/>
          <w:sz w:val="16"/>
          <w:szCs w:val="16"/>
        </w:rPr>
      </w:pPr>
    </w:p>
    <w:p w:rsidR="000B4441" w:rsidRPr="00A45ACC" w:rsidP="000B4441">
      <w:pPr>
        <w:numPr>
          <w:numId w:val="1"/>
        </w:numPr>
        <w:bidi w:val="0"/>
        <w:jc w:val="both"/>
        <w:rPr>
          <w:rFonts w:ascii="Times New Roman" w:hAnsi="Times New Roman" w:cs="Times New Roman"/>
        </w:rPr>
      </w:pPr>
      <w:r>
        <w:rPr>
          <w:rFonts w:ascii="Times New Roman" w:hAnsi="Times New Roman" w:cs="Times New Roman"/>
        </w:rPr>
        <w:t>v</w:t>
      </w:r>
      <w:r w:rsidRPr="00A45ACC">
        <w:rPr>
          <w:rFonts w:ascii="Times New Roman" w:hAnsi="Times New Roman" w:cs="Times New Roman"/>
        </w:rPr>
        <w:t xml:space="preserve">láda SR uznesením č. 94 zo dňa 1. februára 2006 schválila návrh na výstavbu ubytovacích kapacít pre zahraničných investorov – Kia/Hyundai (Čierna Voda), v ktorom súhlasila s poskytnutím štátnych finančných aktív v sume 38 704,1 tis. eur ako vkladom do základného imania spoločnosti založenej Ministerstvom hospodárstva SR na zabezpečenie výstavby a prevádzky predmetných ubytovacím kapacít. </w:t>
      </w:r>
      <w:r>
        <w:rPr>
          <w:rFonts w:ascii="Times New Roman" w:hAnsi="Times New Roman" w:cs="Times New Roman"/>
        </w:rPr>
        <w:t>V zmysle investičnej zmluvy prejavili z</w:t>
      </w:r>
      <w:r w:rsidRPr="00A45ACC">
        <w:rPr>
          <w:rFonts w:ascii="Times New Roman" w:hAnsi="Times New Roman" w:cs="Times New Roman"/>
        </w:rPr>
        <w:t xml:space="preserve">ahraniční investori (Kia/Hyundai) záujem o odkúpenie obytného komplexu po uplynutí piatich rokov od nasťahovania </w:t>
      </w:r>
      <w:r>
        <w:rPr>
          <w:rFonts w:ascii="Times New Roman" w:hAnsi="Times New Roman" w:cs="Times New Roman"/>
        </w:rPr>
        <w:t xml:space="preserve">              </w:t>
      </w:r>
      <w:r w:rsidRPr="00A45ACC">
        <w:rPr>
          <w:rFonts w:ascii="Times New Roman" w:hAnsi="Times New Roman" w:cs="Times New Roman"/>
        </w:rPr>
        <w:t>(v r. 2008) ich zamestnancov do vybudovaných kapacít za podmienky, že kúpna cena obytných častí bude znížená o 20 % obstarávacích nákladov. Pri započítaní zníženej hodnoty odpredávaného komplexu akceptáciou predbežne dohodnutých podmienok s investorom by mal štát získať v roku 2013 p</w:t>
      </w:r>
      <w:r>
        <w:rPr>
          <w:rFonts w:ascii="Times New Roman" w:hAnsi="Times New Roman" w:cs="Times New Roman"/>
        </w:rPr>
        <w:t>ríjem v sume 31 032,4 tis. eur;</w:t>
      </w:r>
    </w:p>
    <w:p w:rsidR="000B4441" w:rsidRPr="00957F25" w:rsidP="000B4441">
      <w:pPr>
        <w:bidi w:val="0"/>
        <w:jc w:val="both"/>
        <w:rPr>
          <w:rFonts w:ascii="Times New Roman" w:hAnsi="Times New Roman" w:cs="Times New Roman"/>
          <w:sz w:val="16"/>
          <w:szCs w:val="16"/>
        </w:rPr>
      </w:pPr>
    </w:p>
    <w:p w:rsidR="000B4441" w:rsidP="000B4441">
      <w:pPr>
        <w:numPr>
          <w:numId w:val="1"/>
        </w:numPr>
        <w:bidi w:val="0"/>
        <w:jc w:val="both"/>
        <w:rPr>
          <w:rFonts w:ascii="Times New Roman" w:hAnsi="Times New Roman" w:cs="Times New Roman"/>
        </w:rPr>
      </w:pPr>
      <w:r>
        <w:rPr>
          <w:rFonts w:ascii="Times New Roman" w:hAnsi="Times New Roman" w:cs="Times New Roman"/>
        </w:rPr>
        <w:t>m</w:t>
      </w:r>
      <w:r w:rsidRPr="00A45ACC">
        <w:rPr>
          <w:rFonts w:ascii="Times New Roman" w:hAnsi="Times New Roman" w:cs="Times New Roman"/>
        </w:rPr>
        <w:t>estu Žilina bola v zmysle uznesenia vlády SR č. 850 zo dňa 26. 10. 2005 poskytnutá návratná finančná výpomoc zo štátnych finančných aktív v sume 17,57 mil. eur na financovanie výstavby obytného súboru Krasňany. V zmysle uzavretej zmluvy mali byť finančné prostriedky vrátené do štátnych finančných aktív k  30. 6. 2009. V zmysle uznesenia vlády SR č. 750/2009 vláda súhlasila so zmenou termínu splatnosti na 31. decembra 2014.</w:t>
      </w:r>
    </w:p>
    <w:p w:rsidR="000B4441" w:rsidP="000B4441">
      <w:pPr>
        <w:pStyle w:val="ListParagraph"/>
        <w:bidi w:val="0"/>
        <w:rPr>
          <w:rFonts w:ascii="Times New Roman" w:hAnsi="Times New Roman" w:cs="Times New Roman"/>
        </w:rPr>
      </w:pPr>
    </w:p>
    <w:p w:rsidR="000B4441" w:rsidRPr="00A45ACC" w:rsidP="000B4441">
      <w:pPr>
        <w:pStyle w:val="Heading2"/>
        <w:bidi w:val="0"/>
        <w:spacing w:before="0" w:after="0"/>
        <w:rPr>
          <w:rFonts w:ascii="Times New Roman" w:hAnsi="Times New Roman"/>
          <w:i w:val="0"/>
          <w:iCs w:val="0"/>
          <w:sz w:val="24"/>
          <w:szCs w:val="24"/>
        </w:rPr>
      </w:pPr>
      <w:bookmarkStart w:id="83" w:name="_Toc143348615"/>
      <w:bookmarkStart w:id="84" w:name="_Toc148255261"/>
      <w:bookmarkStart w:id="85" w:name="_Toc174871978"/>
      <w:bookmarkStart w:id="86" w:name="_Toc206478413"/>
      <w:bookmarkStart w:id="87" w:name="_Toc241846651"/>
      <w:bookmarkStart w:id="88" w:name="_Toc273979634"/>
      <w:bookmarkStart w:id="89" w:name="_Toc300912267"/>
      <w:bookmarkStart w:id="90" w:name="_Toc306089071"/>
      <w:r>
        <w:rPr>
          <w:rFonts w:ascii="Times New Roman" w:hAnsi="Times New Roman"/>
          <w:i w:val="0"/>
          <w:iCs w:val="0"/>
          <w:sz w:val="24"/>
          <w:szCs w:val="24"/>
        </w:rPr>
        <w:t>6</w:t>
      </w:r>
      <w:r w:rsidRPr="00A45ACC">
        <w:rPr>
          <w:rFonts w:ascii="Times New Roman" w:hAnsi="Times New Roman"/>
          <w:i w:val="0"/>
          <w:iCs w:val="0"/>
          <w:sz w:val="24"/>
          <w:szCs w:val="24"/>
        </w:rPr>
        <w:t>.2. Výdavkové operácie</w:t>
      </w:r>
      <w:bookmarkEnd w:id="81"/>
      <w:bookmarkEnd w:id="82"/>
      <w:bookmarkEnd w:id="83"/>
      <w:bookmarkEnd w:id="84"/>
      <w:bookmarkEnd w:id="85"/>
      <w:bookmarkEnd w:id="86"/>
      <w:bookmarkEnd w:id="87"/>
      <w:bookmarkEnd w:id="88"/>
      <w:bookmarkEnd w:id="89"/>
      <w:bookmarkEnd w:id="90"/>
    </w:p>
    <w:p w:rsidR="000B4441" w:rsidRPr="00957F25" w:rsidP="000B4441">
      <w:pPr>
        <w:bidi w:val="0"/>
        <w:rPr>
          <w:rFonts w:ascii="Times New Roman" w:hAnsi="Times New Roman" w:cs="Times New Roman"/>
          <w:sz w:val="16"/>
          <w:szCs w:val="16"/>
        </w:rPr>
      </w:pPr>
    </w:p>
    <w:p w:rsidR="000B4441" w:rsidRPr="00A45ACC" w:rsidP="000B4441">
      <w:pPr>
        <w:bidi w:val="0"/>
        <w:jc w:val="both"/>
        <w:rPr>
          <w:rFonts w:ascii="Times New Roman" w:hAnsi="Times New Roman" w:cs="Times New Roman"/>
        </w:rPr>
      </w:pPr>
      <w:bookmarkStart w:id="91" w:name="_Toc116476500"/>
      <w:r>
        <w:rPr>
          <w:rFonts w:ascii="Times New Roman" w:hAnsi="Times New Roman" w:cs="Times New Roman"/>
        </w:rPr>
        <w:t xml:space="preserve">6.2.1. </w:t>
        <w:tab/>
      </w:r>
      <w:r w:rsidRPr="00A45ACC">
        <w:rPr>
          <w:rFonts w:ascii="Times New Roman" w:hAnsi="Times New Roman" w:cs="Times New Roman"/>
        </w:rPr>
        <w:t>Príjmy z Fondu národného majetku SR z dividend od spoločností s majetkovou účasťou Fondu národného majetku SR sa v jednotlivých rokoch rozpočtového rámca 2012 až 2014 v rovnakej výške ako vstúpili do príjmov štátnych finančných aktív prevedú do príjmov štátneho rozpočtu. To znamená, že z pohľadu bilancie štátnych finančných aktív je táto operácia neutrálna.</w:t>
      </w:r>
    </w:p>
    <w:p w:rsidR="000B4441" w:rsidRPr="00957F25" w:rsidP="000B4441">
      <w:pPr>
        <w:bidi w:val="0"/>
        <w:jc w:val="both"/>
        <w:rPr>
          <w:rFonts w:ascii="Times New Roman" w:hAnsi="Times New Roman" w:cs="Times New Roman"/>
          <w:sz w:val="16"/>
          <w:szCs w:val="16"/>
        </w:rPr>
      </w:pPr>
    </w:p>
    <w:p w:rsidR="000B4441" w:rsidP="000B4441">
      <w:pPr>
        <w:bidi w:val="0"/>
        <w:jc w:val="both"/>
        <w:rPr>
          <w:rFonts w:ascii="Times New Roman" w:hAnsi="Times New Roman" w:cs="Times New Roman"/>
        </w:rPr>
      </w:pPr>
      <w:r>
        <w:rPr>
          <w:rFonts w:ascii="Times New Roman" w:hAnsi="Times New Roman" w:cs="Times New Roman"/>
        </w:rPr>
        <w:t>6.2.2.</w:t>
        <w:tab/>
      </w:r>
      <w:r w:rsidRPr="00A45ACC">
        <w:rPr>
          <w:rFonts w:ascii="Times New Roman" w:hAnsi="Times New Roman" w:cs="Times New Roman"/>
        </w:rPr>
        <w:t>Medzi finančné operácie na strane výdavkov štátnych finančných aktív sa zaraďuje aj poskytovanie úverov a pôžičiek, účasť na majetku a splácanie istiny. V jednotlivých rokoch rozpočtového rámca 2012 až 2014 sa rozpočtujú v nižšie uvedených čiastkach.</w:t>
      </w:r>
    </w:p>
    <w:p w:rsidR="000B4441" w:rsidP="000B4441">
      <w:pPr>
        <w:bidi w:val="0"/>
        <w:jc w:val="both"/>
        <w:rPr>
          <w:rFonts w:ascii="Times New Roman" w:hAnsi="Times New Roman" w:cs="Times New Roman"/>
          <w:sz w:val="16"/>
          <w:szCs w:val="16"/>
        </w:rPr>
      </w:pPr>
    </w:p>
    <w:tbl>
      <w:tblPr>
        <w:tblStyle w:val="TableNormal"/>
        <w:tblW w:w="9089" w:type="dxa"/>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349"/>
        <w:gridCol w:w="820"/>
        <w:gridCol w:w="820"/>
        <w:gridCol w:w="820"/>
        <w:gridCol w:w="820"/>
        <w:gridCol w:w="820"/>
        <w:gridCol w:w="820"/>
        <w:gridCol w:w="820"/>
      </w:tblGrid>
      <w:tr>
        <w:tblPrEx>
          <w:tblW w:w="9089" w:type="dxa"/>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66"/>
          <w:jc w:val="center"/>
        </w:trPr>
        <w:tc>
          <w:tcPr>
            <w:tcW w:w="3349"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6C184E" w:rsidP="00F576BD">
            <w:pPr>
              <w:bidi w:val="0"/>
              <w:rPr>
                <w:rFonts w:ascii="Times New Roman" w:hAnsi="Times New Roman" w:cs="Times New Roman"/>
                <w:b/>
                <w:sz w:val="14"/>
                <w:szCs w:val="14"/>
                <w:lang w:eastAsia="sk-SK"/>
              </w:rPr>
            </w:pPr>
            <w:r w:rsidRPr="006C184E">
              <w:rPr>
                <w:rFonts w:ascii="Times New Roman" w:hAnsi="Times New Roman" w:cs="Times New Roman"/>
                <w:b/>
                <w:sz w:val="14"/>
                <w:szCs w:val="14"/>
                <w:lang w:eastAsia="sk-SK"/>
              </w:rPr>
              <w:t>v tis. eur</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A822CF" w:rsidP="00F576BD">
            <w:pPr>
              <w:bidi w:val="0"/>
              <w:jc w:val="center"/>
              <w:rPr>
                <w:rFonts w:ascii="Times New Roman" w:hAnsi="Times New Roman" w:cs="Times New Roman"/>
                <w:b/>
                <w:bCs/>
                <w:sz w:val="14"/>
                <w:szCs w:val="14"/>
                <w:lang w:eastAsia="sk-SK"/>
              </w:rPr>
            </w:pPr>
            <w:r w:rsidRPr="00A822CF">
              <w:rPr>
                <w:rFonts w:ascii="Times New Roman" w:hAnsi="Times New Roman" w:cs="Times New Roman"/>
                <w:b/>
                <w:bCs/>
                <w:sz w:val="14"/>
                <w:szCs w:val="14"/>
                <w:lang w:eastAsia="sk-SK"/>
              </w:rPr>
              <w:t>2009 S</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A822CF" w:rsidP="00F576BD">
            <w:pPr>
              <w:bidi w:val="0"/>
              <w:jc w:val="center"/>
              <w:rPr>
                <w:rFonts w:ascii="Times New Roman" w:hAnsi="Times New Roman" w:cs="Times New Roman"/>
                <w:b/>
                <w:bCs/>
                <w:sz w:val="14"/>
                <w:szCs w:val="14"/>
                <w:lang w:eastAsia="sk-SK"/>
              </w:rPr>
            </w:pPr>
            <w:r w:rsidRPr="00A822CF">
              <w:rPr>
                <w:rFonts w:ascii="Times New Roman" w:hAnsi="Times New Roman" w:cs="Times New Roman"/>
                <w:b/>
                <w:bCs/>
                <w:sz w:val="14"/>
                <w:szCs w:val="14"/>
                <w:lang w:eastAsia="sk-SK"/>
              </w:rPr>
              <w:t>2010 S</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A822CF" w:rsidP="00F576BD">
            <w:pPr>
              <w:bidi w:val="0"/>
              <w:jc w:val="center"/>
              <w:rPr>
                <w:rFonts w:ascii="Times New Roman" w:hAnsi="Times New Roman" w:cs="Times New Roman"/>
                <w:b/>
                <w:bCs/>
                <w:sz w:val="14"/>
                <w:szCs w:val="14"/>
                <w:lang w:eastAsia="sk-SK"/>
              </w:rPr>
            </w:pPr>
            <w:r w:rsidRPr="00A822CF">
              <w:rPr>
                <w:rFonts w:ascii="Times New Roman" w:hAnsi="Times New Roman" w:cs="Times New Roman"/>
                <w:b/>
                <w:bCs/>
                <w:sz w:val="14"/>
                <w:szCs w:val="14"/>
                <w:lang w:eastAsia="sk-SK"/>
              </w:rPr>
              <w:t>2011 R</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A822CF" w:rsidP="00F576BD">
            <w:pPr>
              <w:bidi w:val="0"/>
              <w:jc w:val="center"/>
              <w:rPr>
                <w:rFonts w:ascii="Times New Roman" w:hAnsi="Times New Roman" w:cs="Times New Roman"/>
                <w:b/>
                <w:bCs/>
                <w:sz w:val="14"/>
                <w:szCs w:val="14"/>
                <w:lang w:eastAsia="sk-SK"/>
              </w:rPr>
            </w:pPr>
            <w:r w:rsidRPr="00A822CF">
              <w:rPr>
                <w:rFonts w:ascii="Times New Roman" w:hAnsi="Times New Roman" w:cs="Times New Roman"/>
                <w:b/>
                <w:bCs/>
                <w:sz w:val="14"/>
                <w:szCs w:val="14"/>
                <w:lang w:eastAsia="sk-SK"/>
              </w:rPr>
              <w:t>2011 OS</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A822CF" w:rsidP="00F576BD">
            <w:pPr>
              <w:bidi w:val="0"/>
              <w:jc w:val="center"/>
              <w:rPr>
                <w:rFonts w:ascii="Times New Roman" w:hAnsi="Times New Roman" w:cs="Times New Roman"/>
                <w:b/>
                <w:bCs/>
                <w:sz w:val="14"/>
                <w:szCs w:val="14"/>
                <w:lang w:eastAsia="sk-SK"/>
              </w:rPr>
            </w:pPr>
            <w:r w:rsidRPr="00A822CF">
              <w:rPr>
                <w:rFonts w:ascii="Times New Roman" w:hAnsi="Times New Roman" w:cs="Times New Roman"/>
                <w:b/>
                <w:bCs/>
                <w:sz w:val="14"/>
                <w:szCs w:val="14"/>
                <w:lang w:eastAsia="sk-SK"/>
              </w:rPr>
              <w:t>2012 N</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A822CF" w:rsidP="00F576BD">
            <w:pPr>
              <w:bidi w:val="0"/>
              <w:jc w:val="center"/>
              <w:rPr>
                <w:rFonts w:ascii="Times New Roman" w:hAnsi="Times New Roman" w:cs="Times New Roman"/>
                <w:b/>
                <w:bCs/>
                <w:sz w:val="14"/>
                <w:szCs w:val="14"/>
                <w:lang w:eastAsia="sk-SK"/>
              </w:rPr>
            </w:pPr>
            <w:r w:rsidRPr="00A822CF">
              <w:rPr>
                <w:rFonts w:ascii="Times New Roman" w:hAnsi="Times New Roman" w:cs="Times New Roman"/>
                <w:b/>
                <w:bCs/>
                <w:sz w:val="14"/>
                <w:szCs w:val="14"/>
                <w:lang w:eastAsia="sk-SK"/>
              </w:rPr>
              <w:t>2013 N</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A822CF" w:rsidP="00F576BD">
            <w:pPr>
              <w:bidi w:val="0"/>
              <w:jc w:val="center"/>
              <w:rPr>
                <w:rFonts w:ascii="Times New Roman" w:hAnsi="Times New Roman" w:cs="Times New Roman"/>
                <w:b/>
                <w:bCs/>
                <w:sz w:val="14"/>
                <w:szCs w:val="14"/>
                <w:lang w:eastAsia="sk-SK"/>
              </w:rPr>
            </w:pPr>
            <w:r w:rsidRPr="00A822CF">
              <w:rPr>
                <w:rFonts w:ascii="Times New Roman" w:hAnsi="Times New Roman" w:cs="Times New Roman"/>
                <w:b/>
                <w:bCs/>
                <w:sz w:val="14"/>
                <w:szCs w:val="14"/>
                <w:lang w:eastAsia="sk-SK"/>
              </w:rPr>
              <w:t>2014 N</w:t>
            </w:r>
          </w:p>
        </w:tc>
      </w:tr>
      <w:tr>
        <w:tblPrEx>
          <w:tblW w:w="9089" w:type="dxa"/>
          <w:jc w:val="center"/>
          <w:tblInd w:w="17" w:type="dxa"/>
          <w:tblCellMar>
            <w:left w:w="70" w:type="dxa"/>
            <w:right w:w="70" w:type="dxa"/>
          </w:tblCellMar>
          <w:tblLook w:val="04A0"/>
        </w:tblPrEx>
        <w:trPr>
          <w:trHeight w:val="266"/>
          <w:jc w:val="center"/>
        </w:trPr>
        <w:tc>
          <w:tcPr>
            <w:tcW w:w="3349"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rPr>
                <w:rFonts w:ascii="Times New Roman" w:hAnsi="Times New Roman" w:cs="Times New Roman"/>
                <w:b/>
                <w:bCs/>
                <w:sz w:val="14"/>
                <w:szCs w:val="14"/>
                <w:lang w:eastAsia="sk-SK"/>
              </w:rPr>
            </w:pPr>
            <w:r w:rsidRPr="00A822CF">
              <w:rPr>
                <w:rFonts w:ascii="Times New Roman" w:hAnsi="Times New Roman" w:cs="Times New Roman"/>
                <w:b/>
                <w:bCs/>
                <w:sz w:val="14"/>
                <w:szCs w:val="14"/>
                <w:lang w:eastAsia="sk-SK"/>
              </w:rPr>
              <w:t xml:space="preserve">IDA* </w:t>
            </w:r>
            <w:r w:rsidRPr="00A822CF">
              <w:rPr>
                <w:rFonts w:ascii="Times New Roman" w:hAnsi="Times New Roman" w:cs="Times New Roman"/>
                <w:sz w:val="14"/>
                <w:szCs w:val="14"/>
                <w:lang w:eastAsia="sk-SK"/>
              </w:rPr>
              <w:t>- Medzinárodné združenie pre rozvoj</w:t>
              <w:br/>
              <w:t xml:space="preserve">          </w:t>
            </w:r>
            <w:r w:rsidRPr="00A822CF">
              <w:rPr>
                <w:rFonts w:ascii="Times New Roman" w:hAnsi="Times New Roman" w:cs="Times New Roman"/>
                <w:i/>
                <w:iCs/>
                <w:sz w:val="14"/>
                <w:szCs w:val="14"/>
                <w:lang w:eastAsia="sk-SK"/>
              </w:rPr>
              <w:t xml:space="preserve"> </w:t>
            </w:r>
            <w:r>
              <w:rPr>
                <w:rFonts w:ascii="Times New Roman" w:hAnsi="Times New Roman" w:cs="Times New Roman"/>
                <w:i/>
                <w:iCs/>
                <w:sz w:val="14"/>
                <w:szCs w:val="14"/>
                <w:lang w:eastAsia="sk-SK"/>
              </w:rPr>
              <w:t xml:space="preserve"> </w:t>
            </w:r>
            <w:r w:rsidRPr="00A822CF">
              <w:rPr>
                <w:rFonts w:ascii="Times New Roman" w:hAnsi="Times New Roman" w:cs="Times New Roman"/>
                <w:i/>
                <w:iCs/>
                <w:sz w:val="14"/>
                <w:szCs w:val="14"/>
                <w:lang w:eastAsia="sk-SK"/>
              </w:rPr>
              <w:t>Príspevok na doplnenie zdrojov IDA</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765,1</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720,0</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680,0</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680,0</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900,0</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900,0</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900,0</w:t>
            </w:r>
          </w:p>
        </w:tc>
      </w:tr>
      <w:tr>
        <w:tblPrEx>
          <w:tblW w:w="9089" w:type="dxa"/>
          <w:jc w:val="center"/>
          <w:tblInd w:w="17" w:type="dxa"/>
          <w:tblCellMar>
            <w:left w:w="70" w:type="dxa"/>
            <w:right w:w="70" w:type="dxa"/>
          </w:tblCellMar>
          <w:tblLook w:val="04A0"/>
        </w:tblPrEx>
        <w:trPr>
          <w:trHeight w:val="266"/>
          <w:jc w:val="center"/>
        </w:trPr>
        <w:tc>
          <w:tcPr>
            <w:tcW w:w="3349"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rPr>
                <w:rFonts w:ascii="Times New Roman" w:hAnsi="Times New Roman" w:cs="Times New Roman"/>
                <w:b/>
                <w:bCs/>
                <w:sz w:val="14"/>
                <w:szCs w:val="14"/>
                <w:lang w:eastAsia="sk-SK"/>
              </w:rPr>
            </w:pPr>
            <w:r w:rsidRPr="00A822CF">
              <w:rPr>
                <w:rFonts w:ascii="Times New Roman" w:hAnsi="Times New Roman" w:cs="Times New Roman"/>
                <w:b/>
                <w:bCs/>
                <w:sz w:val="14"/>
                <w:szCs w:val="14"/>
                <w:lang w:eastAsia="sk-SK"/>
              </w:rPr>
              <w:t xml:space="preserve">IDA* </w:t>
            </w:r>
            <w:r w:rsidRPr="00A822CF">
              <w:rPr>
                <w:rFonts w:ascii="Times New Roman" w:hAnsi="Times New Roman" w:cs="Times New Roman"/>
                <w:sz w:val="14"/>
                <w:szCs w:val="14"/>
                <w:lang w:eastAsia="sk-SK"/>
              </w:rPr>
              <w:t>- Medzinárodné združenie pre rozvoj</w:t>
              <w:br/>
              <w:t xml:space="preserve">           </w:t>
            </w:r>
            <w:r>
              <w:rPr>
                <w:rFonts w:ascii="Times New Roman" w:hAnsi="Times New Roman" w:cs="Times New Roman"/>
                <w:sz w:val="14"/>
                <w:szCs w:val="14"/>
                <w:lang w:eastAsia="sk-SK"/>
              </w:rPr>
              <w:t xml:space="preserve"> </w:t>
            </w:r>
            <w:r w:rsidRPr="00A822CF">
              <w:rPr>
                <w:rFonts w:ascii="Times New Roman" w:hAnsi="Times New Roman" w:cs="Times New Roman"/>
                <w:i/>
                <w:iCs/>
                <w:sz w:val="14"/>
                <w:szCs w:val="14"/>
                <w:lang w:eastAsia="sk-SK"/>
              </w:rPr>
              <w:t>Prísp.</w:t>
            </w:r>
            <w:r>
              <w:rPr>
                <w:rFonts w:ascii="Times New Roman" w:hAnsi="Times New Roman" w:cs="Times New Roman"/>
                <w:i/>
                <w:iCs/>
                <w:sz w:val="14"/>
                <w:szCs w:val="14"/>
                <w:lang w:eastAsia="sk-SK"/>
              </w:rPr>
              <w:t xml:space="preserve"> </w:t>
            </w:r>
            <w:r w:rsidRPr="00A822CF">
              <w:rPr>
                <w:rFonts w:ascii="Times New Roman" w:hAnsi="Times New Roman" w:cs="Times New Roman"/>
                <w:i/>
                <w:iCs/>
                <w:sz w:val="14"/>
                <w:szCs w:val="14"/>
                <w:lang w:eastAsia="sk-SK"/>
              </w:rPr>
              <w:t>k</w:t>
            </w:r>
            <w:r>
              <w:rPr>
                <w:rFonts w:ascii="Times New Roman" w:hAnsi="Times New Roman" w:cs="Times New Roman"/>
                <w:i/>
                <w:iCs/>
                <w:sz w:val="14"/>
                <w:szCs w:val="14"/>
                <w:lang w:eastAsia="sk-SK"/>
              </w:rPr>
              <w:t> </w:t>
            </w:r>
            <w:r w:rsidRPr="00A822CF">
              <w:rPr>
                <w:rFonts w:ascii="Times New Roman" w:hAnsi="Times New Roman" w:cs="Times New Roman"/>
                <w:i/>
                <w:iCs/>
                <w:sz w:val="14"/>
                <w:szCs w:val="14"/>
                <w:lang w:eastAsia="sk-SK"/>
              </w:rPr>
              <w:t>fin</w:t>
            </w:r>
            <w:r>
              <w:rPr>
                <w:rFonts w:ascii="Times New Roman" w:hAnsi="Times New Roman" w:cs="Times New Roman"/>
                <w:i/>
                <w:iCs/>
                <w:sz w:val="14"/>
                <w:szCs w:val="14"/>
                <w:lang w:eastAsia="sk-SK"/>
              </w:rPr>
              <w:t xml:space="preserve">.. Inic. </w:t>
            </w:r>
            <w:r w:rsidRPr="00A822CF">
              <w:rPr>
                <w:rFonts w:ascii="Times New Roman" w:hAnsi="Times New Roman" w:cs="Times New Roman"/>
                <w:i/>
                <w:iCs/>
                <w:sz w:val="14"/>
                <w:szCs w:val="14"/>
                <w:lang w:eastAsia="sk-SK"/>
              </w:rPr>
              <w:t xml:space="preserve">na multilat. odp. </w:t>
            </w:r>
            <w:r>
              <w:rPr>
                <w:rFonts w:ascii="Times New Roman" w:hAnsi="Times New Roman" w:cs="Times New Roman"/>
                <w:i/>
                <w:iCs/>
                <w:sz w:val="14"/>
                <w:szCs w:val="14"/>
                <w:lang w:eastAsia="sk-SK"/>
              </w:rPr>
              <w:t>d</w:t>
            </w:r>
            <w:r w:rsidRPr="00A822CF">
              <w:rPr>
                <w:rFonts w:ascii="Times New Roman" w:hAnsi="Times New Roman" w:cs="Times New Roman"/>
                <w:i/>
                <w:iCs/>
                <w:sz w:val="14"/>
                <w:szCs w:val="14"/>
                <w:lang w:eastAsia="sk-SK"/>
              </w:rPr>
              <w:t>lh</w:t>
            </w:r>
            <w:r>
              <w:rPr>
                <w:rFonts w:ascii="Times New Roman" w:hAnsi="Times New Roman" w:cs="Times New Roman"/>
                <w:i/>
                <w:iCs/>
                <w:sz w:val="14"/>
                <w:szCs w:val="14"/>
                <w:lang w:eastAsia="sk-SK"/>
              </w:rPr>
              <w:t>ov</w:t>
            </w:r>
            <w:r w:rsidRPr="00A822CF">
              <w:rPr>
                <w:rFonts w:ascii="Times New Roman" w:hAnsi="Times New Roman" w:cs="Times New Roman"/>
                <w:i/>
                <w:iCs/>
                <w:sz w:val="14"/>
                <w:szCs w:val="14"/>
                <w:lang w:eastAsia="sk-SK"/>
              </w:rPr>
              <w:t xml:space="preserve"> (MDRI) </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0,0</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0,0</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0,0</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0,0</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60,0</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70,0</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70,0</w:t>
            </w:r>
          </w:p>
        </w:tc>
      </w:tr>
      <w:tr>
        <w:tblPrEx>
          <w:tblW w:w="9089" w:type="dxa"/>
          <w:jc w:val="center"/>
          <w:tblInd w:w="17" w:type="dxa"/>
          <w:tblCellMar>
            <w:left w:w="70" w:type="dxa"/>
            <w:right w:w="70" w:type="dxa"/>
          </w:tblCellMar>
          <w:tblLook w:val="04A0"/>
        </w:tblPrEx>
        <w:trPr>
          <w:trHeight w:val="266"/>
          <w:jc w:val="center"/>
        </w:trPr>
        <w:tc>
          <w:tcPr>
            <w:tcW w:w="3349"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rPr>
                <w:rFonts w:ascii="Times New Roman" w:hAnsi="Times New Roman" w:cs="Times New Roman"/>
                <w:b/>
                <w:bCs/>
                <w:sz w:val="14"/>
                <w:szCs w:val="14"/>
                <w:lang w:eastAsia="sk-SK"/>
              </w:rPr>
            </w:pPr>
            <w:r w:rsidRPr="00A822CF">
              <w:rPr>
                <w:rFonts w:ascii="Times New Roman" w:hAnsi="Times New Roman" w:cs="Times New Roman"/>
                <w:b/>
                <w:bCs/>
                <w:sz w:val="14"/>
                <w:szCs w:val="14"/>
                <w:lang w:eastAsia="sk-SK"/>
              </w:rPr>
              <w:t xml:space="preserve">IBRD </w:t>
            </w:r>
            <w:r w:rsidRPr="00A822CF">
              <w:rPr>
                <w:rFonts w:ascii="Times New Roman" w:hAnsi="Times New Roman" w:cs="Times New Roman"/>
                <w:sz w:val="14"/>
                <w:szCs w:val="14"/>
                <w:lang w:eastAsia="sk-SK"/>
              </w:rPr>
              <w:t>- Medzinárodná banka pre obnovu a rozvoj</w:t>
              <w:br/>
              <w:t xml:space="preserve">             </w:t>
            </w:r>
            <w:r w:rsidRPr="00A822CF">
              <w:rPr>
                <w:rFonts w:ascii="Times New Roman" w:hAnsi="Times New Roman" w:cs="Times New Roman"/>
                <w:i/>
                <w:iCs/>
                <w:sz w:val="14"/>
                <w:szCs w:val="14"/>
                <w:lang w:eastAsia="sk-SK"/>
              </w:rPr>
              <w:t>Rezerva na valorizáciu akcii SR</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0,0</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0,0</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2 000,0</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2 000,0</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1 600,0</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1 600,0</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1 600,0</w:t>
            </w:r>
          </w:p>
        </w:tc>
      </w:tr>
      <w:tr>
        <w:tblPrEx>
          <w:tblW w:w="9089" w:type="dxa"/>
          <w:jc w:val="center"/>
          <w:tblInd w:w="17" w:type="dxa"/>
          <w:tblCellMar>
            <w:left w:w="70" w:type="dxa"/>
            <w:right w:w="70" w:type="dxa"/>
          </w:tblCellMar>
          <w:tblLook w:val="04A0"/>
        </w:tblPrEx>
        <w:trPr>
          <w:trHeight w:val="266"/>
          <w:jc w:val="center"/>
        </w:trPr>
        <w:tc>
          <w:tcPr>
            <w:tcW w:w="3349"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rPr>
                <w:rFonts w:ascii="Times New Roman" w:hAnsi="Times New Roman" w:cs="Times New Roman"/>
                <w:b/>
                <w:bCs/>
                <w:sz w:val="14"/>
                <w:szCs w:val="14"/>
                <w:lang w:eastAsia="sk-SK"/>
              </w:rPr>
            </w:pPr>
            <w:r w:rsidRPr="00A822CF">
              <w:rPr>
                <w:rFonts w:ascii="Times New Roman" w:hAnsi="Times New Roman" w:cs="Times New Roman"/>
                <w:b/>
                <w:bCs/>
                <w:sz w:val="14"/>
                <w:szCs w:val="14"/>
                <w:lang w:eastAsia="sk-SK"/>
              </w:rPr>
              <w:t xml:space="preserve">IBRD* </w:t>
            </w:r>
            <w:r w:rsidRPr="00A822CF">
              <w:rPr>
                <w:rFonts w:ascii="Times New Roman" w:hAnsi="Times New Roman" w:cs="Times New Roman"/>
                <w:sz w:val="14"/>
                <w:szCs w:val="14"/>
                <w:lang w:eastAsia="sk-SK"/>
              </w:rPr>
              <w:t>- Medzinárodná banka pre obnovu a rozvoj</w:t>
              <w:br/>
              <w:t xml:space="preserve">              </w:t>
            </w:r>
            <w:r w:rsidRPr="00A822CF">
              <w:rPr>
                <w:rFonts w:ascii="Times New Roman" w:hAnsi="Times New Roman" w:cs="Times New Roman"/>
                <w:i/>
                <w:iCs/>
                <w:sz w:val="14"/>
                <w:szCs w:val="14"/>
                <w:lang w:eastAsia="sk-SK"/>
              </w:rPr>
              <w:t>Zvýšenie kapitálu</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0,0</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0,0</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2 000,0</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2 000,0</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0,0</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0,0</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0,0</w:t>
            </w:r>
          </w:p>
        </w:tc>
      </w:tr>
      <w:tr>
        <w:tblPrEx>
          <w:tblW w:w="9089" w:type="dxa"/>
          <w:jc w:val="center"/>
          <w:tblInd w:w="17" w:type="dxa"/>
          <w:tblCellMar>
            <w:left w:w="70" w:type="dxa"/>
            <w:right w:w="70" w:type="dxa"/>
          </w:tblCellMar>
          <w:tblLook w:val="04A0"/>
        </w:tblPrEx>
        <w:trPr>
          <w:trHeight w:val="266"/>
          <w:jc w:val="center"/>
        </w:trPr>
        <w:tc>
          <w:tcPr>
            <w:tcW w:w="3349"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rPr>
                <w:rFonts w:ascii="Times New Roman" w:hAnsi="Times New Roman" w:cs="Times New Roman"/>
                <w:b/>
                <w:bCs/>
                <w:sz w:val="14"/>
                <w:szCs w:val="14"/>
                <w:lang w:eastAsia="sk-SK"/>
              </w:rPr>
            </w:pPr>
            <w:r w:rsidRPr="00A822CF">
              <w:rPr>
                <w:rFonts w:ascii="Times New Roman" w:hAnsi="Times New Roman" w:cs="Times New Roman"/>
                <w:b/>
                <w:bCs/>
                <w:sz w:val="14"/>
                <w:szCs w:val="14"/>
                <w:lang w:eastAsia="sk-SK"/>
              </w:rPr>
              <w:t>EIB*</w:t>
            </w:r>
            <w:r w:rsidRPr="00A822CF">
              <w:rPr>
                <w:rFonts w:ascii="Times New Roman" w:hAnsi="Times New Roman" w:cs="Times New Roman"/>
                <w:sz w:val="14"/>
                <w:szCs w:val="14"/>
                <w:lang w:eastAsia="sk-SK"/>
              </w:rPr>
              <w:t xml:space="preserve"> - Európska investičná banka</w:t>
              <w:br/>
              <w:t xml:space="preserve">           </w:t>
            </w:r>
            <w:r>
              <w:rPr>
                <w:rFonts w:ascii="Times New Roman" w:hAnsi="Times New Roman" w:cs="Times New Roman"/>
                <w:i/>
                <w:iCs/>
                <w:sz w:val="14"/>
                <w:szCs w:val="14"/>
                <w:lang w:eastAsia="sk-SK"/>
              </w:rPr>
              <w:t>Poskt.</w:t>
            </w:r>
            <w:r w:rsidRPr="00A822CF">
              <w:rPr>
                <w:rFonts w:ascii="Times New Roman" w:hAnsi="Times New Roman" w:cs="Times New Roman"/>
                <w:i/>
                <w:iCs/>
                <w:sz w:val="14"/>
                <w:szCs w:val="14"/>
                <w:lang w:eastAsia="sk-SK"/>
              </w:rPr>
              <w:t xml:space="preserve"> zár</w:t>
            </w:r>
            <w:r>
              <w:rPr>
                <w:rFonts w:ascii="Times New Roman" w:hAnsi="Times New Roman" w:cs="Times New Roman"/>
                <w:i/>
                <w:iCs/>
                <w:sz w:val="14"/>
                <w:szCs w:val="14"/>
                <w:lang w:eastAsia="sk-SK"/>
              </w:rPr>
              <w:t>.</w:t>
            </w:r>
            <w:r w:rsidRPr="00A822CF">
              <w:rPr>
                <w:rFonts w:ascii="Times New Roman" w:hAnsi="Times New Roman" w:cs="Times New Roman"/>
                <w:i/>
                <w:iCs/>
                <w:sz w:val="14"/>
                <w:szCs w:val="14"/>
                <w:lang w:eastAsia="sk-SK"/>
              </w:rPr>
              <w:t>SR v prospech EIB na zákl. zár. zmluvy</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9 446,1</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107,7</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186,2</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186,2</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285,5</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401,9</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jc w:val="right"/>
              <w:rPr>
                <w:rFonts w:ascii="Times New Roman" w:hAnsi="Times New Roman" w:cs="Times New Roman"/>
                <w:sz w:val="14"/>
                <w:szCs w:val="14"/>
                <w:lang w:eastAsia="sk-SK"/>
              </w:rPr>
            </w:pPr>
            <w:r w:rsidRPr="00A822CF">
              <w:rPr>
                <w:rFonts w:ascii="Times New Roman" w:hAnsi="Times New Roman" w:cs="Times New Roman"/>
                <w:sz w:val="14"/>
                <w:szCs w:val="14"/>
                <w:lang w:eastAsia="sk-SK"/>
              </w:rPr>
              <w:t>476,0</w:t>
            </w:r>
          </w:p>
        </w:tc>
      </w:tr>
      <w:tr>
        <w:tblPrEx>
          <w:tblW w:w="9089" w:type="dxa"/>
          <w:jc w:val="center"/>
          <w:tblInd w:w="17" w:type="dxa"/>
          <w:tblCellMar>
            <w:left w:w="70" w:type="dxa"/>
            <w:right w:w="70" w:type="dxa"/>
          </w:tblCellMar>
          <w:tblLook w:val="04A0"/>
        </w:tblPrEx>
        <w:trPr>
          <w:trHeight w:val="266"/>
          <w:jc w:val="center"/>
        </w:trPr>
        <w:tc>
          <w:tcPr>
            <w:tcW w:w="3349" w:type="dxa"/>
            <w:tcBorders>
              <w:top w:val="single" w:sz="4" w:space="0" w:color="auto"/>
              <w:left w:val="single" w:sz="4" w:space="0" w:color="auto"/>
              <w:bottom w:val="single" w:sz="4" w:space="0" w:color="auto"/>
              <w:right w:val="single" w:sz="4" w:space="0" w:color="auto"/>
            </w:tcBorders>
            <w:textDirection w:val="lrTb"/>
            <w:vAlign w:val="center"/>
            <w:hideMark/>
          </w:tcPr>
          <w:p w:rsidR="000B4441" w:rsidRPr="00A822CF" w:rsidP="00F576BD">
            <w:pPr>
              <w:bidi w:val="0"/>
              <w:rPr>
                <w:rFonts w:ascii="Times New Roman" w:hAnsi="Times New Roman" w:cs="Times New Roman"/>
                <w:b/>
                <w:bCs/>
                <w:sz w:val="14"/>
                <w:szCs w:val="14"/>
                <w:lang w:eastAsia="sk-SK"/>
              </w:rPr>
            </w:pPr>
            <w:r w:rsidRPr="00A822CF">
              <w:rPr>
                <w:rFonts w:ascii="Times New Roman" w:hAnsi="Times New Roman" w:cs="Times New Roman"/>
                <w:b/>
                <w:bCs/>
                <w:sz w:val="14"/>
                <w:szCs w:val="14"/>
                <w:lang w:eastAsia="sk-SK"/>
              </w:rPr>
              <w:t>SPOLU</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A822CF" w:rsidP="00F576BD">
            <w:pPr>
              <w:bidi w:val="0"/>
              <w:jc w:val="right"/>
              <w:rPr>
                <w:rFonts w:ascii="Times New Roman" w:hAnsi="Times New Roman" w:cs="Times New Roman"/>
                <w:b/>
                <w:bCs/>
                <w:sz w:val="14"/>
                <w:szCs w:val="14"/>
                <w:lang w:eastAsia="sk-SK"/>
              </w:rPr>
            </w:pPr>
            <w:r w:rsidRPr="00A822CF">
              <w:rPr>
                <w:rFonts w:ascii="Times New Roman" w:hAnsi="Times New Roman" w:cs="Times New Roman"/>
                <w:b/>
                <w:bCs/>
                <w:sz w:val="14"/>
                <w:szCs w:val="14"/>
                <w:lang w:eastAsia="sk-SK"/>
              </w:rPr>
              <w:t>10 211,2</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A822CF" w:rsidP="00F576BD">
            <w:pPr>
              <w:bidi w:val="0"/>
              <w:jc w:val="right"/>
              <w:rPr>
                <w:rFonts w:ascii="Times New Roman" w:hAnsi="Times New Roman" w:cs="Times New Roman"/>
                <w:b/>
                <w:bCs/>
                <w:sz w:val="14"/>
                <w:szCs w:val="14"/>
                <w:lang w:eastAsia="sk-SK"/>
              </w:rPr>
            </w:pPr>
            <w:r w:rsidRPr="00A822CF">
              <w:rPr>
                <w:rFonts w:ascii="Times New Roman" w:hAnsi="Times New Roman" w:cs="Times New Roman"/>
                <w:b/>
                <w:bCs/>
                <w:sz w:val="14"/>
                <w:szCs w:val="14"/>
                <w:lang w:eastAsia="sk-SK"/>
              </w:rPr>
              <w:t>827,7</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A822CF" w:rsidP="00F576BD">
            <w:pPr>
              <w:bidi w:val="0"/>
              <w:jc w:val="right"/>
              <w:rPr>
                <w:rFonts w:ascii="Times New Roman" w:hAnsi="Times New Roman" w:cs="Times New Roman"/>
                <w:b/>
                <w:bCs/>
                <w:sz w:val="14"/>
                <w:szCs w:val="14"/>
                <w:lang w:eastAsia="sk-SK"/>
              </w:rPr>
            </w:pPr>
            <w:r w:rsidRPr="00A822CF">
              <w:rPr>
                <w:rFonts w:ascii="Times New Roman" w:hAnsi="Times New Roman" w:cs="Times New Roman"/>
                <w:b/>
                <w:bCs/>
                <w:sz w:val="14"/>
                <w:szCs w:val="14"/>
                <w:lang w:eastAsia="sk-SK"/>
              </w:rPr>
              <w:t>4 866,2</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A822CF" w:rsidP="00F576BD">
            <w:pPr>
              <w:bidi w:val="0"/>
              <w:jc w:val="right"/>
              <w:rPr>
                <w:rFonts w:ascii="Times New Roman" w:hAnsi="Times New Roman" w:cs="Times New Roman"/>
                <w:b/>
                <w:bCs/>
                <w:sz w:val="14"/>
                <w:szCs w:val="14"/>
                <w:lang w:eastAsia="sk-SK"/>
              </w:rPr>
            </w:pPr>
            <w:r w:rsidRPr="00A822CF">
              <w:rPr>
                <w:rFonts w:ascii="Times New Roman" w:hAnsi="Times New Roman" w:cs="Times New Roman"/>
                <w:b/>
                <w:bCs/>
                <w:sz w:val="14"/>
                <w:szCs w:val="14"/>
                <w:lang w:eastAsia="sk-SK"/>
              </w:rPr>
              <w:t>4 866,2</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A822CF" w:rsidP="00F576BD">
            <w:pPr>
              <w:bidi w:val="0"/>
              <w:jc w:val="right"/>
              <w:rPr>
                <w:rFonts w:ascii="Times New Roman" w:hAnsi="Times New Roman" w:cs="Times New Roman"/>
                <w:b/>
                <w:bCs/>
                <w:sz w:val="14"/>
                <w:szCs w:val="14"/>
                <w:lang w:eastAsia="sk-SK"/>
              </w:rPr>
            </w:pPr>
            <w:r w:rsidRPr="00A822CF">
              <w:rPr>
                <w:rFonts w:ascii="Times New Roman" w:hAnsi="Times New Roman" w:cs="Times New Roman"/>
                <w:b/>
                <w:bCs/>
                <w:sz w:val="14"/>
                <w:szCs w:val="14"/>
                <w:lang w:eastAsia="sk-SK"/>
              </w:rPr>
              <w:t>2 845,5</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A822CF" w:rsidP="00F576BD">
            <w:pPr>
              <w:bidi w:val="0"/>
              <w:jc w:val="right"/>
              <w:rPr>
                <w:rFonts w:ascii="Times New Roman" w:hAnsi="Times New Roman" w:cs="Times New Roman"/>
                <w:b/>
                <w:bCs/>
                <w:sz w:val="14"/>
                <w:szCs w:val="14"/>
                <w:lang w:eastAsia="sk-SK"/>
              </w:rPr>
            </w:pPr>
            <w:r w:rsidRPr="00A822CF">
              <w:rPr>
                <w:rFonts w:ascii="Times New Roman" w:hAnsi="Times New Roman" w:cs="Times New Roman"/>
                <w:b/>
                <w:bCs/>
                <w:sz w:val="14"/>
                <w:szCs w:val="14"/>
                <w:lang w:eastAsia="sk-SK"/>
              </w:rPr>
              <w:t>2 971,9</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A822CF" w:rsidP="00F576BD">
            <w:pPr>
              <w:bidi w:val="0"/>
              <w:jc w:val="right"/>
              <w:rPr>
                <w:rFonts w:ascii="Times New Roman" w:hAnsi="Times New Roman" w:cs="Times New Roman"/>
                <w:b/>
                <w:bCs/>
                <w:sz w:val="14"/>
                <w:szCs w:val="14"/>
                <w:lang w:eastAsia="sk-SK"/>
              </w:rPr>
            </w:pPr>
            <w:r w:rsidRPr="00A822CF">
              <w:rPr>
                <w:rFonts w:ascii="Times New Roman" w:hAnsi="Times New Roman" w:cs="Times New Roman"/>
                <w:b/>
                <w:bCs/>
                <w:sz w:val="14"/>
                <w:szCs w:val="14"/>
                <w:lang w:eastAsia="sk-SK"/>
              </w:rPr>
              <w:t>3 046,0</w:t>
            </w:r>
          </w:p>
        </w:tc>
      </w:tr>
      <w:tr>
        <w:tblPrEx>
          <w:tblW w:w="9089" w:type="dxa"/>
          <w:jc w:val="center"/>
          <w:tblInd w:w="17" w:type="dxa"/>
          <w:tblCellMar>
            <w:left w:w="70" w:type="dxa"/>
            <w:right w:w="70" w:type="dxa"/>
          </w:tblCellMar>
          <w:tblLook w:val="04A0"/>
        </w:tblPrEx>
        <w:trPr>
          <w:trHeight w:val="266"/>
          <w:jc w:val="center"/>
        </w:trPr>
        <w:tc>
          <w:tcPr>
            <w:tcW w:w="9089" w:type="dxa"/>
            <w:gridSpan w:val="8"/>
            <w:tcBorders>
              <w:top w:val="single" w:sz="4" w:space="0" w:color="auto"/>
              <w:left w:val="nil"/>
              <w:bottom w:val="nil"/>
              <w:right w:val="nil"/>
            </w:tcBorders>
            <w:textDirection w:val="lrTb"/>
            <w:vAlign w:val="top"/>
            <w:hideMark/>
          </w:tcPr>
          <w:p w:rsidR="000B4441" w:rsidRPr="00A822CF" w:rsidP="00F576BD">
            <w:pPr>
              <w:bidi w:val="0"/>
              <w:rPr>
                <w:rFonts w:ascii="Times New Roman" w:hAnsi="Times New Roman" w:cs="Times New Roman"/>
                <w:sz w:val="14"/>
                <w:szCs w:val="14"/>
                <w:lang w:eastAsia="sk-SK"/>
              </w:rPr>
            </w:pPr>
            <w:r w:rsidRPr="00A822CF">
              <w:rPr>
                <w:rFonts w:ascii="Times New Roman" w:hAnsi="Times New Roman" w:cs="Times New Roman"/>
                <w:sz w:val="14"/>
                <w:szCs w:val="14"/>
                <w:lang w:eastAsia="sk-SK"/>
              </w:rPr>
              <w:t>*-oficiálna rozvojová pomoc</w:t>
            </w:r>
          </w:p>
        </w:tc>
      </w:tr>
    </w:tbl>
    <w:p w:rsidR="000B4441" w:rsidRPr="00957F25" w:rsidP="000B4441">
      <w:pPr>
        <w:bidi w:val="0"/>
        <w:jc w:val="both"/>
        <w:rPr>
          <w:rFonts w:ascii="Times New Roman" w:hAnsi="Times New Roman" w:cs="Times New Roman"/>
          <w:iCs/>
          <w:sz w:val="16"/>
          <w:szCs w:val="16"/>
        </w:rPr>
      </w:pPr>
    </w:p>
    <w:p w:rsidR="000B4441" w:rsidRPr="00957F25" w:rsidP="000B4441">
      <w:pPr>
        <w:bidi w:val="0"/>
        <w:jc w:val="both"/>
        <w:rPr>
          <w:rFonts w:ascii="Times New Roman" w:hAnsi="Times New Roman" w:cs="Times New Roman"/>
          <w:i/>
          <w:iCs/>
        </w:rPr>
      </w:pPr>
      <w:r w:rsidRPr="00957F25">
        <w:rPr>
          <w:rFonts w:ascii="Times New Roman" w:hAnsi="Times New Roman" w:cs="Times New Roman"/>
          <w:i/>
          <w:iCs/>
        </w:rPr>
        <w:t>IDA - Medzinárodné združenie pre rozvoj – príspevok na doplnenie zdrojov</w:t>
      </w:r>
    </w:p>
    <w:p w:rsidR="000B4441" w:rsidRPr="00957F25" w:rsidP="000B4441">
      <w:pPr>
        <w:autoSpaceDE w:val="0"/>
        <w:autoSpaceDN w:val="0"/>
        <w:bidi w:val="0"/>
        <w:adjustRightInd w:val="0"/>
        <w:jc w:val="both"/>
        <w:rPr>
          <w:rFonts w:ascii="Times New Roman" w:hAnsi="Times New Roman" w:cs="Times New Roman"/>
        </w:rPr>
      </w:pPr>
      <w:r w:rsidRPr="00957F25">
        <w:rPr>
          <w:rFonts w:ascii="Times New Roman" w:hAnsi="Times New Roman" w:cs="Times New Roman"/>
        </w:rPr>
        <w:t>V roku 2010 prebehli rokovania členských štátov IDA týkajúce sa 16. doplnenia zdrojov IDA. Uvedené navýšenie je po schválení v rámci IDA v apríli 2011 účinné od roku 2012. Na základe informácii, ktorými MF SR disponuje k 14. júnu 2011 bude počas rokov 2012 až 2014 ročný príspevok SR do IDA predstavovať približne 900 tis. eur ročne. Tieto príspevky sú vykazované ako oficiálna rozvojová pomoc SR.</w:t>
      </w:r>
    </w:p>
    <w:p w:rsidR="000B4441" w:rsidRPr="00957F25" w:rsidP="000B4441">
      <w:pPr>
        <w:autoSpaceDE w:val="0"/>
        <w:autoSpaceDN w:val="0"/>
        <w:bidi w:val="0"/>
        <w:adjustRightInd w:val="0"/>
        <w:jc w:val="both"/>
        <w:rPr>
          <w:rFonts w:ascii="Times New Roman" w:hAnsi="Times New Roman" w:cs="Times New Roman"/>
          <w:sz w:val="16"/>
          <w:szCs w:val="16"/>
        </w:rPr>
      </w:pPr>
    </w:p>
    <w:p w:rsidR="000B4441" w:rsidRPr="00957F25" w:rsidP="000B4441">
      <w:pPr>
        <w:bidi w:val="0"/>
        <w:jc w:val="both"/>
        <w:rPr>
          <w:rFonts w:ascii="Times New Roman" w:hAnsi="Times New Roman" w:cs="Times New Roman"/>
        </w:rPr>
      </w:pPr>
      <w:r w:rsidRPr="00957F25">
        <w:rPr>
          <w:rFonts w:ascii="Times New Roman" w:hAnsi="Times New Roman" w:cs="Times New Roman"/>
          <w:i/>
        </w:rPr>
        <w:t>IDA - Medzinárodné združenie pre rozvoj – príspevok k finan</w:t>
      </w:r>
      <w:r>
        <w:rPr>
          <w:rFonts w:ascii="Times New Roman" w:hAnsi="Times New Roman" w:cs="Times New Roman"/>
          <w:i/>
        </w:rPr>
        <w:t>covaniu</w:t>
      </w:r>
      <w:r w:rsidRPr="00957F25">
        <w:rPr>
          <w:rFonts w:ascii="Times New Roman" w:hAnsi="Times New Roman" w:cs="Times New Roman"/>
          <w:i/>
        </w:rPr>
        <w:t xml:space="preserve"> Iniciatívy na multilaterálne odpustenie dlhov</w:t>
      </w:r>
    </w:p>
    <w:p w:rsidR="000B4441" w:rsidRPr="00957F25" w:rsidP="000B4441">
      <w:pPr>
        <w:bidi w:val="0"/>
        <w:jc w:val="both"/>
        <w:rPr>
          <w:rFonts w:ascii="Times New Roman" w:hAnsi="Times New Roman" w:cs="Times New Roman"/>
        </w:rPr>
      </w:pPr>
      <w:r w:rsidRPr="00957F25">
        <w:rPr>
          <w:rFonts w:ascii="Times New Roman" w:hAnsi="Times New Roman" w:cs="Times New Roman"/>
        </w:rPr>
        <w:t>Pristúpením SR k financovaniu Iniciatívy pre multilaterálne odpustenie dlhov (MDRI) v rámci Medzinárodného združenia pre rozvoj (IDA), schválené uznesením vlády SR č. 479 zo dňa 9. júla 2008, sa očakávajú výdavky v celkovej výške 630 tis. eur až do roku 2018. Príspevok bude uhradený v roku 2012 vo výške 60 tis. eur a v obidvoch rokoch 2013 aj 2014 vo výške po 70 tis. eur.  Príspevky sú vykazované ako oficiálna rozvojová pomoc SR.</w:t>
      </w:r>
    </w:p>
    <w:p w:rsidR="000B4441" w:rsidRPr="00957F25" w:rsidP="000B4441">
      <w:pPr>
        <w:autoSpaceDE w:val="0"/>
        <w:autoSpaceDN w:val="0"/>
        <w:bidi w:val="0"/>
        <w:adjustRightInd w:val="0"/>
        <w:jc w:val="both"/>
        <w:rPr>
          <w:rFonts w:ascii="Times New Roman" w:hAnsi="Times New Roman" w:cs="Times New Roman"/>
          <w:sz w:val="16"/>
          <w:szCs w:val="16"/>
        </w:rPr>
      </w:pPr>
    </w:p>
    <w:p w:rsidR="000B4441" w:rsidRPr="00957F25" w:rsidP="000B4441">
      <w:pPr>
        <w:bidi w:val="0"/>
        <w:jc w:val="both"/>
        <w:rPr>
          <w:rFonts w:ascii="Times New Roman" w:hAnsi="Times New Roman" w:cs="Times New Roman"/>
          <w:i/>
          <w:iCs/>
        </w:rPr>
      </w:pPr>
      <w:r w:rsidRPr="00957F25">
        <w:rPr>
          <w:rFonts w:ascii="Times New Roman" w:hAnsi="Times New Roman" w:cs="Times New Roman"/>
          <w:i/>
          <w:iCs/>
        </w:rPr>
        <w:t>IBRD - Medzinárodná banka pre obnovu a rozvoj – rezerva na valorizáciu akcií SR</w:t>
      </w:r>
    </w:p>
    <w:p w:rsidR="000B4441" w:rsidRPr="00957F25" w:rsidP="000B4441">
      <w:pPr>
        <w:bidi w:val="0"/>
        <w:jc w:val="both"/>
        <w:rPr>
          <w:rFonts w:ascii="Times New Roman" w:hAnsi="Times New Roman" w:cs="Times New Roman"/>
          <w:u w:val="single"/>
        </w:rPr>
      </w:pPr>
      <w:r w:rsidRPr="00957F25">
        <w:rPr>
          <w:rFonts w:ascii="Times New Roman" w:hAnsi="Times New Roman" w:cs="Times New Roman"/>
        </w:rPr>
        <w:t>V rámci rozpočtového rámca na roky 2012 až 2014 sa navrhuje vyčleniť 4,8 mil. eur ako rezerva na valorizáciu akcií Slovenskej republiky, a to v súvislosti s tým, že hodnota akcií, nakoľko je evidovaná v USD, sa mení v závislosti od zmeny kurzu EUR voči USD.</w:t>
      </w:r>
    </w:p>
    <w:p w:rsidR="000B4441" w:rsidRPr="00957F25" w:rsidP="000B4441">
      <w:pPr>
        <w:bidi w:val="0"/>
        <w:jc w:val="both"/>
        <w:rPr>
          <w:rFonts w:ascii="Times New Roman" w:hAnsi="Times New Roman" w:cs="Times New Roman"/>
          <w:noProof/>
          <w:sz w:val="16"/>
          <w:szCs w:val="16"/>
        </w:rPr>
      </w:pPr>
    </w:p>
    <w:p w:rsidR="000B4441" w:rsidRPr="00957F25" w:rsidP="000B4441">
      <w:pPr>
        <w:bidi w:val="0"/>
        <w:jc w:val="both"/>
        <w:rPr>
          <w:rFonts w:ascii="Times New Roman" w:hAnsi="Times New Roman" w:cs="Times New Roman"/>
          <w:i/>
          <w:iCs/>
        </w:rPr>
      </w:pPr>
      <w:r w:rsidRPr="00957F25">
        <w:rPr>
          <w:rFonts w:ascii="Times New Roman" w:hAnsi="Times New Roman" w:cs="Times New Roman"/>
          <w:i/>
          <w:iCs/>
        </w:rPr>
        <w:t>IBRD  - Medzinárodná banka pre obnovu a rozvoj – zvýšenie kapitálu</w:t>
      </w:r>
    </w:p>
    <w:p w:rsidR="000B4441" w:rsidRPr="00957F25" w:rsidP="000B4441">
      <w:pPr>
        <w:bidi w:val="0"/>
        <w:jc w:val="both"/>
        <w:rPr>
          <w:rFonts w:ascii="Times New Roman" w:hAnsi="Times New Roman" w:cs="Times New Roman"/>
        </w:rPr>
      </w:pPr>
      <w:r w:rsidRPr="00957F25">
        <w:rPr>
          <w:rFonts w:ascii="Times New Roman" w:hAnsi="Times New Roman" w:cs="Times New Roman"/>
        </w:rPr>
        <w:t>Vláda SR uznesením č. 718 zo dňa 20. októbra 2010 schválila návrh na účasť Slovenskej republiky na všeobecnom navýšení kapitálu Medzinárodnej banky pre obnovu a rozvoj. Dôvodom na navýšenie boli a sú predovšetkým zvýšené požiadavky na poskytovanie finančných zdrojov IBRD z dôvodu globálnej finančnej a hospodárskej krízy. Na základe rozhodnutia vedenia MF SR z júna 2011 sa úhrada zvýšenia kapitálu uskutoční v roku 2015 v celkovej sume cca 4,3 mil. EUR. Výdavok je možné vykázať ako oficiálnu rozvojovú pomoc SR.</w:t>
      </w:r>
    </w:p>
    <w:p w:rsidR="000B4441" w:rsidRPr="00957F25" w:rsidP="000B4441">
      <w:pPr>
        <w:bidi w:val="0"/>
        <w:jc w:val="both"/>
        <w:rPr>
          <w:rFonts w:ascii="Times New Roman" w:hAnsi="Times New Roman" w:cs="Times New Roman"/>
          <w:sz w:val="16"/>
          <w:szCs w:val="16"/>
        </w:rPr>
      </w:pPr>
    </w:p>
    <w:p w:rsidR="000B4441" w:rsidRPr="00957F25" w:rsidP="000B4441">
      <w:pPr>
        <w:bidi w:val="0"/>
        <w:jc w:val="both"/>
        <w:rPr>
          <w:rFonts w:ascii="Times New Roman" w:hAnsi="Times New Roman" w:cs="Times New Roman"/>
        </w:rPr>
      </w:pPr>
      <w:r w:rsidRPr="00957F25">
        <w:rPr>
          <w:rFonts w:ascii="Times New Roman" w:hAnsi="Times New Roman" w:cs="Times New Roman"/>
        </w:rPr>
        <w:t>Vyššie uvedené výdavkové titulu, ktoré budú hradené zo štátnych finančných aktív vyplývajú z členstva Slovenskej republiky v rámci skupiny Svetovej banky (World Bank Group), ktorej súčasťou sú Medzinárodná banka pre obnovu a rozvoj (IBRD), Medzinárodné združenie pre rozvoj (IDA), Medzinárodná finančná korporácia (IFC), Mnohostranná agentúra pre investičné záruky (MIGA) a Medzinárodné centrum pre riešenie investičných sporov (ICSID).</w:t>
      </w:r>
    </w:p>
    <w:p w:rsidR="000B4441" w:rsidRPr="00957F25" w:rsidP="000B4441">
      <w:pPr>
        <w:bidi w:val="0"/>
        <w:rPr>
          <w:rFonts w:ascii="Times New Roman" w:hAnsi="Times New Roman" w:cs="Times New Roman"/>
          <w:sz w:val="16"/>
          <w:szCs w:val="16"/>
        </w:rPr>
      </w:pPr>
    </w:p>
    <w:p w:rsidR="000B4441" w:rsidRPr="00957F25" w:rsidP="000B4441">
      <w:pPr>
        <w:bidi w:val="0"/>
        <w:jc w:val="both"/>
        <w:rPr>
          <w:rFonts w:ascii="Times New Roman" w:hAnsi="Times New Roman" w:cs="Times New Roman"/>
          <w:i/>
          <w:iCs/>
        </w:rPr>
      </w:pPr>
      <w:r w:rsidRPr="00957F25">
        <w:rPr>
          <w:rFonts w:ascii="Times New Roman" w:hAnsi="Times New Roman" w:cs="Times New Roman"/>
          <w:i/>
          <w:iCs/>
        </w:rPr>
        <w:t>EIB - Európska investičná banka - poskytnutie záruky SR v prospech EIB na základe záručnej zmluvy</w:t>
      </w:r>
    </w:p>
    <w:p w:rsidR="000B4441" w:rsidP="000B4441">
      <w:pPr>
        <w:bidi w:val="0"/>
        <w:jc w:val="both"/>
        <w:rPr>
          <w:rFonts w:ascii="Times New Roman" w:hAnsi="Times New Roman" w:cs="Times New Roman"/>
        </w:rPr>
      </w:pPr>
      <w:bookmarkEnd w:id="91"/>
      <w:r w:rsidRPr="00957F25">
        <w:rPr>
          <w:rFonts w:ascii="Times New Roman" w:hAnsi="Times New Roman" w:cs="Times New Roman"/>
        </w:rPr>
        <w:t>Vláda SR uznesením č. 606 z 10. septembra 2008  súhlasila s uzatvorením Záručnej zmluvy medzi členskými štátmi EIB a EIB ohľadom úverov, ktoré poskytne EIB v prospech investičných projektov v štátoch Afriky, Karibiku a Tichomoria a v zámorských krajinách a územiach. SR poskytne na základe tejto záručnej zmluvy záruku v prospech EIB. Očakávaná čistá angažovanosť SR z titulu uplatnených záruk predstavuje sumy vo výške    285,5 tis. eur v roku 2012, 401,9 tis. eur v roku 2013 a vo výške 476 tis. eur v roku 2014.  Tieto prostriedky predstavujú aktíva SR a budú úročené do okamihu uplatnenia záruky. Výdavky sú vykazované ako oficiálna rozvojová pomoc SR.</w:t>
      </w:r>
    </w:p>
    <w:p w:rsidR="000B4441" w:rsidP="000B4441">
      <w:pPr>
        <w:bidi w:val="0"/>
        <w:jc w:val="both"/>
        <w:rPr>
          <w:rFonts w:ascii="Times New Roman" w:hAnsi="Times New Roman" w:cs="Times New Roman"/>
        </w:rPr>
      </w:pPr>
    </w:p>
    <w:p w:rsidR="000B4441" w:rsidRPr="00957F25" w:rsidP="000B4441">
      <w:pPr>
        <w:bidi w:val="0"/>
        <w:jc w:val="both"/>
        <w:rPr>
          <w:rFonts w:ascii="Times New Roman" w:hAnsi="Times New Roman" w:cs="Times New Roman"/>
          <w:highlight w:val="yellow"/>
        </w:rPr>
      </w:pPr>
    </w:p>
    <w:p w:rsidR="000B4441" w:rsidRPr="00C7452F" w:rsidP="000B4441">
      <w:pPr>
        <w:pStyle w:val="Heading1"/>
        <w:bidi w:val="0"/>
        <w:spacing w:before="0" w:after="0"/>
        <w:rPr>
          <w:rFonts w:ascii="Times New Roman" w:hAnsi="Times New Roman" w:cs="Times New Roman"/>
          <w:sz w:val="28"/>
          <w:szCs w:val="24"/>
        </w:rPr>
      </w:pPr>
      <w:bookmarkStart w:id="92" w:name="_Toc282686550"/>
      <w:bookmarkStart w:id="93" w:name="_Toc300912268"/>
      <w:bookmarkStart w:id="94" w:name="_Toc306089072"/>
      <w:r w:rsidRPr="00C7452F">
        <w:rPr>
          <w:rFonts w:ascii="Times New Roman" w:hAnsi="Times New Roman" w:cs="Times New Roman"/>
          <w:sz w:val="28"/>
          <w:szCs w:val="24"/>
        </w:rPr>
        <w:t>7. Štátny rozpočet v metodike ESA 95</w:t>
      </w:r>
      <w:bookmarkEnd w:id="92"/>
      <w:bookmarkEnd w:id="93"/>
      <w:bookmarkEnd w:id="94"/>
    </w:p>
    <w:p w:rsidR="000B4441" w:rsidRPr="00957F25" w:rsidP="000B4441">
      <w:pPr>
        <w:bidi w:val="0"/>
        <w:jc w:val="both"/>
        <w:rPr>
          <w:rFonts w:ascii="Times New Roman" w:hAnsi="Times New Roman" w:cs="Times New Roman"/>
          <w:sz w:val="16"/>
          <w:szCs w:val="16"/>
        </w:rPr>
      </w:pPr>
    </w:p>
    <w:p w:rsidR="000B4441" w:rsidRPr="00957F25" w:rsidP="000B4441">
      <w:pPr>
        <w:pStyle w:val="Zarkazkladnhotextu2"/>
        <w:bidi w:val="0"/>
        <w:spacing w:after="0"/>
        <w:ind w:left="0" w:firstLine="708"/>
        <w:jc w:val="both"/>
        <w:rPr>
          <w:rFonts w:ascii="Times New Roman" w:hAnsi="Times New Roman" w:cs="Times New Roman" w:hint="default"/>
        </w:rPr>
      </w:pPr>
      <w:r w:rsidRPr="00957F25">
        <w:rPr>
          <w:rFonts w:ascii="Times New Roman" w:hAnsi="Times New Roman" w:cs="Times New Roman" w:hint="default"/>
        </w:rPr>
        <w:t>Na schodok š</w:t>
      </w:r>
      <w:r w:rsidRPr="00957F25">
        <w:rPr>
          <w:rFonts w:ascii="Times New Roman" w:hAnsi="Times New Roman" w:cs="Times New Roman" w:hint="default"/>
        </w:rPr>
        <w:t>tá</w:t>
      </w:r>
      <w:r w:rsidRPr="00957F25">
        <w:rPr>
          <w:rFonts w:ascii="Times New Roman" w:hAnsi="Times New Roman" w:cs="Times New Roman" w:hint="default"/>
        </w:rPr>
        <w:t>tneho rozpoč</w:t>
      </w:r>
      <w:r w:rsidRPr="00957F25">
        <w:rPr>
          <w:rFonts w:ascii="Times New Roman" w:hAnsi="Times New Roman" w:cs="Times New Roman" w:hint="default"/>
        </w:rPr>
        <w:t>tu na hotovostnom princí</w:t>
      </w:r>
      <w:r w:rsidRPr="00957F25">
        <w:rPr>
          <w:rFonts w:ascii="Times New Roman" w:hAnsi="Times New Roman" w:cs="Times New Roman" w:hint="default"/>
        </w:rPr>
        <w:t>pe majú</w:t>
      </w:r>
      <w:r w:rsidRPr="00957F25">
        <w:rPr>
          <w:rFonts w:ascii="Times New Roman" w:hAnsi="Times New Roman" w:cs="Times New Roman" w:hint="default"/>
        </w:rPr>
        <w:t xml:space="preserve"> vplyv modifikujú</w:t>
      </w:r>
      <w:r w:rsidRPr="00957F25">
        <w:rPr>
          <w:rFonts w:ascii="Times New Roman" w:hAnsi="Times New Roman" w:cs="Times New Roman" w:hint="default"/>
        </w:rPr>
        <w:t>ce faktory, ktoré</w:t>
      </w:r>
      <w:r w:rsidRPr="00957F25">
        <w:rPr>
          <w:rFonts w:ascii="Times New Roman" w:hAnsi="Times New Roman" w:cs="Times New Roman" w:hint="default"/>
        </w:rPr>
        <w:t xml:space="preserve"> predstavujú</w:t>
      </w:r>
      <w:r w:rsidRPr="00957F25">
        <w:rPr>
          <w:rFonts w:ascii="Times New Roman" w:hAnsi="Times New Roman" w:cs="Times New Roman" w:hint="default"/>
        </w:rPr>
        <w:t xml:space="preserve"> najmä</w:t>
      </w:r>
      <w:r w:rsidRPr="00957F25">
        <w:rPr>
          <w:rFonts w:ascii="Times New Roman" w:hAnsi="Times New Roman" w:cs="Times New Roman" w:hint="default"/>
        </w:rPr>
        <w:t xml:space="preserve"> rozdiel medzi rozpoč</w:t>
      </w:r>
      <w:r w:rsidRPr="00957F25">
        <w:rPr>
          <w:rFonts w:ascii="Times New Roman" w:hAnsi="Times New Roman" w:cs="Times New Roman" w:hint="default"/>
        </w:rPr>
        <w:t>tovaní</w:t>
      </w:r>
      <w:r w:rsidRPr="00957F25">
        <w:rPr>
          <w:rFonts w:ascii="Times New Roman" w:hAnsi="Times New Roman" w:cs="Times New Roman" w:hint="default"/>
        </w:rPr>
        <w:t>m na hotovostnom a </w:t>
      </w:r>
      <w:r w:rsidRPr="00957F25">
        <w:rPr>
          <w:rFonts w:ascii="Times New Roman" w:hAnsi="Times New Roman" w:cs="Times New Roman" w:hint="default"/>
        </w:rPr>
        <w:t>na akruá</w:t>
      </w:r>
      <w:r w:rsidRPr="00957F25">
        <w:rPr>
          <w:rFonts w:ascii="Times New Roman" w:hAnsi="Times New Roman" w:cs="Times New Roman" w:hint="default"/>
        </w:rPr>
        <w:t>lnom princí</w:t>
      </w:r>
      <w:r w:rsidRPr="00957F25">
        <w:rPr>
          <w:rFonts w:ascii="Times New Roman" w:hAnsi="Times New Roman" w:cs="Times New Roman" w:hint="default"/>
        </w:rPr>
        <w:t>pe (met</w:t>
      </w:r>
      <w:r w:rsidRPr="00957F25">
        <w:rPr>
          <w:rFonts w:ascii="Times New Roman" w:hAnsi="Times New Roman" w:cs="Times New Roman" w:hint="default"/>
        </w:rPr>
        <w:t>odika ESA 95). Modifikujú</w:t>
      </w:r>
      <w:r w:rsidRPr="00957F25">
        <w:rPr>
          <w:rFonts w:ascii="Times New Roman" w:hAnsi="Times New Roman" w:cs="Times New Roman" w:hint="default"/>
        </w:rPr>
        <w:t>ce faktory tvoria hlavne saldo rozpoč</w:t>
      </w:r>
      <w:r w:rsidRPr="00957F25">
        <w:rPr>
          <w:rFonts w:ascii="Times New Roman" w:hAnsi="Times New Roman" w:cs="Times New Roman" w:hint="default"/>
        </w:rPr>
        <w:t>tový</w:t>
      </w:r>
      <w:r w:rsidRPr="00957F25">
        <w:rPr>
          <w:rFonts w:ascii="Times New Roman" w:hAnsi="Times New Roman" w:cs="Times New Roman" w:hint="default"/>
        </w:rPr>
        <w:t>ch operá</w:t>
      </w:r>
      <w:r w:rsidRPr="00957F25">
        <w:rPr>
          <w:rFonts w:ascii="Times New Roman" w:hAnsi="Times New Roman" w:cs="Times New Roman" w:hint="default"/>
        </w:rPr>
        <w:t>cií</w:t>
      </w:r>
      <w:r w:rsidRPr="00957F25">
        <w:rPr>
          <w:rFonts w:ascii="Times New Roman" w:hAnsi="Times New Roman" w:cs="Times New Roman" w:hint="default"/>
        </w:rPr>
        <w:t xml:space="preserve"> š</w:t>
      </w:r>
      <w:r w:rsidRPr="00957F25">
        <w:rPr>
          <w:rFonts w:ascii="Times New Roman" w:hAnsi="Times New Roman" w:cs="Times New Roman" w:hint="default"/>
        </w:rPr>
        <w:t>tá</w:t>
      </w:r>
      <w:r w:rsidRPr="00957F25">
        <w:rPr>
          <w:rFonts w:ascii="Times New Roman" w:hAnsi="Times New Roman" w:cs="Times New Roman" w:hint="default"/>
        </w:rPr>
        <w:t>tnych finanč</w:t>
      </w:r>
      <w:r w:rsidRPr="00957F25">
        <w:rPr>
          <w:rFonts w:ascii="Times New Roman" w:hAnsi="Times New Roman" w:cs="Times New Roman" w:hint="default"/>
        </w:rPr>
        <w:t>ný</w:t>
      </w:r>
      <w:r w:rsidRPr="00957F25">
        <w:rPr>
          <w:rFonts w:ascii="Times New Roman" w:hAnsi="Times New Roman" w:cs="Times New Roman" w:hint="default"/>
        </w:rPr>
        <w:t>ch aktí</w:t>
      </w:r>
      <w:r w:rsidRPr="00957F25">
        <w:rPr>
          <w:rFonts w:ascii="Times New Roman" w:hAnsi="Times New Roman" w:cs="Times New Roman" w:hint="default"/>
        </w:rPr>
        <w:t>v bez finanč</w:t>
      </w:r>
      <w:r w:rsidRPr="00957F25">
        <w:rPr>
          <w:rFonts w:ascii="Times New Roman" w:hAnsi="Times New Roman" w:cs="Times New Roman" w:hint="default"/>
        </w:rPr>
        <w:t>ný</w:t>
      </w:r>
      <w:r w:rsidRPr="00957F25">
        <w:rPr>
          <w:rFonts w:ascii="Times New Roman" w:hAnsi="Times New Roman" w:cs="Times New Roman" w:hint="default"/>
        </w:rPr>
        <w:t>ch operá</w:t>
      </w:r>
      <w:r w:rsidRPr="00957F25">
        <w:rPr>
          <w:rFonts w:ascii="Times New Roman" w:hAnsi="Times New Roman" w:cs="Times New Roman" w:hint="default"/>
        </w:rPr>
        <w:t>cií</w:t>
      </w:r>
      <w:r w:rsidRPr="00957F25">
        <w:rPr>
          <w:rFonts w:ascii="Times New Roman" w:hAnsi="Times New Roman" w:cs="Times New Roman" w:hint="default"/>
        </w:rPr>
        <w:t xml:space="preserve"> a </w:t>
      </w:r>
      <w:r w:rsidRPr="00957F25">
        <w:rPr>
          <w:rFonts w:ascii="Times New Roman" w:hAnsi="Times New Roman" w:cs="Times New Roman" w:hint="default"/>
        </w:rPr>
        <w:t>zahrnutie polož</w:t>
      </w:r>
      <w:r w:rsidRPr="00957F25">
        <w:rPr>
          <w:rFonts w:ascii="Times New Roman" w:hAnsi="Times New Roman" w:cs="Times New Roman" w:hint="default"/>
        </w:rPr>
        <w:t>iek č</w:t>
      </w:r>
      <w:r w:rsidRPr="00957F25">
        <w:rPr>
          <w:rFonts w:ascii="Times New Roman" w:hAnsi="Times New Roman" w:cs="Times New Roman" w:hint="default"/>
        </w:rPr>
        <w:t>asové</w:t>
      </w:r>
      <w:r w:rsidRPr="00957F25">
        <w:rPr>
          <w:rFonts w:ascii="Times New Roman" w:hAnsi="Times New Roman" w:cs="Times New Roman" w:hint="default"/>
        </w:rPr>
        <w:t>ho rozlíš</w:t>
      </w:r>
      <w:r w:rsidRPr="00957F25">
        <w:rPr>
          <w:rFonts w:ascii="Times New Roman" w:hAnsi="Times New Roman" w:cs="Times New Roman" w:hint="default"/>
        </w:rPr>
        <w:t>enia daň</w:t>
      </w:r>
      <w:r w:rsidRPr="00957F25">
        <w:rPr>
          <w:rFonts w:ascii="Times New Roman" w:hAnsi="Times New Roman" w:cs="Times New Roman" w:hint="default"/>
        </w:rPr>
        <w:t>ový</w:t>
      </w:r>
      <w:r w:rsidRPr="00957F25">
        <w:rPr>
          <w:rFonts w:ascii="Times New Roman" w:hAnsi="Times New Roman" w:cs="Times New Roman" w:hint="default"/>
        </w:rPr>
        <w:t>ch prí</w:t>
      </w:r>
      <w:r w:rsidRPr="00957F25">
        <w:rPr>
          <w:rFonts w:ascii="Times New Roman" w:hAnsi="Times New Roman" w:cs="Times New Roman" w:hint="default"/>
        </w:rPr>
        <w:t>jmov a ú</w:t>
      </w:r>
      <w:r w:rsidRPr="00957F25">
        <w:rPr>
          <w:rFonts w:ascii="Times New Roman" w:hAnsi="Times New Roman" w:cs="Times New Roman" w:hint="default"/>
        </w:rPr>
        <w:t>rokov sú</w:t>
      </w:r>
      <w:r w:rsidRPr="00957F25">
        <w:rPr>
          <w:rFonts w:ascii="Times New Roman" w:hAnsi="Times New Roman" w:cs="Times New Roman" w:hint="default"/>
        </w:rPr>
        <w:t>visiacich s </w:t>
      </w:r>
      <w:r w:rsidRPr="00957F25">
        <w:rPr>
          <w:rFonts w:ascii="Times New Roman" w:hAnsi="Times New Roman" w:cs="Times New Roman" w:hint="default"/>
        </w:rPr>
        <w:t>obsluhou š</w:t>
      </w:r>
      <w:r w:rsidRPr="00957F25">
        <w:rPr>
          <w:rFonts w:ascii="Times New Roman" w:hAnsi="Times New Roman" w:cs="Times New Roman" w:hint="default"/>
        </w:rPr>
        <w:t>tá</w:t>
      </w:r>
      <w:r w:rsidRPr="00957F25">
        <w:rPr>
          <w:rFonts w:ascii="Times New Roman" w:hAnsi="Times New Roman" w:cs="Times New Roman" w:hint="default"/>
        </w:rPr>
        <w:t xml:space="preserve">tneho dlhu. </w:t>
      </w:r>
    </w:p>
    <w:p w:rsidR="000B4441" w:rsidRPr="00957F25" w:rsidP="000B4441">
      <w:pPr>
        <w:pStyle w:val="Zarkazkladnhotextu2"/>
        <w:bidi w:val="0"/>
        <w:spacing w:after="0"/>
        <w:ind w:firstLine="709"/>
        <w:jc w:val="both"/>
        <w:rPr>
          <w:rFonts w:ascii="Times New Roman" w:hAnsi="Times New Roman" w:cs="Times New Roman"/>
          <w:sz w:val="16"/>
          <w:szCs w:val="16"/>
        </w:rPr>
      </w:pPr>
    </w:p>
    <w:tbl>
      <w:tblPr>
        <w:tblStyle w:val="TableNormal"/>
        <w:tblW w:w="9052" w:type="dxa"/>
        <w:jc w:val="center"/>
        <w:tblInd w:w="603" w:type="dxa"/>
        <w:tblCellMar>
          <w:left w:w="70" w:type="dxa"/>
          <w:right w:w="70" w:type="dxa"/>
        </w:tblCellMar>
        <w:tblLook w:val="04A0"/>
      </w:tblPr>
      <w:tblGrid>
        <w:gridCol w:w="3312"/>
        <w:gridCol w:w="820"/>
        <w:gridCol w:w="820"/>
        <w:gridCol w:w="820"/>
        <w:gridCol w:w="820"/>
        <w:gridCol w:w="820"/>
        <w:gridCol w:w="820"/>
        <w:gridCol w:w="820"/>
      </w:tblGrid>
      <w:tr>
        <w:tblPrEx>
          <w:tblW w:w="9052" w:type="dxa"/>
          <w:jc w:val="center"/>
          <w:tblInd w:w="603" w:type="dxa"/>
          <w:tblCellMar>
            <w:left w:w="70" w:type="dxa"/>
            <w:right w:w="70" w:type="dxa"/>
          </w:tblCellMar>
          <w:tblLook w:val="04A0"/>
        </w:tblPrEx>
        <w:trPr>
          <w:trHeight w:val="270"/>
          <w:jc w:val="center"/>
        </w:trPr>
        <w:tc>
          <w:tcPr>
            <w:tcW w:w="3312" w:type="dxa"/>
            <w:tcBorders>
              <w:top w:val="single" w:sz="8" w:space="0" w:color="auto"/>
              <w:left w:val="single" w:sz="8" w:space="0" w:color="auto"/>
              <w:bottom w:val="single" w:sz="8" w:space="0" w:color="auto"/>
              <w:right w:val="single" w:sz="4" w:space="0" w:color="auto"/>
            </w:tcBorders>
            <w:noWrap/>
            <w:textDirection w:val="lrTb"/>
            <w:vAlign w:val="top"/>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(v tis. eur)</w:t>
            </w:r>
          </w:p>
        </w:tc>
        <w:tc>
          <w:tcPr>
            <w:tcW w:w="820" w:type="dxa"/>
            <w:tcBorders>
              <w:top w:val="single" w:sz="8" w:space="0" w:color="auto"/>
              <w:left w:val="nil"/>
              <w:bottom w:val="single" w:sz="8" w:space="0" w:color="auto"/>
              <w:right w:val="single" w:sz="4" w:space="0" w:color="auto"/>
            </w:tcBorders>
            <w:noWrap/>
            <w:textDirection w:val="lrTb"/>
            <w:vAlign w:val="center"/>
            <w:hideMark/>
          </w:tcPr>
          <w:p w:rsidR="000B4441" w:rsidRPr="00E17B00" w:rsidP="00F576BD">
            <w:pPr>
              <w:bidi w:val="0"/>
              <w:jc w:val="center"/>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2009 S</w:t>
            </w:r>
          </w:p>
        </w:tc>
        <w:tc>
          <w:tcPr>
            <w:tcW w:w="820" w:type="dxa"/>
            <w:tcBorders>
              <w:top w:val="single" w:sz="8" w:space="0" w:color="auto"/>
              <w:left w:val="nil"/>
              <w:bottom w:val="single" w:sz="8" w:space="0" w:color="auto"/>
              <w:right w:val="single" w:sz="4" w:space="0" w:color="auto"/>
            </w:tcBorders>
            <w:noWrap/>
            <w:textDirection w:val="lrTb"/>
            <w:vAlign w:val="center"/>
            <w:hideMark/>
          </w:tcPr>
          <w:p w:rsidR="000B4441" w:rsidRPr="00E17B00" w:rsidP="00F576BD">
            <w:pPr>
              <w:bidi w:val="0"/>
              <w:jc w:val="center"/>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2010 S</w:t>
            </w:r>
          </w:p>
        </w:tc>
        <w:tc>
          <w:tcPr>
            <w:tcW w:w="820" w:type="dxa"/>
            <w:tcBorders>
              <w:top w:val="single" w:sz="8" w:space="0" w:color="auto"/>
              <w:left w:val="nil"/>
              <w:bottom w:val="single" w:sz="8" w:space="0" w:color="auto"/>
              <w:right w:val="single" w:sz="4" w:space="0" w:color="auto"/>
            </w:tcBorders>
            <w:noWrap/>
            <w:textDirection w:val="lrTb"/>
            <w:vAlign w:val="center"/>
            <w:hideMark/>
          </w:tcPr>
          <w:p w:rsidR="000B4441" w:rsidRPr="00E17B00" w:rsidP="00F576BD">
            <w:pPr>
              <w:bidi w:val="0"/>
              <w:jc w:val="center"/>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2011 R</w:t>
            </w:r>
          </w:p>
        </w:tc>
        <w:tc>
          <w:tcPr>
            <w:tcW w:w="820" w:type="dxa"/>
            <w:tcBorders>
              <w:top w:val="single" w:sz="8" w:space="0" w:color="auto"/>
              <w:left w:val="nil"/>
              <w:bottom w:val="single" w:sz="8" w:space="0" w:color="auto"/>
              <w:right w:val="single" w:sz="4" w:space="0" w:color="auto"/>
            </w:tcBorders>
            <w:noWrap/>
            <w:textDirection w:val="lrTb"/>
            <w:vAlign w:val="center"/>
            <w:hideMark/>
          </w:tcPr>
          <w:p w:rsidR="000B4441" w:rsidRPr="00E17B00" w:rsidP="00F576BD">
            <w:pPr>
              <w:bidi w:val="0"/>
              <w:jc w:val="center"/>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2011 OS</w:t>
            </w:r>
          </w:p>
        </w:tc>
        <w:tc>
          <w:tcPr>
            <w:tcW w:w="820" w:type="dxa"/>
            <w:tcBorders>
              <w:top w:val="single" w:sz="8" w:space="0" w:color="auto"/>
              <w:left w:val="nil"/>
              <w:bottom w:val="single" w:sz="8" w:space="0" w:color="auto"/>
              <w:right w:val="single" w:sz="4" w:space="0" w:color="auto"/>
            </w:tcBorders>
            <w:noWrap/>
            <w:textDirection w:val="lrTb"/>
            <w:vAlign w:val="center"/>
            <w:hideMark/>
          </w:tcPr>
          <w:p w:rsidR="000B4441" w:rsidRPr="00E17B00" w:rsidP="00F576BD">
            <w:pPr>
              <w:bidi w:val="0"/>
              <w:jc w:val="center"/>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2012 N</w:t>
            </w:r>
          </w:p>
        </w:tc>
        <w:tc>
          <w:tcPr>
            <w:tcW w:w="820" w:type="dxa"/>
            <w:tcBorders>
              <w:top w:val="single" w:sz="8" w:space="0" w:color="auto"/>
              <w:left w:val="nil"/>
              <w:bottom w:val="single" w:sz="8" w:space="0" w:color="auto"/>
              <w:right w:val="single" w:sz="4" w:space="0" w:color="auto"/>
            </w:tcBorders>
            <w:noWrap/>
            <w:textDirection w:val="lrTb"/>
            <w:vAlign w:val="center"/>
            <w:hideMark/>
          </w:tcPr>
          <w:p w:rsidR="000B4441" w:rsidRPr="00E17B00" w:rsidP="00F576BD">
            <w:pPr>
              <w:bidi w:val="0"/>
              <w:jc w:val="center"/>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2013 N</w:t>
            </w:r>
          </w:p>
        </w:tc>
        <w:tc>
          <w:tcPr>
            <w:tcW w:w="820" w:type="dxa"/>
            <w:tcBorders>
              <w:top w:val="single" w:sz="8" w:space="0" w:color="auto"/>
              <w:left w:val="nil"/>
              <w:bottom w:val="single" w:sz="8" w:space="0" w:color="auto"/>
              <w:right w:val="single" w:sz="8" w:space="0" w:color="auto"/>
            </w:tcBorders>
            <w:noWrap/>
            <w:textDirection w:val="lrTb"/>
            <w:vAlign w:val="center"/>
            <w:hideMark/>
          </w:tcPr>
          <w:p w:rsidR="000B4441" w:rsidRPr="00E17B00" w:rsidP="00F576BD">
            <w:pPr>
              <w:bidi w:val="0"/>
              <w:jc w:val="center"/>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2014 N</w:t>
            </w:r>
          </w:p>
        </w:tc>
      </w:tr>
      <w:tr>
        <w:tblPrEx>
          <w:tblW w:w="9052" w:type="dxa"/>
          <w:jc w:val="center"/>
          <w:tblInd w:w="603" w:type="dxa"/>
          <w:tblCellMar>
            <w:left w:w="70" w:type="dxa"/>
            <w:right w:w="70" w:type="dxa"/>
          </w:tblCellMar>
          <w:tblLook w:val="04A0"/>
        </w:tblPrEx>
        <w:trPr>
          <w:trHeight w:val="255"/>
          <w:jc w:val="center"/>
        </w:trPr>
        <w:tc>
          <w:tcPr>
            <w:tcW w:w="3312" w:type="dxa"/>
            <w:tcBorders>
              <w:top w:val="nil"/>
              <w:left w:val="single" w:sz="8" w:space="0" w:color="auto"/>
              <w:bottom w:val="single" w:sz="4" w:space="0" w:color="auto"/>
              <w:right w:val="single" w:sz="4" w:space="0" w:color="auto"/>
            </w:tcBorders>
            <w:noWrap/>
            <w:textDirection w:val="lrTb"/>
            <w:vAlign w:val="center"/>
            <w:hideMark/>
          </w:tcPr>
          <w:p w:rsidR="000B4441" w:rsidRPr="00E17B00" w:rsidP="00F576BD">
            <w:pPr>
              <w:bidi w:val="0"/>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Modifikujúce faktory</w:t>
            </w:r>
            <w:r w:rsidRPr="00E17B00">
              <w:rPr>
                <w:rFonts w:ascii="Times New Roman" w:hAnsi="Times New Roman" w:cs="Times New Roman"/>
                <w:sz w:val="14"/>
                <w:szCs w:val="14"/>
                <w:lang w:eastAsia="sk-SK"/>
              </w:rPr>
              <w:t>, z toho:</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-1 584 056</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10 522</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103 437</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285 760</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437 621</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-138 757</w:t>
            </w:r>
          </w:p>
        </w:tc>
        <w:tc>
          <w:tcPr>
            <w:tcW w:w="820"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b/>
                <w:bCs/>
                <w:sz w:val="14"/>
                <w:szCs w:val="14"/>
                <w:lang w:eastAsia="sk-SK"/>
              </w:rPr>
            </w:pPr>
            <w:r w:rsidRPr="00E17B00">
              <w:rPr>
                <w:rFonts w:ascii="Times New Roman" w:hAnsi="Times New Roman" w:cs="Times New Roman"/>
                <w:b/>
                <w:bCs/>
                <w:sz w:val="14"/>
                <w:szCs w:val="14"/>
                <w:lang w:eastAsia="sk-SK"/>
              </w:rPr>
              <w:t>-8 329</w:t>
            </w:r>
          </w:p>
        </w:tc>
      </w:tr>
      <w:tr>
        <w:tblPrEx>
          <w:tblW w:w="9052" w:type="dxa"/>
          <w:jc w:val="center"/>
          <w:tblInd w:w="603" w:type="dxa"/>
          <w:tblCellMar>
            <w:left w:w="70" w:type="dxa"/>
            <w:right w:w="70" w:type="dxa"/>
          </w:tblCellMar>
          <w:tblLook w:val="04A0"/>
        </w:tblPrEx>
        <w:trPr>
          <w:trHeight w:val="255"/>
          <w:jc w:val="center"/>
        </w:trPr>
        <w:tc>
          <w:tcPr>
            <w:tcW w:w="3312" w:type="dxa"/>
            <w:tcBorders>
              <w:top w:val="nil"/>
              <w:left w:val="single" w:sz="8" w:space="0" w:color="auto"/>
              <w:bottom w:val="single" w:sz="4" w:space="0" w:color="auto"/>
              <w:right w:val="single" w:sz="4" w:space="0" w:color="auto"/>
            </w:tcBorders>
            <w:noWrap/>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1. Saldo rozpočtových operácií ŠFA bez FO</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-1 314 375</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-74 582</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35 873</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-29 015</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164 008</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113 340</w:t>
            </w:r>
          </w:p>
        </w:tc>
        <w:tc>
          <w:tcPr>
            <w:tcW w:w="820"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114 003</w:t>
            </w:r>
          </w:p>
        </w:tc>
      </w:tr>
      <w:tr>
        <w:tblPrEx>
          <w:tblW w:w="9052" w:type="dxa"/>
          <w:jc w:val="center"/>
          <w:tblInd w:w="603" w:type="dxa"/>
          <w:tblCellMar>
            <w:left w:w="70" w:type="dxa"/>
            <w:right w:w="70" w:type="dxa"/>
          </w:tblCellMar>
          <w:tblLook w:val="04A0"/>
        </w:tblPrEx>
        <w:trPr>
          <w:trHeight w:val="255"/>
          <w:jc w:val="center"/>
        </w:trPr>
        <w:tc>
          <w:tcPr>
            <w:tcW w:w="3312" w:type="dxa"/>
            <w:tcBorders>
              <w:top w:val="nil"/>
              <w:left w:val="single" w:sz="8" w:space="0" w:color="auto"/>
              <w:bottom w:val="single" w:sz="4" w:space="0" w:color="auto"/>
              <w:right w:val="single" w:sz="4" w:space="0" w:color="auto"/>
            </w:tcBorders>
            <w:noWrap/>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2. Vplyv čas. rozlíšenia platených úrokov</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-164 206</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-32 231</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-106 781</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-132 839</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123 600</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-74 891</w:t>
            </w:r>
          </w:p>
        </w:tc>
        <w:tc>
          <w:tcPr>
            <w:tcW w:w="820"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-125 623</w:t>
            </w:r>
          </w:p>
        </w:tc>
      </w:tr>
      <w:tr>
        <w:tblPrEx>
          <w:tblW w:w="9052" w:type="dxa"/>
          <w:jc w:val="center"/>
          <w:tblInd w:w="603" w:type="dxa"/>
          <w:tblCellMar>
            <w:left w:w="70" w:type="dxa"/>
            <w:right w:w="70" w:type="dxa"/>
          </w:tblCellMar>
          <w:tblLook w:val="04A0"/>
        </w:tblPrEx>
        <w:trPr>
          <w:trHeight w:val="255"/>
          <w:jc w:val="center"/>
        </w:trPr>
        <w:tc>
          <w:tcPr>
            <w:tcW w:w="3312" w:type="dxa"/>
            <w:tcBorders>
              <w:top w:val="nil"/>
              <w:left w:val="single" w:sz="8" w:space="0" w:color="auto"/>
              <w:bottom w:val="single" w:sz="4" w:space="0" w:color="auto"/>
              <w:right w:val="single" w:sz="4" w:space="0" w:color="auto"/>
            </w:tcBorders>
            <w:noWrap/>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3. Časové rozlíšenie daňových príjmov</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-399 292</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210 729</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174 345</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145 187</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200 013</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-177 206</w:t>
            </w:r>
          </w:p>
        </w:tc>
        <w:tc>
          <w:tcPr>
            <w:tcW w:w="820"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3 291</w:t>
            </w:r>
          </w:p>
        </w:tc>
      </w:tr>
      <w:tr>
        <w:tblPrEx>
          <w:tblW w:w="9052" w:type="dxa"/>
          <w:jc w:val="center"/>
          <w:tblInd w:w="603" w:type="dxa"/>
          <w:tblCellMar>
            <w:left w:w="70" w:type="dxa"/>
            <w:right w:w="70" w:type="dxa"/>
          </w:tblCellMar>
          <w:tblLook w:val="04A0"/>
        </w:tblPrEx>
        <w:trPr>
          <w:trHeight w:val="320"/>
          <w:jc w:val="center"/>
        </w:trPr>
        <w:tc>
          <w:tcPr>
            <w:tcW w:w="3312" w:type="dxa"/>
            <w:tcBorders>
              <w:top w:val="nil"/>
              <w:left w:val="single" w:sz="8" w:space="0" w:color="auto"/>
              <w:bottom w:val="single" w:sz="4" w:space="0" w:color="auto"/>
              <w:right w:val="single" w:sz="4" w:space="0" w:color="auto"/>
            </w:tcBorders>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 xml:space="preserve">4. Zmena stavu záväzkov štátu voči zdravotníckym </w:t>
              <w:br/>
              <w:t xml:space="preserve">    zariadeniam a železničným spoločnostiam</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-223 300</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-174 810</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-50 000</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w:t>
            </w:r>
          </w:p>
        </w:tc>
        <w:tc>
          <w:tcPr>
            <w:tcW w:w="820"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w:t>
            </w:r>
          </w:p>
        </w:tc>
      </w:tr>
      <w:tr>
        <w:tblPrEx>
          <w:tblW w:w="9052" w:type="dxa"/>
          <w:jc w:val="center"/>
          <w:tblInd w:w="603" w:type="dxa"/>
          <w:tblCellMar>
            <w:left w:w="70" w:type="dxa"/>
            <w:right w:w="70" w:type="dxa"/>
          </w:tblCellMar>
          <w:tblLook w:val="04A0"/>
        </w:tblPrEx>
        <w:trPr>
          <w:trHeight w:val="255"/>
          <w:jc w:val="center"/>
        </w:trPr>
        <w:tc>
          <w:tcPr>
            <w:tcW w:w="3312" w:type="dxa"/>
            <w:tcBorders>
              <w:top w:val="nil"/>
              <w:left w:val="single" w:sz="8" w:space="0" w:color="auto"/>
              <w:bottom w:val="single" w:sz="4" w:space="0" w:color="auto"/>
              <w:right w:val="single" w:sz="4" w:space="0" w:color="auto"/>
            </w:tcBorders>
            <w:noWrap/>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5. Medziročná zmena stavu pohľadávok EÚ</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235 047</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225 936</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153 284</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w:t>
            </w:r>
          </w:p>
        </w:tc>
        <w:tc>
          <w:tcPr>
            <w:tcW w:w="820"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w:t>
            </w:r>
          </w:p>
        </w:tc>
      </w:tr>
      <w:tr>
        <w:tblPrEx>
          <w:tblW w:w="9052" w:type="dxa"/>
          <w:jc w:val="center"/>
          <w:tblInd w:w="603" w:type="dxa"/>
          <w:tblCellMar>
            <w:left w:w="70" w:type="dxa"/>
            <w:right w:w="70" w:type="dxa"/>
          </w:tblCellMar>
          <w:tblLook w:val="04A0"/>
        </w:tblPrEx>
        <w:trPr>
          <w:trHeight w:val="255"/>
          <w:jc w:val="center"/>
        </w:trPr>
        <w:tc>
          <w:tcPr>
            <w:tcW w:w="3312" w:type="dxa"/>
            <w:tcBorders>
              <w:top w:val="nil"/>
              <w:left w:val="single" w:sz="8" w:space="0" w:color="auto"/>
              <w:bottom w:val="single" w:sz="4" w:space="0" w:color="auto"/>
              <w:right w:val="single" w:sz="4" w:space="0" w:color="auto"/>
            </w:tcBorders>
            <w:noWrap/>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6. Medziročná zmena stavu mimorozpočtových účtov</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56 452</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-6 045</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w:t>
            </w:r>
          </w:p>
        </w:tc>
        <w:tc>
          <w:tcPr>
            <w:tcW w:w="820"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w:t>
            </w:r>
          </w:p>
        </w:tc>
      </w:tr>
      <w:tr>
        <w:tblPrEx>
          <w:tblW w:w="9052" w:type="dxa"/>
          <w:jc w:val="center"/>
          <w:tblInd w:w="603" w:type="dxa"/>
          <w:tblCellMar>
            <w:left w:w="70" w:type="dxa"/>
            <w:right w:w="70" w:type="dxa"/>
          </w:tblCellMar>
          <w:tblLook w:val="04A0"/>
        </w:tblPrEx>
        <w:trPr>
          <w:trHeight w:val="255"/>
          <w:jc w:val="center"/>
        </w:trPr>
        <w:tc>
          <w:tcPr>
            <w:tcW w:w="3312" w:type="dxa"/>
            <w:tcBorders>
              <w:top w:val="nil"/>
              <w:left w:val="single" w:sz="8" w:space="0" w:color="auto"/>
              <w:bottom w:val="single" w:sz="4" w:space="0" w:color="auto"/>
              <w:right w:val="single" w:sz="4" w:space="0" w:color="auto"/>
            </w:tcBorders>
            <w:noWrap/>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7. Zníženie záväzkov zdravot. zar. - oddlž. (notif. 2010)</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299 810</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w:t>
            </w:r>
          </w:p>
        </w:tc>
        <w:tc>
          <w:tcPr>
            <w:tcW w:w="820"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w:t>
            </w:r>
          </w:p>
        </w:tc>
      </w:tr>
      <w:tr>
        <w:tblPrEx>
          <w:tblW w:w="9052" w:type="dxa"/>
          <w:jc w:val="center"/>
          <w:tblInd w:w="603" w:type="dxa"/>
          <w:tblCellMar>
            <w:left w:w="70" w:type="dxa"/>
            <w:right w:w="70" w:type="dxa"/>
          </w:tblCellMar>
          <w:tblLook w:val="04A0"/>
        </w:tblPrEx>
        <w:trPr>
          <w:trHeight w:val="255"/>
          <w:jc w:val="center"/>
        </w:trPr>
        <w:tc>
          <w:tcPr>
            <w:tcW w:w="3312" w:type="dxa"/>
            <w:tcBorders>
              <w:top w:val="nil"/>
              <w:left w:val="single" w:sz="8" w:space="0" w:color="auto"/>
              <w:bottom w:val="single" w:sz="4" w:space="0" w:color="auto"/>
              <w:right w:val="single" w:sz="4" w:space="0" w:color="auto"/>
            </w:tcBorders>
            <w:noWrap/>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8. Zníženie záväzkov RTVS</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24 143</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w:t>
            </w:r>
          </w:p>
        </w:tc>
        <w:tc>
          <w:tcPr>
            <w:tcW w:w="820" w:type="dxa"/>
            <w:tcBorders>
              <w:top w:val="nil"/>
              <w:left w:val="nil"/>
              <w:bottom w:val="single" w:sz="4"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w:t>
            </w:r>
          </w:p>
        </w:tc>
      </w:tr>
      <w:tr>
        <w:tblPrEx>
          <w:tblW w:w="9052" w:type="dxa"/>
          <w:jc w:val="center"/>
          <w:tblInd w:w="603" w:type="dxa"/>
          <w:tblCellMar>
            <w:left w:w="70" w:type="dxa"/>
            <w:right w:w="70" w:type="dxa"/>
          </w:tblCellMar>
          <w:tblLook w:val="04A0"/>
        </w:tblPrEx>
        <w:trPr>
          <w:trHeight w:val="270"/>
          <w:jc w:val="center"/>
        </w:trPr>
        <w:tc>
          <w:tcPr>
            <w:tcW w:w="3312" w:type="dxa"/>
            <w:tcBorders>
              <w:top w:val="nil"/>
              <w:left w:val="single" w:sz="8" w:space="0" w:color="auto"/>
              <w:bottom w:val="single" w:sz="8" w:space="0" w:color="auto"/>
              <w:right w:val="single" w:sz="4" w:space="0" w:color="auto"/>
            </w:tcBorders>
            <w:noWrap/>
            <w:textDirection w:val="lrTb"/>
            <w:vAlign w:val="center"/>
            <w:hideMark/>
          </w:tcPr>
          <w:p w:rsidR="000B4441" w:rsidRPr="00E17B00" w:rsidP="00F576BD">
            <w:pPr>
              <w:bidi w:val="0"/>
              <w:rPr>
                <w:rFonts w:ascii="Times New Roman" w:hAnsi="Times New Roman" w:cs="Times New Roman"/>
                <w:sz w:val="14"/>
                <w:szCs w:val="14"/>
                <w:lang w:eastAsia="sk-SK"/>
              </w:rPr>
            </w:pPr>
            <w:r w:rsidRPr="00E17B00">
              <w:rPr>
                <w:rFonts w:ascii="Times New Roman" w:hAnsi="Times New Roman" w:cs="Times New Roman"/>
                <w:sz w:val="14"/>
                <w:szCs w:val="14"/>
                <w:lang w:eastAsia="sk-SK"/>
              </w:rPr>
              <w:t>9. Ostatné úpravy</w:t>
            </w:r>
          </w:p>
        </w:tc>
        <w:tc>
          <w:tcPr>
            <w:tcW w:w="820" w:type="dxa"/>
            <w:tcBorders>
              <w:top w:val="nil"/>
              <w:left w:val="nil"/>
              <w:bottom w:val="single" w:sz="8"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2 318</w:t>
            </w:r>
          </w:p>
        </w:tc>
        <w:tc>
          <w:tcPr>
            <w:tcW w:w="820" w:type="dxa"/>
            <w:tcBorders>
              <w:top w:val="nil"/>
              <w:left w:val="nil"/>
              <w:bottom w:val="single" w:sz="8"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-89 985</w:t>
            </w:r>
          </w:p>
        </w:tc>
        <w:tc>
          <w:tcPr>
            <w:tcW w:w="820" w:type="dxa"/>
            <w:tcBorders>
              <w:top w:val="nil"/>
              <w:left w:val="nil"/>
              <w:bottom w:val="single" w:sz="8"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w:t>
            </w:r>
          </w:p>
        </w:tc>
        <w:tc>
          <w:tcPr>
            <w:tcW w:w="820" w:type="dxa"/>
            <w:tcBorders>
              <w:top w:val="nil"/>
              <w:left w:val="nil"/>
              <w:bottom w:val="single" w:sz="8"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w:t>
            </w:r>
          </w:p>
        </w:tc>
        <w:tc>
          <w:tcPr>
            <w:tcW w:w="820" w:type="dxa"/>
            <w:tcBorders>
              <w:top w:val="nil"/>
              <w:left w:val="nil"/>
              <w:bottom w:val="single" w:sz="8"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w:t>
            </w:r>
          </w:p>
        </w:tc>
        <w:tc>
          <w:tcPr>
            <w:tcW w:w="820" w:type="dxa"/>
            <w:tcBorders>
              <w:top w:val="nil"/>
              <w:left w:val="nil"/>
              <w:bottom w:val="single" w:sz="8" w:space="0" w:color="auto"/>
              <w:right w:val="single" w:sz="4"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w:t>
            </w:r>
          </w:p>
        </w:tc>
        <w:tc>
          <w:tcPr>
            <w:tcW w:w="820" w:type="dxa"/>
            <w:tcBorders>
              <w:top w:val="nil"/>
              <w:left w:val="nil"/>
              <w:bottom w:val="single" w:sz="8" w:space="0" w:color="auto"/>
              <w:right w:val="single" w:sz="8" w:space="0" w:color="auto"/>
            </w:tcBorders>
            <w:noWrap/>
            <w:textDirection w:val="lrTb"/>
            <w:vAlign w:val="center"/>
            <w:hideMark/>
          </w:tcPr>
          <w:p w:rsidR="000B4441" w:rsidRPr="00E17B00" w:rsidP="00F576BD">
            <w:pPr>
              <w:bidi w:val="0"/>
              <w:jc w:val="right"/>
              <w:rPr>
                <w:rFonts w:ascii="Times New Roman" w:hAnsi="Times New Roman" w:cs="Times New Roman"/>
                <w:sz w:val="14"/>
                <w:szCs w:val="14"/>
                <w:lang w:eastAsia="sk-SK"/>
              </w:rPr>
            </w:pPr>
            <w:r w:rsidRPr="00E17B00">
              <w:rPr>
                <w:rFonts w:ascii="Times New Roman" w:hAnsi="Times New Roman" w:cs="Times New Roman"/>
                <w:sz w:val="14"/>
                <w:szCs w:val="14"/>
                <w:lang w:eastAsia="sk-SK"/>
              </w:rPr>
              <w:t>0</w:t>
            </w:r>
          </w:p>
        </w:tc>
      </w:tr>
    </w:tbl>
    <w:p w:rsidR="000B4441" w:rsidRPr="00957F25" w:rsidP="000B4441">
      <w:pPr>
        <w:bidi w:val="0"/>
        <w:jc w:val="both"/>
        <w:rPr>
          <w:rFonts w:ascii="Times New Roman" w:hAnsi="Times New Roman" w:cs="Times New Roman"/>
          <w:sz w:val="16"/>
          <w:szCs w:val="16"/>
        </w:rPr>
      </w:pPr>
    </w:p>
    <w:p w:rsidR="000B4441" w:rsidRPr="00957F25" w:rsidP="000B4441">
      <w:pPr>
        <w:bidi w:val="0"/>
        <w:jc w:val="both"/>
        <w:rPr>
          <w:rFonts w:ascii="Times New Roman" w:hAnsi="Times New Roman" w:cs="Times New Roman"/>
        </w:rPr>
      </w:pPr>
      <w:r>
        <w:rPr>
          <w:rFonts w:ascii="Times New Roman" w:hAnsi="Times New Roman" w:cs="Times New Roman"/>
        </w:rPr>
        <w:t>7</w:t>
      </w:r>
      <w:r w:rsidRPr="00957F25">
        <w:rPr>
          <w:rFonts w:ascii="Times New Roman" w:hAnsi="Times New Roman" w:cs="Times New Roman"/>
        </w:rPr>
        <w:t>.1.</w:t>
        <w:tab/>
        <w:t xml:space="preserve">Saldo rozpočtových operácií štátnych finančných aktív bez finančných operácií je uvedené v predchádzajúcej časti </w:t>
      </w:r>
      <w:r>
        <w:rPr>
          <w:rFonts w:ascii="Times New Roman" w:hAnsi="Times New Roman" w:cs="Times New Roman"/>
        </w:rPr>
        <w:t>6</w:t>
      </w:r>
      <w:r w:rsidRPr="00957F25">
        <w:rPr>
          <w:rFonts w:ascii="Times New Roman" w:hAnsi="Times New Roman" w:cs="Times New Roman"/>
        </w:rPr>
        <w:t>. Štátne finančné aktíva.</w:t>
      </w:r>
    </w:p>
    <w:p w:rsidR="000B4441" w:rsidRPr="00957F25" w:rsidP="000B4441">
      <w:pPr>
        <w:bidi w:val="0"/>
        <w:ind w:firstLine="708"/>
        <w:jc w:val="both"/>
        <w:rPr>
          <w:rFonts w:ascii="Times New Roman" w:hAnsi="Times New Roman" w:cs="Times New Roman"/>
          <w:sz w:val="16"/>
          <w:szCs w:val="16"/>
        </w:rPr>
      </w:pPr>
    </w:p>
    <w:p w:rsidR="000B4441" w:rsidRPr="00957F25" w:rsidP="000B4441">
      <w:pPr>
        <w:bidi w:val="0"/>
        <w:jc w:val="both"/>
        <w:rPr>
          <w:rFonts w:ascii="Times New Roman" w:hAnsi="Times New Roman" w:cs="Times New Roman"/>
        </w:rPr>
      </w:pPr>
      <w:r>
        <w:rPr>
          <w:rFonts w:ascii="Times New Roman" w:hAnsi="Times New Roman" w:cs="Times New Roman"/>
        </w:rPr>
        <w:t>7</w:t>
      </w:r>
      <w:r w:rsidRPr="00957F25">
        <w:rPr>
          <w:rFonts w:ascii="Times New Roman" w:hAnsi="Times New Roman" w:cs="Times New Roman"/>
        </w:rPr>
        <w:t>.2.</w:t>
        <w:tab/>
        <w:t xml:space="preserve">Položky časového rozlíšenia štátneho rozpočtu obsahujú vplyv časového rozlíšenia platených úrokov (rozdiel medzi objemom hotovostných a akruálnych úrokov) súvisiacich so štátnym dlhom. Očakávaný vývoj platených úrokov zobrazuje nasledovná tabuľka. </w:t>
      </w:r>
    </w:p>
    <w:p w:rsidR="000B4441" w:rsidP="000B4441">
      <w:pPr>
        <w:bidi w:val="0"/>
        <w:jc w:val="both"/>
        <w:rPr>
          <w:rFonts w:ascii="Times New Roman" w:hAnsi="Times New Roman" w:cs="Times New Roman"/>
          <w:sz w:val="16"/>
          <w:szCs w:val="16"/>
        </w:rPr>
      </w:pPr>
    </w:p>
    <w:p w:rsidR="000F7251" w:rsidP="000B4441">
      <w:pPr>
        <w:bidi w:val="0"/>
        <w:jc w:val="both"/>
        <w:rPr>
          <w:rFonts w:ascii="Times New Roman" w:hAnsi="Times New Roman" w:cs="Times New Roman"/>
          <w:sz w:val="16"/>
          <w:szCs w:val="16"/>
        </w:rPr>
      </w:pPr>
    </w:p>
    <w:p w:rsidR="000F7251" w:rsidP="000B4441">
      <w:pPr>
        <w:bidi w:val="0"/>
        <w:jc w:val="both"/>
        <w:rPr>
          <w:rFonts w:ascii="Times New Roman" w:hAnsi="Times New Roman" w:cs="Times New Roman"/>
          <w:sz w:val="16"/>
          <w:szCs w:val="16"/>
        </w:rPr>
      </w:pPr>
    </w:p>
    <w:p w:rsidR="000F7251" w:rsidP="000B4441">
      <w:pPr>
        <w:bidi w:val="0"/>
        <w:jc w:val="both"/>
        <w:rPr>
          <w:rFonts w:ascii="Times New Roman" w:hAnsi="Times New Roman" w:cs="Times New Roman"/>
          <w:sz w:val="16"/>
          <w:szCs w:val="16"/>
        </w:rPr>
      </w:pPr>
    </w:p>
    <w:p w:rsidR="000F7251" w:rsidP="000B4441">
      <w:pPr>
        <w:bidi w:val="0"/>
        <w:jc w:val="both"/>
        <w:rPr>
          <w:rFonts w:ascii="Times New Roman" w:hAnsi="Times New Roman" w:cs="Times New Roman"/>
          <w:sz w:val="16"/>
          <w:szCs w:val="16"/>
        </w:rPr>
      </w:pPr>
    </w:p>
    <w:p w:rsidR="000B4441" w:rsidRPr="00957F25" w:rsidP="000B4441">
      <w:pPr>
        <w:bidi w:val="0"/>
        <w:jc w:val="both"/>
        <w:rPr>
          <w:rFonts w:ascii="Times New Roman" w:hAnsi="Times New Roman" w:cs="Times New Roman"/>
          <w:sz w:val="16"/>
          <w:szCs w:val="16"/>
        </w:rPr>
      </w:pPr>
    </w:p>
    <w:tbl>
      <w:tblPr>
        <w:tblStyle w:val="TableNormal"/>
        <w:tblW w:w="9106" w:type="dxa"/>
        <w:jc w:val="center"/>
        <w:tblInd w:w="549" w:type="dxa"/>
        <w:tblCellMar>
          <w:left w:w="70" w:type="dxa"/>
          <w:right w:w="70" w:type="dxa"/>
        </w:tblCellMar>
        <w:tblLook w:val="04A0"/>
      </w:tblPr>
      <w:tblGrid>
        <w:gridCol w:w="3366"/>
        <w:gridCol w:w="820"/>
        <w:gridCol w:w="820"/>
        <w:gridCol w:w="820"/>
        <w:gridCol w:w="820"/>
        <w:gridCol w:w="820"/>
        <w:gridCol w:w="820"/>
        <w:gridCol w:w="820"/>
      </w:tblGrid>
      <w:tr>
        <w:tblPrEx>
          <w:tblW w:w="9106" w:type="dxa"/>
          <w:jc w:val="center"/>
          <w:tblInd w:w="549" w:type="dxa"/>
          <w:tblCellMar>
            <w:left w:w="70" w:type="dxa"/>
            <w:right w:w="70" w:type="dxa"/>
          </w:tblCellMar>
          <w:tblLook w:val="04A0"/>
        </w:tblPrEx>
        <w:trPr>
          <w:trHeight w:val="435"/>
          <w:jc w:val="center"/>
        </w:trPr>
        <w:tc>
          <w:tcPr>
            <w:tcW w:w="3366" w:type="dxa"/>
            <w:tcBorders>
              <w:top w:val="single" w:sz="8" w:space="0" w:color="auto"/>
              <w:left w:val="single" w:sz="8" w:space="0" w:color="auto"/>
              <w:bottom w:val="single" w:sz="8" w:space="0" w:color="auto"/>
              <w:right w:val="single" w:sz="4" w:space="0" w:color="auto"/>
            </w:tcBorders>
            <w:textDirection w:val="lrTb"/>
            <w:vAlign w:val="center"/>
            <w:hideMark/>
          </w:tcPr>
          <w:p w:rsidR="000B4441" w:rsidRPr="00EB56E3" w:rsidP="00F576BD">
            <w:pPr>
              <w:bidi w:val="0"/>
              <w:rPr>
                <w:rFonts w:ascii="Times New Roman" w:hAnsi="Times New Roman" w:cs="Times New Roman"/>
                <w:b/>
                <w:bCs/>
                <w:sz w:val="14"/>
                <w:szCs w:val="14"/>
                <w:lang w:eastAsia="sk-SK"/>
              </w:rPr>
            </w:pPr>
            <w:r w:rsidRPr="00EB56E3">
              <w:rPr>
                <w:rFonts w:ascii="Times New Roman" w:hAnsi="Times New Roman" w:cs="Times New Roman"/>
                <w:b/>
                <w:bCs/>
                <w:sz w:val="14"/>
                <w:szCs w:val="14"/>
                <w:lang w:eastAsia="sk-SK"/>
              </w:rPr>
              <w:t>Platené úroky</w:t>
              <w:br/>
            </w:r>
            <w:r w:rsidRPr="00EB56E3">
              <w:rPr>
                <w:rFonts w:ascii="Times New Roman" w:hAnsi="Times New Roman" w:cs="Times New Roman"/>
                <w:sz w:val="14"/>
                <w:szCs w:val="14"/>
                <w:lang w:eastAsia="sk-SK"/>
              </w:rPr>
              <w:t>(v tis. eur)</w:t>
            </w:r>
          </w:p>
        </w:tc>
        <w:tc>
          <w:tcPr>
            <w:tcW w:w="820" w:type="dxa"/>
            <w:tcBorders>
              <w:top w:val="single" w:sz="8" w:space="0" w:color="auto"/>
              <w:left w:val="nil"/>
              <w:bottom w:val="single" w:sz="8" w:space="0" w:color="auto"/>
              <w:right w:val="single" w:sz="4" w:space="0" w:color="auto"/>
            </w:tcBorders>
            <w:noWrap/>
            <w:textDirection w:val="lrTb"/>
            <w:vAlign w:val="center"/>
            <w:hideMark/>
          </w:tcPr>
          <w:p w:rsidR="000B4441" w:rsidRPr="00EB56E3" w:rsidP="00F576BD">
            <w:pPr>
              <w:bidi w:val="0"/>
              <w:jc w:val="center"/>
              <w:rPr>
                <w:rFonts w:ascii="Times New Roman" w:hAnsi="Times New Roman" w:cs="Times New Roman"/>
                <w:b/>
                <w:bCs/>
                <w:sz w:val="14"/>
                <w:szCs w:val="14"/>
                <w:lang w:eastAsia="sk-SK"/>
              </w:rPr>
            </w:pPr>
            <w:r w:rsidRPr="00EB56E3">
              <w:rPr>
                <w:rFonts w:ascii="Times New Roman" w:hAnsi="Times New Roman" w:cs="Times New Roman"/>
                <w:b/>
                <w:bCs/>
                <w:sz w:val="14"/>
                <w:szCs w:val="14"/>
                <w:lang w:eastAsia="sk-SK"/>
              </w:rPr>
              <w:t>2009 S</w:t>
            </w:r>
          </w:p>
        </w:tc>
        <w:tc>
          <w:tcPr>
            <w:tcW w:w="820" w:type="dxa"/>
            <w:tcBorders>
              <w:top w:val="single" w:sz="8" w:space="0" w:color="auto"/>
              <w:left w:val="nil"/>
              <w:bottom w:val="single" w:sz="8" w:space="0" w:color="auto"/>
              <w:right w:val="single" w:sz="4" w:space="0" w:color="auto"/>
            </w:tcBorders>
            <w:noWrap/>
            <w:textDirection w:val="lrTb"/>
            <w:vAlign w:val="center"/>
            <w:hideMark/>
          </w:tcPr>
          <w:p w:rsidR="000B4441" w:rsidRPr="00EB56E3" w:rsidP="00F576BD">
            <w:pPr>
              <w:bidi w:val="0"/>
              <w:jc w:val="center"/>
              <w:rPr>
                <w:rFonts w:ascii="Times New Roman" w:hAnsi="Times New Roman" w:cs="Times New Roman"/>
                <w:b/>
                <w:bCs/>
                <w:sz w:val="14"/>
                <w:szCs w:val="14"/>
                <w:lang w:eastAsia="sk-SK"/>
              </w:rPr>
            </w:pPr>
            <w:r w:rsidRPr="00EB56E3">
              <w:rPr>
                <w:rFonts w:ascii="Times New Roman" w:hAnsi="Times New Roman" w:cs="Times New Roman"/>
                <w:b/>
                <w:bCs/>
                <w:sz w:val="14"/>
                <w:szCs w:val="14"/>
                <w:lang w:eastAsia="sk-SK"/>
              </w:rPr>
              <w:t>2010 S</w:t>
            </w:r>
          </w:p>
        </w:tc>
        <w:tc>
          <w:tcPr>
            <w:tcW w:w="820" w:type="dxa"/>
            <w:tcBorders>
              <w:top w:val="single" w:sz="8" w:space="0" w:color="auto"/>
              <w:left w:val="nil"/>
              <w:bottom w:val="single" w:sz="8" w:space="0" w:color="auto"/>
              <w:right w:val="single" w:sz="4" w:space="0" w:color="auto"/>
            </w:tcBorders>
            <w:noWrap/>
            <w:textDirection w:val="lrTb"/>
            <w:vAlign w:val="center"/>
            <w:hideMark/>
          </w:tcPr>
          <w:p w:rsidR="000B4441" w:rsidRPr="00EB56E3" w:rsidP="00F576BD">
            <w:pPr>
              <w:bidi w:val="0"/>
              <w:jc w:val="center"/>
              <w:rPr>
                <w:rFonts w:ascii="Times New Roman" w:hAnsi="Times New Roman" w:cs="Times New Roman"/>
                <w:b/>
                <w:bCs/>
                <w:sz w:val="14"/>
                <w:szCs w:val="14"/>
                <w:lang w:eastAsia="sk-SK"/>
              </w:rPr>
            </w:pPr>
            <w:r w:rsidRPr="00EB56E3">
              <w:rPr>
                <w:rFonts w:ascii="Times New Roman" w:hAnsi="Times New Roman" w:cs="Times New Roman"/>
                <w:b/>
                <w:bCs/>
                <w:sz w:val="14"/>
                <w:szCs w:val="14"/>
                <w:lang w:eastAsia="sk-SK"/>
              </w:rPr>
              <w:t>2011 R</w:t>
            </w:r>
          </w:p>
        </w:tc>
        <w:tc>
          <w:tcPr>
            <w:tcW w:w="820" w:type="dxa"/>
            <w:tcBorders>
              <w:top w:val="single" w:sz="8" w:space="0" w:color="auto"/>
              <w:left w:val="nil"/>
              <w:bottom w:val="single" w:sz="8" w:space="0" w:color="auto"/>
              <w:right w:val="single" w:sz="4" w:space="0" w:color="auto"/>
            </w:tcBorders>
            <w:noWrap/>
            <w:textDirection w:val="lrTb"/>
            <w:vAlign w:val="center"/>
            <w:hideMark/>
          </w:tcPr>
          <w:p w:rsidR="000B4441" w:rsidRPr="00EB56E3" w:rsidP="00F576BD">
            <w:pPr>
              <w:bidi w:val="0"/>
              <w:jc w:val="center"/>
              <w:rPr>
                <w:rFonts w:ascii="Times New Roman" w:hAnsi="Times New Roman" w:cs="Times New Roman"/>
                <w:b/>
                <w:bCs/>
                <w:sz w:val="14"/>
                <w:szCs w:val="14"/>
                <w:lang w:eastAsia="sk-SK"/>
              </w:rPr>
            </w:pPr>
            <w:r w:rsidRPr="00EB56E3">
              <w:rPr>
                <w:rFonts w:ascii="Times New Roman" w:hAnsi="Times New Roman" w:cs="Times New Roman"/>
                <w:b/>
                <w:bCs/>
                <w:sz w:val="14"/>
                <w:szCs w:val="14"/>
                <w:lang w:eastAsia="sk-SK"/>
              </w:rPr>
              <w:t>2011 OS</w:t>
            </w:r>
          </w:p>
        </w:tc>
        <w:tc>
          <w:tcPr>
            <w:tcW w:w="820" w:type="dxa"/>
            <w:tcBorders>
              <w:top w:val="single" w:sz="8" w:space="0" w:color="auto"/>
              <w:left w:val="nil"/>
              <w:bottom w:val="single" w:sz="8" w:space="0" w:color="auto"/>
              <w:right w:val="single" w:sz="4" w:space="0" w:color="auto"/>
            </w:tcBorders>
            <w:noWrap/>
            <w:textDirection w:val="lrTb"/>
            <w:vAlign w:val="center"/>
            <w:hideMark/>
          </w:tcPr>
          <w:p w:rsidR="000B4441" w:rsidRPr="00EB56E3" w:rsidP="00F576BD">
            <w:pPr>
              <w:bidi w:val="0"/>
              <w:jc w:val="center"/>
              <w:rPr>
                <w:rFonts w:ascii="Times New Roman" w:hAnsi="Times New Roman" w:cs="Times New Roman"/>
                <w:b/>
                <w:bCs/>
                <w:sz w:val="14"/>
                <w:szCs w:val="14"/>
                <w:lang w:eastAsia="sk-SK"/>
              </w:rPr>
            </w:pPr>
            <w:r w:rsidRPr="00EB56E3">
              <w:rPr>
                <w:rFonts w:ascii="Times New Roman" w:hAnsi="Times New Roman" w:cs="Times New Roman"/>
                <w:b/>
                <w:bCs/>
                <w:sz w:val="14"/>
                <w:szCs w:val="14"/>
                <w:lang w:eastAsia="sk-SK"/>
              </w:rPr>
              <w:t>2012 N</w:t>
            </w:r>
          </w:p>
        </w:tc>
        <w:tc>
          <w:tcPr>
            <w:tcW w:w="820" w:type="dxa"/>
            <w:tcBorders>
              <w:top w:val="single" w:sz="8" w:space="0" w:color="auto"/>
              <w:left w:val="nil"/>
              <w:bottom w:val="single" w:sz="8" w:space="0" w:color="auto"/>
              <w:right w:val="single" w:sz="4" w:space="0" w:color="auto"/>
            </w:tcBorders>
            <w:noWrap/>
            <w:textDirection w:val="lrTb"/>
            <w:vAlign w:val="center"/>
            <w:hideMark/>
          </w:tcPr>
          <w:p w:rsidR="000B4441" w:rsidRPr="00EB56E3" w:rsidP="00F576BD">
            <w:pPr>
              <w:bidi w:val="0"/>
              <w:jc w:val="center"/>
              <w:rPr>
                <w:rFonts w:ascii="Times New Roman" w:hAnsi="Times New Roman" w:cs="Times New Roman"/>
                <w:b/>
                <w:bCs/>
                <w:sz w:val="14"/>
                <w:szCs w:val="14"/>
                <w:lang w:eastAsia="sk-SK"/>
              </w:rPr>
            </w:pPr>
            <w:r w:rsidRPr="00EB56E3">
              <w:rPr>
                <w:rFonts w:ascii="Times New Roman" w:hAnsi="Times New Roman" w:cs="Times New Roman"/>
                <w:b/>
                <w:bCs/>
                <w:sz w:val="14"/>
                <w:szCs w:val="14"/>
                <w:lang w:eastAsia="sk-SK"/>
              </w:rPr>
              <w:t>2013 N</w:t>
            </w:r>
          </w:p>
        </w:tc>
        <w:tc>
          <w:tcPr>
            <w:tcW w:w="820" w:type="dxa"/>
            <w:tcBorders>
              <w:top w:val="single" w:sz="8" w:space="0" w:color="auto"/>
              <w:left w:val="nil"/>
              <w:bottom w:val="single" w:sz="8" w:space="0" w:color="auto"/>
              <w:right w:val="single" w:sz="8" w:space="0" w:color="auto"/>
            </w:tcBorders>
            <w:noWrap/>
            <w:textDirection w:val="lrTb"/>
            <w:vAlign w:val="center"/>
            <w:hideMark/>
          </w:tcPr>
          <w:p w:rsidR="000B4441" w:rsidRPr="00EB56E3" w:rsidP="00F576BD">
            <w:pPr>
              <w:bidi w:val="0"/>
              <w:jc w:val="center"/>
              <w:rPr>
                <w:rFonts w:ascii="Times New Roman" w:hAnsi="Times New Roman" w:cs="Times New Roman"/>
                <w:b/>
                <w:bCs/>
                <w:sz w:val="14"/>
                <w:szCs w:val="14"/>
                <w:lang w:eastAsia="sk-SK"/>
              </w:rPr>
            </w:pPr>
            <w:r w:rsidRPr="00EB56E3">
              <w:rPr>
                <w:rFonts w:ascii="Times New Roman" w:hAnsi="Times New Roman" w:cs="Times New Roman"/>
                <w:b/>
                <w:bCs/>
                <w:sz w:val="14"/>
                <w:szCs w:val="14"/>
                <w:lang w:eastAsia="sk-SK"/>
              </w:rPr>
              <w:t>2014 N</w:t>
            </w:r>
          </w:p>
        </w:tc>
      </w:tr>
      <w:tr>
        <w:tblPrEx>
          <w:tblW w:w="9106" w:type="dxa"/>
          <w:jc w:val="center"/>
          <w:tblInd w:w="549" w:type="dxa"/>
          <w:tblCellMar>
            <w:left w:w="70" w:type="dxa"/>
            <w:right w:w="70" w:type="dxa"/>
          </w:tblCellMar>
          <w:tblLook w:val="04A0"/>
        </w:tblPrEx>
        <w:trPr>
          <w:trHeight w:val="255"/>
          <w:jc w:val="center"/>
        </w:trPr>
        <w:tc>
          <w:tcPr>
            <w:tcW w:w="3366" w:type="dxa"/>
            <w:tcBorders>
              <w:top w:val="nil"/>
              <w:left w:val="single" w:sz="8" w:space="0" w:color="auto"/>
              <w:bottom w:val="single" w:sz="4" w:space="0" w:color="auto"/>
              <w:right w:val="single" w:sz="4" w:space="0" w:color="auto"/>
            </w:tcBorders>
            <w:noWrap/>
            <w:textDirection w:val="lrTb"/>
            <w:vAlign w:val="center"/>
            <w:hideMark/>
          </w:tcPr>
          <w:p w:rsidR="000B4441" w:rsidRPr="00EB56E3" w:rsidP="00F576BD">
            <w:pPr>
              <w:bidi w:val="0"/>
              <w:rPr>
                <w:rFonts w:ascii="Times New Roman" w:hAnsi="Times New Roman" w:cs="Times New Roman"/>
                <w:sz w:val="14"/>
                <w:szCs w:val="14"/>
                <w:lang w:eastAsia="sk-SK"/>
              </w:rPr>
            </w:pPr>
            <w:r w:rsidRPr="00EB56E3">
              <w:rPr>
                <w:rFonts w:ascii="Times New Roman" w:hAnsi="Times New Roman" w:cs="Times New Roman"/>
                <w:sz w:val="14"/>
                <w:szCs w:val="14"/>
                <w:lang w:eastAsia="sk-SK"/>
              </w:rPr>
              <w:t>Hotovostný princíp</w:t>
            </w:r>
          </w:p>
        </w:tc>
        <w:tc>
          <w:tcPr>
            <w:tcW w:w="820" w:type="dxa"/>
            <w:tcBorders>
              <w:top w:val="nil"/>
              <w:left w:val="nil"/>
              <w:bottom w:val="single" w:sz="4"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762 712</w:t>
            </w:r>
          </w:p>
        </w:tc>
        <w:tc>
          <w:tcPr>
            <w:tcW w:w="820" w:type="dxa"/>
            <w:tcBorders>
              <w:top w:val="nil"/>
              <w:left w:val="nil"/>
              <w:bottom w:val="single" w:sz="4"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864 075</w:t>
            </w:r>
          </w:p>
        </w:tc>
        <w:tc>
          <w:tcPr>
            <w:tcW w:w="820" w:type="dxa"/>
            <w:tcBorders>
              <w:top w:val="nil"/>
              <w:left w:val="nil"/>
              <w:bottom w:val="single" w:sz="4"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1 163 188</w:t>
            </w:r>
          </w:p>
        </w:tc>
        <w:tc>
          <w:tcPr>
            <w:tcW w:w="820" w:type="dxa"/>
            <w:tcBorders>
              <w:top w:val="nil"/>
              <w:left w:val="nil"/>
              <w:bottom w:val="single" w:sz="4"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1 030 124</w:t>
            </w:r>
          </w:p>
        </w:tc>
        <w:tc>
          <w:tcPr>
            <w:tcW w:w="820" w:type="dxa"/>
            <w:tcBorders>
              <w:top w:val="nil"/>
              <w:left w:val="nil"/>
              <w:bottom w:val="single" w:sz="4"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1 454 901</w:t>
            </w:r>
          </w:p>
        </w:tc>
        <w:tc>
          <w:tcPr>
            <w:tcW w:w="820" w:type="dxa"/>
            <w:tcBorders>
              <w:top w:val="nil"/>
              <w:left w:val="nil"/>
              <w:bottom w:val="single" w:sz="4"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1 408 828</w:t>
            </w:r>
          </w:p>
        </w:tc>
        <w:tc>
          <w:tcPr>
            <w:tcW w:w="820" w:type="dxa"/>
            <w:tcBorders>
              <w:top w:val="nil"/>
              <w:left w:val="nil"/>
              <w:bottom w:val="single" w:sz="4" w:space="0" w:color="auto"/>
              <w:right w:val="single" w:sz="8"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1 558 668</w:t>
            </w:r>
          </w:p>
        </w:tc>
      </w:tr>
      <w:tr>
        <w:tblPrEx>
          <w:tblW w:w="9106" w:type="dxa"/>
          <w:jc w:val="center"/>
          <w:tblInd w:w="549" w:type="dxa"/>
          <w:tblCellMar>
            <w:left w:w="70" w:type="dxa"/>
            <w:right w:w="70" w:type="dxa"/>
          </w:tblCellMar>
          <w:tblLook w:val="04A0"/>
        </w:tblPrEx>
        <w:trPr>
          <w:trHeight w:val="255"/>
          <w:jc w:val="center"/>
        </w:trPr>
        <w:tc>
          <w:tcPr>
            <w:tcW w:w="3366" w:type="dxa"/>
            <w:tcBorders>
              <w:top w:val="nil"/>
              <w:left w:val="single" w:sz="8" w:space="0" w:color="auto"/>
              <w:bottom w:val="single" w:sz="4" w:space="0" w:color="auto"/>
              <w:right w:val="single" w:sz="4" w:space="0" w:color="auto"/>
            </w:tcBorders>
            <w:noWrap/>
            <w:textDirection w:val="lrTb"/>
            <w:vAlign w:val="center"/>
            <w:hideMark/>
          </w:tcPr>
          <w:p w:rsidR="000B4441" w:rsidRPr="00EB56E3" w:rsidP="00F576BD">
            <w:pPr>
              <w:bidi w:val="0"/>
              <w:rPr>
                <w:rFonts w:ascii="Times New Roman" w:hAnsi="Times New Roman" w:cs="Times New Roman"/>
                <w:sz w:val="14"/>
                <w:szCs w:val="14"/>
                <w:lang w:eastAsia="sk-SK"/>
              </w:rPr>
            </w:pPr>
            <w:r w:rsidRPr="00EB56E3">
              <w:rPr>
                <w:rFonts w:ascii="Times New Roman" w:hAnsi="Times New Roman" w:cs="Times New Roman"/>
                <w:sz w:val="14"/>
                <w:szCs w:val="14"/>
                <w:lang w:eastAsia="sk-SK"/>
              </w:rPr>
              <w:t>Akruálny princíp</w:t>
            </w:r>
          </w:p>
        </w:tc>
        <w:tc>
          <w:tcPr>
            <w:tcW w:w="820" w:type="dxa"/>
            <w:tcBorders>
              <w:top w:val="nil"/>
              <w:left w:val="nil"/>
              <w:bottom w:val="single" w:sz="4"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926 918</w:t>
            </w:r>
          </w:p>
        </w:tc>
        <w:tc>
          <w:tcPr>
            <w:tcW w:w="820" w:type="dxa"/>
            <w:tcBorders>
              <w:top w:val="nil"/>
              <w:left w:val="nil"/>
              <w:bottom w:val="single" w:sz="4"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896 306</w:t>
            </w:r>
          </w:p>
        </w:tc>
        <w:tc>
          <w:tcPr>
            <w:tcW w:w="820" w:type="dxa"/>
            <w:tcBorders>
              <w:top w:val="nil"/>
              <w:left w:val="nil"/>
              <w:bottom w:val="single" w:sz="4"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1 269 969</w:t>
            </w:r>
          </w:p>
        </w:tc>
        <w:tc>
          <w:tcPr>
            <w:tcW w:w="820" w:type="dxa"/>
            <w:tcBorders>
              <w:top w:val="nil"/>
              <w:left w:val="nil"/>
              <w:bottom w:val="single" w:sz="4"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1 162 963</w:t>
            </w:r>
          </w:p>
        </w:tc>
        <w:tc>
          <w:tcPr>
            <w:tcW w:w="820" w:type="dxa"/>
            <w:tcBorders>
              <w:top w:val="nil"/>
              <w:left w:val="nil"/>
              <w:bottom w:val="single" w:sz="4"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1 331 301</w:t>
            </w:r>
          </w:p>
        </w:tc>
        <w:tc>
          <w:tcPr>
            <w:tcW w:w="820" w:type="dxa"/>
            <w:tcBorders>
              <w:top w:val="nil"/>
              <w:left w:val="nil"/>
              <w:bottom w:val="single" w:sz="4"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1 483 719</w:t>
            </w:r>
          </w:p>
        </w:tc>
        <w:tc>
          <w:tcPr>
            <w:tcW w:w="820" w:type="dxa"/>
            <w:tcBorders>
              <w:top w:val="nil"/>
              <w:left w:val="nil"/>
              <w:bottom w:val="single" w:sz="4" w:space="0" w:color="auto"/>
              <w:right w:val="single" w:sz="8"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1 684 291</w:t>
            </w:r>
          </w:p>
        </w:tc>
      </w:tr>
      <w:tr>
        <w:tblPrEx>
          <w:tblW w:w="9106" w:type="dxa"/>
          <w:jc w:val="center"/>
          <w:tblInd w:w="549" w:type="dxa"/>
          <w:tblCellMar>
            <w:left w:w="70" w:type="dxa"/>
            <w:right w:w="70" w:type="dxa"/>
          </w:tblCellMar>
          <w:tblLook w:val="04A0"/>
        </w:tblPrEx>
        <w:trPr>
          <w:trHeight w:val="270"/>
          <w:jc w:val="center"/>
        </w:trPr>
        <w:tc>
          <w:tcPr>
            <w:tcW w:w="3366" w:type="dxa"/>
            <w:tcBorders>
              <w:top w:val="nil"/>
              <w:left w:val="single" w:sz="8" w:space="0" w:color="auto"/>
              <w:bottom w:val="single" w:sz="8" w:space="0" w:color="auto"/>
              <w:right w:val="single" w:sz="4" w:space="0" w:color="auto"/>
            </w:tcBorders>
            <w:noWrap/>
            <w:textDirection w:val="lrTb"/>
            <w:vAlign w:val="center"/>
            <w:hideMark/>
          </w:tcPr>
          <w:p w:rsidR="000B4441" w:rsidRPr="00EB56E3" w:rsidP="00F576BD">
            <w:pPr>
              <w:bidi w:val="0"/>
              <w:rPr>
                <w:rFonts w:ascii="Times New Roman" w:hAnsi="Times New Roman" w:cs="Times New Roman"/>
                <w:b/>
                <w:bCs/>
                <w:sz w:val="14"/>
                <w:szCs w:val="14"/>
                <w:lang w:eastAsia="sk-SK"/>
              </w:rPr>
            </w:pPr>
            <w:r w:rsidRPr="00EB56E3">
              <w:rPr>
                <w:rFonts w:ascii="Times New Roman" w:hAnsi="Times New Roman" w:cs="Times New Roman"/>
                <w:b/>
                <w:bCs/>
                <w:sz w:val="14"/>
                <w:szCs w:val="14"/>
                <w:lang w:eastAsia="sk-SK"/>
              </w:rPr>
              <w:t>Rozdiel</w:t>
            </w:r>
          </w:p>
        </w:tc>
        <w:tc>
          <w:tcPr>
            <w:tcW w:w="820" w:type="dxa"/>
            <w:tcBorders>
              <w:top w:val="nil"/>
              <w:left w:val="nil"/>
              <w:bottom w:val="single" w:sz="8"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b/>
                <w:bCs/>
                <w:sz w:val="14"/>
                <w:szCs w:val="14"/>
                <w:lang w:eastAsia="sk-SK"/>
              </w:rPr>
            </w:pPr>
            <w:r w:rsidRPr="00EB56E3">
              <w:rPr>
                <w:rFonts w:ascii="Times New Roman" w:hAnsi="Times New Roman" w:cs="Times New Roman"/>
                <w:b/>
                <w:bCs/>
                <w:sz w:val="14"/>
                <w:szCs w:val="14"/>
                <w:lang w:eastAsia="sk-SK"/>
              </w:rPr>
              <w:t>-164 206</w:t>
            </w:r>
          </w:p>
        </w:tc>
        <w:tc>
          <w:tcPr>
            <w:tcW w:w="820" w:type="dxa"/>
            <w:tcBorders>
              <w:top w:val="nil"/>
              <w:left w:val="nil"/>
              <w:bottom w:val="single" w:sz="8"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b/>
                <w:bCs/>
                <w:sz w:val="14"/>
                <w:szCs w:val="14"/>
                <w:lang w:eastAsia="sk-SK"/>
              </w:rPr>
            </w:pPr>
            <w:r w:rsidRPr="00EB56E3">
              <w:rPr>
                <w:rFonts w:ascii="Times New Roman" w:hAnsi="Times New Roman" w:cs="Times New Roman"/>
                <w:b/>
                <w:bCs/>
                <w:sz w:val="14"/>
                <w:szCs w:val="14"/>
                <w:lang w:eastAsia="sk-SK"/>
              </w:rPr>
              <w:t>-32 231</w:t>
            </w:r>
          </w:p>
        </w:tc>
        <w:tc>
          <w:tcPr>
            <w:tcW w:w="820" w:type="dxa"/>
            <w:tcBorders>
              <w:top w:val="nil"/>
              <w:left w:val="nil"/>
              <w:bottom w:val="single" w:sz="8"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b/>
                <w:bCs/>
                <w:sz w:val="14"/>
                <w:szCs w:val="14"/>
                <w:lang w:eastAsia="sk-SK"/>
              </w:rPr>
            </w:pPr>
            <w:r w:rsidRPr="00EB56E3">
              <w:rPr>
                <w:rFonts w:ascii="Times New Roman" w:hAnsi="Times New Roman" w:cs="Times New Roman"/>
                <w:b/>
                <w:bCs/>
                <w:sz w:val="14"/>
                <w:szCs w:val="14"/>
                <w:lang w:eastAsia="sk-SK"/>
              </w:rPr>
              <w:t>-106 781</w:t>
            </w:r>
          </w:p>
        </w:tc>
        <w:tc>
          <w:tcPr>
            <w:tcW w:w="820" w:type="dxa"/>
            <w:tcBorders>
              <w:top w:val="nil"/>
              <w:left w:val="nil"/>
              <w:bottom w:val="single" w:sz="8"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b/>
                <w:bCs/>
                <w:sz w:val="14"/>
                <w:szCs w:val="14"/>
                <w:lang w:eastAsia="sk-SK"/>
              </w:rPr>
            </w:pPr>
            <w:r w:rsidRPr="00EB56E3">
              <w:rPr>
                <w:rFonts w:ascii="Times New Roman" w:hAnsi="Times New Roman" w:cs="Times New Roman"/>
                <w:b/>
                <w:bCs/>
                <w:sz w:val="14"/>
                <w:szCs w:val="14"/>
                <w:lang w:eastAsia="sk-SK"/>
              </w:rPr>
              <w:t>-132 839</w:t>
            </w:r>
          </w:p>
        </w:tc>
        <w:tc>
          <w:tcPr>
            <w:tcW w:w="820" w:type="dxa"/>
            <w:tcBorders>
              <w:top w:val="nil"/>
              <w:left w:val="nil"/>
              <w:bottom w:val="single" w:sz="8"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b/>
                <w:bCs/>
                <w:sz w:val="14"/>
                <w:szCs w:val="14"/>
                <w:lang w:eastAsia="sk-SK"/>
              </w:rPr>
            </w:pPr>
            <w:r w:rsidRPr="00EB56E3">
              <w:rPr>
                <w:rFonts w:ascii="Times New Roman" w:hAnsi="Times New Roman" w:cs="Times New Roman"/>
                <w:b/>
                <w:bCs/>
                <w:sz w:val="14"/>
                <w:szCs w:val="14"/>
                <w:lang w:eastAsia="sk-SK"/>
              </w:rPr>
              <w:t>123 600</w:t>
            </w:r>
          </w:p>
        </w:tc>
        <w:tc>
          <w:tcPr>
            <w:tcW w:w="820" w:type="dxa"/>
            <w:tcBorders>
              <w:top w:val="nil"/>
              <w:left w:val="nil"/>
              <w:bottom w:val="single" w:sz="8"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b/>
                <w:bCs/>
                <w:sz w:val="14"/>
                <w:szCs w:val="14"/>
                <w:lang w:eastAsia="sk-SK"/>
              </w:rPr>
            </w:pPr>
            <w:r w:rsidRPr="00EB56E3">
              <w:rPr>
                <w:rFonts w:ascii="Times New Roman" w:hAnsi="Times New Roman" w:cs="Times New Roman"/>
                <w:b/>
                <w:bCs/>
                <w:sz w:val="14"/>
                <w:szCs w:val="14"/>
                <w:lang w:eastAsia="sk-SK"/>
              </w:rPr>
              <w:t>-74 891</w:t>
            </w:r>
          </w:p>
        </w:tc>
        <w:tc>
          <w:tcPr>
            <w:tcW w:w="820" w:type="dxa"/>
            <w:tcBorders>
              <w:top w:val="nil"/>
              <w:left w:val="nil"/>
              <w:bottom w:val="single" w:sz="8" w:space="0" w:color="auto"/>
              <w:right w:val="single" w:sz="8" w:space="0" w:color="auto"/>
            </w:tcBorders>
            <w:noWrap/>
            <w:textDirection w:val="lrTb"/>
            <w:vAlign w:val="center"/>
            <w:hideMark/>
          </w:tcPr>
          <w:p w:rsidR="000B4441" w:rsidRPr="00EB56E3" w:rsidP="00F576BD">
            <w:pPr>
              <w:bidi w:val="0"/>
              <w:jc w:val="right"/>
              <w:rPr>
                <w:rFonts w:ascii="Times New Roman" w:hAnsi="Times New Roman" w:cs="Times New Roman"/>
                <w:b/>
                <w:bCs/>
                <w:sz w:val="14"/>
                <w:szCs w:val="14"/>
                <w:lang w:eastAsia="sk-SK"/>
              </w:rPr>
            </w:pPr>
            <w:r w:rsidRPr="00EB56E3">
              <w:rPr>
                <w:rFonts w:ascii="Times New Roman" w:hAnsi="Times New Roman" w:cs="Times New Roman"/>
                <w:b/>
                <w:bCs/>
                <w:sz w:val="14"/>
                <w:szCs w:val="14"/>
                <w:lang w:eastAsia="sk-SK"/>
              </w:rPr>
              <w:t>-125 623</w:t>
            </w:r>
          </w:p>
        </w:tc>
      </w:tr>
    </w:tbl>
    <w:p w:rsidR="000B4441" w:rsidRPr="00957F25" w:rsidP="000B4441">
      <w:pPr>
        <w:bidi w:val="0"/>
        <w:jc w:val="both"/>
        <w:rPr>
          <w:rFonts w:ascii="Times New Roman" w:hAnsi="Times New Roman" w:cs="Times New Roman"/>
          <w:sz w:val="16"/>
          <w:szCs w:val="16"/>
        </w:rPr>
      </w:pPr>
    </w:p>
    <w:p w:rsidR="000B4441" w:rsidRPr="00957F25" w:rsidP="000B4441">
      <w:pPr>
        <w:bidi w:val="0"/>
        <w:jc w:val="both"/>
        <w:rPr>
          <w:rFonts w:ascii="Times New Roman" w:hAnsi="Times New Roman" w:cs="Times New Roman"/>
        </w:rPr>
      </w:pPr>
      <w:r>
        <w:rPr>
          <w:rFonts w:ascii="Times New Roman" w:hAnsi="Times New Roman" w:cs="Times New Roman"/>
        </w:rPr>
        <w:t>7</w:t>
      </w:r>
      <w:r w:rsidRPr="00957F25">
        <w:rPr>
          <w:rFonts w:ascii="Times New Roman" w:hAnsi="Times New Roman" w:cs="Times New Roman"/>
        </w:rPr>
        <w:t>.3.</w:t>
        <w:tab/>
        <w:t xml:space="preserve">Časové rozlíšenie daňových príjmov </w:t>
      </w:r>
      <w:r>
        <w:rPr>
          <w:rFonts w:ascii="Times New Roman" w:hAnsi="Times New Roman" w:cs="Times New Roman"/>
        </w:rPr>
        <w:t>(časť 4</w:t>
      </w:r>
      <w:r w:rsidRPr="00957F25">
        <w:rPr>
          <w:rFonts w:ascii="Times New Roman" w:hAnsi="Times New Roman" w:cs="Times New Roman"/>
        </w:rPr>
        <w:t>.</w:t>
      </w:r>
      <w:r>
        <w:rPr>
          <w:rFonts w:ascii="Times New Roman" w:hAnsi="Times New Roman" w:cs="Times New Roman"/>
        </w:rPr>
        <w:t>4</w:t>
      </w:r>
      <w:r w:rsidRPr="00957F25">
        <w:rPr>
          <w:rFonts w:ascii="Times New Roman" w:hAnsi="Times New Roman" w:cs="Times New Roman"/>
        </w:rPr>
        <w:t>. Akruálne dane pre návrh rozpočtu verejnej správy na roky 2012 až 2014) je ďalším faktorom, ktorý ovplyvňuje schodok štátneho rozpočtu. Ide o rozdiel hotovostných a akruálnych daní, ako aj výdavkov určených na verejnoprospešný účel (2 %).</w:t>
      </w:r>
    </w:p>
    <w:p w:rsidR="000B4441" w:rsidRPr="00957F25" w:rsidP="000B4441">
      <w:pPr>
        <w:bidi w:val="0"/>
        <w:jc w:val="both"/>
        <w:rPr>
          <w:rFonts w:ascii="Times New Roman" w:hAnsi="Times New Roman" w:cs="Times New Roman"/>
          <w:sz w:val="16"/>
          <w:szCs w:val="16"/>
        </w:rPr>
      </w:pPr>
    </w:p>
    <w:tbl>
      <w:tblPr>
        <w:tblStyle w:val="TableNormal"/>
        <w:tblW w:w="9106" w:type="dxa"/>
        <w:jc w:val="center"/>
        <w:tblInd w:w="549" w:type="dxa"/>
        <w:tblCellMar>
          <w:left w:w="70" w:type="dxa"/>
          <w:right w:w="70" w:type="dxa"/>
        </w:tblCellMar>
        <w:tblLook w:val="04A0"/>
      </w:tblPr>
      <w:tblGrid>
        <w:gridCol w:w="3366"/>
        <w:gridCol w:w="820"/>
        <w:gridCol w:w="820"/>
        <w:gridCol w:w="820"/>
        <w:gridCol w:w="820"/>
        <w:gridCol w:w="820"/>
        <w:gridCol w:w="820"/>
        <w:gridCol w:w="820"/>
      </w:tblGrid>
      <w:tr>
        <w:tblPrEx>
          <w:tblW w:w="9106" w:type="dxa"/>
          <w:jc w:val="center"/>
          <w:tblInd w:w="549" w:type="dxa"/>
          <w:tblCellMar>
            <w:left w:w="70" w:type="dxa"/>
            <w:right w:w="70" w:type="dxa"/>
          </w:tblCellMar>
          <w:tblLook w:val="04A0"/>
        </w:tblPrEx>
        <w:trPr>
          <w:trHeight w:val="435"/>
          <w:jc w:val="center"/>
        </w:trPr>
        <w:tc>
          <w:tcPr>
            <w:tcW w:w="3366" w:type="dxa"/>
            <w:tcBorders>
              <w:top w:val="single" w:sz="8" w:space="0" w:color="auto"/>
              <w:left w:val="single" w:sz="8" w:space="0" w:color="auto"/>
              <w:bottom w:val="single" w:sz="8" w:space="0" w:color="auto"/>
              <w:right w:val="single" w:sz="4" w:space="0" w:color="auto"/>
            </w:tcBorders>
            <w:textDirection w:val="lrTb"/>
            <w:vAlign w:val="center"/>
            <w:hideMark/>
          </w:tcPr>
          <w:p w:rsidR="000B4441" w:rsidRPr="00EB56E3" w:rsidP="00F576BD">
            <w:pPr>
              <w:bidi w:val="0"/>
              <w:rPr>
                <w:rFonts w:ascii="Times New Roman" w:hAnsi="Times New Roman" w:cs="Times New Roman"/>
                <w:b/>
                <w:bCs/>
                <w:sz w:val="14"/>
                <w:szCs w:val="14"/>
                <w:lang w:eastAsia="sk-SK"/>
              </w:rPr>
            </w:pPr>
            <w:r w:rsidRPr="00EB56E3">
              <w:rPr>
                <w:rFonts w:ascii="Times New Roman" w:hAnsi="Times New Roman" w:cs="Times New Roman"/>
                <w:b/>
                <w:bCs/>
                <w:sz w:val="14"/>
                <w:szCs w:val="14"/>
                <w:lang w:eastAsia="sk-SK"/>
              </w:rPr>
              <w:t>Daňové príjmy štátneho rozpočtu</w:t>
              <w:br/>
            </w:r>
            <w:r w:rsidRPr="00EB56E3">
              <w:rPr>
                <w:rFonts w:ascii="Times New Roman" w:hAnsi="Times New Roman" w:cs="Times New Roman"/>
                <w:sz w:val="14"/>
                <w:szCs w:val="14"/>
                <w:lang w:eastAsia="sk-SK"/>
              </w:rPr>
              <w:t>(v tis. eur)</w:t>
            </w:r>
          </w:p>
        </w:tc>
        <w:tc>
          <w:tcPr>
            <w:tcW w:w="820" w:type="dxa"/>
            <w:tcBorders>
              <w:top w:val="single" w:sz="8" w:space="0" w:color="auto"/>
              <w:left w:val="nil"/>
              <w:bottom w:val="single" w:sz="8" w:space="0" w:color="auto"/>
              <w:right w:val="single" w:sz="4" w:space="0" w:color="auto"/>
            </w:tcBorders>
            <w:noWrap/>
            <w:textDirection w:val="lrTb"/>
            <w:vAlign w:val="center"/>
            <w:hideMark/>
          </w:tcPr>
          <w:p w:rsidR="000B4441" w:rsidRPr="00EB56E3" w:rsidP="00F576BD">
            <w:pPr>
              <w:bidi w:val="0"/>
              <w:jc w:val="center"/>
              <w:rPr>
                <w:rFonts w:ascii="Times New Roman" w:hAnsi="Times New Roman" w:cs="Times New Roman"/>
                <w:b/>
                <w:bCs/>
                <w:sz w:val="14"/>
                <w:szCs w:val="14"/>
                <w:lang w:eastAsia="sk-SK"/>
              </w:rPr>
            </w:pPr>
            <w:r w:rsidRPr="00EB56E3">
              <w:rPr>
                <w:rFonts w:ascii="Times New Roman" w:hAnsi="Times New Roman" w:cs="Times New Roman"/>
                <w:b/>
                <w:bCs/>
                <w:sz w:val="14"/>
                <w:szCs w:val="14"/>
                <w:lang w:eastAsia="sk-SK"/>
              </w:rPr>
              <w:t>2009 S</w:t>
            </w:r>
          </w:p>
        </w:tc>
        <w:tc>
          <w:tcPr>
            <w:tcW w:w="820" w:type="dxa"/>
            <w:tcBorders>
              <w:top w:val="single" w:sz="8" w:space="0" w:color="auto"/>
              <w:left w:val="nil"/>
              <w:bottom w:val="single" w:sz="8" w:space="0" w:color="auto"/>
              <w:right w:val="single" w:sz="4" w:space="0" w:color="auto"/>
            </w:tcBorders>
            <w:noWrap/>
            <w:textDirection w:val="lrTb"/>
            <w:vAlign w:val="center"/>
            <w:hideMark/>
          </w:tcPr>
          <w:p w:rsidR="000B4441" w:rsidRPr="00EB56E3" w:rsidP="00F576BD">
            <w:pPr>
              <w:bidi w:val="0"/>
              <w:jc w:val="center"/>
              <w:rPr>
                <w:rFonts w:ascii="Times New Roman" w:hAnsi="Times New Roman" w:cs="Times New Roman"/>
                <w:b/>
                <w:bCs/>
                <w:sz w:val="14"/>
                <w:szCs w:val="14"/>
                <w:lang w:eastAsia="sk-SK"/>
              </w:rPr>
            </w:pPr>
            <w:r w:rsidRPr="00EB56E3">
              <w:rPr>
                <w:rFonts w:ascii="Times New Roman" w:hAnsi="Times New Roman" w:cs="Times New Roman"/>
                <w:b/>
                <w:bCs/>
                <w:sz w:val="14"/>
                <w:szCs w:val="14"/>
                <w:lang w:eastAsia="sk-SK"/>
              </w:rPr>
              <w:t>2010 S</w:t>
            </w:r>
          </w:p>
        </w:tc>
        <w:tc>
          <w:tcPr>
            <w:tcW w:w="820" w:type="dxa"/>
            <w:tcBorders>
              <w:top w:val="single" w:sz="8" w:space="0" w:color="auto"/>
              <w:left w:val="nil"/>
              <w:bottom w:val="single" w:sz="8" w:space="0" w:color="auto"/>
              <w:right w:val="single" w:sz="4" w:space="0" w:color="auto"/>
            </w:tcBorders>
            <w:noWrap/>
            <w:textDirection w:val="lrTb"/>
            <w:vAlign w:val="center"/>
            <w:hideMark/>
          </w:tcPr>
          <w:p w:rsidR="000B4441" w:rsidRPr="00EB56E3" w:rsidP="00F576BD">
            <w:pPr>
              <w:bidi w:val="0"/>
              <w:jc w:val="center"/>
              <w:rPr>
                <w:rFonts w:ascii="Times New Roman" w:hAnsi="Times New Roman" w:cs="Times New Roman"/>
                <w:b/>
                <w:bCs/>
                <w:sz w:val="14"/>
                <w:szCs w:val="14"/>
                <w:lang w:eastAsia="sk-SK"/>
              </w:rPr>
            </w:pPr>
            <w:r w:rsidRPr="00EB56E3">
              <w:rPr>
                <w:rFonts w:ascii="Times New Roman" w:hAnsi="Times New Roman" w:cs="Times New Roman"/>
                <w:b/>
                <w:bCs/>
                <w:sz w:val="14"/>
                <w:szCs w:val="14"/>
                <w:lang w:eastAsia="sk-SK"/>
              </w:rPr>
              <w:t>2011 R</w:t>
            </w:r>
          </w:p>
        </w:tc>
        <w:tc>
          <w:tcPr>
            <w:tcW w:w="820" w:type="dxa"/>
            <w:tcBorders>
              <w:top w:val="single" w:sz="8" w:space="0" w:color="auto"/>
              <w:left w:val="nil"/>
              <w:bottom w:val="single" w:sz="8" w:space="0" w:color="auto"/>
              <w:right w:val="single" w:sz="4" w:space="0" w:color="auto"/>
            </w:tcBorders>
            <w:noWrap/>
            <w:textDirection w:val="lrTb"/>
            <w:vAlign w:val="center"/>
            <w:hideMark/>
          </w:tcPr>
          <w:p w:rsidR="000B4441" w:rsidRPr="00EB56E3" w:rsidP="00F576BD">
            <w:pPr>
              <w:bidi w:val="0"/>
              <w:jc w:val="center"/>
              <w:rPr>
                <w:rFonts w:ascii="Times New Roman" w:hAnsi="Times New Roman" w:cs="Times New Roman"/>
                <w:b/>
                <w:bCs/>
                <w:sz w:val="14"/>
                <w:szCs w:val="14"/>
                <w:lang w:eastAsia="sk-SK"/>
              </w:rPr>
            </w:pPr>
            <w:r w:rsidRPr="00EB56E3">
              <w:rPr>
                <w:rFonts w:ascii="Times New Roman" w:hAnsi="Times New Roman" w:cs="Times New Roman"/>
                <w:b/>
                <w:bCs/>
                <w:sz w:val="14"/>
                <w:szCs w:val="14"/>
                <w:lang w:eastAsia="sk-SK"/>
              </w:rPr>
              <w:t>2011 OS</w:t>
            </w:r>
          </w:p>
        </w:tc>
        <w:tc>
          <w:tcPr>
            <w:tcW w:w="820" w:type="dxa"/>
            <w:tcBorders>
              <w:top w:val="single" w:sz="8" w:space="0" w:color="auto"/>
              <w:left w:val="nil"/>
              <w:bottom w:val="single" w:sz="8" w:space="0" w:color="auto"/>
              <w:right w:val="single" w:sz="4" w:space="0" w:color="auto"/>
            </w:tcBorders>
            <w:noWrap/>
            <w:textDirection w:val="lrTb"/>
            <w:vAlign w:val="center"/>
            <w:hideMark/>
          </w:tcPr>
          <w:p w:rsidR="000B4441" w:rsidRPr="00EB56E3" w:rsidP="00F576BD">
            <w:pPr>
              <w:bidi w:val="0"/>
              <w:jc w:val="center"/>
              <w:rPr>
                <w:rFonts w:ascii="Times New Roman" w:hAnsi="Times New Roman" w:cs="Times New Roman"/>
                <w:b/>
                <w:bCs/>
                <w:sz w:val="14"/>
                <w:szCs w:val="14"/>
                <w:lang w:eastAsia="sk-SK"/>
              </w:rPr>
            </w:pPr>
            <w:r w:rsidRPr="00EB56E3">
              <w:rPr>
                <w:rFonts w:ascii="Times New Roman" w:hAnsi="Times New Roman" w:cs="Times New Roman"/>
                <w:b/>
                <w:bCs/>
                <w:sz w:val="14"/>
                <w:szCs w:val="14"/>
                <w:lang w:eastAsia="sk-SK"/>
              </w:rPr>
              <w:t>2012 N</w:t>
            </w:r>
          </w:p>
        </w:tc>
        <w:tc>
          <w:tcPr>
            <w:tcW w:w="820" w:type="dxa"/>
            <w:tcBorders>
              <w:top w:val="single" w:sz="8" w:space="0" w:color="auto"/>
              <w:left w:val="nil"/>
              <w:bottom w:val="single" w:sz="8" w:space="0" w:color="auto"/>
              <w:right w:val="single" w:sz="4" w:space="0" w:color="auto"/>
            </w:tcBorders>
            <w:noWrap/>
            <w:textDirection w:val="lrTb"/>
            <w:vAlign w:val="center"/>
            <w:hideMark/>
          </w:tcPr>
          <w:p w:rsidR="000B4441" w:rsidRPr="00EB56E3" w:rsidP="00F576BD">
            <w:pPr>
              <w:bidi w:val="0"/>
              <w:jc w:val="center"/>
              <w:rPr>
                <w:rFonts w:ascii="Times New Roman" w:hAnsi="Times New Roman" w:cs="Times New Roman"/>
                <w:b/>
                <w:bCs/>
                <w:sz w:val="14"/>
                <w:szCs w:val="14"/>
                <w:lang w:eastAsia="sk-SK"/>
              </w:rPr>
            </w:pPr>
            <w:r w:rsidRPr="00EB56E3">
              <w:rPr>
                <w:rFonts w:ascii="Times New Roman" w:hAnsi="Times New Roman" w:cs="Times New Roman"/>
                <w:b/>
                <w:bCs/>
                <w:sz w:val="14"/>
                <w:szCs w:val="14"/>
                <w:lang w:eastAsia="sk-SK"/>
              </w:rPr>
              <w:t>2013 N</w:t>
            </w:r>
          </w:p>
        </w:tc>
        <w:tc>
          <w:tcPr>
            <w:tcW w:w="820" w:type="dxa"/>
            <w:tcBorders>
              <w:top w:val="single" w:sz="8" w:space="0" w:color="auto"/>
              <w:left w:val="nil"/>
              <w:bottom w:val="single" w:sz="8" w:space="0" w:color="auto"/>
              <w:right w:val="single" w:sz="8" w:space="0" w:color="auto"/>
            </w:tcBorders>
            <w:noWrap/>
            <w:textDirection w:val="lrTb"/>
            <w:vAlign w:val="center"/>
            <w:hideMark/>
          </w:tcPr>
          <w:p w:rsidR="000B4441" w:rsidRPr="00EB56E3" w:rsidP="00F576BD">
            <w:pPr>
              <w:bidi w:val="0"/>
              <w:jc w:val="center"/>
              <w:rPr>
                <w:rFonts w:ascii="Times New Roman" w:hAnsi="Times New Roman" w:cs="Times New Roman"/>
                <w:b/>
                <w:bCs/>
                <w:sz w:val="14"/>
                <w:szCs w:val="14"/>
                <w:lang w:eastAsia="sk-SK"/>
              </w:rPr>
            </w:pPr>
            <w:r w:rsidRPr="00EB56E3">
              <w:rPr>
                <w:rFonts w:ascii="Times New Roman" w:hAnsi="Times New Roman" w:cs="Times New Roman"/>
                <w:b/>
                <w:bCs/>
                <w:sz w:val="14"/>
                <w:szCs w:val="14"/>
                <w:lang w:eastAsia="sk-SK"/>
              </w:rPr>
              <w:t>2014 N</w:t>
            </w:r>
          </w:p>
        </w:tc>
      </w:tr>
      <w:tr>
        <w:tblPrEx>
          <w:tblW w:w="9106" w:type="dxa"/>
          <w:jc w:val="center"/>
          <w:tblInd w:w="549" w:type="dxa"/>
          <w:tblCellMar>
            <w:left w:w="70" w:type="dxa"/>
            <w:right w:w="70" w:type="dxa"/>
          </w:tblCellMar>
          <w:tblLook w:val="04A0"/>
        </w:tblPrEx>
        <w:trPr>
          <w:trHeight w:val="255"/>
          <w:jc w:val="center"/>
        </w:trPr>
        <w:tc>
          <w:tcPr>
            <w:tcW w:w="3366" w:type="dxa"/>
            <w:tcBorders>
              <w:top w:val="nil"/>
              <w:left w:val="single" w:sz="8" w:space="0" w:color="auto"/>
              <w:bottom w:val="single" w:sz="4" w:space="0" w:color="auto"/>
              <w:right w:val="single" w:sz="4" w:space="0" w:color="auto"/>
            </w:tcBorders>
            <w:noWrap/>
            <w:textDirection w:val="lrTb"/>
            <w:vAlign w:val="center"/>
            <w:hideMark/>
          </w:tcPr>
          <w:p w:rsidR="000B4441" w:rsidRPr="00EB56E3" w:rsidP="00F576BD">
            <w:pPr>
              <w:bidi w:val="0"/>
              <w:rPr>
                <w:rFonts w:ascii="Times New Roman" w:hAnsi="Times New Roman" w:cs="Times New Roman"/>
                <w:sz w:val="14"/>
                <w:szCs w:val="14"/>
                <w:lang w:eastAsia="sk-SK"/>
              </w:rPr>
            </w:pPr>
            <w:r w:rsidRPr="00EB56E3">
              <w:rPr>
                <w:rFonts w:ascii="Times New Roman" w:hAnsi="Times New Roman" w:cs="Times New Roman"/>
                <w:sz w:val="14"/>
                <w:szCs w:val="14"/>
                <w:lang w:eastAsia="sk-SK"/>
              </w:rPr>
              <w:t>Akruálny princíp</w:t>
            </w:r>
          </w:p>
        </w:tc>
        <w:tc>
          <w:tcPr>
            <w:tcW w:w="820" w:type="dxa"/>
            <w:tcBorders>
              <w:top w:val="nil"/>
              <w:left w:val="nil"/>
              <w:bottom w:val="single" w:sz="4"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7 680 191</w:t>
            </w:r>
          </w:p>
        </w:tc>
        <w:tc>
          <w:tcPr>
            <w:tcW w:w="820" w:type="dxa"/>
            <w:tcBorders>
              <w:top w:val="nil"/>
              <w:left w:val="nil"/>
              <w:bottom w:val="single" w:sz="4"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8 217 116</w:t>
            </w:r>
          </w:p>
        </w:tc>
        <w:tc>
          <w:tcPr>
            <w:tcW w:w="820" w:type="dxa"/>
            <w:tcBorders>
              <w:top w:val="nil"/>
              <w:left w:val="nil"/>
              <w:bottom w:val="single" w:sz="4"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8 993 593</w:t>
            </w:r>
          </w:p>
        </w:tc>
        <w:tc>
          <w:tcPr>
            <w:tcW w:w="820" w:type="dxa"/>
            <w:tcBorders>
              <w:top w:val="nil"/>
              <w:left w:val="nil"/>
              <w:bottom w:val="single" w:sz="4"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8 976 371</w:t>
            </w:r>
          </w:p>
        </w:tc>
        <w:tc>
          <w:tcPr>
            <w:tcW w:w="820" w:type="dxa"/>
            <w:tcBorders>
              <w:top w:val="nil"/>
              <w:left w:val="nil"/>
              <w:bottom w:val="single" w:sz="4"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11 304 595</w:t>
            </w:r>
          </w:p>
        </w:tc>
        <w:tc>
          <w:tcPr>
            <w:tcW w:w="820" w:type="dxa"/>
            <w:tcBorders>
              <w:top w:val="nil"/>
              <w:left w:val="nil"/>
              <w:bottom w:val="single" w:sz="4"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11 959 155</w:t>
            </w:r>
          </w:p>
        </w:tc>
        <w:tc>
          <w:tcPr>
            <w:tcW w:w="820" w:type="dxa"/>
            <w:tcBorders>
              <w:top w:val="nil"/>
              <w:left w:val="nil"/>
              <w:bottom w:val="single" w:sz="4" w:space="0" w:color="auto"/>
              <w:right w:val="single" w:sz="8"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12 761 131</w:t>
            </w:r>
          </w:p>
        </w:tc>
      </w:tr>
      <w:tr>
        <w:tblPrEx>
          <w:tblW w:w="9106" w:type="dxa"/>
          <w:jc w:val="center"/>
          <w:tblInd w:w="549" w:type="dxa"/>
          <w:tblCellMar>
            <w:left w:w="70" w:type="dxa"/>
            <w:right w:w="70" w:type="dxa"/>
          </w:tblCellMar>
          <w:tblLook w:val="04A0"/>
        </w:tblPrEx>
        <w:trPr>
          <w:trHeight w:val="255"/>
          <w:jc w:val="center"/>
        </w:trPr>
        <w:tc>
          <w:tcPr>
            <w:tcW w:w="3366" w:type="dxa"/>
            <w:tcBorders>
              <w:top w:val="nil"/>
              <w:left w:val="single" w:sz="8" w:space="0" w:color="auto"/>
              <w:bottom w:val="single" w:sz="4" w:space="0" w:color="auto"/>
              <w:right w:val="single" w:sz="4" w:space="0" w:color="auto"/>
            </w:tcBorders>
            <w:noWrap/>
            <w:textDirection w:val="lrTb"/>
            <w:vAlign w:val="center"/>
            <w:hideMark/>
          </w:tcPr>
          <w:p w:rsidR="000B4441" w:rsidRPr="00EB56E3" w:rsidP="00F576BD">
            <w:pPr>
              <w:bidi w:val="0"/>
              <w:rPr>
                <w:rFonts w:ascii="Times New Roman" w:hAnsi="Times New Roman" w:cs="Times New Roman"/>
                <w:sz w:val="14"/>
                <w:szCs w:val="14"/>
                <w:lang w:eastAsia="sk-SK"/>
              </w:rPr>
            </w:pPr>
            <w:r w:rsidRPr="00EB56E3">
              <w:rPr>
                <w:rFonts w:ascii="Times New Roman" w:hAnsi="Times New Roman" w:cs="Times New Roman"/>
                <w:sz w:val="14"/>
                <w:szCs w:val="14"/>
                <w:lang w:eastAsia="sk-SK"/>
              </w:rPr>
              <w:t>Hotovostný princíp</w:t>
            </w:r>
          </w:p>
        </w:tc>
        <w:tc>
          <w:tcPr>
            <w:tcW w:w="820" w:type="dxa"/>
            <w:tcBorders>
              <w:top w:val="nil"/>
              <w:left w:val="nil"/>
              <w:bottom w:val="single" w:sz="4"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8 024 303</w:t>
            </w:r>
          </w:p>
        </w:tc>
        <w:tc>
          <w:tcPr>
            <w:tcW w:w="820" w:type="dxa"/>
            <w:tcBorders>
              <w:top w:val="nil"/>
              <w:left w:val="nil"/>
              <w:bottom w:val="single" w:sz="4"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7 962 242</w:t>
            </w:r>
          </w:p>
        </w:tc>
        <w:tc>
          <w:tcPr>
            <w:tcW w:w="820" w:type="dxa"/>
            <w:tcBorders>
              <w:top w:val="nil"/>
              <w:left w:val="nil"/>
              <w:bottom w:val="single" w:sz="4"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8 786 829</w:t>
            </w:r>
          </w:p>
        </w:tc>
        <w:tc>
          <w:tcPr>
            <w:tcW w:w="820" w:type="dxa"/>
            <w:tcBorders>
              <w:top w:val="nil"/>
              <w:left w:val="nil"/>
              <w:bottom w:val="single" w:sz="4"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8 791 125</w:t>
            </w:r>
          </w:p>
        </w:tc>
        <w:tc>
          <w:tcPr>
            <w:tcW w:w="820" w:type="dxa"/>
            <w:tcBorders>
              <w:top w:val="nil"/>
              <w:left w:val="nil"/>
              <w:bottom w:val="single" w:sz="4"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11 063 781</w:t>
            </w:r>
          </w:p>
        </w:tc>
        <w:tc>
          <w:tcPr>
            <w:tcW w:w="820" w:type="dxa"/>
            <w:tcBorders>
              <w:top w:val="nil"/>
              <w:left w:val="nil"/>
              <w:bottom w:val="single" w:sz="4"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12 097 550</w:t>
            </w:r>
          </w:p>
        </w:tc>
        <w:tc>
          <w:tcPr>
            <w:tcW w:w="820" w:type="dxa"/>
            <w:tcBorders>
              <w:top w:val="nil"/>
              <w:left w:val="nil"/>
              <w:bottom w:val="single" w:sz="4" w:space="0" w:color="auto"/>
              <w:right w:val="single" w:sz="8"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12 715 448</w:t>
            </w:r>
          </w:p>
        </w:tc>
      </w:tr>
      <w:tr>
        <w:tblPrEx>
          <w:tblW w:w="9106" w:type="dxa"/>
          <w:jc w:val="center"/>
          <w:tblInd w:w="549" w:type="dxa"/>
          <w:tblCellMar>
            <w:left w:w="70" w:type="dxa"/>
            <w:right w:w="70" w:type="dxa"/>
          </w:tblCellMar>
          <w:tblLook w:val="04A0"/>
        </w:tblPrEx>
        <w:trPr>
          <w:trHeight w:val="255"/>
          <w:jc w:val="center"/>
        </w:trPr>
        <w:tc>
          <w:tcPr>
            <w:tcW w:w="3366" w:type="dxa"/>
            <w:tcBorders>
              <w:top w:val="nil"/>
              <w:left w:val="single" w:sz="8" w:space="0" w:color="auto"/>
              <w:bottom w:val="single" w:sz="4" w:space="0" w:color="auto"/>
              <w:right w:val="single" w:sz="4" w:space="0" w:color="auto"/>
            </w:tcBorders>
            <w:noWrap/>
            <w:textDirection w:val="lrTb"/>
            <w:vAlign w:val="center"/>
            <w:hideMark/>
          </w:tcPr>
          <w:p w:rsidR="000B4441" w:rsidRPr="00EB56E3" w:rsidP="00F576BD">
            <w:pPr>
              <w:bidi w:val="0"/>
              <w:rPr>
                <w:rFonts w:ascii="Times New Roman" w:hAnsi="Times New Roman" w:cs="Times New Roman"/>
                <w:sz w:val="14"/>
                <w:szCs w:val="14"/>
                <w:lang w:eastAsia="sk-SK"/>
              </w:rPr>
            </w:pPr>
            <w:r w:rsidRPr="00EB56E3">
              <w:rPr>
                <w:rFonts w:ascii="Times New Roman" w:hAnsi="Times New Roman" w:cs="Times New Roman"/>
                <w:sz w:val="14"/>
                <w:szCs w:val="14"/>
                <w:lang w:eastAsia="sk-SK"/>
              </w:rPr>
              <w:t>Výdavky na verejnoprospešný účel</w:t>
            </w:r>
          </w:p>
        </w:tc>
        <w:tc>
          <w:tcPr>
            <w:tcW w:w="820" w:type="dxa"/>
            <w:tcBorders>
              <w:top w:val="nil"/>
              <w:left w:val="nil"/>
              <w:bottom w:val="single" w:sz="4"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55 180</w:t>
            </w:r>
          </w:p>
        </w:tc>
        <w:tc>
          <w:tcPr>
            <w:tcW w:w="820" w:type="dxa"/>
            <w:tcBorders>
              <w:top w:val="nil"/>
              <w:left w:val="nil"/>
              <w:bottom w:val="single" w:sz="4"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44 145</w:t>
            </w:r>
          </w:p>
        </w:tc>
        <w:tc>
          <w:tcPr>
            <w:tcW w:w="820" w:type="dxa"/>
            <w:tcBorders>
              <w:top w:val="nil"/>
              <w:left w:val="nil"/>
              <w:bottom w:val="single" w:sz="4"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32 419</w:t>
            </w:r>
          </w:p>
        </w:tc>
        <w:tc>
          <w:tcPr>
            <w:tcW w:w="820" w:type="dxa"/>
            <w:tcBorders>
              <w:top w:val="nil"/>
              <w:left w:val="nil"/>
              <w:bottom w:val="single" w:sz="4"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40 059</w:t>
            </w:r>
          </w:p>
        </w:tc>
        <w:tc>
          <w:tcPr>
            <w:tcW w:w="820" w:type="dxa"/>
            <w:tcBorders>
              <w:top w:val="nil"/>
              <w:left w:val="nil"/>
              <w:bottom w:val="single" w:sz="4"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40 801</w:t>
            </w:r>
          </w:p>
        </w:tc>
        <w:tc>
          <w:tcPr>
            <w:tcW w:w="820" w:type="dxa"/>
            <w:tcBorders>
              <w:top w:val="nil"/>
              <w:left w:val="nil"/>
              <w:bottom w:val="single" w:sz="4"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38 811</w:t>
            </w:r>
          </w:p>
        </w:tc>
        <w:tc>
          <w:tcPr>
            <w:tcW w:w="820" w:type="dxa"/>
            <w:tcBorders>
              <w:top w:val="nil"/>
              <w:left w:val="nil"/>
              <w:bottom w:val="single" w:sz="4" w:space="0" w:color="auto"/>
              <w:right w:val="single" w:sz="8" w:space="0" w:color="auto"/>
            </w:tcBorders>
            <w:noWrap/>
            <w:textDirection w:val="lrTb"/>
            <w:vAlign w:val="center"/>
            <w:hideMark/>
          </w:tcPr>
          <w:p w:rsidR="000B4441" w:rsidRPr="00EB56E3" w:rsidP="00F576BD">
            <w:pPr>
              <w:bidi w:val="0"/>
              <w:jc w:val="right"/>
              <w:rPr>
                <w:rFonts w:ascii="Times New Roman" w:hAnsi="Times New Roman" w:cs="Times New Roman"/>
                <w:sz w:val="14"/>
                <w:szCs w:val="14"/>
                <w:lang w:eastAsia="sk-SK"/>
              </w:rPr>
            </w:pPr>
            <w:r w:rsidRPr="00EB56E3">
              <w:rPr>
                <w:rFonts w:ascii="Times New Roman" w:hAnsi="Times New Roman" w:cs="Times New Roman"/>
                <w:sz w:val="14"/>
                <w:szCs w:val="14"/>
                <w:lang w:eastAsia="sk-SK"/>
              </w:rPr>
              <w:t>42 392</w:t>
            </w:r>
          </w:p>
        </w:tc>
      </w:tr>
      <w:tr>
        <w:tblPrEx>
          <w:tblW w:w="9106" w:type="dxa"/>
          <w:jc w:val="center"/>
          <w:tblInd w:w="549" w:type="dxa"/>
          <w:tblCellMar>
            <w:left w:w="70" w:type="dxa"/>
            <w:right w:w="70" w:type="dxa"/>
          </w:tblCellMar>
          <w:tblLook w:val="04A0"/>
        </w:tblPrEx>
        <w:trPr>
          <w:trHeight w:val="270"/>
          <w:jc w:val="center"/>
        </w:trPr>
        <w:tc>
          <w:tcPr>
            <w:tcW w:w="3366" w:type="dxa"/>
            <w:tcBorders>
              <w:top w:val="nil"/>
              <w:left w:val="single" w:sz="8" w:space="0" w:color="auto"/>
              <w:bottom w:val="single" w:sz="8" w:space="0" w:color="auto"/>
              <w:right w:val="single" w:sz="4" w:space="0" w:color="auto"/>
            </w:tcBorders>
            <w:noWrap/>
            <w:textDirection w:val="lrTb"/>
            <w:vAlign w:val="center"/>
            <w:hideMark/>
          </w:tcPr>
          <w:p w:rsidR="000B4441" w:rsidRPr="00EB56E3" w:rsidP="00F576BD">
            <w:pPr>
              <w:bidi w:val="0"/>
              <w:rPr>
                <w:rFonts w:ascii="Times New Roman" w:hAnsi="Times New Roman" w:cs="Times New Roman"/>
                <w:b/>
                <w:bCs/>
                <w:sz w:val="14"/>
                <w:szCs w:val="14"/>
                <w:lang w:eastAsia="sk-SK"/>
              </w:rPr>
            </w:pPr>
            <w:r w:rsidRPr="00EB56E3">
              <w:rPr>
                <w:rFonts w:ascii="Times New Roman" w:hAnsi="Times New Roman" w:cs="Times New Roman"/>
                <w:b/>
                <w:bCs/>
                <w:sz w:val="14"/>
                <w:szCs w:val="14"/>
                <w:lang w:eastAsia="sk-SK"/>
              </w:rPr>
              <w:t>Rozdiel</w:t>
            </w:r>
          </w:p>
        </w:tc>
        <w:tc>
          <w:tcPr>
            <w:tcW w:w="820" w:type="dxa"/>
            <w:tcBorders>
              <w:top w:val="nil"/>
              <w:left w:val="nil"/>
              <w:bottom w:val="single" w:sz="8"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b/>
                <w:bCs/>
                <w:sz w:val="14"/>
                <w:szCs w:val="14"/>
                <w:lang w:eastAsia="sk-SK"/>
              </w:rPr>
            </w:pPr>
            <w:r w:rsidRPr="00EB56E3">
              <w:rPr>
                <w:rFonts w:ascii="Times New Roman" w:hAnsi="Times New Roman" w:cs="Times New Roman"/>
                <w:b/>
                <w:bCs/>
                <w:sz w:val="14"/>
                <w:szCs w:val="14"/>
                <w:lang w:eastAsia="sk-SK"/>
              </w:rPr>
              <w:t>-399 292</w:t>
            </w:r>
          </w:p>
        </w:tc>
        <w:tc>
          <w:tcPr>
            <w:tcW w:w="820" w:type="dxa"/>
            <w:tcBorders>
              <w:top w:val="nil"/>
              <w:left w:val="nil"/>
              <w:bottom w:val="single" w:sz="8"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b/>
                <w:bCs/>
                <w:sz w:val="14"/>
                <w:szCs w:val="14"/>
                <w:lang w:eastAsia="sk-SK"/>
              </w:rPr>
            </w:pPr>
            <w:r w:rsidRPr="00EB56E3">
              <w:rPr>
                <w:rFonts w:ascii="Times New Roman" w:hAnsi="Times New Roman" w:cs="Times New Roman"/>
                <w:b/>
                <w:bCs/>
                <w:sz w:val="14"/>
                <w:szCs w:val="14"/>
                <w:lang w:eastAsia="sk-SK"/>
              </w:rPr>
              <w:t>210 729</w:t>
            </w:r>
          </w:p>
        </w:tc>
        <w:tc>
          <w:tcPr>
            <w:tcW w:w="820" w:type="dxa"/>
            <w:tcBorders>
              <w:top w:val="nil"/>
              <w:left w:val="nil"/>
              <w:bottom w:val="single" w:sz="8"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b/>
                <w:bCs/>
                <w:sz w:val="14"/>
                <w:szCs w:val="14"/>
                <w:lang w:eastAsia="sk-SK"/>
              </w:rPr>
            </w:pPr>
            <w:r w:rsidRPr="00EB56E3">
              <w:rPr>
                <w:rFonts w:ascii="Times New Roman" w:hAnsi="Times New Roman" w:cs="Times New Roman"/>
                <w:b/>
                <w:bCs/>
                <w:sz w:val="14"/>
                <w:szCs w:val="14"/>
                <w:lang w:eastAsia="sk-SK"/>
              </w:rPr>
              <w:t>174 345</w:t>
            </w:r>
          </w:p>
        </w:tc>
        <w:tc>
          <w:tcPr>
            <w:tcW w:w="820" w:type="dxa"/>
            <w:tcBorders>
              <w:top w:val="nil"/>
              <w:left w:val="nil"/>
              <w:bottom w:val="single" w:sz="8"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b/>
                <w:bCs/>
                <w:sz w:val="14"/>
                <w:szCs w:val="14"/>
                <w:lang w:eastAsia="sk-SK"/>
              </w:rPr>
            </w:pPr>
            <w:r w:rsidRPr="00EB56E3">
              <w:rPr>
                <w:rFonts w:ascii="Times New Roman" w:hAnsi="Times New Roman" w:cs="Times New Roman"/>
                <w:b/>
                <w:bCs/>
                <w:sz w:val="14"/>
                <w:szCs w:val="14"/>
                <w:lang w:eastAsia="sk-SK"/>
              </w:rPr>
              <w:t>145 187</w:t>
            </w:r>
          </w:p>
        </w:tc>
        <w:tc>
          <w:tcPr>
            <w:tcW w:w="820" w:type="dxa"/>
            <w:tcBorders>
              <w:top w:val="nil"/>
              <w:left w:val="nil"/>
              <w:bottom w:val="single" w:sz="8"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b/>
                <w:bCs/>
                <w:sz w:val="14"/>
                <w:szCs w:val="14"/>
                <w:lang w:eastAsia="sk-SK"/>
              </w:rPr>
            </w:pPr>
            <w:r w:rsidRPr="00EB56E3">
              <w:rPr>
                <w:rFonts w:ascii="Times New Roman" w:hAnsi="Times New Roman" w:cs="Times New Roman"/>
                <w:b/>
                <w:bCs/>
                <w:sz w:val="14"/>
                <w:szCs w:val="14"/>
                <w:lang w:eastAsia="sk-SK"/>
              </w:rPr>
              <w:t>200 013</w:t>
            </w:r>
          </w:p>
        </w:tc>
        <w:tc>
          <w:tcPr>
            <w:tcW w:w="820" w:type="dxa"/>
            <w:tcBorders>
              <w:top w:val="nil"/>
              <w:left w:val="nil"/>
              <w:bottom w:val="single" w:sz="8" w:space="0" w:color="auto"/>
              <w:right w:val="single" w:sz="4" w:space="0" w:color="auto"/>
            </w:tcBorders>
            <w:noWrap/>
            <w:textDirection w:val="lrTb"/>
            <w:vAlign w:val="center"/>
            <w:hideMark/>
          </w:tcPr>
          <w:p w:rsidR="000B4441" w:rsidRPr="00EB56E3" w:rsidP="00F576BD">
            <w:pPr>
              <w:bidi w:val="0"/>
              <w:jc w:val="right"/>
              <w:rPr>
                <w:rFonts w:ascii="Times New Roman" w:hAnsi="Times New Roman" w:cs="Times New Roman"/>
                <w:b/>
                <w:bCs/>
                <w:sz w:val="14"/>
                <w:szCs w:val="14"/>
                <w:lang w:eastAsia="sk-SK"/>
              </w:rPr>
            </w:pPr>
            <w:r w:rsidRPr="00EB56E3">
              <w:rPr>
                <w:rFonts w:ascii="Times New Roman" w:hAnsi="Times New Roman" w:cs="Times New Roman"/>
                <w:b/>
                <w:bCs/>
                <w:sz w:val="14"/>
                <w:szCs w:val="14"/>
                <w:lang w:eastAsia="sk-SK"/>
              </w:rPr>
              <w:t>-177 206</w:t>
            </w:r>
          </w:p>
        </w:tc>
        <w:tc>
          <w:tcPr>
            <w:tcW w:w="820" w:type="dxa"/>
            <w:tcBorders>
              <w:top w:val="nil"/>
              <w:left w:val="nil"/>
              <w:bottom w:val="single" w:sz="8" w:space="0" w:color="auto"/>
              <w:right w:val="single" w:sz="8" w:space="0" w:color="auto"/>
            </w:tcBorders>
            <w:noWrap/>
            <w:textDirection w:val="lrTb"/>
            <w:vAlign w:val="center"/>
            <w:hideMark/>
          </w:tcPr>
          <w:p w:rsidR="000B4441" w:rsidRPr="00EB56E3" w:rsidP="00F576BD">
            <w:pPr>
              <w:bidi w:val="0"/>
              <w:jc w:val="right"/>
              <w:rPr>
                <w:rFonts w:ascii="Times New Roman" w:hAnsi="Times New Roman" w:cs="Times New Roman"/>
                <w:b/>
                <w:bCs/>
                <w:sz w:val="14"/>
                <w:szCs w:val="14"/>
                <w:lang w:eastAsia="sk-SK"/>
              </w:rPr>
            </w:pPr>
            <w:r w:rsidRPr="00EB56E3">
              <w:rPr>
                <w:rFonts w:ascii="Times New Roman" w:hAnsi="Times New Roman" w:cs="Times New Roman"/>
                <w:b/>
                <w:bCs/>
                <w:sz w:val="14"/>
                <w:szCs w:val="14"/>
                <w:lang w:eastAsia="sk-SK"/>
              </w:rPr>
              <w:t>3 291</w:t>
            </w:r>
          </w:p>
        </w:tc>
      </w:tr>
      <w:tr>
        <w:tblPrEx>
          <w:tblW w:w="9106" w:type="dxa"/>
          <w:jc w:val="center"/>
          <w:tblInd w:w="549" w:type="dxa"/>
          <w:tblCellMar>
            <w:left w:w="70" w:type="dxa"/>
            <w:right w:w="70" w:type="dxa"/>
          </w:tblCellMar>
          <w:tblLook w:val="04A0"/>
        </w:tblPrEx>
        <w:trPr>
          <w:trHeight w:val="255"/>
          <w:jc w:val="center"/>
        </w:trPr>
        <w:tc>
          <w:tcPr>
            <w:tcW w:w="9106" w:type="dxa"/>
            <w:gridSpan w:val="8"/>
            <w:tcBorders>
              <w:top w:val="single" w:sz="8" w:space="0" w:color="auto"/>
              <w:left w:val="nil"/>
              <w:bottom w:val="nil"/>
              <w:right w:val="nil"/>
            </w:tcBorders>
            <w:textDirection w:val="lrTb"/>
            <w:vAlign w:val="center"/>
            <w:hideMark/>
          </w:tcPr>
          <w:p w:rsidR="000B4441" w:rsidRPr="00EB56E3" w:rsidP="00F576BD">
            <w:pPr>
              <w:bidi w:val="0"/>
              <w:rPr>
                <w:rFonts w:ascii="Times New Roman" w:hAnsi="Times New Roman" w:cs="Times New Roman"/>
                <w:i/>
                <w:iCs/>
                <w:sz w:val="14"/>
                <w:szCs w:val="14"/>
                <w:lang w:eastAsia="sk-SK"/>
              </w:rPr>
            </w:pPr>
            <w:r w:rsidRPr="00EB56E3">
              <w:rPr>
                <w:rFonts w:ascii="Times New Roman" w:hAnsi="Times New Roman" w:cs="Times New Roman"/>
                <w:i/>
                <w:iCs/>
                <w:sz w:val="14"/>
                <w:szCs w:val="14"/>
                <w:lang w:eastAsia="sk-SK"/>
              </w:rPr>
              <w:t>Poznámka : Z hľadiska konzistentnosti materiálu sú údaje na akruálnom aj hotovostnom princípe uvedené vrátane sankcií.</w:t>
            </w:r>
          </w:p>
        </w:tc>
      </w:tr>
    </w:tbl>
    <w:p w:rsidR="000B4441" w:rsidRPr="00957F25" w:rsidP="000B4441">
      <w:pPr>
        <w:bidi w:val="0"/>
        <w:jc w:val="both"/>
        <w:rPr>
          <w:rFonts w:ascii="Times New Roman" w:hAnsi="Times New Roman" w:cs="Times New Roman"/>
          <w:sz w:val="16"/>
          <w:szCs w:val="16"/>
        </w:rPr>
      </w:pPr>
    </w:p>
    <w:p w:rsidR="000B4441" w:rsidP="000B4441">
      <w:pPr>
        <w:bidi w:val="0"/>
        <w:jc w:val="both"/>
        <w:rPr>
          <w:rFonts w:ascii="Times New Roman" w:hAnsi="Times New Roman" w:cs="Times New Roman"/>
        </w:rPr>
      </w:pPr>
      <w:r>
        <w:rPr>
          <w:rFonts w:ascii="Times New Roman" w:hAnsi="Times New Roman" w:cs="Times New Roman"/>
        </w:rPr>
        <w:t>7</w:t>
      </w:r>
      <w:r w:rsidRPr="00957F25">
        <w:rPr>
          <w:rFonts w:ascii="Times New Roman" w:hAnsi="Times New Roman" w:cs="Times New Roman"/>
        </w:rPr>
        <w:t>.4.</w:t>
        <w:tab/>
        <w:t>V prípade zdravotníckych zariadení sa predpokladá, že až do ukončenia procesu ich oddlženia, budú tieto vytvárať straty v ich hospodárení, čo predstavuje negatívny dopad na schodok rozpočtu verejnej správy v metodike ESA 95.</w:t>
      </w:r>
    </w:p>
    <w:p w:rsidR="000B4441" w:rsidRPr="00085D05" w:rsidP="000B4441">
      <w:pPr>
        <w:bidi w:val="0"/>
        <w:jc w:val="both"/>
        <w:rPr>
          <w:rFonts w:ascii="Times New Roman" w:hAnsi="Times New Roman" w:cs="Times New Roman"/>
          <w:sz w:val="16"/>
          <w:szCs w:val="16"/>
        </w:rPr>
      </w:pPr>
    </w:p>
    <w:p w:rsidR="000B4441" w:rsidRPr="00957F25" w:rsidP="000B4441">
      <w:pPr>
        <w:bidi w:val="0"/>
        <w:jc w:val="both"/>
        <w:rPr>
          <w:rFonts w:ascii="Times New Roman" w:hAnsi="Times New Roman" w:cs="Times New Roman"/>
        </w:rPr>
      </w:pPr>
      <w:r>
        <w:rPr>
          <w:rFonts w:ascii="Times New Roman" w:hAnsi="Times New Roman" w:cs="Times New Roman"/>
        </w:rPr>
        <w:t>7</w:t>
      </w:r>
      <w:r w:rsidRPr="00957F25">
        <w:rPr>
          <w:rFonts w:ascii="Times New Roman" w:hAnsi="Times New Roman" w:cs="Times New Roman"/>
        </w:rPr>
        <w:t>.5.</w:t>
        <w:tab/>
        <w:t>V zmysle metodiky ESA 95 nemajú mať prostriedky z rozpočtu EÚ vplyv na schodok rozpočtu verejnej správy, preto dochádza k neutralizácii vplyvu rozdielu skutočného plnenia príjmov a čerpania výdavkov štátneho rozpočtu predstavujúcich prostriedky z rozpočtu EÚ.</w:t>
      </w:r>
    </w:p>
    <w:p w:rsidR="000B4441" w:rsidRPr="00957F25" w:rsidP="000B4441">
      <w:pPr>
        <w:bidi w:val="0"/>
        <w:jc w:val="both"/>
        <w:rPr>
          <w:rFonts w:ascii="Times New Roman" w:hAnsi="Times New Roman" w:cs="Times New Roman"/>
          <w:sz w:val="16"/>
          <w:szCs w:val="16"/>
        </w:rPr>
      </w:pPr>
    </w:p>
    <w:p w:rsidR="000B4441" w:rsidRPr="00957F25" w:rsidP="000B4441">
      <w:pPr>
        <w:bidi w:val="0"/>
        <w:jc w:val="both"/>
        <w:rPr>
          <w:rFonts w:ascii="Times New Roman" w:hAnsi="Times New Roman" w:cs="Times New Roman"/>
        </w:rPr>
      </w:pPr>
      <w:r>
        <w:rPr>
          <w:rFonts w:ascii="Times New Roman" w:hAnsi="Times New Roman" w:cs="Times New Roman"/>
        </w:rPr>
        <w:t>7</w:t>
      </w:r>
      <w:r w:rsidRPr="00957F25">
        <w:rPr>
          <w:rFonts w:ascii="Times New Roman" w:hAnsi="Times New Roman" w:cs="Times New Roman"/>
        </w:rPr>
        <w:t>.6.</w:t>
        <w:tab/>
        <w:t>Schodok štátneho rozpočtu je taktiež ovplyvnený medziročnou zmenou stavu na mimorozpočtových účtoch. V rámci rozpočtového rámca 2012 až 2014 sa nepredpokladá medziročná zmena stavu na mimorozpočtových účtoch.</w:t>
      </w:r>
    </w:p>
    <w:p w:rsidR="000B4441" w:rsidRPr="00957F25" w:rsidP="000B4441">
      <w:pPr>
        <w:bidi w:val="0"/>
        <w:jc w:val="both"/>
        <w:rPr>
          <w:rFonts w:ascii="Times New Roman" w:hAnsi="Times New Roman" w:cs="Times New Roman"/>
          <w:sz w:val="16"/>
          <w:szCs w:val="16"/>
        </w:rPr>
      </w:pPr>
    </w:p>
    <w:p w:rsidR="000B4441" w:rsidRPr="00957F25" w:rsidP="000B4441">
      <w:pPr>
        <w:bidi w:val="0"/>
        <w:ind w:firstLine="709"/>
        <w:jc w:val="both"/>
        <w:rPr>
          <w:rFonts w:ascii="Times New Roman" w:hAnsi="Times New Roman" w:cs="Times New Roman"/>
        </w:rPr>
      </w:pPr>
      <w:r w:rsidRPr="0082560C">
        <w:rPr>
          <w:rFonts w:ascii="Times New Roman" w:hAnsi="Times New Roman" w:cs="Times New Roman"/>
          <w:bCs/>
        </w:rPr>
        <w:t>Schodok štátneho rozpočtu na hotovostnom princípe upravený o modifikujúce faktory predstavuje schodok štátneho rozpočtu v metodike ESA 95</w:t>
      </w:r>
      <w:r w:rsidRPr="00957F25">
        <w:rPr>
          <w:rFonts w:ascii="Times New Roman" w:hAnsi="Times New Roman" w:cs="Times New Roman"/>
        </w:rPr>
        <w:t xml:space="preserve"> a v rokoch 2012 až 2014 sa predpokladá nasledovne.</w:t>
      </w:r>
    </w:p>
    <w:p w:rsidR="000B4441" w:rsidRPr="00957F25" w:rsidP="000B4441">
      <w:pPr>
        <w:bidi w:val="0"/>
        <w:ind w:firstLine="709"/>
        <w:rPr>
          <w:rFonts w:ascii="Times New Roman" w:hAnsi="Times New Roman" w:cs="Times New Roman"/>
          <w:sz w:val="16"/>
          <w:szCs w:val="16"/>
        </w:rPr>
      </w:pPr>
    </w:p>
    <w:tbl>
      <w:tblPr>
        <w:tblStyle w:val="TableNormal"/>
        <w:tblW w:w="9089" w:type="dxa"/>
        <w:jc w:val="center"/>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349"/>
        <w:gridCol w:w="820"/>
        <w:gridCol w:w="820"/>
        <w:gridCol w:w="820"/>
        <w:gridCol w:w="820"/>
        <w:gridCol w:w="820"/>
        <w:gridCol w:w="820"/>
        <w:gridCol w:w="820"/>
      </w:tblGrid>
      <w:tr>
        <w:tblPrEx>
          <w:tblW w:w="9089" w:type="dxa"/>
          <w:jc w:val="center"/>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70"/>
          <w:jc w:val="center"/>
        </w:trPr>
        <w:tc>
          <w:tcPr>
            <w:tcW w:w="3349" w:type="dxa"/>
            <w:tcBorders>
              <w:top w:val="single" w:sz="4" w:space="0" w:color="auto"/>
              <w:left w:val="single" w:sz="4" w:space="0" w:color="auto"/>
              <w:bottom w:val="single" w:sz="4" w:space="0" w:color="auto"/>
              <w:right w:val="single" w:sz="4" w:space="0" w:color="auto"/>
            </w:tcBorders>
            <w:noWrap/>
            <w:textDirection w:val="lrTb"/>
            <w:vAlign w:val="top"/>
            <w:hideMark/>
          </w:tcPr>
          <w:p w:rsidR="000B4441" w:rsidRPr="009A01CE" w:rsidP="00F576BD">
            <w:pPr>
              <w:bidi w:val="0"/>
              <w:rPr>
                <w:rFonts w:ascii="Times New Roman" w:hAnsi="Times New Roman" w:cs="Times New Roman"/>
                <w:sz w:val="14"/>
                <w:szCs w:val="14"/>
                <w:lang w:eastAsia="sk-SK"/>
              </w:rPr>
            </w:pPr>
            <w:r w:rsidRPr="009A01CE">
              <w:rPr>
                <w:rFonts w:ascii="Times New Roman" w:hAnsi="Times New Roman" w:cs="Times New Roman"/>
                <w:sz w:val="14"/>
                <w:szCs w:val="14"/>
                <w:lang w:eastAsia="sk-SK"/>
              </w:rPr>
              <w:t>(v tis. eur)</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9A01CE" w:rsidP="00F576BD">
            <w:pPr>
              <w:bidi w:val="0"/>
              <w:jc w:val="center"/>
              <w:rPr>
                <w:rFonts w:ascii="Times New Roman" w:hAnsi="Times New Roman" w:cs="Times New Roman"/>
                <w:b/>
                <w:bCs/>
                <w:sz w:val="14"/>
                <w:szCs w:val="14"/>
                <w:lang w:eastAsia="sk-SK"/>
              </w:rPr>
            </w:pPr>
            <w:r w:rsidRPr="009A01CE">
              <w:rPr>
                <w:rFonts w:ascii="Times New Roman" w:hAnsi="Times New Roman" w:cs="Times New Roman"/>
                <w:b/>
                <w:bCs/>
                <w:sz w:val="14"/>
                <w:szCs w:val="14"/>
                <w:lang w:eastAsia="sk-SK"/>
              </w:rPr>
              <w:t>2009 S</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9A01CE" w:rsidP="00F576BD">
            <w:pPr>
              <w:bidi w:val="0"/>
              <w:jc w:val="center"/>
              <w:rPr>
                <w:rFonts w:ascii="Times New Roman" w:hAnsi="Times New Roman" w:cs="Times New Roman"/>
                <w:b/>
                <w:bCs/>
                <w:sz w:val="14"/>
                <w:szCs w:val="14"/>
                <w:lang w:eastAsia="sk-SK"/>
              </w:rPr>
            </w:pPr>
            <w:r w:rsidRPr="009A01CE">
              <w:rPr>
                <w:rFonts w:ascii="Times New Roman" w:hAnsi="Times New Roman" w:cs="Times New Roman"/>
                <w:b/>
                <w:bCs/>
                <w:sz w:val="14"/>
                <w:szCs w:val="14"/>
                <w:lang w:eastAsia="sk-SK"/>
              </w:rPr>
              <w:t>2010 S</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9A01CE" w:rsidP="00F576BD">
            <w:pPr>
              <w:bidi w:val="0"/>
              <w:jc w:val="center"/>
              <w:rPr>
                <w:rFonts w:ascii="Times New Roman" w:hAnsi="Times New Roman" w:cs="Times New Roman"/>
                <w:b/>
                <w:bCs/>
                <w:sz w:val="14"/>
                <w:szCs w:val="14"/>
                <w:lang w:eastAsia="sk-SK"/>
              </w:rPr>
            </w:pPr>
            <w:r w:rsidRPr="009A01CE">
              <w:rPr>
                <w:rFonts w:ascii="Times New Roman" w:hAnsi="Times New Roman" w:cs="Times New Roman"/>
                <w:b/>
                <w:bCs/>
                <w:sz w:val="14"/>
                <w:szCs w:val="14"/>
                <w:lang w:eastAsia="sk-SK"/>
              </w:rPr>
              <w:t>2011 R</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9A01CE" w:rsidP="00F576BD">
            <w:pPr>
              <w:bidi w:val="0"/>
              <w:jc w:val="center"/>
              <w:rPr>
                <w:rFonts w:ascii="Times New Roman" w:hAnsi="Times New Roman" w:cs="Times New Roman"/>
                <w:b/>
                <w:bCs/>
                <w:sz w:val="14"/>
                <w:szCs w:val="14"/>
                <w:lang w:eastAsia="sk-SK"/>
              </w:rPr>
            </w:pPr>
            <w:r w:rsidRPr="009A01CE">
              <w:rPr>
                <w:rFonts w:ascii="Times New Roman" w:hAnsi="Times New Roman" w:cs="Times New Roman"/>
                <w:b/>
                <w:bCs/>
                <w:sz w:val="14"/>
                <w:szCs w:val="14"/>
                <w:lang w:eastAsia="sk-SK"/>
              </w:rPr>
              <w:t>2011 OS</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9A01CE" w:rsidP="00F576BD">
            <w:pPr>
              <w:bidi w:val="0"/>
              <w:jc w:val="center"/>
              <w:rPr>
                <w:rFonts w:ascii="Times New Roman" w:hAnsi="Times New Roman" w:cs="Times New Roman"/>
                <w:b/>
                <w:bCs/>
                <w:sz w:val="14"/>
                <w:szCs w:val="14"/>
                <w:lang w:eastAsia="sk-SK"/>
              </w:rPr>
            </w:pPr>
            <w:r w:rsidRPr="009A01CE">
              <w:rPr>
                <w:rFonts w:ascii="Times New Roman" w:hAnsi="Times New Roman" w:cs="Times New Roman"/>
                <w:b/>
                <w:bCs/>
                <w:sz w:val="14"/>
                <w:szCs w:val="14"/>
                <w:lang w:eastAsia="sk-SK"/>
              </w:rPr>
              <w:t>2012 N</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9A01CE" w:rsidP="00F576BD">
            <w:pPr>
              <w:bidi w:val="0"/>
              <w:jc w:val="center"/>
              <w:rPr>
                <w:rFonts w:ascii="Times New Roman" w:hAnsi="Times New Roman" w:cs="Times New Roman"/>
                <w:b/>
                <w:bCs/>
                <w:sz w:val="14"/>
                <w:szCs w:val="14"/>
                <w:lang w:eastAsia="sk-SK"/>
              </w:rPr>
            </w:pPr>
            <w:r w:rsidRPr="009A01CE">
              <w:rPr>
                <w:rFonts w:ascii="Times New Roman" w:hAnsi="Times New Roman" w:cs="Times New Roman"/>
                <w:b/>
                <w:bCs/>
                <w:sz w:val="14"/>
                <w:szCs w:val="14"/>
                <w:lang w:eastAsia="sk-SK"/>
              </w:rPr>
              <w:t>2013 N</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9A01CE" w:rsidP="00F576BD">
            <w:pPr>
              <w:bidi w:val="0"/>
              <w:jc w:val="center"/>
              <w:rPr>
                <w:rFonts w:ascii="Times New Roman" w:hAnsi="Times New Roman" w:cs="Times New Roman"/>
                <w:b/>
                <w:bCs/>
                <w:sz w:val="14"/>
                <w:szCs w:val="14"/>
                <w:lang w:eastAsia="sk-SK"/>
              </w:rPr>
            </w:pPr>
            <w:r w:rsidRPr="009A01CE">
              <w:rPr>
                <w:rFonts w:ascii="Times New Roman" w:hAnsi="Times New Roman" w:cs="Times New Roman"/>
                <w:b/>
                <w:bCs/>
                <w:sz w:val="14"/>
                <w:szCs w:val="14"/>
                <w:lang w:eastAsia="sk-SK"/>
              </w:rPr>
              <w:t>2014 N</w:t>
            </w:r>
          </w:p>
        </w:tc>
      </w:tr>
      <w:tr>
        <w:tblPrEx>
          <w:tblW w:w="9089" w:type="dxa"/>
          <w:jc w:val="center"/>
          <w:tblInd w:w="566" w:type="dxa"/>
          <w:tblCellMar>
            <w:left w:w="70" w:type="dxa"/>
            <w:right w:w="70" w:type="dxa"/>
          </w:tblCellMar>
          <w:tblLook w:val="04A0"/>
        </w:tblPrEx>
        <w:trPr>
          <w:trHeight w:val="255"/>
          <w:jc w:val="center"/>
        </w:trPr>
        <w:tc>
          <w:tcPr>
            <w:tcW w:w="3349"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9A01CE" w:rsidP="00F576BD">
            <w:pPr>
              <w:bidi w:val="0"/>
              <w:rPr>
                <w:rFonts w:ascii="Times New Roman" w:hAnsi="Times New Roman" w:cs="Times New Roman"/>
                <w:b/>
                <w:bCs/>
                <w:sz w:val="14"/>
                <w:szCs w:val="14"/>
                <w:lang w:eastAsia="sk-SK"/>
              </w:rPr>
            </w:pPr>
            <w:r w:rsidRPr="009A01CE">
              <w:rPr>
                <w:rFonts w:ascii="Times New Roman" w:hAnsi="Times New Roman" w:cs="Times New Roman"/>
                <w:b/>
                <w:bCs/>
                <w:sz w:val="14"/>
                <w:szCs w:val="14"/>
                <w:lang w:eastAsia="sk-SK"/>
              </w:rPr>
              <w:t>Schodok ŠR na hotovostnom princípe</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9A01CE" w:rsidP="00F576BD">
            <w:pPr>
              <w:bidi w:val="0"/>
              <w:jc w:val="right"/>
              <w:rPr>
                <w:rFonts w:ascii="Times New Roman" w:hAnsi="Times New Roman" w:cs="Times New Roman"/>
                <w:b/>
                <w:bCs/>
                <w:sz w:val="14"/>
                <w:szCs w:val="14"/>
                <w:lang w:eastAsia="sk-SK"/>
              </w:rPr>
            </w:pPr>
            <w:r w:rsidRPr="009A01CE">
              <w:rPr>
                <w:rFonts w:ascii="Times New Roman" w:hAnsi="Times New Roman" w:cs="Times New Roman"/>
                <w:b/>
                <w:bCs/>
                <w:sz w:val="14"/>
                <w:szCs w:val="14"/>
                <w:lang w:eastAsia="sk-SK"/>
              </w:rPr>
              <w:t>-2 791 251</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9A01CE" w:rsidP="00F576BD">
            <w:pPr>
              <w:bidi w:val="0"/>
              <w:jc w:val="right"/>
              <w:rPr>
                <w:rFonts w:ascii="Times New Roman" w:hAnsi="Times New Roman" w:cs="Times New Roman"/>
                <w:b/>
                <w:bCs/>
                <w:sz w:val="14"/>
                <w:szCs w:val="14"/>
                <w:lang w:eastAsia="sk-SK"/>
              </w:rPr>
            </w:pPr>
            <w:r w:rsidRPr="009A01CE">
              <w:rPr>
                <w:rFonts w:ascii="Times New Roman" w:hAnsi="Times New Roman" w:cs="Times New Roman"/>
                <w:b/>
                <w:bCs/>
                <w:sz w:val="14"/>
                <w:szCs w:val="14"/>
                <w:lang w:eastAsia="sk-SK"/>
              </w:rPr>
              <w:t>-4 436 148</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9A01CE" w:rsidP="00F576BD">
            <w:pPr>
              <w:bidi w:val="0"/>
              <w:jc w:val="right"/>
              <w:rPr>
                <w:rFonts w:ascii="Times New Roman" w:hAnsi="Times New Roman" w:cs="Times New Roman"/>
                <w:b/>
                <w:bCs/>
                <w:sz w:val="14"/>
                <w:szCs w:val="14"/>
                <w:lang w:eastAsia="sk-SK"/>
              </w:rPr>
            </w:pPr>
            <w:r w:rsidRPr="009A01CE">
              <w:rPr>
                <w:rFonts w:ascii="Times New Roman" w:hAnsi="Times New Roman" w:cs="Times New Roman"/>
                <w:b/>
                <w:bCs/>
                <w:sz w:val="14"/>
                <w:szCs w:val="14"/>
                <w:lang w:eastAsia="sk-SK"/>
              </w:rPr>
              <w:t>-3 809 939</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9A01CE" w:rsidP="00F576BD">
            <w:pPr>
              <w:bidi w:val="0"/>
              <w:jc w:val="right"/>
              <w:rPr>
                <w:rFonts w:ascii="Times New Roman" w:hAnsi="Times New Roman" w:cs="Times New Roman"/>
                <w:b/>
                <w:bCs/>
                <w:sz w:val="14"/>
                <w:szCs w:val="14"/>
                <w:lang w:eastAsia="sk-SK"/>
              </w:rPr>
            </w:pPr>
            <w:r w:rsidRPr="009A01CE">
              <w:rPr>
                <w:rFonts w:ascii="Times New Roman" w:hAnsi="Times New Roman" w:cs="Times New Roman"/>
                <w:b/>
                <w:bCs/>
                <w:sz w:val="14"/>
                <w:szCs w:val="14"/>
                <w:lang w:eastAsia="sk-SK"/>
              </w:rPr>
              <w:t>-3 618 254</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9A01CE" w:rsidP="00F576BD">
            <w:pPr>
              <w:bidi w:val="0"/>
              <w:jc w:val="right"/>
              <w:rPr>
                <w:rFonts w:ascii="Times New Roman" w:hAnsi="Times New Roman" w:cs="Times New Roman"/>
                <w:b/>
                <w:bCs/>
                <w:sz w:val="14"/>
                <w:szCs w:val="14"/>
                <w:lang w:eastAsia="sk-SK"/>
              </w:rPr>
            </w:pPr>
            <w:r w:rsidRPr="009A01CE">
              <w:rPr>
                <w:rFonts w:ascii="Times New Roman" w:hAnsi="Times New Roman" w:cs="Times New Roman"/>
                <w:b/>
                <w:bCs/>
                <w:sz w:val="14"/>
                <w:szCs w:val="14"/>
                <w:lang w:eastAsia="sk-SK"/>
              </w:rPr>
              <w:t>-3 320 624</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9A01CE" w:rsidP="00F576BD">
            <w:pPr>
              <w:bidi w:val="0"/>
              <w:jc w:val="right"/>
              <w:rPr>
                <w:rFonts w:ascii="Times New Roman" w:hAnsi="Times New Roman" w:cs="Times New Roman"/>
                <w:b/>
                <w:bCs/>
                <w:sz w:val="14"/>
                <w:szCs w:val="14"/>
                <w:lang w:eastAsia="sk-SK"/>
              </w:rPr>
            </w:pPr>
            <w:r w:rsidRPr="009A01CE">
              <w:rPr>
                <w:rFonts w:ascii="Times New Roman" w:hAnsi="Times New Roman" w:cs="Times New Roman"/>
                <w:b/>
                <w:bCs/>
                <w:sz w:val="14"/>
                <w:szCs w:val="14"/>
                <w:lang w:eastAsia="sk-SK"/>
              </w:rPr>
              <w:t>-2 537 804</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9A01CE" w:rsidP="00F576BD">
            <w:pPr>
              <w:bidi w:val="0"/>
              <w:jc w:val="right"/>
              <w:rPr>
                <w:rFonts w:ascii="Times New Roman" w:hAnsi="Times New Roman" w:cs="Times New Roman"/>
                <w:b/>
                <w:bCs/>
                <w:sz w:val="14"/>
                <w:szCs w:val="14"/>
                <w:lang w:eastAsia="sk-SK"/>
              </w:rPr>
            </w:pPr>
            <w:r w:rsidRPr="009A01CE">
              <w:rPr>
                <w:rFonts w:ascii="Times New Roman" w:hAnsi="Times New Roman" w:cs="Times New Roman"/>
                <w:b/>
                <w:bCs/>
                <w:sz w:val="14"/>
                <w:szCs w:val="14"/>
                <w:lang w:eastAsia="sk-SK"/>
              </w:rPr>
              <w:t>-2 514 154</w:t>
            </w:r>
          </w:p>
        </w:tc>
      </w:tr>
      <w:tr>
        <w:tblPrEx>
          <w:tblW w:w="9089" w:type="dxa"/>
          <w:jc w:val="center"/>
          <w:tblInd w:w="566" w:type="dxa"/>
          <w:tblCellMar>
            <w:left w:w="70" w:type="dxa"/>
            <w:right w:w="70" w:type="dxa"/>
          </w:tblCellMar>
          <w:tblLook w:val="04A0"/>
        </w:tblPrEx>
        <w:trPr>
          <w:trHeight w:val="255"/>
          <w:jc w:val="center"/>
        </w:trPr>
        <w:tc>
          <w:tcPr>
            <w:tcW w:w="3349"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9A01CE" w:rsidP="00F576BD">
            <w:pPr>
              <w:bidi w:val="0"/>
              <w:rPr>
                <w:rFonts w:ascii="Times New Roman" w:hAnsi="Times New Roman" w:cs="Times New Roman"/>
                <w:sz w:val="14"/>
                <w:szCs w:val="14"/>
                <w:lang w:eastAsia="sk-SK"/>
              </w:rPr>
            </w:pPr>
            <w:r w:rsidRPr="009A01CE">
              <w:rPr>
                <w:rFonts w:ascii="Times New Roman" w:hAnsi="Times New Roman" w:cs="Times New Roman"/>
                <w:sz w:val="14"/>
                <w:szCs w:val="14"/>
                <w:lang w:eastAsia="sk-SK"/>
              </w:rPr>
              <w:t>Modifikujúce faktory</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9A01CE" w:rsidP="00F576BD">
            <w:pPr>
              <w:bidi w:val="0"/>
              <w:jc w:val="right"/>
              <w:rPr>
                <w:rFonts w:ascii="Times New Roman" w:hAnsi="Times New Roman" w:cs="Times New Roman"/>
                <w:sz w:val="14"/>
                <w:szCs w:val="14"/>
                <w:lang w:eastAsia="sk-SK"/>
              </w:rPr>
            </w:pPr>
            <w:r w:rsidRPr="009A01CE">
              <w:rPr>
                <w:rFonts w:ascii="Times New Roman" w:hAnsi="Times New Roman" w:cs="Times New Roman"/>
                <w:sz w:val="14"/>
                <w:szCs w:val="14"/>
                <w:lang w:eastAsia="sk-SK"/>
              </w:rPr>
              <w:t>-1 584 056</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9A01CE" w:rsidP="00F576BD">
            <w:pPr>
              <w:bidi w:val="0"/>
              <w:jc w:val="right"/>
              <w:rPr>
                <w:rFonts w:ascii="Times New Roman" w:hAnsi="Times New Roman" w:cs="Times New Roman"/>
                <w:sz w:val="14"/>
                <w:szCs w:val="14"/>
                <w:lang w:eastAsia="sk-SK"/>
              </w:rPr>
            </w:pPr>
            <w:r w:rsidRPr="009A01CE">
              <w:rPr>
                <w:rFonts w:ascii="Times New Roman" w:hAnsi="Times New Roman" w:cs="Times New Roman"/>
                <w:sz w:val="14"/>
                <w:szCs w:val="14"/>
                <w:lang w:eastAsia="sk-SK"/>
              </w:rPr>
              <w:t>10 522</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9A01CE" w:rsidP="00F576BD">
            <w:pPr>
              <w:bidi w:val="0"/>
              <w:jc w:val="right"/>
              <w:rPr>
                <w:rFonts w:ascii="Times New Roman" w:hAnsi="Times New Roman" w:cs="Times New Roman"/>
                <w:sz w:val="14"/>
                <w:szCs w:val="14"/>
                <w:lang w:eastAsia="sk-SK"/>
              </w:rPr>
            </w:pPr>
            <w:r w:rsidRPr="009A01CE">
              <w:rPr>
                <w:rFonts w:ascii="Times New Roman" w:hAnsi="Times New Roman" w:cs="Times New Roman"/>
                <w:sz w:val="14"/>
                <w:szCs w:val="14"/>
                <w:lang w:eastAsia="sk-SK"/>
              </w:rPr>
              <w:t>103 437</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9A01CE" w:rsidP="00F576BD">
            <w:pPr>
              <w:bidi w:val="0"/>
              <w:jc w:val="right"/>
              <w:rPr>
                <w:rFonts w:ascii="Times New Roman" w:hAnsi="Times New Roman" w:cs="Times New Roman"/>
                <w:sz w:val="14"/>
                <w:szCs w:val="14"/>
                <w:lang w:eastAsia="sk-SK"/>
              </w:rPr>
            </w:pPr>
            <w:r w:rsidRPr="009A01CE">
              <w:rPr>
                <w:rFonts w:ascii="Times New Roman" w:hAnsi="Times New Roman" w:cs="Times New Roman"/>
                <w:sz w:val="14"/>
                <w:szCs w:val="14"/>
                <w:lang w:eastAsia="sk-SK"/>
              </w:rPr>
              <w:t>285 760</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9A01CE" w:rsidP="00F576BD">
            <w:pPr>
              <w:bidi w:val="0"/>
              <w:jc w:val="right"/>
              <w:rPr>
                <w:rFonts w:ascii="Times New Roman" w:hAnsi="Times New Roman" w:cs="Times New Roman"/>
                <w:sz w:val="14"/>
                <w:szCs w:val="14"/>
                <w:lang w:eastAsia="sk-SK"/>
              </w:rPr>
            </w:pPr>
            <w:r w:rsidRPr="009A01CE">
              <w:rPr>
                <w:rFonts w:ascii="Times New Roman" w:hAnsi="Times New Roman" w:cs="Times New Roman"/>
                <w:sz w:val="14"/>
                <w:szCs w:val="14"/>
                <w:lang w:eastAsia="sk-SK"/>
              </w:rPr>
              <w:t>437 621</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9A01CE" w:rsidP="00F576BD">
            <w:pPr>
              <w:bidi w:val="0"/>
              <w:jc w:val="right"/>
              <w:rPr>
                <w:rFonts w:ascii="Times New Roman" w:hAnsi="Times New Roman" w:cs="Times New Roman"/>
                <w:sz w:val="14"/>
                <w:szCs w:val="14"/>
                <w:lang w:eastAsia="sk-SK"/>
              </w:rPr>
            </w:pPr>
            <w:r w:rsidRPr="009A01CE">
              <w:rPr>
                <w:rFonts w:ascii="Times New Roman" w:hAnsi="Times New Roman" w:cs="Times New Roman"/>
                <w:sz w:val="14"/>
                <w:szCs w:val="14"/>
                <w:lang w:eastAsia="sk-SK"/>
              </w:rPr>
              <w:t>-138 757</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9A01CE" w:rsidP="00F576BD">
            <w:pPr>
              <w:bidi w:val="0"/>
              <w:jc w:val="right"/>
              <w:rPr>
                <w:rFonts w:ascii="Times New Roman" w:hAnsi="Times New Roman" w:cs="Times New Roman"/>
                <w:sz w:val="14"/>
                <w:szCs w:val="14"/>
                <w:lang w:eastAsia="sk-SK"/>
              </w:rPr>
            </w:pPr>
            <w:r w:rsidRPr="009A01CE">
              <w:rPr>
                <w:rFonts w:ascii="Times New Roman" w:hAnsi="Times New Roman" w:cs="Times New Roman"/>
                <w:sz w:val="14"/>
                <w:szCs w:val="14"/>
                <w:lang w:eastAsia="sk-SK"/>
              </w:rPr>
              <w:t>-8 329</w:t>
            </w:r>
          </w:p>
        </w:tc>
      </w:tr>
      <w:tr>
        <w:tblPrEx>
          <w:tblW w:w="9089" w:type="dxa"/>
          <w:jc w:val="center"/>
          <w:tblInd w:w="566" w:type="dxa"/>
          <w:tblCellMar>
            <w:left w:w="70" w:type="dxa"/>
            <w:right w:w="70" w:type="dxa"/>
          </w:tblCellMar>
          <w:tblLook w:val="04A0"/>
        </w:tblPrEx>
        <w:trPr>
          <w:trHeight w:val="270"/>
          <w:jc w:val="center"/>
        </w:trPr>
        <w:tc>
          <w:tcPr>
            <w:tcW w:w="3349"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9A01CE" w:rsidP="00F576BD">
            <w:pPr>
              <w:bidi w:val="0"/>
              <w:rPr>
                <w:rFonts w:ascii="Times New Roman" w:hAnsi="Times New Roman" w:cs="Times New Roman"/>
                <w:b/>
                <w:bCs/>
                <w:sz w:val="14"/>
                <w:szCs w:val="14"/>
                <w:lang w:eastAsia="sk-SK"/>
              </w:rPr>
            </w:pPr>
            <w:r w:rsidRPr="009A01CE">
              <w:rPr>
                <w:rFonts w:ascii="Times New Roman" w:hAnsi="Times New Roman" w:cs="Times New Roman"/>
                <w:b/>
                <w:bCs/>
                <w:sz w:val="14"/>
                <w:szCs w:val="14"/>
                <w:lang w:eastAsia="sk-SK"/>
              </w:rPr>
              <w:t>Schodok ŠR (ESA 95)</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9A01CE" w:rsidP="00F576BD">
            <w:pPr>
              <w:bidi w:val="0"/>
              <w:jc w:val="right"/>
              <w:rPr>
                <w:rFonts w:ascii="Times New Roman" w:hAnsi="Times New Roman" w:cs="Times New Roman"/>
                <w:b/>
                <w:bCs/>
                <w:sz w:val="14"/>
                <w:szCs w:val="14"/>
                <w:lang w:eastAsia="sk-SK"/>
              </w:rPr>
            </w:pPr>
            <w:r w:rsidRPr="009A01CE">
              <w:rPr>
                <w:rFonts w:ascii="Times New Roman" w:hAnsi="Times New Roman" w:cs="Times New Roman"/>
                <w:b/>
                <w:bCs/>
                <w:sz w:val="14"/>
                <w:szCs w:val="14"/>
                <w:lang w:eastAsia="sk-SK"/>
              </w:rPr>
              <w:t>-4 375 307</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9A01CE" w:rsidP="00F576BD">
            <w:pPr>
              <w:bidi w:val="0"/>
              <w:jc w:val="right"/>
              <w:rPr>
                <w:rFonts w:ascii="Times New Roman" w:hAnsi="Times New Roman" w:cs="Times New Roman"/>
                <w:b/>
                <w:bCs/>
                <w:sz w:val="14"/>
                <w:szCs w:val="14"/>
                <w:lang w:eastAsia="sk-SK"/>
              </w:rPr>
            </w:pPr>
            <w:r w:rsidRPr="009A01CE">
              <w:rPr>
                <w:rFonts w:ascii="Times New Roman" w:hAnsi="Times New Roman" w:cs="Times New Roman"/>
                <w:b/>
                <w:bCs/>
                <w:sz w:val="14"/>
                <w:szCs w:val="14"/>
                <w:lang w:eastAsia="sk-SK"/>
              </w:rPr>
              <w:t>-4 425 626</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9A01CE" w:rsidP="00F576BD">
            <w:pPr>
              <w:bidi w:val="0"/>
              <w:jc w:val="right"/>
              <w:rPr>
                <w:rFonts w:ascii="Times New Roman" w:hAnsi="Times New Roman" w:cs="Times New Roman"/>
                <w:b/>
                <w:bCs/>
                <w:sz w:val="14"/>
                <w:szCs w:val="14"/>
                <w:lang w:eastAsia="sk-SK"/>
              </w:rPr>
            </w:pPr>
            <w:r w:rsidRPr="009A01CE">
              <w:rPr>
                <w:rFonts w:ascii="Times New Roman" w:hAnsi="Times New Roman" w:cs="Times New Roman"/>
                <w:b/>
                <w:bCs/>
                <w:sz w:val="14"/>
                <w:szCs w:val="14"/>
                <w:lang w:eastAsia="sk-SK"/>
              </w:rPr>
              <w:t>-3 706 502</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9A01CE" w:rsidP="00F576BD">
            <w:pPr>
              <w:bidi w:val="0"/>
              <w:jc w:val="right"/>
              <w:rPr>
                <w:rFonts w:ascii="Times New Roman" w:hAnsi="Times New Roman" w:cs="Times New Roman"/>
                <w:b/>
                <w:bCs/>
                <w:sz w:val="14"/>
                <w:szCs w:val="14"/>
                <w:lang w:eastAsia="sk-SK"/>
              </w:rPr>
            </w:pPr>
            <w:r w:rsidRPr="009A01CE">
              <w:rPr>
                <w:rFonts w:ascii="Times New Roman" w:hAnsi="Times New Roman" w:cs="Times New Roman"/>
                <w:b/>
                <w:bCs/>
                <w:sz w:val="14"/>
                <w:szCs w:val="14"/>
                <w:lang w:eastAsia="sk-SK"/>
              </w:rPr>
              <w:t>-3 332 494</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9A01CE" w:rsidP="00F576BD">
            <w:pPr>
              <w:bidi w:val="0"/>
              <w:jc w:val="right"/>
              <w:rPr>
                <w:rFonts w:ascii="Times New Roman" w:hAnsi="Times New Roman" w:cs="Times New Roman"/>
                <w:b/>
                <w:bCs/>
                <w:sz w:val="14"/>
                <w:szCs w:val="14"/>
                <w:lang w:eastAsia="sk-SK"/>
              </w:rPr>
            </w:pPr>
            <w:r w:rsidRPr="009A01CE">
              <w:rPr>
                <w:rFonts w:ascii="Times New Roman" w:hAnsi="Times New Roman" w:cs="Times New Roman"/>
                <w:b/>
                <w:bCs/>
                <w:sz w:val="14"/>
                <w:szCs w:val="14"/>
                <w:lang w:eastAsia="sk-SK"/>
              </w:rPr>
              <w:t>-2 883 003</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9A01CE" w:rsidP="00F576BD">
            <w:pPr>
              <w:bidi w:val="0"/>
              <w:jc w:val="right"/>
              <w:rPr>
                <w:rFonts w:ascii="Times New Roman" w:hAnsi="Times New Roman" w:cs="Times New Roman"/>
                <w:b/>
                <w:bCs/>
                <w:sz w:val="14"/>
                <w:szCs w:val="14"/>
                <w:lang w:eastAsia="sk-SK"/>
              </w:rPr>
            </w:pPr>
            <w:r w:rsidRPr="009A01CE">
              <w:rPr>
                <w:rFonts w:ascii="Times New Roman" w:hAnsi="Times New Roman" w:cs="Times New Roman"/>
                <w:b/>
                <w:bCs/>
                <w:sz w:val="14"/>
                <w:szCs w:val="14"/>
                <w:lang w:eastAsia="sk-SK"/>
              </w:rPr>
              <w:t>-2 676 561</w:t>
            </w:r>
          </w:p>
        </w:tc>
        <w:tc>
          <w:tcPr>
            <w:tcW w:w="820" w:type="dxa"/>
            <w:tcBorders>
              <w:top w:val="single" w:sz="4" w:space="0" w:color="auto"/>
              <w:left w:val="single" w:sz="4" w:space="0" w:color="auto"/>
              <w:bottom w:val="single" w:sz="4" w:space="0" w:color="auto"/>
              <w:right w:val="single" w:sz="4" w:space="0" w:color="auto"/>
            </w:tcBorders>
            <w:noWrap/>
            <w:textDirection w:val="lrTb"/>
            <w:vAlign w:val="center"/>
            <w:hideMark/>
          </w:tcPr>
          <w:p w:rsidR="000B4441" w:rsidRPr="009A01CE" w:rsidP="00F576BD">
            <w:pPr>
              <w:bidi w:val="0"/>
              <w:jc w:val="right"/>
              <w:rPr>
                <w:rFonts w:ascii="Times New Roman" w:hAnsi="Times New Roman" w:cs="Times New Roman"/>
                <w:b/>
                <w:bCs/>
                <w:sz w:val="14"/>
                <w:szCs w:val="14"/>
                <w:lang w:eastAsia="sk-SK"/>
              </w:rPr>
            </w:pPr>
            <w:r w:rsidRPr="009A01CE">
              <w:rPr>
                <w:rFonts w:ascii="Times New Roman" w:hAnsi="Times New Roman" w:cs="Times New Roman"/>
                <w:b/>
                <w:bCs/>
                <w:sz w:val="14"/>
                <w:szCs w:val="14"/>
                <w:lang w:eastAsia="sk-SK"/>
              </w:rPr>
              <w:t>-2 522 483</w:t>
            </w:r>
          </w:p>
        </w:tc>
      </w:tr>
    </w:tbl>
    <w:p w:rsidR="000B4441" w:rsidP="000B4441">
      <w:pPr>
        <w:bidi w:val="0"/>
      </w:pPr>
    </w:p>
    <w:p w:rsidR="001A0ACA" w:rsidRPr="001A0ACA" w:rsidP="003A003E">
      <w:pPr>
        <w:widowControl w:val="0"/>
        <w:bidi w:val="0"/>
        <w:jc w:val="both"/>
        <w:outlineLvl w:val="0"/>
        <w:rPr>
          <w:rFonts w:ascii="Times New Roman" w:hAnsi="Times New Roman" w:cs="Times New Roman"/>
          <w:szCs w:val="22"/>
          <w:highlight w:val="yellow"/>
        </w:rPr>
      </w:pPr>
    </w:p>
    <w:p w:rsidR="00816691" w:rsidRPr="00BD5E26" w:rsidP="001A0ACA">
      <w:pPr>
        <w:pStyle w:val="Heading1"/>
        <w:bidi w:val="0"/>
        <w:spacing w:before="0" w:after="0"/>
        <w:rPr>
          <w:rFonts w:ascii="Times New Roman" w:hAnsi="Times New Roman" w:cs="Times New Roman"/>
          <w:sz w:val="28"/>
          <w:szCs w:val="28"/>
        </w:rPr>
      </w:pPr>
      <w:bookmarkStart w:id="95" w:name="_Toc306089073"/>
      <w:bookmarkEnd w:id="71"/>
      <w:bookmarkEnd w:id="72"/>
      <w:r w:rsidRPr="00BD5E26">
        <w:rPr>
          <w:rFonts w:ascii="Times New Roman" w:hAnsi="Times New Roman" w:cs="Times New Roman"/>
          <w:sz w:val="28"/>
        </w:rPr>
        <w:t>8</w:t>
      </w:r>
      <w:r w:rsidRPr="00BD5E26">
        <w:rPr>
          <w:rFonts w:ascii="Times New Roman" w:hAnsi="Times New Roman" w:cs="Times New Roman"/>
          <w:sz w:val="28"/>
          <w:szCs w:val="24"/>
        </w:rPr>
        <w:t xml:space="preserve">. </w:t>
      </w:r>
      <w:r w:rsidRPr="00BD5E26">
        <w:rPr>
          <w:rFonts w:ascii="Times New Roman" w:hAnsi="Times New Roman" w:cs="Times New Roman"/>
          <w:sz w:val="28"/>
          <w:szCs w:val="28"/>
        </w:rPr>
        <w:t>Vzťah podnikov s vplyvom štátu a rozpočtu verejnej správy</w:t>
      </w:r>
      <w:bookmarkEnd w:id="95"/>
    </w:p>
    <w:p w:rsidR="00816691" w:rsidRPr="00BD5E26" w:rsidP="00816691">
      <w:pPr>
        <w:pStyle w:val="Heading1"/>
        <w:bidi w:val="0"/>
        <w:spacing w:before="0" w:after="0"/>
        <w:rPr>
          <w:rFonts w:ascii="Times New Roman" w:hAnsi="Times New Roman" w:cs="Times New Roman"/>
          <w:sz w:val="28"/>
          <w:szCs w:val="24"/>
        </w:rPr>
      </w:pPr>
    </w:p>
    <w:p w:rsidR="00816691" w:rsidRPr="00BD5E26" w:rsidP="00816691">
      <w:pPr>
        <w:bidi w:val="0"/>
        <w:ind w:firstLine="708"/>
        <w:jc w:val="both"/>
        <w:rPr>
          <w:rFonts w:ascii="Times New Roman" w:hAnsi="Times New Roman" w:cs="Times New Roman"/>
        </w:rPr>
      </w:pPr>
      <w:r w:rsidRPr="00BD5E26">
        <w:rPr>
          <w:rFonts w:ascii="Times New Roman" w:hAnsi="Times New Roman" w:cs="Times New Roman"/>
        </w:rPr>
        <w:t>Hoci podniky s vplyvom štátu nie sú priamou súčasťou rozpočtu verejnej správy podľa metodiky ESA</w:t>
      </w:r>
      <w:r w:rsidR="00A80B1C">
        <w:rPr>
          <w:rFonts w:ascii="Times New Roman" w:hAnsi="Times New Roman" w:cs="Times New Roman"/>
        </w:rPr>
        <w:t xml:space="preserve"> </w:t>
      </w:r>
      <w:r w:rsidRPr="00BD5E26">
        <w:rPr>
          <w:rFonts w:ascii="Times New Roman" w:hAnsi="Times New Roman" w:cs="Times New Roman"/>
        </w:rPr>
        <w:t xml:space="preserve">95, nepriame vplyvy ich hospodárenia na verejné financie sú veľmi významné. </w:t>
      </w:r>
    </w:p>
    <w:p w:rsidR="00816691" w:rsidRPr="00BD5E26" w:rsidP="00816691">
      <w:pPr>
        <w:bidi w:val="0"/>
        <w:ind w:firstLine="708"/>
        <w:jc w:val="both"/>
        <w:rPr>
          <w:rFonts w:ascii="Times New Roman" w:hAnsi="Times New Roman" w:cs="Times New Roman"/>
        </w:rPr>
      </w:pPr>
    </w:p>
    <w:p w:rsidR="00816691" w:rsidRPr="00BD5E26" w:rsidP="00816691">
      <w:pPr>
        <w:bidi w:val="0"/>
        <w:ind w:firstLine="708"/>
        <w:jc w:val="both"/>
        <w:rPr>
          <w:rFonts w:ascii="Times New Roman" w:hAnsi="Times New Roman" w:cs="Times New Roman"/>
        </w:rPr>
      </w:pPr>
      <w:r w:rsidRPr="00BD5E26">
        <w:rPr>
          <w:rFonts w:ascii="Times New Roman" w:hAnsi="Times New Roman" w:cs="Times New Roman"/>
        </w:rPr>
        <w:t>V minulosti boli štátne podniky často zneužívané na optické vylepšenie bilancie verejných financií. Počas vlády Vladimíra Mečiara išlo napríklad o výstavbu vodného diela Gabčíkov</w:t>
      </w:r>
      <w:r w:rsidRPr="00BD5E26" w:rsidR="005842E2">
        <w:rPr>
          <w:rFonts w:ascii="Times New Roman" w:hAnsi="Times New Roman" w:cs="Times New Roman"/>
        </w:rPr>
        <w:t>o</w:t>
      </w:r>
      <w:r w:rsidRPr="00BD5E26">
        <w:rPr>
          <w:rFonts w:ascii="Times New Roman" w:hAnsi="Times New Roman" w:cs="Times New Roman"/>
        </w:rPr>
        <w:t>, ktoré štát nefinancoval zo štátneho rozpočtu, ale poskytol štátne záruky na úvery, ktoré čerpal štátny podnik Vodohospodárska výstavba. O niekoľko rokov  musel jeho dlhy prevziať štát na seba a zaplatiť ich z verejných financií. Podobne pristupovala vláda Roberta Fica k železniciam. Znížila im dotácie zo štátneho rozpočtu</w:t>
      </w:r>
      <w:r w:rsidRPr="00BD5E26" w:rsidR="005842E2">
        <w:rPr>
          <w:rFonts w:ascii="Times New Roman" w:hAnsi="Times New Roman" w:cs="Times New Roman"/>
        </w:rPr>
        <w:t>,</w:t>
      </w:r>
      <w:r w:rsidRPr="00BD5E26">
        <w:rPr>
          <w:rFonts w:ascii="Times New Roman" w:hAnsi="Times New Roman" w:cs="Times New Roman"/>
        </w:rPr>
        <w:t xml:space="preserve"> a tak znížila jeho deficit v rozpočtoch na roky 2009 a 2010. Vzhľadom na kritickú situáciu železničných spoločností, musí štátny rozpočet v súčasnosti tieto dotácie železniciam doplatiť. </w:t>
      </w:r>
    </w:p>
    <w:p w:rsidR="00816691" w:rsidRPr="00BD5E26" w:rsidP="00816691">
      <w:pPr>
        <w:bidi w:val="0"/>
        <w:ind w:firstLine="708"/>
        <w:jc w:val="both"/>
        <w:rPr>
          <w:rFonts w:ascii="Times New Roman" w:hAnsi="Times New Roman" w:cs="Times New Roman"/>
        </w:rPr>
      </w:pPr>
    </w:p>
    <w:p w:rsidR="00816691" w:rsidRPr="00BD5E26" w:rsidP="00816691">
      <w:pPr>
        <w:bidi w:val="0"/>
        <w:ind w:firstLine="708"/>
        <w:jc w:val="both"/>
        <w:rPr>
          <w:rFonts w:ascii="Times New Roman" w:hAnsi="Times New Roman" w:cs="Times New Roman"/>
        </w:rPr>
      </w:pPr>
      <w:r w:rsidRPr="00BD5E26">
        <w:rPr>
          <w:rFonts w:ascii="Times New Roman" w:hAnsi="Times New Roman" w:cs="Times New Roman"/>
        </w:rPr>
        <w:t xml:space="preserve">Jedným z hlavných opatrení vlády na zvýšenie transparentnosti verejných financií je nastolenie jasných vzťahov medzi štátnym rozpočtom a štátnymi podnikmi. Na jednej strane to znamená zvýšený tlak na efektívne hospodárenie štátnych podnikov, ktoré by mali tiež prispieť k ozdraveniu verejných financií, a to napríklad zvýšeným odvodom dividend do štátneho rozpočtu. Na strane druhej v prípade, že podniky sú skutočne odkázané na štátne dotácie ako v prípade železničných spoločností alebo Národnej diaľničnej spoločnosti a.s., štátny rozpočet musí vyčleniť zdroje v takej výške, aby nevytvárali straty a nekumulovali dlhy. </w:t>
      </w:r>
    </w:p>
    <w:p w:rsidR="00816691" w:rsidRPr="00BD5E26" w:rsidP="00816691">
      <w:pPr>
        <w:bidi w:val="0"/>
        <w:ind w:firstLine="708"/>
        <w:jc w:val="both"/>
        <w:rPr>
          <w:rFonts w:ascii="Times New Roman" w:hAnsi="Times New Roman" w:cs="Times New Roman"/>
        </w:rPr>
      </w:pPr>
    </w:p>
    <w:p w:rsidR="00816691" w:rsidRPr="00BD5E26" w:rsidP="00816691">
      <w:pPr>
        <w:bidi w:val="0"/>
        <w:ind w:firstLine="708"/>
        <w:jc w:val="both"/>
        <w:rPr>
          <w:rFonts w:ascii="Times New Roman" w:hAnsi="Times New Roman" w:cs="Times New Roman"/>
        </w:rPr>
      </w:pPr>
      <w:r w:rsidRPr="00BD5E26">
        <w:rPr>
          <w:rFonts w:ascii="Times New Roman" w:hAnsi="Times New Roman" w:cs="Times New Roman"/>
        </w:rPr>
        <w:t xml:space="preserve">Je veľmi dôležité, aby mali jednotlivé štátne podniky zreteľne a zrozumiteľne stanovené ciele ako sa má ich  hospodárenie vyvíjať. Vláda má pri tvorbe týchto cieľov jednoznačný záujem vyžadovať z ich strany efektívne a trvalo udržateľné hospodárenie so zámerom neustáleho zlepšovania výsledkov ich hospodárenia. V tejto súvislosti by mala vláda schvaľovať aj niektoré významné rozhodnutia v štátnych podnikoch, najmä v oblastiach, akými sú napríklad realizácie investičných akcií. Následne, pri vyhodnocovaní plnenia cieľov štátnych podnikov, existuje priestor na zhodnotenie práce ich manažmentov. </w:t>
      </w:r>
    </w:p>
    <w:p w:rsidR="00816691" w:rsidRPr="00BD5E26" w:rsidP="00816691">
      <w:pPr>
        <w:bidi w:val="0"/>
        <w:ind w:firstLine="708"/>
        <w:jc w:val="both"/>
        <w:rPr>
          <w:rFonts w:ascii="Times New Roman" w:hAnsi="Times New Roman" w:cs="Times New Roman"/>
        </w:rPr>
      </w:pPr>
    </w:p>
    <w:p w:rsidR="00816691" w:rsidRPr="00BD5E26" w:rsidP="00A45B67">
      <w:pPr>
        <w:autoSpaceDE w:val="0"/>
        <w:autoSpaceDN w:val="0"/>
        <w:bidi w:val="0"/>
        <w:adjustRightInd w:val="0"/>
        <w:ind w:firstLine="708"/>
        <w:jc w:val="both"/>
        <w:rPr>
          <w:rFonts w:ascii="Times New Roman" w:hAnsi="Times New Roman" w:cs="Times New Roman"/>
        </w:rPr>
      </w:pPr>
      <w:r w:rsidRPr="00BD5E26">
        <w:rPr>
          <w:rFonts w:ascii="Times New Roman" w:hAnsi="Times New Roman" w:cs="Times New Roman"/>
        </w:rPr>
        <w:t xml:space="preserve">Podniky s vplyvom štátu majú rôzne právne formy. Ide o akciové spoločnosti, spoločnosti s ručením obmedzeným, právnické spoločnosti zriadené zákonom alebo štátne podniky. Z pohľadu vzťahov k štátnemu rozpočtu možno štátne podniky rozdeliť do dvoch základných kategórií: </w:t>
      </w:r>
    </w:p>
    <w:p w:rsidR="00816691" w:rsidRPr="00BD5E26" w:rsidP="00A45B67">
      <w:pPr>
        <w:bidi w:val="0"/>
        <w:ind w:firstLine="708"/>
        <w:jc w:val="both"/>
        <w:rPr>
          <w:rFonts w:ascii="Times New Roman" w:hAnsi="Times New Roman" w:cs="Times New Roman"/>
        </w:rPr>
      </w:pPr>
    </w:p>
    <w:p w:rsidR="00816691" w:rsidRPr="00BD5E26" w:rsidP="00A45B67">
      <w:pPr>
        <w:pStyle w:val="ListParagraph"/>
        <w:numPr>
          <w:numId w:val="37"/>
        </w:numPr>
        <w:bidi w:val="0"/>
        <w:spacing w:after="200"/>
        <w:ind w:left="1066" w:hanging="357"/>
        <w:jc w:val="both"/>
        <w:rPr>
          <w:rFonts w:ascii="Times New Roman" w:hAnsi="Times New Roman" w:cs="Times New Roman"/>
        </w:rPr>
      </w:pPr>
      <w:r w:rsidRPr="00BD5E26">
        <w:rPr>
          <w:rFonts w:ascii="Times New Roman" w:hAnsi="Times New Roman" w:cs="Times New Roman"/>
        </w:rPr>
        <w:t xml:space="preserve">Podniky, ktoré vykonávajú najmä verejný záujem, sú odkázané na dotácie zo štátu. </w:t>
      </w:r>
    </w:p>
    <w:p w:rsidR="00A45B67" w:rsidRPr="00BD5E26" w:rsidP="00A45B67">
      <w:pPr>
        <w:pStyle w:val="ListParagraph"/>
        <w:bidi w:val="0"/>
        <w:spacing w:after="200"/>
        <w:ind w:left="1066"/>
        <w:jc w:val="both"/>
        <w:rPr>
          <w:rFonts w:ascii="Times New Roman" w:hAnsi="Times New Roman" w:cs="Times New Roman"/>
        </w:rPr>
      </w:pPr>
    </w:p>
    <w:p w:rsidR="00816691" w:rsidRPr="00BD5E26" w:rsidP="00A45B67">
      <w:pPr>
        <w:pStyle w:val="ListParagraph"/>
        <w:numPr>
          <w:numId w:val="37"/>
        </w:numPr>
        <w:bidi w:val="0"/>
        <w:spacing w:before="240" w:after="200"/>
        <w:ind w:left="1066" w:hanging="357"/>
        <w:jc w:val="both"/>
        <w:rPr>
          <w:rFonts w:ascii="Times New Roman" w:hAnsi="Times New Roman" w:cs="Times New Roman"/>
        </w:rPr>
      </w:pPr>
      <w:r w:rsidRPr="00BD5E26">
        <w:rPr>
          <w:rFonts w:ascii="Times New Roman" w:hAnsi="Times New Roman" w:cs="Times New Roman"/>
        </w:rPr>
        <w:t xml:space="preserve">Podniky, ktoré vykonávajú najmä komerčné činnosti, a teda by mali byť schopné tvoriť zisk a odvádzať do štátneho rozpočtu dividendy alebo odvody zo zisku. Komerčné činnosti by mali byť postupne privatizované.    </w:t>
      </w:r>
    </w:p>
    <w:p w:rsidR="00816691" w:rsidRPr="00BD5E26" w:rsidP="00A45B67">
      <w:pPr>
        <w:bidi w:val="0"/>
        <w:ind w:firstLine="357"/>
        <w:rPr>
          <w:rFonts w:ascii="Times New Roman" w:hAnsi="Times New Roman" w:cs="Times New Roman"/>
        </w:rPr>
      </w:pPr>
      <w:r w:rsidRPr="00BD5E26">
        <w:rPr>
          <w:rFonts w:ascii="Times New Roman" w:hAnsi="Times New Roman" w:cs="Times New Roman"/>
        </w:rPr>
        <w:t>Štát má podiely v mnohých podnikoch. Možno ich rozdeliť do štyroch základných skupín:</w:t>
      </w:r>
    </w:p>
    <w:p w:rsidR="00816691" w:rsidRPr="00BD5E26" w:rsidP="00A45B67">
      <w:pPr>
        <w:bidi w:val="0"/>
        <w:ind w:firstLine="357"/>
        <w:rPr>
          <w:rFonts w:ascii="Times New Roman" w:hAnsi="Times New Roman" w:cs="Times New Roman"/>
        </w:rPr>
      </w:pPr>
    </w:p>
    <w:p w:rsidR="00816691" w:rsidRPr="00BD5E26" w:rsidP="00A45B67">
      <w:pPr>
        <w:pStyle w:val="ListParagraph"/>
        <w:keepNext/>
        <w:keepLines/>
        <w:numPr>
          <w:numId w:val="38"/>
        </w:numPr>
        <w:bidi w:val="0"/>
        <w:spacing w:after="200"/>
        <w:ind w:left="1066" w:hanging="357"/>
        <w:jc w:val="both"/>
        <w:rPr>
          <w:rFonts w:ascii="Times New Roman" w:hAnsi="Times New Roman" w:cs="Times New Roman"/>
        </w:rPr>
      </w:pPr>
      <w:r w:rsidRPr="00BD5E26">
        <w:rPr>
          <w:rFonts w:ascii="Times New Roman" w:hAnsi="Times New Roman" w:cs="Times New Roman"/>
        </w:rPr>
        <w:t>Podniky, v ktorých má štát podiel, ale ich riadenie je pod kontrolou iných akcionárov. Ide o Slovenský plynárenský priemysel a.</w:t>
      </w:r>
      <w:r w:rsidR="00A80B1C">
        <w:rPr>
          <w:rFonts w:ascii="Times New Roman" w:hAnsi="Times New Roman" w:cs="Times New Roman"/>
        </w:rPr>
        <w:t xml:space="preserve"> </w:t>
      </w:r>
      <w:r w:rsidRPr="00BD5E26">
        <w:rPr>
          <w:rFonts w:ascii="Times New Roman" w:hAnsi="Times New Roman" w:cs="Times New Roman"/>
        </w:rPr>
        <w:t>s.,</w:t>
      </w:r>
      <w:r w:rsidRPr="00BD5E26">
        <w:rPr>
          <w:rFonts w:ascii="Times New Roman" w:hAnsi="Times New Roman" w:cs="Times New Roman"/>
        </w:rPr>
        <w:t xml:space="preserve"> </w:t>
      </w:r>
      <w:r w:rsidRPr="00BD5E26">
        <w:rPr>
          <w:rFonts w:ascii="Times New Roman" w:hAnsi="Times New Roman" w:cs="Times New Roman"/>
        </w:rPr>
        <w:t>Západoslovenská energetika a.</w:t>
      </w:r>
      <w:r w:rsidR="00A80B1C">
        <w:rPr>
          <w:rFonts w:ascii="Times New Roman" w:hAnsi="Times New Roman" w:cs="Times New Roman"/>
        </w:rPr>
        <w:t xml:space="preserve"> </w:t>
      </w:r>
      <w:r w:rsidRPr="00BD5E26">
        <w:rPr>
          <w:rFonts w:ascii="Times New Roman" w:hAnsi="Times New Roman" w:cs="Times New Roman"/>
        </w:rPr>
        <w:t>s.,  Stredoslovenská energetika a.</w:t>
      </w:r>
      <w:r w:rsidR="00A80B1C">
        <w:rPr>
          <w:rFonts w:ascii="Times New Roman" w:hAnsi="Times New Roman" w:cs="Times New Roman"/>
        </w:rPr>
        <w:t xml:space="preserve"> </w:t>
      </w:r>
      <w:r w:rsidRPr="00BD5E26">
        <w:rPr>
          <w:rFonts w:ascii="Times New Roman" w:hAnsi="Times New Roman" w:cs="Times New Roman"/>
        </w:rPr>
        <w:t xml:space="preserve">s., Východoslovenská energetika </w:t>
      </w:r>
      <w:r w:rsidR="00A80B1C">
        <w:rPr>
          <w:rFonts w:ascii="Times New Roman" w:hAnsi="Times New Roman" w:cs="Times New Roman"/>
        </w:rPr>
        <w:br/>
      </w:r>
      <w:r w:rsidRPr="00BD5E26">
        <w:rPr>
          <w:rFonts w:ascii="Times New Roman" w:hAnsi="Times New Roman" w:cs="Times New Roman"/>
        </w:rPr>
        <w:t>a.</w:t>
      </w:r>
      <w:r w:rsidR="00A80B1C">
        <w:rPr>
          <w:rFonts w:ascii="Times New Roman" w:hAnsi="Times New Roman" w:cs="Times New Roman"/>
        </w:rPr>
        <w:t xml:space="preserve"> </w:t>
      </w:r>
      <w:r w:rsidRPr="00BD5E26">
        <w:rPr>
          <w:rFonts w:ascii="Times New Roman" w:hAnsi="Times New Roman" w:cs="Times New Roman"/>
        </w:rPr>
        <w:t>s., Slovak Telecom a.</w:t>
      </w:r>
      <w:r w:rsidR="00A80B1C">
        <w:rPr>
          <w:rFonts w:ascii="Times New Roman" w:hAnsi="Times New Roman" w:cs="Times New Roman"/>
        </w:rPr>
        <w:t xml:space="preserve"> </w:t>
      </w:r>
      <w:r w:rsidRPr="00BD5E26">
        <w:rPr>
          <w:rFonts w:ascii="Times New Roman" w:hAnsi="Times New Roman" w:cs="Times New Roman"/>
        </w:rPr>
        <w:t>s. a Slovenské elektrárne a.</w:t>
      </w:r>
      <w:r w:rsidR="00A80B1C">
        <w:rPr>
          <w:rFonts w:ascii="Times New Roman" w:hAnsi="Times New Roman" w:cs="Times New Roman"/>
        </w:rPr>
        <w:t xml:space="preserve"> </w:t>
      </w:r>
      <w:r w:rsidRPr="00BD5E26">
        <w:rPr>
          <w:rFonts w:ascii="Times New Roman" w:hAnsi="Times New Roman" w:cs="Times New Roman"/>
        </w:rPr>
        <w:t>s.</w:t>
      </w:r>
    </w:p>
    <w:p w:rsidR="00816691" w:rsidRPr="00BD5E26" w:rsidP="00A45B67">
      <w:pPr>
        <w:pStyle w:val="ListParagraph"/>
        <w:keepNext/>
        <w:keepLines/>
        <w:bidi w:val="0"/>
        <w:ind w:left="714"/>
        <w:jc w:val="both"/>
        <w:rPr>
          <w:rFonts w:ascii="Times New Roman" w:hAnsi="Times New Roman" w:cs="Times New Roman"/>
        </w:rPr>
      </w:pPr>
    </w:p>
    <w:p w:rsidR="00816691" w:rsidRPr="00BD5E26" w:rsidP="00A45B67">
      <w:pPr>
        <w:pStyle w:val="ListParagraph"/>
        <w:keepNext/>
        <w:keepLines/>
        <w:numPr>
          <w:numId w:val="38"/>
        </w:numPr>
        <w:bidi w:val="0"/>
        <w:spacing w:after="200"/>
        <w:jc w:val="both"/>
        <w:rPr>
          <w:rFonts w:ascii="Times New Roman" w:hAnsi="Times New Roman" w:cs="Times New Roman"/>
        </w:rPr>
      </w:pPr>
      <w:r w:rsidRPr="00BD5E26">
        <w:rPr>
          <w:rFonts w:ascii="Times New Roman" w:hAnsi="Times New Roman" w:cs="Times New Roman"/>
        </w:rPr>
        <w:t xml:space="preserve">Významné podniky s rozhodujúcou kontrolou štátu </w:t>
      </w:r>
    </w:p>
    <w:p w:rsidR="00816691" w:rsidRPr="00BD5E26" w:rsidP="00A45B67">
      <w:pPr>
        <w:pStyle w:val="ListParagraph"/>
        <w:numPr>
          <w:numId w:val="39"/>
        </w:numPr>
        <w:bidi w:val="0"/>
        <w:spacing w:after="200"/>
        <w:ind w:left="1491" w:hanging="357"/>
        <w:jc w:val="both"/>
        <w:rPr>
          <w:rFonts w:ascii="Times New Roman" w:hAnsi="Times New Roman" w:cs="Times New Roman"/>
        </w:rPr>
      </w:pPr>
      <w:r w:rsidRPr="00BD5E26">
        <w:rPr>
          <w:rFonts w:ascii="Times New Roman" w:hAnsi="Times New Roman" w:cs="Times New Roman"/>
        </w:rPr>
        <w:t>Železnice SR</w:t>
      </w:r>
    </w:p>
    <w:p w:rsidR="00816691" w:rsidRPr="00BD5E26" w:rsidP="00A45B67">
      <w:pPr>
        <w:pStyle w:val="ListParagraph"/>
        <w:numPr>
          <w:numId w:val="39"/>
        </w:numPr>
        <w:bidi w:val="0"/>
        <w:spacing w:after="200"/>
        <w:ind w:left="1491" w:hanging="357"/>
        <w:jc w:val="both"/>
        <w:rPr>
          <w:rFonts w:ascii="Times New Roman" w:hAnsi="Times New Roman" w:cs="Times New Roman"/>
        </w:rPr>
      </w:pPr>
      <w:r w:rsidRPr="00BD5E26">
        <w:rPr>
          <w:rFonts w:ascii="Times New Roman" w:hAnsi="Times New Roman" w:cs="Times New Roman"/>
        </w:rPr>
        <w:t>Železničná spoločnosť Slovensko, a.</w:t>
      </w:r>
      <w:r w:rsidR="00A80B1C">
        <w:rPr>
          <w:rFonts w:ascii="Times New Roman" w:hAnsi="Times New Roman" w:cs="Times New Roman"/>
        </w:rPr>
        <w:t xml:space="preserve"> </w:t>
      </w:r>
      <w:r w:rsidRPr="00BD5E26">
        <w:rPr>
          <w:rFonts w:ascii="Times New Roman" w:hAnsi="Times New Roman" w:cs="Times New Roman"/>
        </w:rPr>
        <w:t>s.</w:t>
      </w:r>
    </w:p>
    <w:p w:rsidR="00816691" w:rsidRPr="00BD5E26" w:rsidP="00A45B67">
      <w:pPr>
        <w:pStyle w:val="ListParagraph"/>
        <w:numPr>
          <w:numId w:val="39"/>
        </w:numPr>
        <w:bidi w:val="0"/>
        <w:spacing w:after="200"/>
        <w:ind w:left="1491" w:hanging="357"/>
        <w:jc w:val="both"/>
        <w:rPr>
          <w:rFonts w:ascii="Times New Roman" w:hAnsi="Times New Roman" w:cs="Times New Roman"/>
        </w:rPr>
      </w:pPr>
      <w:r w:rsidRPr="00BD5E26">
        <w:rPr>
          <w:rFonts w:ascii="Times New Roman" w:hAnsi="Times New Roman" w:cs="Times New Roman"/>
        </w:rPr>
        <w:t>Slovenská pošta, a.</w:t>
      </w:r>
      <w:r w:rsidR="00A80B1C">
        <w:rPr>
          <w:rFonts w:ascii="Times New Roman" w:hAnsi="Times New Roman" w:cs="Times New Roman"/>
        </w:rPr>
        <w:t xml:space="preserve"> </w:t>
      </w:r>
      <w:r w:rsidRPr="00BD5E26">
        <w:rPr>
          <w:rFonts w:ascii="Times New Roman" w:hAnsi="Times New Roman" w:cs="Times New Roman"/>
        </w:rPr>
        <w:t>s.</w:t>
      </w:r>
    </w:p>
    <w:p w:rsidR="00816691" w:rsidRPr="00BD5E26" w:rsidP="00A45B67">
      <w:pPr>
        <w:pStyle w:val="ListParagraph"/>
        <w:numPr>
          <w:numId w:val="39"/>
        </w:numPr>
        <w:bidi w:val="0"/>
        <w:spacing w:after="200"/>
        <w:ind w:left="1491" w:hanging="357"/>
        <w:jc w:val="both"/>
        <w:rPr>
          <w:rFonts w:ascii="Times New Roman" w:hAnsi="Times New Roman" w:cs="Times New Roman"/>
        </w:rPr>
      </w:pPr>
      <w:r w:rsidRPr="00BD5E26">
        <w:rPr>
          <w:rFonts w:ascii="Times New Roman" w:hAnsi="Times New Roman" w:cs="Times New Roman"/>
        </w:rPr>
        <w:t>Národná diaľničná spoločnosť, a.</w:t>
      </w:r>
      <w:r w:rsidR="00A80B1C">
        <w:rPr>
          <w:rFonts w:ascii="Times New Roman" w:hAnsi="Times New Roman" w:cs="Times New Roman"/>
        </w:rPr>
        <w:t xml:space="preserve"> </w:t>
      </w:r>
      <w:r w:rsidRPr="00BD5E26">
        <w:rPr>
          <w:rFonts w:ascii="Times New Roman" w:hAnsi="Times New Roman" w:cs="Times New Roman"/>
        </w:rPr>
        <w:t>s.</w:t>
      </w:r>
    </w:p>
    <w:p w:rsidR="00816691" w:rsidRPr="00BD5E26" w:rsidP="00A45B67">
      <w:pPr>
        <w:pStyle w:val="ListParagraph"/>
        <w:numPr>
          <w:numId w:val="39"/>
        </w:numPr>
        <w:bidi w:val="0"/>
        <w:spacing w:after="200"/>
        <w:ind w:left="1491" w:hanging="357"/>
        <w:jc w:val="both"/>
        <w:rPr>
          <w:rFonts w:ascii="Times New Roman" w:hAnsi="Times New Roman" w:cs="Times New Roman"/>
        </w:rPr>
      </w:pPr>
      <w:r w:rsidRPr="00BD5E26">
        <w:rPr>
          <w:rFonts w:ascii="Times New Roman" w:hAnsi="Times New Roman" w:cs="Times New Roman"/>
        </w:rPr>
        <w:t>Jadrová a vyraďovacia spoločnosť, a.</w:t>
      </w:r>
      <w:r w:rsidR="00A80B1C">
        <w:rPr>
          <w:rFonts w:ascii="Times New Roman" w:hAnsi="Times New Roman" w:cs="Times New Roman"/>
        </w:rPr>
        <w:t xml:space="preserve"> </w:t>
      </w:r>
      <w:r w:rsidRPr="00BD5E26">
        <w:rPr>
          <w:rFonts w:ascii="Times New Roman" w:hAnsi="Times New Roman" w:cs="Times New Roman"/>
        </w:rPr>
        <w:t>s.</w:t>
      </w:r>
    </w:p>
    <w:p w:rsidR="00816691" w:rsidRPr="00BD5E26" w:rsidP="00A45B67">
      <w:pPr>
        <w:pStyle w:val="ListParagraph"/>
        <w:numPr>
          <w:numId w:val="39"/>
        </w:numPr>
        <w:bidi w:val="0"/>
        <w:spacing w:after="200"/>
        <w:ind w:left="1491" w:hanging="357"/>
        <w:jc w:val="both"/>
        <w:rPr>
          <w:rFonts w:ascii="Times New Roman" w:hAnsi="Times New Roman" w:cs="Times New Roman"/>
        </w:rPr>
      </w:pPr>
      <w:r w:rsidRPr="00BD5E26">
        <w:rPr>
          <w:rFonts w:ascii="Times New Roman" w:hAnsi="Times New Roman" w:cs="Times New Roman"/>
        </w:rPr>
        <w:t>TRANSPETROL, a.</w:t>
      </w:r>
      <w:r w:rsidR="00A80B1C">
        <w:rPr>
          <w:rFonts w:ascii="Times New Roman" w:hAnsi="Times New Roman" w:cs="Times New Roman"/>
        </w:rPr>
        <w:t xml:space="preserve"> </w:t>
      </w:r>
      <w:r w:rsidRPr="00BD5E26">
        <w:rPr>
          <w:rFonts w:ascii="Times New Roman" w:hAnsi="Times New Roman" w:cs="Times New Roman"/>
        </w:rPr>
        <w:t>s.</w:t>
      </w:r>
    </w:p>
    <w:p w:rsidR="00816691" w:rsidRPr="00BD5E26" w:rsidP="00A45B67">
      <w:pPr>
        <w:pStyle w:val="ListParagraph"/>
        <w:numPr>
          <w:numId w:val="39"/>
        </w:numPr>
        <w:bidi w:val="0"/>
        <w:spacing w:after="200"/>
        <w:ind w:left="1491" w:hanging="357"/>
        <w:jc w:val="both"/>
        <w:rPr>
          <w:rFonts w:ascii="Times New Roman" w:hAnsi="Times New Roman" w:cs="Times New Roman"/>
        </w:rPr>
      </w:pPr>
      <w:r w:rsidRPr="00BD5E26">
        <w:rPr>
          <w:rFonts w:ascii="Times New Roman" w:hAnsi="Times New Roman" w:cs="Times New Roman"/>
        </w:rPr>
        <w:t>Slovenská elektrizačná prenosová sústava, a.</w:t>
      </w:r>
      <w:r w:rsidR="00A80B1C">
        <w:rPr>
          <w:rFonts w:ascii="Times New Roman" w:hAnsi="Times New Roman" w:cs="Times New Roman"/>
        </w:rPr>
        <w:t xml:space="preserve"> </w:t>
      </w:r>
      <w:r w:rsidRPr="00BD5E26">
        <w:rPr>
          <w:rFonts w:ascii="Times New Roman" w:hAnsi="Times New Roman" w:cs="Times New Roman"/>
        </w:rPr>
        <w:t>s.</w:t>
      </w:r>
    </w:p>
    <w:p w:rsidR="00816691" w:rsidRPr="00BD5E26" w:rsidP="00A45B67">
      <w:pPr>
        <w:pStyle w:val="ListParagraph"/>
        <w:numPr>
          <w:numId w:val="39"/>
        </w:numPr>
        <w:bidi w:val="0"/>
        <w:spacing w:after="200"/>
        <w:ind w:left="1491" w:hanging="357"/>
        <w:jc w:val="both"/>
        <w:rPr>
          <w:rFonts w:ascii="Times New Roman" w:hAnsi="Times New Roman" w:cs="Times New Roman"/>
        </w:rPr>
      </w:pPr>
      <w:r w:rsidRPr="00BD5E26">
        <w:rPr>
          <w:rFonts w:ascii="Times New Roman" w:hAnsi="Times New Roman" w:cs="Times New Roman"/>
        </w:rPr>
        <w:t>TIPOS, národná lotériová spoločnosť, a.</w:t>
      </w:r>
      <w:r w:rsidR="00A80B1C">
        <w:rPr>
          <w:rFonts w:ascii="Times New Roman" w:hAnsi="Times New Roman" w:cs="Times New Roman"/>
        </w:rPr>
        <w:t xml:space="preserve"> </w:t>
      </w:r>
      <w:r w:rsidRPr="00BD5E26">
        <w:rPr>
          <w:rFonts w:ascii="Times New Roman" w:hAnsi="Times New Roman" w:cs="Times New Roman"/>
        </w:rPr>
        <w:t>s.</w:t>
      </w:r>
    </w:p>
    <w:p w:rsidR="00816691" w:rsidRPr="00BD5E26" w:rsidP="00A45B67">
      <w:pPr>
        <w:pStyle w:val="ListParagraph"/>
        <w:numPr>
          <w:numId w:val="39"/>
        </w:numPr>
        <w:bidi w:val="0"/>
        <w:spacing w:after="200"/>
        <w:ind w:left="1491" w:hanging="357"/>
        <w:jc w:val="both"/>
        <w:rPr>
          <w:rFonts w:ascii="Times New Roman" w:hAnsi="Times New Roman" w:cs="Times New Roman"/>
        </w:rPr>
      </w:pPr>
      <w:r w:rsidRPr="00BD5E26">
        <w:rPr>
          <w:rFonts w:ascii="Times New Roman" w:hAnsi="Times New Roman" w:cs="Times New Roman"/>
        </w:rPr>
        <w:t>Eximbanka SR</w:t>
      </w:r>
    </w:p>
    <w:p w:rsidR="00816691" w:rsidRPr="00BD5E26" w:rsidP="00A45B67">
      <w:pPr>
        <w:pStyle w:val="ListParagraph"/>
        <w:numPr>
          <w:numId w:val="39"/>
        </w:numPr>
        <w:bidi w:val="0"/>
        <w:spacing w:after="200"/>
        <w:ind w:left="1491" w:hanging="357"/>
        <w:jc w:val="both"/>
        <w:rPr>
          <w:rFonts w:ascii="Times New Roman" w:hAnsi="Times New Roman" w:cs="Times New Roman"/>
        </w:rPr>
      </w:pPr>
      <w:r w:rsidRPr="00BD5E26">
        <w:rPr>
          <w:rFonts w:ascii="Times New Roman" w:hAnsi="Times New Roman" w:cs="Times New Roman"/>
        </w:rPr>
        <w:t>Slovenská záručná a rozvojová banka, a.</w:t>
      </w:r>
      <w:r w:rsidR="00A80B1C">
        <w:rPr>
          <w:rFonts w:ascii="Times New Roman" w:hAnsi="Times New Roman" w:cs="Times New Roman"/>
        </w:rPr>
        <w:t xml:space="preserve"> </w:t>
      </w:r>
      <w:r w:rsidRPr="00BD5E26">
        <w:rPr>
          <w:rFonts w:ascii="Times New Roman" w:hAnsi="Times New Roman" w:cs="Times New Roman"/>
        </w:rPr>
        <w:t>s.</w:t>
      </w:r>
    </w:p>
    <w:p w:rsidR="00816691" w:rsidRPr="00BD5E26" w:rsidP="00A45B67">
      <w:pPr>
        <w:pStyle w:val="ListParagraph"/>
        <w:numPr>
          <w:numId w:val="39"/>
        </w:numPr>
        <w:bidi w:val="0"/>
        <w:spacing w:after="200"/>
        <w:ind w:left="1491" w:hanging="357"/>
        <w:jc w:val="both"/>
        <w:rPr>
          <w:rFonts w:ascii="Times New Roman" w:hAnsi="Times New Roman" w:cs="Times New Roman"/>
        </w:rPr>
      </w:pPr>
      <w:r w:rsidRPr="00BD5E26">
        <w:rPr>
          <w:rFonts w:ascii="Times New Roman" w:hAnsi="Times New Roman" w:cs="Times New Roman"/>
        </w:rPr>
        <w:t>Vodohospodárska výstavba, š. p.</w:t>
      </w:r>
    </w:p>
    <w:p w:rsidR="00816691" w:rsidRPr="00BD5E26" w:rsidP="00A45B67">
      <w:pPr>
        <w:pStyle w:val="ListParagraph"/>
        <w:numPr>
          <w:numId w:val="39"/>
        </w:numPr>
        <w:bidi w:val="0"/>
        <w:spacing w:after="200"/>
        <w:ind w:left="1491" w:hanging="357"/>
        <w:jc w:val="both"/>
        <w:rPr>
          <w:rFonts w:ascii="Times New Roman" w:hAnsi="Times New Roman" w:cs="Times New Roman"/>
        </w:rPr>
      </w:pPr>
      <w:r w:rsidRPr="00BD5E26">
        <w:rPr>
          <w:rFonts w:ascii="Times New Roman" w:hAnsi="Times New Roman" w:cs="Times New Roman"/>
        </w:rPr>
        <w:t>Slovenský vodohospodársky podnik, š.</w:t>
      </w:r>
      <w:r w:rsidR="00A80B1C">
        <w:rPr>
          <w:rFonts w:ascii="Times New Roman" w:hAnsi="Times New Roman" w:cs="Times New Roman"/>
        </w:rPr>
        <w:t xml:space="preserve"> </w:t>
      </w:r>
      <w:r w:rsidRPr="00BD5E26">
        <w:rPr>
          <w:rFonts w:ascii="Times New Roman" w:hAnsi="Times New Roman" w:cs="Times New Roman"/>
        </w:rPr>
        <w:t>p.</w:t>
      </w:r>
    </w:p>
    <w:p w:rsidR="00816691" w:rsidRPr="00BD5E26" w:rsidP="00A45B67">
      <w:pPr>
        <w:pStyle w:val="ListParagraph"/>
        <w:numPr>
          <w:numId w:val="39"/>
        </w:numPr>
        <w:bidi w:val="0"/>
        <w:spacing w:after="200"/>
        <w:ind w:left="1491" w:hanging="357"/>
        <w:jc w:val="both"/>
        <w:rPr>
          <w:rFonts w:ascii="Times New Roman" w:hAnsi="Times New Roman" w:cs="Times New Roman"/>
        </w:rPr>
      </w:pPr>
      <w:r w:rsidRPr="00BD5E26">
        <w:rPr>
          <w:rFonts w:ascii="Times New Roman" w:hAnsi="Times New Roman" w:cs="Times New Roman"/>
        </w:rPr>
        <w:t>Lesy Slovenskej republiky, š.</w:t>
      </w:r>
      <w:r w:rsidR="00A80B1C">
        <w:rPr>
          <w:rFonts w:ascii="Times New Roman" w:hAnsi="Times New Roman" w:cs="Times New Roman"/>
        </w:rPr>
        <w:t xml:space="preserve"> </w:t>
      </w:r>
      <w:r w:rsidRPr="00BD5E26">
        <w:rPr>
          <w:rFonts w:ascii="Times New Roman" w:hAnsi="Times New Roman" w:cs="Times New Roman"/>
        </w:rPr>
        <w:t>p.</w:t>
      </w:r>
    </w:p>
    <w:p w:rsidR="00816691" w:rsidRPr="00BD5E26" w:rsidP="00A45B67">
      <w:pPr>
        <w:pStyle w:val="ListParagraph"/>
        <w:keepLines/>
        <w:bidi w:val="0"/>
        <w:ind w:left="714"/>
        <w:jc w:val="both"/>
        <w:rPr>
          <w:rFonts w:ascii="Times New Roman" w:hAnsi="Times New Roman" w:cs="Times New Roman"/>
        </w:rPr>
      </w:pPr>
    </w:p>
    <w:p w:rsidR="00816691" w:rsidRPr="00BD5E26" w:rsidP="00A45B67">
      <w:pPr>
        <w:pStyle w:val="ListParagraph"/>
        <w:keepLines/>
        <w:numPr>
          <w:numId w:val="38"/>
        </w:numPr>
        <w:bidi w:val="0"/>
        <w:spacing w:after="200"/>
        <w:ind w:left="1066" w:hanging="357"/>
        <w:jc w:val="both"/>
        <w:rPr>
          <w:rFonts w:ascii="Times New Roman" w:hAnsi="Times New Roman" w:cs="Times New Roman"/>
        </w:rPr>
      </w:pPr>
      <w:r w:rsidRPr="00BD5E26">
        <w:rPr>
          <w:rFonts w:ascii="Times New Roman" w:hAnsi="Times New Roman" w:cs="Times New Roman"/>
        </w:rPr>
        <w:t>Podniky určené na privatizáciu alebo prenájom –</w:t>
      </w:r>
      <w:r>
        <w:rPr>
          <w:noProof/>
        </w:rPr>
        <w:pict>
          <v:shape id="Obrázok 19" o:spid="_x0000_s1033" type="#_x0000_t75" alt="Description: TXSMH2MTH86CYKA26740RQPUC" style="width:9.75pt;height:9.75pt;margin-top:0.75pt;margin-left:3.75pt;position:absolute;visibility:hidden;z-index:251658240" filled="f" stroked="f">
            <v:imagedata r:id="rId12" o:title=""/>
            <o:lock v:ext="edit" aspectratio="t"/>
          </v:shape>
        </w:pict>
      </w:r>
      <w:r w:rsidRPr="00BD5E26">
        <w:rPr>
          <w:rFonts w:ascii="Times New Roman" w:hAnsi="Times New Roman" w:cs="Times New Roman"/>
        </w:rPr>
        <w:t xml:space="preserve"> Železničná spolo</w:t>
      </w:r>
      <w:r w:rsidR="00A80B1C">
        <w:rPr>
          <w:rFonts w:ascii="Times New Roman" w:hAnsi="Times New Roman" w:cs="Times New Roman"/>
        </w:rPr>
        <w:t>čnosť Cargo,</w:t>
      </w:r>
      <w:r w:rsidRPr="00BD5E26">
        <w:rPr>
          <w:rFonts w:ascii="Times New Roman" w:hAnsi="Times New Roman" w:cs="Times New Roman"/>
        </w:rPr>
        <w:t xml:space="preserve"> </w:t>
      </w:r>
      <w:r w:rsidR="00A80B1C">
        <w:rPr>
          <w:rFonts w:ascii="Times New Roman" w:hAnsi="Times New Roman" w:cs="Times New Roman"/>
        </w:rPr>
        <w:br/>
      </w:r>
      <w:r w:rsidRPr="00BD5E26">
        <w:rPr>
          <w:rFonts w:ascii="Times New Roman" w:hAnsi="Times New Roman" w:cs="Times New Roman"/>
        </w:rPr>
        <w:t>a.</w:t>
      </w:r>
      <w:r w:rsidR="00A80B1C">
        <w:rPr>
          <w:rFonts w:ascii="Times New Roman" w:hAnsi="Times New Roman" w:cs="Times New Roman"/>
        </w:rPr>
        <w:t xml:space="preserve"> </w:t>
      </w:r>
      <w:r w:rsidRPr="00BD5E26">
        <w:rPr>
          <w:rFonts w:ascii="Times New Roman" w:hAnsi="Times New Roman" w:cs="Times New Roman"/>
        </w:rPr>
        <w:t>s., Letisko M. R. Štefánika, Bratislava, a.</w:t>
      </w:r>
      <w:r w:rsidR="00A80B1C">
        <w:rPr>
          <w:rFonts w:ascii="Times New Roman" w:hAnsi="Times New Roman" w:cs="Times New Roman"/>
        </w:rPr>
        <w:t xml:space="preserve"> </w:t>
      </w:r>
      <w:r w:rsidRPr="00BD5E26">
        <w:rPr>
          <w:rFonts w:ascii="Times New Roman" w:hAnsi="Times New Roman" w:cs="Times New Roman"/>
        </w:rPr>
        <w:t>s. a teplárenské spoločnosti.</w:t>
      </w:r>
    </w:p>
    <w:p w:rsidR="00594443" w:rsidRPr="00BD5E26" w:rsidP="00A45B67">
      <w:pPr>
        <w:pStyle w:val="ListParagraph"/>
        <w:keepLines/>
        <w:bidi w:val="0"/>
        <w:spacing w:after="200"/>
        <w:ind w:left="1066"/>
        <w:jc w:val="both"/>
        <w:rPr>
          <w:rFonts w:ascii="Times New Roman" w:hAnsi="Times New Roman" w:cs="Times New Roman"/>
        </w:rPr>
      </w:pPr>
    </w:p>
    <w:p w:rsidR="00816691" w:rsidRPr="00BD5E26" w:rsidP="00A45B67">
      <w:pPr>
        <w:pStyle w:val="ListParagraph"/>
        <w:keepLines/>
        <w:numPr>
          <w:numId w:val="38"/>
        </w:numPr>
        <w:bidi w:val="0"/>
        <w:spacing w:after="200"/>
        <w:ind w:left="1066" w:hanging="357"/>
        <w:jc w:val="both"/>
        <w:rPr>
          <w:rFonts w:ascii="Times New Roman" w:hAnsi="Times New Roman" w:cs="Times New Roman"/>
        </w:rPr>
      </w:pPr>
      <w:r w:rsidRPr="00BD5E26">
        <w:rPr>
          <w:rFonts w:ascii="Times New Roman" w:hAnsi="Times New Roman" w:cs="Times New Roman"/>
        </w:rPr>
        <w:t>Menšie štátne podniky, ako napríklad Letové prevádzkové služby SR, š. p., Hydromeliorácia, š. p., Mincovňa Kremnica, š. p.</w:t>
      </w:r>
    </w:p>
    <w:p w:rsidR="00816691" w:rsidRPr="00BD5E26" w:rsidP="00A45B67">
      <w:pPr>
        <w:bidi w:val="0"/>
        <w:ind w:firstLine="708"/>
        <w:jc w:val="both"/>
        <w:rPr>
          <w:rFonts w:ascii="Times New Roman" w:hAnsi="Times New Roman" w:cs="Times New Roman"/>
        </w:rPr>
      </w:pPr>
      <w:r w:rsidRPr="00BD5E26">
        <w:rPr>
          <w:rFonts w:ascii="Times New Roman" w:hAnsi="Times New Roman" w:cs="Times New Roman"/>
        </w:rPr>
        <w:t xml:space="preserve">V nadväznosti na vyššie uvedené je potrebné, aby vláda, Národná rada SR, ale aj široká verejnosť bola informovaná </w:t>
      </w:r>
      <w:r w:rsidRPr="00BD5E26" w:rsidR="005842E2">
        <w:rPr>
          <w:rFonts w:ascii="Times New Roman" w:hAnsi="Times New Roman" w:cs="Times New Roman"/>
        </w:rPr>
        <w:t xml:space="preserve">aj </w:t>
      </w:r>
      <w:r w:rsidRPr="00BD5E26">
        <w:rPr>
          <w:rFonts w:ascii="Times New Roman" w:hAnsi="Times New Roman" w:cs="Times New Roman"/>
        </w:rPr>
        <w:t>o tom, ako budú hospodáriť najvýznamnejšie podniky so štátnou kontrolou. Z tohto dôvodu predloží ministerstvo financií na rokovanie vlády samostatný materiál obsahujúci informácie o podnikoch s vplyvom štátu.</w:t>
      </w:r>
    </w:p>
    <w:sectPr w:rsidSect="00AB612D">
      <w:footerReference w:type="default" r:id="rId13"/>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3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Arial Narrow">
    <w:panose1 w:val="00000000000000000000"/>
    <w:charset w:val="EE"/>
    <w:family w:val="swiss"/>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09F" w:csb1="00000000"/>
  </w:font>
  <w:font w:name="Arial Black">
    <w:panose1 w:val="020B0A04020102020204"/>
    <w:charset w:val="EE"/>
    <w:family w:val="swiss"/>
    <w:pitch w:val="variable"/>
    <w:sig w:usb0="00000000" w:usb1="00000000" w:usb2="00000000" w:usb3="00000000" w:csb0="0000009F" w:csb1="00000000"/>
  </w:font>
  <w:font w:name="Verdana">
    <w:panose1 w:val="00000000000000000000"/>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AB6" w:rsidRPr="000A4CD0">
    <w:pPr>
      <w:pStyle w:val="Footer"/>
      <w:bidi w:val="0"/>
      <w:jc w:val="center"/>
      <w:rPr>
        <w:rFonts w:ascii="Times New Roman" w:hAnsi="Times New Roman"/>
      </w:rPr>
    </w:pPr>
    <w:r w:rsidRPr="000A4CD0">
      <w:rPr>
        <w:rFonts w:ascii="Times New Roman" w:hAnsi="Times New Roman"/>
      </w:rPr>
      <w:fldChar w:fldCharType="begin"/>
    </w:r>
    <w:r w:rsidRPr="000A4CD0">
      <w:rPr>
        <w:rFonts w:ascii="Times New Roman" w:hAnsi="Times New Roman"/>
      </w:rPr>
      <w:instrText>PAGE   \* MERGEFORMAT</w:instrText>
    </w:r>
    <w:r w:rsidRPr="000A4CD0">
      <w:rPr>
        <w:rFonts w:ascii="Times New Roman" w:hAnsi="Times New Roman"/>
      </w:rPr>
      <w:fldChar w:fldCharType="separate"/>
    </w:r>
    <w:r w:rsidR="009C20B1">
      <w:rPr>
        <w:rFonts w:ascii="Times New Roman" w:hAnsi="Times New Roman"/>
        <w:noProof/>
      </w:rPr>
      <w:t>1</w:t>
    </w:r>
    <w:r w:rsidRPr="000A4CD0">
      <w:rPr>
        <w:rFonts w:ascii="Times New Roman" w:hAnsi="Times New Roman"/>
      </w:rPr>
      <w:fldChar w:fldCharType="end"/>
    </w:r>
  </w:p>
  <w:p w:rsidR="00915AB6">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AFB" w:rsidP="00686060">
      <w:pPr>
        <w:bidi w:val="0"/>
      </w:pPr>
      <w:r>
        <w:separator/>
      </w:r>
    </w:p>
  </w:footnote>
  <w:footnote w:type="continuationSeparator" w:id="1">
    <w:p w:rsidR="002F0AFB" w:rsidP="00686060">
      <w:pPr>
        <w:bidi w:val="0"/>
      </w:pPr>
      <w:r>
        <w:continuationSeparator/>
      </w:r>
    </w:p>
  </w:footnote>
  <w:footnote w:id="2">
    <w:p w:rsidP="004E1ACF">
      <w:pPr>
        <w:pStyle w:val="FootnoteText"/>
        <w:bidi w:val="0"/>
        <w:ind w:left="142" w:hanging="142"/>
        <w:jc w:val="both"/>
        <w:rPr>
          <w:rFonts w:ascii="Times New Roman" w:hAnsi="Times New Roman"/>
        </w:rPr>
      </w:pPr>
      <w:r w:rsidR="00915AB6">
        <w:rPr>
          <w:rStyle w:val="FootnoteReference"/>
          <w:rFonts w:ascii="Times New Roman" w:hAnsi="Times New Roman"/>
          <w:sz w:val="18"/>
        </w:rPr>
        <w:footnoteRef/>
      </w:r>
      <w:r w:rsidR="00915AB6">
        <w:rPr>
          <w:rFonts w:ascii="Times New Roman" w:hAnsi="Times New Roman"/>
          <w:sz w:val="18"/>
        </w:rPr>
        <w:t xml:space="preserve">  V programovom vyhlásení vlády SR na obdobie rokov 2010 – 2014 sa uvádza: „Zásadným cieľom vlády SR je zníženie deficitu verejných financií pod úroveň 3 % hrubého domáceho produktu v roku 2013 tak, aby Slovensko dodržalo svoje záväzky voči Európskej únii vyplývajúce z Paktu stability a rastu.“</w:t>
      </w:r>
    </w:p>
  </w:footnote>
  <w:footnote w:id="3">
    <w:p w:rsidP="00FE4FF6">
      <w:pPr>
        <w:pStyle w:val="FootnoteText"/>
        <w:bidi w:val="0"/>
        <w:ind w:left="180" w:hanging="180"/>
        <w:jc w:val="both"/>
        <w:rPr>
          <w:rFonts w:ascii="Times New Roman" w:hAnsi="Times New Roman"/>
        </w:rPr>
      </w:pPr>
      <w:r w:rsidRPr="00DD5735" w:rsidR="00915AB6">
        <w:rPr>
          <w:rStyle w:val="FootnoteReference"/>
          <w:rFonts w:ascii="Arial Narrow" w:hAnsi="Arial Narrow" w:cs="Arial Narrow"/>
          <w:sz w:val="18"/>
          <w:szCs w:val="18"/>
        </w:rPr>
        <w:footnoteRef/>
      </w:r>
      <w:r w:rsidRPr="00DD5735" w:rsidR="00915AB6">
        <w:rPr>
          <w:rFonts w:ascii="Arial Narrow" w:hAnsi="Arial Narrow" w:cs="Arial Narrow"/>
          <w:sz w:val="18"/>
          <w:szCs w:val="18"/>
        </w:rPr>
        <w:t xml:space="preserve"> </w:t>
        <w:tab/>
      </w:r>
      <w:r w:rsidRPr="000C0E95" w:rsidR="00915AB6">
        <w:rPr>
          <w:rFonts w:ascii="Times New Roman" w:hAnsi="Times New Roman"/>
          <w:sz w:val="18"/>
          <w:szCs w:val="18"/>
        </w:rPr>
        <w:t xml:space="preserve">Všetky uvádzané hodnoty sú počítané v metodike, ktorá sa používa pri posudzovaní plnenia maastrichtského kritéria pre výšku hrubého dlhu verejnej správy – tzv. maastrichtský hrubý dlh verejnej správy. </w:t>
      </w:r>
    </w:p>
  </w:footnote>
  <w:footnote w:id="4">
    <w:p w:rsidP="000A6169">
      <w:pPr>
        <w:pStyle w:val="FootnoteText"/>
        <w:bidi w:val="0"/>
        <w:ind w:left="142" w:hanging="142"/>
        <w:jc w:val="both"/>
        <w:rPr>
          <w:rFonts w:ascii="Times New Roman" w:hAnsi="Times New Roman"/>
        </w:rPr>
      </w:pPr>
      <w:r w:rsidRPr="00485AC0" w:rsidR="00915AB6">
        <w:rPr>
          <w:rStyle w:val="FootnoteReference"/>
          <w:rFonts w:ascii="Times New Roman" w:hAnsi="Times New Roman"/>
          <w:sz w:val="18"/>
        </w:rPr>
        <w:footnoteRef/>
      </w:r>
      <w:r w:rsidRPr="00485AC0" w:rsidR="00915AB6">
        <w:rPr>
          <w:rFonts w:ascii="Times New Roman" w:hAnsi="Times New Roman"/>
          <w:sz w:val="18"/>
        </w:rPr>
        <w:t xml:space="preserve"> </w:t>
      </w:r>
      <w:r w:rsidR="00915AB6">
        <w:rPr>
          <w:rFonts w:ascii="Times New Roman" w:hAnsi="Times New Roman"/>
          <w:sz w:val="18"/>
        </w:rPr>
        <w:t xml:space="preserve"> </w:t>
      </w:r>
      <w:r w:rsidRPr="00485AC0" w:rsidR="00915AB6">
        <w:rPr>
          <w:rFonts w:ascii="Times New Roman" w:hAnsi="Times New Roman"/>
          <w:sz w:val="18"/>
        </w:rPr>
        <w:t>Pri posudzovaní je nutné celkový vplyv upraviť o výšku dodatočných príjmov vyplývajúcich z osobitného legislatívneho riešenia ozbrojených zložiek. Dodatočný výnos z daní (zahrnutý v celkovom vplyve) je totiž kompenzovaný navýšením ich miezd tak, aby vplyv na ich čisté príjmy bol približne nulový s neutrálnym vplyvom na saldo verejnej správy.</w:t>
      </w:r>
    </w:p>
  </w:footnote>
  <w:footnote w:id="5">
    <w:p w:rsidR="00915AB6" w:rsidRPr="00A14AA2" w:rsidP="00A14AA2">
      <w:pPr>
        <w:bidi w:val="0"/>
        <w:ind w:left="142" w:hanging="142"/>
        <w:jc w:val="both"/>
        <w:rPr>
          <w:rFonts w:ascii="Times New Roman" w:hAnsi="Times New Roman" w:cs="Times New Roman"/>
          <w:sz w:val="18"/>
          <w:szCs w:val="20"/>
        </w:rPr>
      </w:pPr>
      <w:r w:rsidRPr="00A14AA2">
        <w:rPr>
          <w:rStyle w:val="FootnoteReference"/>
          <w:rFonts w:ascii="Times New Roman" w:hAnsi="Times New Roman" w:cs="Times New Roman"/>
          <w:sz w:val="18"/>
          <w:szCs w:val="20"/>
        </w:rPr>
        <w:footnoteRef/>
      </w:r>
      <w:r w:rsidRPr="00A14AA2">
        <w:rPr>
          <w:rFonts w:ascii="Times New Roman" w:hAnsi="Times New Roman" w:cs="Times New Roman"/>
          <w:sz w:val="18"/>
          <w:szCs w:val="20"/>
        </w:rPr>
        <w:t xml:space="preserve"> </w:t>
      </w:r>
      <w:r>
        <w:rPr>
          <w:rFonts w:ascii="Times New Roman" w:hAnsi="Times New Roman" w:cs="Times New Roman"/>
          <w:sz w:val="18"/>
          <w:szCs w:val="20"/>
        </w:rPr>
        <w:t xml:space="preserve"> </w:t>
      </w:r>
      <w:r w:rsidRPr="00A14AA2">
        <w:rPr>
          <w:rFonts w:ascii="Times New Roman" w:hAnsi="Times New Roman" w:cs="Times New Roman"/>
          <w:sz w:val="18"/>
          <w:szCs w:val="20"/>
        </w:rPr>
        <w:t>Daňové a odvodové príjmy VS nie sú totožné s výškou daní na HDP v predchádzajúcej kapitole z dôvodu očistenia o tú časť daní a odvodov, ktoré v zmysle ekonomickej klasifikácie patria do nedaňových príjmov (napr. niektoré poplatky) alebo predstavujú transfer zo štátneho rozpočtu do Sociálnej poisťovne a zdravotných poisťovní (platba za poistencov štátu).</w:t>
      </w:r>
    </w:p>
    <w:p w:rsidP="00A14AA2">
      <w:pPr>
        <w:bidi w:val="0"/>
        <w:ind w:left="142" w:hanging="142"/>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466"/>
    <w:multiLevelType w:val="multilevel"/>
    <w:tmpl w:val="D50A9344"/>
    <w:lvl w:ilvl="0">
      <w:start w:val="5"/>
      <w:numFmt w:val="decimal"/>
      <w:lvlText w:val="%1."/>
      <w:lvlJc w:val="left"/>
      <w:pPr>
        <w:ind w:left="540" w:hanging="540"/>
      </w:pPr>
      <w:rPr>
        <w:rFonts w:cs="Times New Roman" w:hint="default"/>
        <w:rtl w:val="0"/>
        <w:cs w:val="0"/>
      </w:rPr>
    </w:lvl>
    <w:lvl w:ilvl="1">
      <w:start w:val="2"/>
      <w:numFmt w:val="decimal"/>
      <w:lvlText w:val="%1.%2."/>
      <w:lvlJc w:val="left"/>
      <w:pPr>
        <w:ind w:left="720" w:hanging="540"/>
      </w:pPr>
      <w:rPr>
        <w:rFonts w:cs="Times New Roman" w:hint="default"/>
        <w:rtl w:val="0"/>
        <w:cs w:val="0"/>
      </w:rPr>
    </w:lvl>
    <w:lvl w:ilvl="2">
      <w:start w:val="1"/>
      <w:numFmt w:val="decimal"/>
      <w:lvlText w:val="%1.%2.%3."/>
      <w:lvlJc w:val="left"/>
      <w:pPr>
        <w:ind w:left="1080" w:hanging="720"/>
      </w:pPr>
      <w:rPr>
        <w:rFonts w:cs="Times New Roman" w:hint="default"/>
        <w:rtl w:val="0"/>
        <w:cs w:val="0"/>
      </w:rPr>
    </w:lvl>
    <w:lvl w:ilvl="3">
      <w:start w:val="1"/>
      <w:numFmt w:val="decimal"/>
      <w:lvlText w:val="%1.%2.%3.%4."/>
      <w:lvlJc w:val="left"/>
      <w:pPr>
        <w:ind w:left="1260" w:hanging="720"/>
      </w:pPr>
      <w:rPr>
        <w:rFonts w:cs="Times New Roman" w:hint="default"/>
        <w:rtl w:val="0"/>
        <w:cs w:val="0"/>
      </w:rPr>
    </w:lvl>
    <w:lvl w:ilvl="4">
      <w:start w:val="1"/>
      <w:numFmt w:val="decimal"/>
      <w:lvlText w:val="%1.%2.%3.%4.%5."/>
      <w:lvlJc w:val="left"/>
      <w:pPr>
        <w:ind w:left="1800" w:hanging="1080"/>
      </w:pPr>
      <w:rPr>
        <w:rFonts w:cs="Times New Roman" w:hint="default"/>
        <w:rtl w:val="0"/>
        <w:cs w:val="0"/>
      </w:rPr>
    </w:lvl>
    <w:lvl w:ilvl="5">
      <w:start w:val="1"/>
      <w:numFmt w:val="decimal"/>
      <w:lvlText w:val="%1.%2.%3.%4.%5.%6."/>
      <w:lvlJc w:val="left"/>
      <w:pPr>
        <w:ind w:left="1980" w:hanging="1080"/>
      </w:pPr>
      <w:rPr>
        <w:rFonts w:cs="Times New Roman" w:hint="default"/>
        <w:rtl w:val="0"/>
        <w:cs w:val="0"/>
      </w:rPr>
    </w:lvl>
    <w:lvl w:ilvl="6">
      <w:start w:val="1"/>
      <w:numFmt w:val="decimal"/>
      <w:lvlText w:val="%1.%2.%3.%4.%5.%6.%7."/>
      <w:lvlJc w:val="left"/>
      <w:pPr>
        <w:ind w:left="2520" w:hanging="1440"/>
      </w:pPr>
      <w:rPr>
        <w:rFonts w:cs="Times New Roman" w:hint="default"/>
        <w:rtl w:val="0"/>
        <w:cs w:val="0"/>
      </w:rPr>
    </w:lvl>
    <w:lvl w:ilvl="7">
      <w:start w:val="1"/>
      <w:numFmt w:val="decimal"/>
      <w:lvlText w:val="%1.%2.%3.%4.%5.%6.%7.%8."/>
      <w:lvlJc w:val="left"/>
      <w:pPr>
        <w:ind w:left="2700" w:hanging="1440"/>
      </w:pPr>
      <w:rPr>
        <w:rFonts w:cs="Times New Roman" w:hint="default"/>
        <w:rtl w:val="0"/>
        <w:cs w:val="0"/>
      </w:rPr>
    </w:lvl>
    <w:lvl w:ilvl="8">
      <w:start w:val="1"/>
      <w:numFmt w:val="decimal"/>
      <w:lvlText w:val="%1.%2.%3.%4.%5.%6.%7.%8.%9."/>
      <w:lvlJc w:val="left"/>
      <w:pPr>
        <w:ind w:left="3240" w:hanging="1800"/>
      </w:pPr>
      <w:rPr>
        <w:rFonts w:cs="Times New Roman" w:hint="default"/>
        <w:rtl w:val="0"/>
        <w:cs w:val="0"/>
      </w:rPr>
    </w:lvl>
  </w:abstractNum>
  <w:abstractNum w:abstractNumId="1">
    <w:nsid w:val="026B74D5"/>
    <w:multiLevelType w:val="hybridMultilevel"/>
    <w:tmpl w:val="D7A6BE08"/>
    <w:lvl w:ilvl="0">
      <w:start w:val="0"/>
      <w:numFmt w:val="bullet"/>
      <w:lvlText w:val="-"/>
      <w:lvlJc w:val="left"/>
      <w:pPr>
        <w:tabs>
          <w:tab w:val="num" w:pos="2160"/>
        </w:tabs>
        <w:ind w:left="2160" w:hanging="360"/>
      </w:pPr>
      <w:rPr>
        <w:rFonts w:ascii="Arial Narrow" w:eastAsia="Times New Roman" w:hAnsi="Arial Narro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2AA5673"/>
    <w:multiLevelType w:val="hybridMultilevel"/>
    <w:tmpl w:val="8A1CD8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51D6AE0"/>
    <w:multiLevelType w:val="hybridMultilevel"/>
    <w:tmpl w:val="C242FD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71018BB"/>
    <w:multiLevelType w:val="hybridMultilevel"/>
    <w:tmpl w:val="EF66E602"/>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5">
    <w:nsid w:val="09B930B4"/>
    <w:multiLevelType w:val="hybridMultilevel"/>
    <w:tmpl w:val="3CB8B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1ED5D05"/>
    <w:multiLevelType w:val="hybridMultilevel"/>
    <w:tmpl w:val="935EE88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77B7C02"/>
    <w:multiLevelType w:val="hybridMultilevel"/>
    <w:tmpl w:val="B8D0AFA8"/>
    <w:lvl w:ilvl="0">
      <w:start w:val="0"/>
      <w:numFmt w:val="bullet"/>
      <w:lvlText w:val="-"/>
      <w:lvlJc w:val="left"/>
      <w:pPr>
        <w:ind w:left="785" w:hanging="360"/>
      </w:pPr>
      <w:rPr>
        <w:rFonts w:ascii="Times New Roman" w:eastAsia="Times New Roman" w:hAnsi="Times New Roman" w:hint="default"/>
        <w:b/>
      </w:rPr>
    </w:lvl>
    <w:lvl w:ilvl="1">
      <w:start w:val="1"/>
      <w:numFmt w:val="bullet"/>
      <w:lvlText w:val="o"/>
      <w:lvlJc w:val="left"/>
      <w:pPr>
        <w:ind w:left="1505" w:hanging="360"/>
      </w:pPr>
      <w:rPr>
        <w:rFonts w:ascii="Courier New" w:hAnsi="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hint="default"/>
      </w:rPr>
    </w:lvl>
    <w:lvl w:ilvl="8">
      <w:start w:val="1"/>
      <w:numFmt w:val="bullet"/>
      <w:lvlText w:val=""/>
      <w:lvlJc w:val="left"/>
      <w:pPr>
        <w:ind w:left="6545" w:hanging="360"/>
      </w:pPr>
      <w:rPr>
        <w:rFonts w:ascii="Wingdings" w:hAnsi="Wingdings" w:hint="default"/>
      </w:rPr>
    </w:lvl>
  </w:abstractNum>
  <w:abstractNum w:abstractNumId="8">
    <w:nsid w:val="17BB0C1F"/>
    <w:multiLevelType w:val="hybridMultilevel"/>
    <w:tmpl w:val="8C2CE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8620B0D"/>
    <w:multiLevelType w:val="hybridMultilevel"/>
    <w:tmpl w:val="1BBEB256"/>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7F92D25"/>
    <w:multiLevelType w:val="hybridMultilevel"/>
    <w:tmpl w:val="632632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82A1C9E"/>
    <w:multiLevelType w:val="hybridMultilevel"/>
    <w:tmpl w:val="187822B6"/>
    <w:lvl w:ilvl="0">
      <w:start w:val="108"/>
      <w:numFmt w:val="bullet"/>
      <w:lvlText w:val="-"/>
      <w:lvlJc w:val="left"/>
      <w:pPr>
        <w:tabs>
          <w:tab w:val="num" w:pos="720"/>
        </w:tabs>
        <w:ind w:left="720" w:hanging="360"/>
      </w:pPr>
      <w:rPr>
        <w:rFonts w:ascii="Arial Narrow" w:eastAsia="Times New Roman" w:hAnsi="Arial Narro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86E3F5C"/>
    <w:multiLevelType w:val="hybridMultilevel"/>
    <w:tmpl w:val="89260AA8"/>
    <w:lvl w:ilvl="0">
      <w:start w:val="1"/>
      <w:numFmt w:val="upp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3">
    <w:nsid w:val="29CB06A8"/>
    <w:multiLevelType w:val="hybridMultilevel"/>
    <w:tmpl w:val="122C83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F7F5CEE"/>
    <w:multiLevelType w:val="hybridMultilevel"/>
    <w:tmpl w:val="9F529F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2FD36F33"/>
    <w:multiLevelType w:val="hybridMultilevel"/>
    <w:tmpl w:val="7E54EA8C"/>
    <w:lvl w:ilvl="0">
      <w:start w:val="3"/>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5721159"/>
    <w:multiLevelType w:val="hybridMultilevel"/>
    <w:tmpl w:val="F970EE12"/>
    <w:lvl w:ilvl="0">
      <w:start w:val="0"/>
      <w:numFmt w:val="bullet"/>
      <w:lvlText w:val="-"/>
      <w:lvlJc w:val="left"/>
      <w:pPr>
        <w:ind w:left="405" w:hanging="360"/>
      </w:pPr>
      <w:rPr>
        <w:rFonts w:ascii="Arial Narrow" w:eastAsia="Times New Roman" w:hAnsi="Arial Narrow" w:hint="default"/>
      </w:rPr>
    </w:lvl>
    <w:lvl w:ilvl="1">
      <w:start w:val="1"/>
      <w:numFmt w:val="bullet"/>
      <w:lvlText w:val="o"/>
      <w:lvlJc w:val="left"/>
      <w:pPr>
        <w:ind w:left="1125" w:hanging="360"/>
      </w:pPr>
      <w:rPr>
        <w:rFonts w:ascii="Courier New" w:hAnsi="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hint="default"/>
      </w:rPr>
    </w:lvl>
    <w:lvl w:ilvl="8">
      <w:start w:val="1"/>
      <w:numFmt w:val="bullet"/>
      <w:lvlText w:val=""/>
      <w:lvlJc w:val="left"/>
      <w:pPr>
        <w:ind w:left="6165" w:hanging="360"/>
      </w:pPr>
      <w:rPr>
        <w:rFonts w:ascii="Wingdings" w:hAnsi="Wingdings" w:hint="default"/>
      </w:rPr>
    </w:lvl>
  </w:abstractNum>
  <w:abstractNum w:abstractNumId="17">
    <w:nsid w:val="3D3F5E22"/>
    <w:multiLevelType w:val="hybridMultilevel"/>
    <w:tmpl w:val="F07EB1A0"/>
    <w:lvl w:ilvl="0">
      <w:start w:val="0"/>
      <w:numFmt w:val="bullet"/>
      <w:lvlText w:val="-"/>
      <w:lvlJc w:val="left"/>
      <w:pPr>
        <w:tabs>
          <w:tab w:val="num" w:pos="420"/>
        </w:tabs>
        <w:ind w:left="4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3C06612"/>
    <w:multiLevelType w:val="hybridMultilevel"/>
    <w:tmpl w:val="3FA2ACF2"/>
    <w:lvl w:ilvl="0">
      <w:start w:val="0"/>
      <w:numFmt w:val="bullet"/>
      <w:lvlText w:val="–"/>
      <w:lvlJc w:val="left"/>
      <w:pPr>
        <w:ind w:left="1428" w:hanging="360"/>
      </w:pPr>
      <w:rPr>
        <w:rFonts w:ascii="Arial Narrow" w:eastAsia="Times New Roman" w:hAnsi="Arial Narrow"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9">
    <w:nsid w:val="45371D6B"/>
    <w:multiLevelType w:val="hybridMultilevel"/>
    <w:tmpl w:val="8668BE9C"/>
    <w:lvl w:ilvl="0">
      <w:start w:val="10"/>
      <w:numFmt w:val="bullet"/>
      <w:lvlText w:val="-"/>
      <w:lvlJc w:val="left"/>
      <w:pPr>
        <w:ind w:left="1069" w:hanging="360"/>
      </w:pPr>
      <w:rPr>
        <w:rFonts w:ascii="Times New Roman" w:eastAsia="Calibri" w:hAnsi="Times New Roman"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0">
    <w:nsid w:val="485A62F1"/>
    <w:multiLevelType w:val="hybridMultilevel"/>
    <w:tmpl w:val="24448F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C8263C4"/>
    <w:multiLevelType w:val="hybridMultilevel"/>
    <w:tmpl w:val="1C2AC3B6"/>
    <w:lvl w:ilvl="0">
      <w:start w:val="3"/>
      <w:numFmt w:val="bullet"/>
      <w:lvlText w:val=""/>
      <w:lvlJc w:val="left"/>
      <w:pPr>
        <w:ind w:left="1080" w:hanging="360"/>
      </w:pPr>
      <w:rPr>
        <w:rFonts w:ascii="Symbol" w:eastAsia="Times New Roman"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2">
    <w:nsid w:val="4EE44FA0"/>
    <w:multiLevelType w:val="multilevel"/>
    <w:tmpl w:val="E1007C50"/>
    <w:lvl w:ilvl="0">
      <w:start w:val="5"/>
      <w:numFmt w:val="decimal"/>
      <w:lvlText w:val="%1."/>
      <w:lvlJc w:val="left"/>
      <w:pPr>
        <w:ind w:left="540" w:hanging="540"/>
      </w:pPr>
      <w:rPr>
        <w:rFonts w:cs="Times New Roman" w:hint="default"/>
        <w:rtl w:val="0"/>
        <w:cs w:val="0"/>
      </w:rPr>
    </w:lvl>
    <w:lvl w:ilvl="1">
      <w:start w:val="2"/>
      <w:numFmt w:val="decimal"/>
      <w:lvlText w:val="%1.%2."/>
      <w:lvlJc w:val="left"/>
      <w:pPr>
        <w:ind w:left="720" w:hanging="540"/>
      </w:pPr>
      <w:rPr>
        <w:rFonts w:cs="Times New Roman" w:hint="default"/>
        <w:rtl w:val="0"/>
        <w:cs w:val="0"/>
      </w:rPr>
    </w:lvl>
    <w:lvl w:ilvl="2">
      <w:start w:val="1"/>
      <w:numFmt w:val="decimal"/>
      <w:lvlText w:val="%1.%2.%3."/>
      <w:lvlJc w:val="left"/>
      <w:pPr>
        <w:ind w:left="1080" w:hanging="720"/>
      </w:pPr>
      <w:rPr>
        <w:rFonts w:cs="Times New Roman" w:hint="default"/>
        <w:rtl w:val="0"/>
        <w:cs w:val="0"/>
      </w:rPr>
    </w:lvl>
    <w:lvl w:ilvl="3">
      <w:start w:val="1"/>
      <w:numFmt w:val="decimal"/>
      <w:lvlText w:val="%1.%2.%3.%4."/>
      <w:lvlJc w:val="left"/>
      <w:pPr>
        <w:ind w:left="1260" w:hanging="720"/>
      </w:pPr>
      <w:rPr>
        <w:rFonts w:cs="Times New Roman" w:hint="default"/>
        <w:rtl w:val="0"/>
        <w:cs w:val="0"/>
      </w:rPr>
    </w:lvl>
    <w:lvl w:ilvl="4">
      <w:start w:val="1"/>
      <w:numFmt w:val="decimal"/>
      <w:lvlText w:val="%1.%2.%3.%4.%5."/>
      <w:lvlJc w:val="left"/>
      <w:pPr>
        <w:ind w:left="1800" w:hanging="1080"/>
      </w:pPr>
      <w:rPr>
        <w:rFonts w:cs="Times New Roman" w:hint="default"/>
        <w:rtl w:val="0"/>
        <w:cs w:val="0"/>
      </w:rPr>
    </w:lvl>
    <w:lvl w:ilvl="5">
      <w:start w:val="1"/>
      <w:numFmt w:val="decimal"/>
      <w:lvlText w:val="%1.%2.%3.%4.%5.%6."/>
      <w:lvlJc w:val="left"/>
      <w:pPr>
        <w:ind w:left="1980" w:hanging="1080"/>
      </w:pPr>
      <w:rPr>
        <w:rFonts w:cs="Times New Roman" w:hint="default"/>
        <w:rtl w:val="0"/>
        <w:cs w:val="0"/>
      </w:rPr>
    </w:lvl>
    <w:lvl w:ilvl="6">
      <w:start w:val="1"/>
      <w:numFmt w:val="decimal"/>
      <w:lvlText w:val="%1.%2.%3.%4.%5.%6.%7."/>
      <w:lvlJc w:val="left"/>
      <w:pPr>
        <w:ind w:left="2520" w:hanging="1440"/>
      </w:pPr>
      <w:rPr>
        <w:rFonts w:cs="Times New Roman" w:hint="default"/>
        <w:rtl w:val="0"/>
        <w:cs w:val="0"/>
      </w:rPr>
    </w:lvl>
    <w:lvl w:ilvl="7">
      <w:start w:val="1"/>
      <w:numFmt w:val="decimal"/>
      <w:lvlText w:val="%1.%2.%3.%4.%5.%6.%7.%8."/>
      <w:lvlJc w:val="left"/>
      <w:pPr>
        <w:ind w:left="2700" w:hanging="1440"/>
      </w:pPr>
      <w:rPr>
        <w:rFonts w:cs="Times New Roman" w:hint="default"/>
        <w:rtl w:val="0"/>
        <w:cs w:val="0"/>
      </w:rPr>
    </w:lvl>
    <w:lvl w:ilvl="8">
      <w:start w:val="1"/>
      <w:numFmt w:val="decimal"/>
      <w:lvlText w:val="%1.%2.%3.%4.%5.%6.%7.%8.%9."/>
      <w:lvlJc w:val="left"/>
      <w:pPr>
        <w:ind w:left="3240" w:hanging="1800"/>
      </w:pPr>
      <w:rPr>
        <w:rFonts w:cs="Times New Roman" w:hint="default"/>
        <w:rtl w:val="0"/>
        <w:cs w:val="0"/>
      </w:rPr>
    </w:lvl>
  </w:abstractNum>
  <w:abstractNum w:abstractNumId="23">
    <w:nsid w:val="524904AE"/>
    <w:multiLevelType w:val="hybridMultilevel"/>
    <w:tmpl w:val="2FA65E5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46F741F"/>
    <w:multiLevelType w:val="hybridMultilevel"/>
    <w:tmpl w:val="025270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55973D4E"/>
    <w:multiLevelType w:val="hybridMultilevel"/>
    <w:tmpl w:val="37FADFEA"/>
    <w:lvl w:ilvl="0">
      <w:start w:val="1"/>
      <w:numFmt w:val="upp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6">
    <w:nsid w:val="56CD4BE6"/>
    <w:multiLevelType w:val="hybridMultilevel"/>
    <w:tmpl w:val="D58841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74A6EF4"/>
    <w:multiLevelType w:val="hybridMultilevel"/>
    <w:tmpl w:val="CC406CF8"/>
    <w:lvl w:ilvl="0">
      <w:start w:val="1"/>
      <w:numFmt w:val="bullet"/>
      <w:lvlText w:val=""/>
      <w:lvlJc w:val="left"/>
      <w:pPr>
        <w:ind w:left="1434" w:hanging="360"/>
      </w:pPr>
      <w:rPr>
        <w:rFonts w:ascii="Symbol" w:hAnsi="Symbol" w:hint="default"/>
      </w:rPr>
    </w:lvl>
    <w:lvl w:ilvl="1">
      <w:start w:val="1"/>
      <w:numFmt w:val="bullet"/>
      <w:lvlText w:val="o"/>
      <w:lvlJc w:val="left"/>
      <w:pPr>
        <w:ind w:left="2154" w:hanging="360"/>
      </w:pPr>
      <w:rPr>
        <w:rFonts w:ascii="Courier New" w:hAnsi="Courier New" w:hint="default"/>
      </w:rPr>
    </w:lvl>
    <w:lvl w:ilvl="2">
      <w:start w:val="1"/>
      <w:numFmt w:val="bullet"/>
      <w:lvlText w:val=""/>
      <w:lvlJc w:val="left"/>
      <w:pPr>
        <w:ind w:left="2874" w:hanging="360"/>
      </w:pPr>
      <w:rPr>
        <w:rFonts w:ascii="Wingdings" w:hAnsi="Wingdings" w:hint="default"/>
      </w:rPr>
    </w:lvl>
    <w:lvl w:ilvl="3">
      <w:start w:val="1"/>
      <w:numFmt w:val="bullet"/>
      <w:lvlText w:val=""/>
      <w:lvlJc w:val="left"/>
      <w:pPr>
        <w:ind w:left="3594" w:hanging="360"/>
      </w:pPr>
      <w:rPr>
        <w:rFonts w:ascii="Symbol" w:hAnsi="Symbol" w:hint="default"/>
      </w:rPr>
    </w:lvl>
    <w:lvl w:ilvl="4">
      <w:start w:val="1"/>
      <w:numFmt w:val="bullet"/>
      <w:lvlText w:val="o"/>
      <w:lvlJc w:val="left"/>
      <w:pPr>
        <w:ind w:left="4314" w:hanging="360"/>
      </w:pPr>
      <w:rPr>
        <w:rFonts w:ascii="Courier New" w:hAnsi="Courier New" w:hint="default"/>
      </w:rPr>
    </w:lvl>
    <w:lvl w:ilvl="5">
      <w:start w:val="1"/>
      <w:numFmt w:val="bullet"/>
      <w:lvlText w:val=""/>
      <w:lvlJc w:val="left"/>
      <w:pPr>
        <w:ind w:left="5034" w:hanging="360"/>
      </w:pPr>
      <w:rPr>
        <w:rFonts w:ascii="Wingdings" w:hAnsi="Wingdings" w:hint="default"/>
      </w:rPr>
    </w:lvl>
    <w:lvl w:ilvl="6">
      <w:start w:val="1"/>
      <w:numFmt w:val="bullet"/>
      <w:lvlText w:val=""/>
      <w:lvlJc w:val="left"/>
      <w:pPr>
        <w:ind w:left="5754" w:hanging="360"/>
      </w:pPr>
      <w:rPr>
        <w:rFonts w:ascii="Symbol" w:hAnsi="Symbol" w:hint="default"/>
      </w:rPr>
    </w:lvl>
    <w:lvl w:ilvl="7">
      <w:start w:val="1"/>
      <w:numFmt w:val="bullet"/>
      <w:lvlText w:val="o"/>
      <w:lvlJc w:val="left"/>
      <w:pPr>
        <w:ind w:left="6474" w:hanging="360"/>
      </w:pPr>
      <w:rPr>
        <w:rFonts w:ascii="Courier New" w:hAnsi="Courier New" w:hint="default"/>
      </w:rPr>
    </w:lvl>
    <w:lvl w:ilvl="8">
      <w:start w:val="1"/>
      <w:numFmt w:val="bullet"/>
      <w:lvlText w:val=""/>
      <w:lvlJc w:val="left"/>
      <w:pPr>
        <w:ind w:left="7194" w:hanging="360"/>
      </w:pPr>
      <w:rPr>
        <w:rFonts w:ascii="Wingdings" w:hAnsi="Wingdings" w:hint="default"/>
      </w:rPr>
    </w:lvl>
  </w:abstractNum>
  <w:abstractNum w:abstractNumId="28">
    <w:nsid w:val="5B047193"/>
    <w:multiLevelType w:val="hybridMultilevel"/>
    <w:tmpl w:val="AC28E91C"/>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9">
    <w:nsid w:val="5E912367"/>
    <w:multiLevelType w:val="hybridMultilevel"/>
    <w:tmpl w:val="DCD8E2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EE540A5"/>
    <w:multiLevelType w:val="hybridMultilevel"/>
    <w:tmpl w:val="DCC05478"/>
    <w:lvl w:ilvl="0">
      <w:start w:val="1"/>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1CD3531"/>
    <w:multiLevelType w:val="hybridMultilevel"/>
    <w:tmpl w:val="59347A6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3922AE8"/>
    <w:multiLevelType w:val="hybridMultilevel"/>
    <w:tmpl w:val="AAB2FDE6"/>
    <w:lvl w:ilvl="0">
      <w:start w:val="1"/>
      <w:numFmt w:val="upp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3">
    <w:nsid w:val="6B8A5DCD"/>
    <w:multiLevelType w:val="hybridMultilevel"/>
    <w:tmpl w:val="85A4830E"/>
    <w:lvl w:ilvl="0">
      <w:start w:val="4"/>
      <w:numFmt w:val="bullet"/>
      <w:lvlText w:val="-"/>
      <w:lvlJc w:val="left"/>
      <w:pPr>
        <w:ind w:left="1068" w:hanging="360"/>
      </w:pPr>
      <w:rPr>
        <w:rFonts w:ascii="Arial Narrow" w:eastAsia="Times New Roman" w:hAnsi="Arial Narrow"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34">
    <w:nsid w:val="6C570B54"/>
    <w:multiLevelType w:val="hybridMultilevel"/>
    <w:tmpl w:val="9564B662"/>
    <w:lvl w:ilvl="0">
      <w:start w:val="1"/>
      <w:numFmt w:val="bullet"/>
      <w:lvlText w:val=""/>
      <w:lvlJc w:val="left"/>
      <w:pPr>
        <w:ind w:left="1434" w:hanging="360"/>
      </w:pPr>
      <w:rPr>
        <w:rFonts w:ascii="Symbol" w:hAnsi="Symbol" w:hint="default"/>
      </w:rPr>
    </w:lvl>
    <w:lvl w:ilvl="1">
      <w:start w:val="1"/>
      <w:numFmt w:val="bullet"/>
      <w:lvlText w:val="o"/>
      <w:lvlJc w:val="left"/>
      <w:pPr>
        <w:ind w:left="2154" w:hanging="360"/>
      </w:pPr>
      <w:rPr>
        <w:rFonts w:ascii="Courier New" w:hAnsi="Courier New" w:hint="default"/>
      </w:rPr>
    </w:lvl>
    <w:lvl w:ilvl="2">
      <w:start w:val="1"/>
      <w:numFmt w:val="bullet"/>
      <w:lvlText w:val=""/>
      <w:lvlJc w:val="left"/>
      <w:pPr>
        <w:ind w:left="2874" w:hanging="360"/>
      </w:pPr>
      <w:rPr>
        <w:rFonts w:ascii="Wingdings" w:hAnsi="Wingdings" w:hint="default"/>
      </w:rPr>
    </w:lvl>
    <w:lvl w:ilvl="3">
      <w:start w:val="1"/>
      <w:numFmt w:val="bullet"/>
      <w:lvlText w:val=""/>
      <w:lvlJc w:val="left"/>
      <w:pPr>
        <w:ind w:left="3594" w:hanging="360"/>
      </w:pPr>
      <w:rPr>
        <w:rFonts w:ascii="Symbol" w:hAnsi="Symbol" w:hint="default"/>
      </w:rPr>
    </w:lvl>
    <w:lvl w:ilvl="4">
      <w:start w:val="1"/>
      <w:numFmt w:val="bullet"/>
      <w:lvlText w:val="o"/>
      <w:lvlJc w:val="left"/>
      <w:pPr>
        <w:ind w:left="4314" w:hanging="360"/>
      </w:pPr>
      <w:rPr>
        <w:rFonts w:ascii="Courier New" w:hAnsi="Courier New" w:hint="default"/>
      </w:rPr>
    </w:lvl>
    <w:lvl w:ilvl="5">
      <w:start w:val="1"/>
      <w:numFmt w:val="bullet"/>
      <w:lvlText w:val=""/>
      <w:lvlJc w:val="left"/>
      <w:pPr>
        <w:ind w:left="5034" w:hanging="360"/>
      </w:pPr>
      <w:rPr>
        <w:rFonts w:ascii="Wingdings" w:hAnsi="Wingdings" w:hint="default"/>
      </w:rPr>
    </w:lvl>
    <w:lvl w:ilvl="6">
      <w:start w:val="1"/>
      <w:numFmt w:val="bullet"/>
      <w:lvlText w:val=""/>
      <w:lvlJc w:val="left"/>
      <w:pPr>
        <w:ind w:left="5754" w:hanging="360"/>
      </w:pPr>
      <w:rPr>
        <w:rFonts w:ascii="Symbol" w:hAnsi="Symbol" w:hint="default"/>
      </w:rPr>
    </w:lvl>
    <w:lvl w:ilvl="7">
      <w:start w:val="1"/>
      <w:numFmt w:val="bullet"/>
      <w:lvlText w:val="o"/>
      <w:lvlJc w:val="left"/>
      <w:pPr>
        <w:ind w:left="6474" w:hanging="360"/>
      </w:pPr>
      <w:rPr>
        <w:rFonts w:ascii="Courier New" w:hAnsi="Courier New" w:hint="default"/>
      </w:rPr>
    </w:lvl>
    <w:lvl w:ilvl="8">
      <w:start w:val="1"/>
      <w:numFmt w:val="bullet"/>
      <w:lvlText w:val=""/>
      <w:lvlJc w:val="left"/>
      <w:pPr>
        <w:ind w:left="7194" w:hanging="360"/>
      </w:pPr>
      <w:rPr>
        <w:rFonts w:ascii="Wingdings" w:hAnsi="Wingdings" w:hint="default"/>
      </w:rPr>
    </w:lvl>
  </w:abstractNum>
  <w:abstractNum w:abstractNumId="35">
    <w:nsid w:val="6DD718CC"/>
    <w:multiLevelType w:val="hybridMultilevel"/>
    <w:tmpl w:val="07103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E2727C1"/>
    <w:multiLevelType w:val="hybridMultilevel"/>
    <w:tmpl w:val="9F946F7A"/>
    <w:lvl w:ilvl="0">
      <w:start w:val="2"/>
      <w:numFmt w:val="bullet"/>
      <w:lvlText w:val="–"/>
      <w:lvlJc w:val="left"/>
      <w:pPr>
        <w:tabs>
          <w:tab w:val="num" w:pos="720"/>
        </w:tabs>
        <w:ind w:left="720" w:hanging="360"/>
      </w:pPr>
      <w:rPr>
        <w:rFonts w:ascii="Times New Roman" w:eastAsia="Times New Roman" w:hAnsi="Times New Roman"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7">
    <w:nsid w:val="6E493AC8"/>
    <w:multiLevelType w:val="hybridMultilevel"/>
    <w:tmpl w:val="42484840"/>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72CB226D"/>
    <w:multiLevelType w:val="hybridMultilevel"/>
    <w:tmpl w:val="F6A24E74"/>
    <w:lvl w:ilvl="0">
      <w:start w:val="1"/>
      <w:numFmt w:val="upp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9">
    <w:nsid w:val="737C32C5"/>
    <w:multiLevelType w:val="multilevel"/>
    <w:tmpl w:val="D50A9344"/>
    <w:lvl w:ilvl="0">
      <w:start w:val="4"/>
      <w:numFmt w:val="decimal"/>
      <w:lvlText w:val="%1."/>
      <w:lvlJc w:val="left"/>
      <w:pPr>
        <w:ind w:left="540" w:hanging="540"/>
      </w:pPr>
      <w:rPr>
        <w:rFonts w:cs="Times New Roman" w:hint="default"/>
        <w:rtl w:val="0"/>
        <w:cs w:val="0"/>
      </w:rPr>
    </w:lvl>
    <w:lvl w:ilvl="1">
      <w:start w:val="2"/>
      <w:numFmt w:val="decimal"/>
      <w:lvlText w:val="%1.%2."/>
      <w:lvlJc w:val="left"/>
      <w:pPr>
        <w:ind w:left="720" w:hanging="540"/>
      </w:pPr>
      <w:rPr>
        <w:rFonts w:cs="Times New Roman" w:hint="default"/>
        <w:rtl w:val="0"/>
        <w:cs w:val="0"/>
      </w:rPr>
    </w:lvl>
    <w:lvl w:ilvl="2">
      <w:start w:val="1"/>
      <w:numFmt w:val="decimal"/>
      <w:lvlText w:val="%1.%2.%3."/>
      <w:lvlJc w:val="left"/>
      <w:pPr>
        <w:ind w:left="1080" w:hanging="720"/>
      </w:pPr>
      <w:rPr>
        <w:rFonts w:cs="Times New Roman" w:hint="default"/>
        <w:rtl w:val="0"/>
        <w:cs w:val="0"/>
      </w:rPr>
    </w:lvl>
    <w:lvl w:ilvl="3">
      <w:start w:val="1"/>
      <w:numFmt w:val="decimal"/>
      <w:lvlText w:val="%1.%2.%3.%4."/>
      <w:lvlJc w:val="left"/>
      <w:pPr>
        <w:ind w:left="1260" w:hanging="720"/>
      </w:pPr>
      <w:rPr>
        <w:rFonts w:cs="Times New Roman" w:hint="default"/>
        <w:rtl w:val="0"/>
        <w:cs w:val="0"/>
      </w:rPr>
    </w:lvl>
    <w:lvl w:ilvl="4">
      <w:start w:val="1"/>
      <w:numFmt w:val="decimal"/>
      <w:lvlText w:val="%1.%2.%3.%4.%5."/>
      <w:lvlJc w:val="left"/>
      <w:pPr>
        <w:ind w:left="1800" w:hanging="1080"/>
      </w:pPr>
      <w:rPr>
        <w:rFonts w:cs="Times New Roman" w:hint="default"/>
        <w:rtl w:val="0"/>
        <w:cs w:val="0"/>
      </w:rPr>
    </w:lvl>
    <w:lvl w:ilvl="5">
      <w:start w:val="1"/>
      <w:numFmt w:val="decimal"/>
      <w:lvlText w:val="%1.%2.%3.%4.%5.%6."/>
      <w:lvlJc w:val="left"/>
      <w:pPr>
        <w:ind w:left="1980" w:hanging="1080"/>
      </w:pPr>
      <w:rPr>
        <w:rFonts w:cs="Times New Roman" w:hint="default"/>
        <w:rtl w:val="0"/>
        <w:cs w:val="0"/>
      </w:rPr>
    </w:lvl>
    <w:lvl w:ilvl="6">
      <w:start w:val="1"/>
      <w:numFmt w:val="decimal"/>
      <w:lvlText w:val="%1.%2.%3.%4.%5.%6.%7."/>
      <w:lvlJc w:val="left"/>
      <w:pPr>
        <w:ind w:left="2520" w:hanging="1440"/>
      </w:pPr>
      <w:rPr>
        <w:rFonts w:cs="Times New Roman" w:hint="default"/>
        <w:rtl w:val="0"/>
        <w:cs w:val="0"/>
      </w:rPr>
    </w:lvl>
    <w:lvl w:ilvl="7">
      <w:start w:val="1"/>
      <w:numFmt w:val="decimal"/>
      <w:lvlText w:val="%1.%2.%3.%4.%5.%6.%7.%8."/>
      <w:lvlJc w:val="left"/>
      <w:pPr>
        <w:ind w:left="2700" w:hanging="1440"/>
      </w:pPr>
      <w:rPr>
        <w:rFonts w:cs="Times New Roman" w:hint="default"/>
        <w:rtl w:val="0"/>
        <w:cs w:val="0"/>
      </w:rPr>
    </w:lvl>
    <w:lvl w:ilvl="8">
      <w:start w:val="1"/>
      <w:numFmt w:val="decimal"/>
      <w:lvlText w:val="%1.%2.%3.%4.%5.%6.%7.%8.%9."/>
      <w:lvlJc w:val="left"/>
      <w:pPr>
        <w:ind w:left="3240" w:hanging="1800"/>
      </w:pPr>
      <w:rPr>
        <w:rFonts w:cs="Times New Roman" w:hint="default"/>
        <w:rtl w:val="0"/>
        <w:cs w:val="0"/>
      </w:rPr>
    </w:lvl>
  </w:abstractNum>
  <w:abstractNum w:abstractNumId="40">
    <w:nsid w:val="742572FF"/>
    <w:multiLevelType w:val="hybridMultilevel"/>
    <w:tmpl w:val="CF825F98"/>
    <w:lvl w:ilvl="0">
      <w:start w:val="5"/>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A322E34"/>
    <w:multiLevelType w:val="hybridMultilevel"/>
    <w:tmpl w:val="6F8E0B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B41469B"/>
    <w:multiLevelType w:val="multilevel"/>
    <w:tmpl w:val="D6200BA4"/>
    <w:lvl w:ilvl="0">
      <w:start w:val="6"/>
      <w:numFmt w:val="decimal"/>
      <w:lvlText w:val="%1."/>
      <w:lvlJc w:val="left"/>
      <w:pPr>
        <w:tabs>
          <w:tab w:val="num" w:pos="675"/>
        </w:tabs>
        <w:ind w:left="675" w:hanging="675"/>
      </w:pPr>
      <w:rPr>
        <w:rFonts w:cs="Times New Roman" w:hint="default"/>
        <w:rtl w:val="0"/>
        <w:cs w:val="0"/>
      </w:rPr>
    </w:lvl>
    <w:lvl w:ilvl="1">
      <w:start w:val="5"/>
      <w:numFmt w:val="decimal"/>
      <w:lvlText w:val="%1.%2."/>
      <w:lvlJc w:val="left"/>
      <w:pPr>
        <w:tabs>
          <w:tab w:val="num" w:pos="675"/>
        </w:tabs>
        <w:ind w:left="675" w:hanging="675"/>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080"/>
        </w:tabs>
        <w:ind w:left="1080" w:hanging="108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440"/>
        </w:tabs>
        <w:ind w:left="1440" w:hanging="1440"/>
      </w:pPr>
      <w:rPr>
        <w:rFonts w:cs="Times New Roman" w:hint="default"/>
        <w:rtl w:val="0"/>
        <w:cs w:val="0"/>
      </w:rPr>
    </w:lvl>
  </w:abstractNum>
  <w:abstractNum w:abstractNumId="43">
    <w:nsid w:val="7CEF35AE"/>
    <w:multiLevelType w:val="hybridMultilevel"/>
    <w:tmpl w:val="628C0F58"/>
    <w:lvl w:ilvl="0">
      <w:start w:val="1"/>
      <w:numFmt w:val="decimal"/>
      <w:lvlText w:val="%1."/>
      <w:lvlJc w:val="left"/>
      <w:pPr>
        <w:ind w:left="720" w:hanging="360"/>
      </w:pPr>
      <w:rPr>
        <w:rFonts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1"/>
  </w:num>
  <w:num w:numId="2">
    <w:abstractNumId w:val="16"/>
  </w:num>
  <w:num w:numId="3">
    <w:abstractNumId w:val="18"/>
  </w:num>
  <w:num w:numId="4">
    <w:abstractNumId w:val="2"/>
  </w:num>
  <w:num w:numId="5">
    <w:abstractNumId w:val="31"/>
  </w:num>
  <w:num w:numId="6">
    <w:abstractNumId w:val="24"/>
  </w:num>
  <w:num w:numId="7">
    <w:abstractNumId w:val="23"/>
  </w:num>
  <w:num w:numId="8">
    <w:abstractNumId w:val="6"/>
  </w:num>
  <w:num w:numId="9">
    <w:abstractNumId w:val="36"/>
  </w:num>
  <w:num w:numId="10">
    <w:abstractNumId w:val="37"/>
  </w:num>
  <w:num w:numId="11">
    <w:abstractNumId w:val="27"/>
  </w:num>
  <w:num w:numId="12">
    <w:abstractNumId w:val="34"/>
  </w:num>
  <w:num w:numId="13">
    <w:abstractNumId w:val="10"/>
  </w:num>
  <w:num w:numId="14">
    <w:abstractNumId w:val="33"/>
  </w:num>
  <w:num w:numId="15">
    <w:abstractNumId w:val="30"/>
  </w:num>
  <w:num w:numId="16">
    <w:abstractNumId w:val="43"/>
  </w:num>
  <w:num w:numId="17">
    <w:abstractNumId w:val="39"/>
  </w:num>
  <w:num w:numId="18">
    <w:abstractNumId w:val="28"/>
  </w:num>
  <w:num w:numId="19">
    <w:abstractNumId w:val="25"/>
  </w:num>
  <w:num w:numId="20">
    <w:abstractNumId w:val="12"/>
  </w:num>
  <w:num w:numId="21">
    <w:abstractNumId w:val="38"/>
  </w:num>
  <w:num w:numId="22">
    <w:abstractNumId w:val="0"/>
  </w:num>
  <w:num w:numId="23">
    <w:abstractNumId w:val="22"/>
  </w:num>
  <w:num w:numId="24">
    <w:abstractNumId w:val="17"/>
  </w:num>
  <w:num w:numId="25">
    <w:abstractNumId w:val="1"/>
  </w:num>
  <w:num w:numId="26">
    <w:abstractNumId w:val="42"/>
  </w:num>
  <w:num w:numId="27">
    <w:abstractNumId w:val="26"/>
  </w:num>
  <w:num w:numId="28">
    <w:abstractNumId w:val="8"/>
  </w:num>
  <w:num w:numId="29">
    <w:abstractNumId w:val="41"/>
  </w:num>
  <w:num w:numId="30">
    <w:abstractNumId w:val="3"/>
  </w:num>
  <w:num w:numId="31">
    <w:abstractNumId w:val="29"/>
  </w:num>
  <w:num w:numId="32">
    <w:abstractNumId w:val="20"/>
  </w:num>
  <w:num w:numId="33">
    <w:abstractNumId w:val="35"/>
  </w:num>
  <w:num w:numId="34">
    <w:abstractNumId w:val="15"/>
  </w:num>
  <w:num w:numId="35">
    <w:abstractNumId w:val="21"/>
  </w:num>
  <w:num w:numId="36">
    <w:abstractNumId w:val="14"/>
  </w:num>
  <w:num w:numId="37">
    <w:abstractNumId w:val="9"/>
  </w:num>
  <w:num w:numId="38">
    <w:abstractNumId w:val="32"/>
  </w:num>
  <w:num w:numId="39">
    <w:abstractNumId w:val="5"/>
  </w:num>
  <w:num w:numId="40">
    <w:abstractNumId w:val="40"/>
  </w:num>
  <w:num w:numId="41">
    <w:abstractNumId w:val="13"/>
  </w:num>
  <w:num w:numId="42">
    <w:abstractNumId w:val="4"/>
  </w:num>
  <w:num w:numId="43">
    <w:abstractNumId w:val="7"/>
  </w:num>
  <w:num w:numId="44">
    <w:abstractNumId w:val="2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oNotTrackMoves/>
  <w:defaultTabStop w:val="708"/>
  <w:hyphenationZone w:val="425"/>
  <w:noPunctuationKerning/>
  <w:characterSpacingControl w:val="doNotCompress"/>
  <w:footnotePr>
    <w:footnote w:id="0"/>
    <w:footnote w:id="1"/>
  </w:footnotePr>
  <w:compat/>
  <w:rsids>
    <w:rsidRoot w:val="006935B8"/>
    <w:rsid w:val="000020C8"/>
    <w:rsid w:val="00002CC6"/>
    <w:rsid w:val="0000340F"/>
    <w:rsid w:val="00004034"/>
    <w:rsid w:val="00006900"/>
    <w:rsid w:val="0001001B"/>
    <w:rsid w:val="000127F2"/>
    <w:rsid w:val="000130B3"/>
    <w:rsid w:val="000163CE"/>
    <w:rsid w:val="00020DA1"/>
    <w:rsid w:val="000213CF"/>
    <w:rsid w:val="00026761"/>
    <w:rsid w:val="00027543"/>
    <w:rsid w:val="0003653E"/>
    <w:rsid w:val="000412F7"/>
    <w:rsid w:val="00041894"/>
    <w:rsid w:val="000449C5"/>
    <w:rsid w:val="000456FC"/>
    <w:rsid w:val="0004638E"/>
    <w:rsid w:val="0004676D"/>
    <w:rsid w:val="0004733F"/>
    <w:rsid w:val="000510B5"/>
    <w:rsid w:val="00051821"/>
    <w:rsid w:val="00053DE4"/>
    <w:rsid w:val="00061895"/>
    <w:rsid w:val="00061A75"/>
    <w:rsid w:val="000623A8"/>
    <w:rsid w:val="00063075"/>
    <w:rsid w:val="00067143"/>
    <w:rsid w:val="00070535"/>
    <w:rsid w:val="00070643"/>
    <w:rsid w:val="0007256B"/>
    <w:rsid w:val="0007357D"/>
    <w:rsid w:val="00074F0B"/>
    <w:rsid w:val="0007535E"/>
    <w:rsid w:val="000772DE"/>
    <w:rsid w:val="00077921"/>
    <w:rsid w:val="00080787"/>
    <w:rsid w:val="00081478"/>
    <w:rsid w:val="00085CFF"/>
    <w:rsid w:val="00085D05"/>
    <w:rsid w:val="00092BB8"/>
    <w:rsid w:val="000941EE"/>
    <w:rsid w:val="00095A03"/>
    <w:rsid w:val="00097A35"/>
    <w:rsid w:val="000A4CD0"/>
    <w:rsid w:val="000A6169"/>
    <w:rsid w:val="000B14CE"/>
    <w:rsid w:val="000B20EF"/>
    <w:rsid w:val="000B4441"/>
    <w:rsid w:val="000B71D8"/>
    <w:rsid w:val="000C0E95"/>
    <w:rsid w:val="000C1023"/>
    <w:rsid w:val="000C4D20"/>
    <w:rsid w:val="000C60F9"/>
    <w:rsid w:val="000C6F6C"/>
    <w:rsid w:val="000D0417"/>
    <w:rsid w:val="000D23B5"/>
    <w:rsid w:val="000D40B7"/>
    <w:rsid w:val="000D58E4"/>
    <w:rsid w:val="000D6AD2"/>
    <w:rsid w:val="000D715A"/>
    <w:rsid w:val="000E0E13"/>
    <w:rsid w:val="000E13AA"/>
    <w:rsid w:val="000E41A9"/>
    <w:rsid w:val="000E6159"/>
    <w:rsid w:val="000F01DC"/>
    <w:rsid w:val="000F0531"/>
    <w:rsid w:val="000F1E55"/>
    <w:rsid w:val="000F20A7"/>
    <w:rsid w:val="000F35AE"/>
    <w:rsid w:val="000F442A"/>
    <w:rsid w:val="000F5082"/>
    <w:rsid w:val="000F51F2"/>
    <w:rsid w:val="000F5885"/>
    <w:rsid w:val="000F58AB"/>
    <w:rsid w:val="000F6D17"/>
    <w:rsid w:val="000F7251"/>
    <w:rsid w:val="000F7AF3"/>
    <w:rsid w:val="000F7C5F"/>
    <w:rsid w:val="00100B6C"/>
    <w:rsid w:val="00101B11"/>
    <w:rsid w:val="001037D9"/>
    <w:rsid w:val="001051E3"/>
    <w:rsid w:val="00106AB8"/>
    <w:rsid w:val="001118C1"/>
    <w:rsid w:val="0011204D"/>
    <w:rsid w:val="00112AE8"/>
    <w:rsid w:val="00113480"/>
    <w:rsid w:val="001136C3"/>
    <w:rsid w:val="00117510"/>
    <w:rsid w:val="00122402"/>
    <w:rsid w:val="00125285"/>
    <w:rsid w:val="00126BE2"/>
    <w:rsid w:val="00127C02"/>
    <w:rsid w:val="00131CC0"/>
    <w:rsid w:val="0013332D"/>
    <w:rsid w:val="001366CA"/>
    <w:rsid w:val="00142793"/>
    <w:rsid w:val="001529A7"/>
    <w:rsid w:val="001539C1"/>
    <w:rsid w:val="001560E7"/>
    <w:rsid w:val="0016150C"/>
    <w:rsid w:val="0016176C"/>
    <w:rsid w:val="00166A45"/>
    <w:rsid w:val="00167F38"/>
    <w:rsid w:val="00170185"/>
    <w:rsid w:val="0017084C"/>
    <w:rsid w:val="00170932"/>
    <w:rsid w:val="001739FA"/>
    <w:rsid w:val="00173DBD"/>
    <w:rsid w:val="0017439D"/>
    <w:rsid w:val="00175AD5"/>
    <w:rsid w:val="001768B3"/>
    <w:rsid w:val="0017765A"/>
    <w:rsid w:val="0018187F"/>
    <w:rsid w:val="001834D5"/>
    <w:rsid w:val="00184404"/>
    <w:rsid w:val="001862DE"/>
    <w:rsid w:val="00186401"/>
    <w:rsid w:val="00186523"/>
    <w:rsid w:val="001868A9"/>
    <w:rsid w:val="00187341"/>
    <w:rsid w:val="00193117"/>
    <w:rsid w:val="001962E7"/>
    <w:rsid w:val="001975E3"/>
    <w:rsid w:val="001A0ACA"/>
    <w:rsid w:val="001A2946"/>
    <w:rsid w:val="001A4294"/>
    <w:rsid w:val="001A460B"/>
    <w:rsid w:val="001A4CB9"/>
    <w:rsid w:val="001B299A"/>
    <w:rsid w:val="001B7005"/>
    <w:rsid w:val="001C15C4"/>
    <w:rsid w:val="001C19B9"/>
    <w:rsid w:val="001C26BA"/>
    <w:rsid w:val="001C3D01"/>
    <w:rsid w:val="001C450A"/>
    <w:rsid w:val="001C4B30"/>
    <w:rsid w:val="001D16BA"/>
    <w:rsid w:val="001D4A5A"/>
    <w:rsid w:val="001D61C7"/>
    <w:rsid w:val="001D6D7B"/>
    <w:rsid w:val="001D701C"/>
    <w:rsid w:val="001E0695"/>
    <w:rsid w:val="001E2241"/>
    <w:rsid w:val="001E2DAC"/>
    <w:rsid w:val="001E3DEB"/>
    <w:rsid w:val="001E763B"/>
    <w:rsid w:val="001E7C9A"/>
    <w:rsid w:val="001F0505"/>
    <w:rsid w:val="001F102C"/>
    <w:rsid w:val="001F2EE6"/>
    <w:rsid w:val="001F2F77"/>
    <w:rsid w:val="001F386B"/>
    <w:rsid w:val="001F4D65"/>
    <w:rsid w:val="002013B6"/>
    <w:rsid w:val="00201992"/>
    <w:rsid w:val="00201BAE"/>
    <w:rsid w:val="002058AE"/>
    <w:rsid w:val="00205EBF"/>
    <w:rsid w:val="00213D24"/>
    <w:rsid w:val="0021545C"/>
    <w:rsid w:val="002268D3"/>
    <w:rsid w:val="00226A54"/>
    <w:rsid w:val="00226C64"/>
    <w:rsid w:val="00232B4E"/>
    <w:rsid w:val="002331AA"/>
    <w:rsid w:val="0023345B"/>
    <w:rsid w:val="0023473A"/>
    <w:rsid w:val="00237C98"/>
    <w:rsid w:val="00240196"/>
    <w:rsid w:val="002414C0"/>
    <w:rsid w:val="00241504"/>
    <w:rsid w:val="00242CC9"/>
    <w:rsid w:val="002434E4"/>
    <w:rsid w:val="002454C2"/>
    <w:rsid w:val="00245BC8"/>
    <w:rsid w:val="00251061"/>
    <w:rsid w:val="0025119B"/>
    <w:rsid w:val="00253371"/>
    <w:rsid w:val="00253A6D"/>
    <w:rsid w:val="0025572C"/>
    <w:rsid w:val="00257E12"/>
    <w:rsid w:val="00260649"/>
    <w:rsid w:val="00262A6F"/>
    <w:rsid w:val="00263DAF"/>
    <w:rsid w:val="0026527B"/>
    <w:rsid w:val="0026536C"/>
    <w:rsid w:val="00265FBE"/>
    <w:rsid w:val="00266C65"/>
    <w:rsid w:val="00270124"/>
    <w:rsid w:val="00273061"/>
    <w:rsid w:val="00282379"/>
    <w:rsid w:val="00282BC4"/>
    <w:rsid w:val="00284267"/>
    <w:rsid w:val="00287802"/>
    <w:rsid w:val="002A20BB"/>
    <w:rsid w:val="002A2581"/>
    <w:rsid w:val="002A76EF"/>
    <w:rsid w:val="002A7704"/>
    <w:rsid w:val="002B1456"/>
    <w:rsid w:val="002B2027"/>
    <w:rsid w:val="002B2E0E"/>
    <w:rsid w:val="002B4784"/>
    <w:rsid w:val="002B6A04"/>
    <w:rsid w:val="002B7A16"/>
    <w:rsid w:val="002C0D88"/>
    <w:rsid w:val="002C36F7"/>
    <w:rsid w:val="002C47C4"/>
    <w:rsid w:val="002C4DCA"/>
    <w:rsid w:val="002C5401"/>
    <w:rsid w:val="002C7959"/>
    <w:rsid w:val="002D24E6"/>
    <w:rsid w:val="002D333F"/>
    <w:rsid w:val="002D45A9"/>
    <w:rsid w:val="002D64F2"/>
    <w:rsid w:val="002E393B"/>
    <w:rsid w:val="002E67D1"/>
    <w:rsid w:val="002E7339"/>
    <w:rsid w:val="002F0AFB"/>
    <w:rsid w:val="002F453C"/>
    <w:rsid w:val="002F6797"/>
    <w:rsid w:val="00301292"/>
    <w:rsid w:val="00301967"/>
    <w:rsid w:val="003020EE"/>
    <w:rsid w:val="00306102"/>
    <w:rsid w:val="003074FA"/>
    <w:rsid w:val="003076AD"/>
    <w:rsid w:val="00311A75"/>
    <w:rsid w:val="0031798E"/>
    <w:rsid w:val="00321B93"/>
    <w:rsid w:val="00324519"/>
    <w:rsid w:val="00324D0E"/>
    <w:rsid w:val="0032572E"/>
    <w:rsid w:val="00327958"/>
    <w:rsid w:val="00327C10"/>
    <w:rsid w:val="00331355"/>
    <w:rsid w:val="00334039"/>
    <w:rsid w:val="003402B8"/>
    <w:rsid w:val="00340D7E"/>
    <w:rsid w:val="003457EA"/>
    <w:rsid w:val="00352B1F"/>
    <w:rsid w:val="0035366F"/>
    <w:rsid w:val="003565E5"/>
    <w:rsid w:val="00360C97"/>
    <w:rsid w:val="00367B58"/>
    <w:rsid w:val="00373EA4"/>
    <w:rsid w:val="003743FB"/>
    <w:rsid w:val="0038065F"/>
    <w:rsid w:val="00380FB6"/>
    <w:rsid w:val="003811CE"/>
    <w:rsid w:val="00390B69"/>
    <w:rsid w:val="003925D9"/>
    <w:rsid w:val="003953D9"/>
    <w:rsid w:val="00396593"/>
    <w:rsid w:val="00397067"/>
    <w:rsid w:val="003A003E"/>
    <w:rsid w:val="003A14E1"/>
    <w:rsid w:val="003A5BCB"/>
    <w:rsid w:val="003A7CD9"/>
    <w:rsid w:val="003B0455"/>
    <w:rsid w:val="003B1833"/>
    <w:rsid w:val="003B3DB0"/>
    <w:rsid w:val="003B45E3"/>
    <w:rsid w:val="003B4F09"/>
    <w:rsid w:val="003B5A7E"/>
    <w:rsid w:val="003C25DE"/>
    <w:rsid w:val="003C2D5D"/>
    <w:rsid w:val="003D0CF4"/>
    <w:rsid w:val="003D1016"/>
    <w:rsid w:val="003D2851"/>
    <w:rsid w:val="003D2C43"/>
    <w:rsid w:val="003D62B1"/>
    <w:rsid w:val="003D6865"/>
    <w:rsid w:val="003E0F90"/>
    <w:rsid w:val="003E3CE2"/>
    <w:rsid w:val="003E5345"/>
    <w:rsid w:val="003E53A0"/>
    <w:rsid w:val="003E5733"/>
    <w:rsid w:val="003F017B"/>
    <w:rsid w:val="003F0310"/>
    <w:rsid w:val="003F1DCB"/>
    <w:rsid w:val="003F2567"/>
    <w:rsid w:val="003F3500"/>
    <w:rsid w:val="003F3FE8"/>
    <w:rsid w:val="003F5CDE"/>
    <w:rsid w:val="003F5EF0"/>
    <w:rsid w:val="003F696D"/>
    <w:rsid w:val="004003CE"/>
    <w:rsid w:val="00401282"/>
    <w:rsid w:val="004025CC"/>
    <w:rsid w:val="004047FD"/>
    <w:rsid w:val="00405DBB"/>
    <w:rsid w:val="0041266E"/>
    <w:rsid w:val="0041345B"/>
    <w:rsid w:val="00417484"/>
    <w:rsid w:val="004205AF"/>
    <w:rsid w:val="00420A8A"/>
    <w:rsid w:val="0042109F"/>
    <w:rsid w:val="004214E2"/>
    <w:rsid w:val="00422229"/>
    <w:rsid w:val="00423872"/>
    <w:rsid w:val="00431B75"/>
    <w:rsid w:val="00432A91"/>
    <w:rsid w:val="00433146"/>
    <w:rsid w:val="0043431B"/>
    <w:rsid w:val="00435BAE"/>
    <w:rsid w:val="0043666E"/>
    <w:rsid w:val="004440E8"/>
    <w:rsid w:val="00450760"/>
    <w:rsid w:val="0045231E"/>
    <w:rsid w:val="00454685"/>
    <w:rsid w:val="004558C0"/>
    <w:rsid w:val="00457027"/>
    <w:rsid w:val="0045790E"/>
    <w:rsid w:val="00460D4C"/>
    <w:rsid w:val="00461390"/>
    <w:rsid w:val="00462B6C"/>
    <w:rsid w:val="004662B6"/>
    <w:rsid w:val="00470D37"/>
    <w:rsid w:val="004711C0"/>
    <w:rsid w:val="00471C54"/>
    <w:rsid w:val="00471D68"/>
    <w:rsid w:val="004725C1"/>
    <w:rsid w:val="00474C0B"/>
    <w:rsid w:val="00475106"/>
    <w:rsid w:val="00475510"/>
    <w:rsid w:val="00475D48"/>
    <w:rsid w:val="00477ED3"/>
    <w:rsid w:val="00480330"/>
    <w:rsid w:val="00482F9E"/>
    <w:rsid w:val="00483B35"/>
    <w:rsid w:val="00483BAC"/>
    <w:rsid w:val="00484980"/>
    <w:rsid w:val="00485628"/>
    <w:rsid w:val="00485AC0"/>
    <w:rsid w:val="00486C43"/>
    <w:rsid w:val="0048785C"/>
    <w:rsid w:val="00491A3A"/>
    <w:rsid w:val="004933E6"/>
    <w:rsid w:val="004A098B"/>
    <w:rsid w:val="004A1A75"/>
    <w:rsid w:val="004A1E6D"/>
    <w:rsid w:val="004A442B"/>
    <w:rsid w:val="004A6055"/>
    <w:rsid w:val="004A6521"/>
    <w:rsid w:val="004B18FB"/>
    <w:rsid w:val="004B225A"/>
    <w:rsid w:val="004B6B4A"/>
    <w:rsid w:val="004C481B"/>
    <w:rsid w:val="004C4928"/>
    <w:rsid w:val="004C59B0"/>
    <w:rsid w:val="004C74B9"/>
    <w:rsid w:val="004D1CF5"/>
    <w:rsid w:val="004D41BE"/>
    <w:rsid w:val="004D4907"/>
    <w:rsid w:val="004E0E43"/>
    <w:rsid w:val="004E1ACF"/>
    <w:rsid w:val="004F3AD8"/>
    <w:rsid w:val="004F445A"/>
    <w:rsid w:val="004F7183"/>
    <w:rsid w:val="00501428"/>
    <w:rsid w:val="0050308C"/>
    <w:rsid w:val="00505E2B"/>
    <w:rsid w:val="00506918"/>
    <w:rsid w:val="00510CC6"/>
    <w:rsid w:val="00511510"/>
    <w:rsid w:val="00512239"/>
    <w:rsid w:val="00512DEA"/>
    <w:rsid w:val="005140F7"/>
    <w:rsid w:val="0051520B"/>
    <w:rsid w:val="005169EC"/>
    <w:rsid w:val="005202DC"/>
    <w:rsid w:val="00523E30"/>
    <w:rsid w:val="005245D0"/>
    <w:rsid w:val="00524BBF"/>
    <w:rsid w:val="00527397"/>
    <w:rsid w:val="005313F8"/>
    <w:rsid w:val="00531EA6"/>
    <w:rsid w:val="00532BCE"/>
    <w:rsid w:val="00536E71"/>
    <w:rsid w:val="00537AD1"/>
    <w:rsid w:val="00545768"/>
    <w:rsid w:val="00546499"/>
    <w:rsid w:val="00551739"/>
    <w:rsid w:val="00552165"/>
    <w:rsid w:val="00554CA0"/>
    <w:rsid w:val="005573C4"/>
    <w:rsid w:val="00557708"/>
    <w:rsid w:val="00557DCD"/>
    <w:rsid w:val="00561A93"/>
    <w:rsid w:val="0056353F"/>
    <w:rsid w:val="00563C2F"/>
    <w:rsid w:val="00564D8C"/>
    <w:rsid w:val="00565D8C"/>
    <w:rsid w:val="00572B9B"/>
    <w:rsid w:val="0057324E"/>
    <w:rsid w:val="00575C66"/>
    <w:rsid w:val="005842E2"/>
    <w:rsid w:val="00587783"/>
    <w:rsid w:val="0059018F"/>
    <w:rsid w:val="00593C8E"/>
    <w:rsid w:val="00594443"/>
    <w:rsid w:val="00595620"/>
    <w:rsid w:val="00597514"/>
    <w:rsid w:val="005A120A"/>
    <w:rsid w:val="005A4D3F"/>
    <w:rsid w:val="005A6E2D"/>
    <w:rsid w:val="005A70E6"/>
    <w:rsid w:val="005B130C"/>
    <w:rsid w:val="005B4FBB"/>
    <w:rsid w:val="005B6343"/>
    <w:rsid w:val="005C02AF"/>
    <w:rsid w:val="005C050A"/>
    <w:rsid w:val="005C2D93"/>
    <w:rsid w:val="005C3D60"/>
    <w:rsid w:val="005C50CC"/>
    <w:rsid w:val="005C61B6"/>
    <w:rsid w:val="005C71EA"/>
    <w:rsid w:val="005D1280"/>
    <w:rsid w:val="005D1A7E"/>
    <w:rsid w:val="005D1D9B"/>
    <w:rsid w:val="005D4576"/>
    <w:rsid w:val="005D4C01"/>
    <w:rsid w:val="005D5D19"/>
    <w:rsid w:val="005D6A8D"/>
    <w:rsid w:val="005D6D7C"/>
    <w:rsid w:val="005E3A08"/>
    <w:rsid w:val="005E6F95"/>
    <w:rsid w:val="005E74DB"/>
    <w:rsid w:val="005E7C75"/>
    <w:rsid w:val="005F0C30"/>
    <w:rsid w:val="005F204E"/>
    <w:rsid w:val="005F61A8"/>
    <w:rsid w:val="005F6BCE"/>
    <w:rsid w:val="00601435"/>
    <w:rsid w:val="0060281F"/>
    <w:rsid w:val="0060545C"/>
    <w:rsid w:val="00605D80"/>
    <w:rsid w:val="006124C1"/>
    <w:rsid w:val="006132BD"/>
    <w:rsid w:val="00613E9A"/>
    <w:rsid w:val="00614A7A"/>
    <w:rsid w:val="006173A7"/>
    <w:rsid w:val="006175B8"/>
    <w:rsid w:val="00623064"/>
    <w:rsid w:val="00623F61"/>
    <w:rsid w:val="006314F0"/>
    <w:rsid w:val="00632133"/>
    <w:rsid w:val="00633C95"/>
    <w:rsid w:val="006353C5"/>
    <w:rsid w:val="00636A8B"/>
    <w:rsid w:val="006429AA"/>
    <w:rsid w:val="00643AF4"/>
    <w:rsid w:val="00646CB7"/>
    <w:rsid w:val="006471C9"/>
    <w:rsid w:val="00647D2B"/>
    <w:rsid w:val="00651600"/>
    <w:rsid w:val="00655688"/>
    <w:rsid w:val="006560EB"/>
    <w:rsid w:val="00656A53"/>
    <w:rsid w:val="00660038"/>
    <w:rsid w:val="006618BE"/>
    <w:rsid w:val="00661C5E"/>
    <w:rsid w:val="00667AA5"/>
    <w:rsid w:val="00671604"/>
    <w:rsid w:val="0067187C"/>
    <w:rsid w:val="00671A32"/>
    <w:rsid w:val="006720D0"/>
    <w:rsid w:val="00673DA2"/>
    <w:rsid w:val="0067449E"/>
    <w:rsid w:val="00675ECB"/>
    <w:rsid w:val="00677849"/>
    <w:rsid w:val="0068587B"/>
    <w:rsid w:val="00685BA2"/>
    <w:rsid w:val="00686060"/>
    <w:rsid w:val="00686D3B"/>
    <w:rsid w:val="006874C4"/>
    <w:rsid w:val="00687845"/>
    <w:rsid w:val="006903F5"/>
    <w:rsid w:val="00691C69"/>
    <w:rsid w:val="006935B8"/>
    <w:rsid w:val="00693A5D"/>
    <w:rsid w:val="006940CF"/>
    <w:rsid w:val="006941F4"/>
    <w:rsid w:val="006959C6"/>
    <w:rsid w:val="006A0D8F"/>
    <w:rsid w:val="006A0EAA"/>
    <w:rsid w:val="006A2BBE"/>
    <w:rsid w:val="006A6B85"/>
    <w:rsid w:val="006B0E21"/>
    <w:rsid w:val="006B1E2B"/>
    <w:rsid w:val="006B2873"/>
    <w:rsid w:val="006B3F58"/>
    <w:rsid w:val="006B4539"/>
    <w:rsid w:val="006C007D"/>
    <w:rsid w:val="006C181F"/>
    <w:rsid w:val="006C184E"/>
    <w:rsid w:val="006D00BC"/>
    <w:rsid w:val="006D4ABC"/>
    <w:rsid w:val="006D568E"/>
    <w:rsid w:val="006D5DA2"/>
    <w:rsid w:val="006D6D1E"/>
    <w:rsid w:val="006D7323"/>
    <w:rsid w:val="006E0488"/>
    <w:rsid w:val="006E12D7"/>
    <w:rsid w:val="006E24F1"/>
    <w:rsid w:val="006E26E4"/>
    <w:rsid w:val="006F0860"/>
    <w:rsid w:val="006F5048"/>
    <w:rsid w:val="006F5F9E"/>
    <w:rsid w:val="006F7083"/>
    <w:rsid w:val="00701A39"/>
    <w:rsid w:val="00702D6A"/>
    <w:rsid w:val="00703D12"/>
    <w:rsid w:val="007057BB"/>
    <w:rsid w:val="00710175"/>
    <w:rsid w:val="0071031E"/>
    <w:rsid w:val="0071044D"/>
    <w:rsid w:val="007114DD"/>
    <w:rsid w:val="0071240F"/>
    <w:rsid w:val="007125CB"/>
    <w:rsid w:val="00712784"/>
    <w:rsid w:val="00712828"/>
    <w:rsid w:val="00715FB0"/>
    <w:rsid w:val="007173F3"/>
    <w:rsid w:val="007207E8"/>
    <w:rsid w:val="00720D26"/>
    <w:rsid w:val="0072154C"/>
    <w:rsid w:val="00723E97"/>
    <w:rsid w:val="007268E1"/>
    <w:rsid w:val="00727DFA"/>
    <w:rsid w:val="007329BB"/>
    <w:rsid w:val="00732EDA"/>
    <w:rsid w:val="00736824"/>
    <w:rsid w:val="007411F7"/>
    <w:rsid w:val="00742C04"/>
    <w:rsid w:val="00743450"/>
    <w:rsid w:val="00744397"/>
    <w:rsid w:val="007448ED"/>
    <w:rsid w:val="00745978"/>
    <w:rsid w:val="00747ED1"/>
    <w:rsid w:val="007505D0"/>
    <w:rsid w:val="00750D4D"/>
    <w:rsid w:val="00750FCE"/>
    <w:rsid w:val="00751D31"/>
    <w:rsid w:val="007520A4"/>
    <w:rsid w:val="007569A1"/>
    <w:rsid w:val="0075731D"/>
    <w:rsid w:val="00760E0A"/>
    <w:rsid w:val="00761FE1"/>
    <w:rsid w:val="00762449"/>
    <w:rsid w:val="007632BF"/>
    <w:rsid w:val="00766CD3"/>
    <w:rsid w:val="00770432"/>
    <w:rsid w:val="007722B1"/>
    <w:rsid w:val="007753C2"/>
    <w:rsid w:val="00775AA4"/>
    <w:rsid w:val="00777520"/>
    <w:rsid w:val="00780DAF"/>
    <w:rsid w:val="00783649"/>
    <w:rsid w:val="00784AAF"/>
    <w:rsid w:val="00786766"/>
    <w:rsid w:val="007869E2"/>
    <w:rsid w:val="00790020"/>
    <w:rsid w:val="00791875"/>
    <w:rsid w:val="00792E32"/>
    <w:rsid w:val="00793C5A"/>
    <w:rsid w:val="0079751D"/>
    <w:rsid w:val="007A04EE"/>
    <w:rsid w:val="007A10FD"/>
    <w:rsid w:val="007A20B3"/>
    <w:rsid w:val="007A3D9E"/>
    <w:rsid w:val="007A3E71"/>
    <w:rsid w:val="007A4355"/>
    <w:rsid w:val="007A65FC"/>
    <w:rsid w:val="007B05C1"/>
    <w:rsid w:val="007B0A8E"/>
    <w:rsid w:val="007B3ECE"/>
    <w:rsid w:val="007B426A"/>
    <w:rsid w:val="007B7746"/>
    <w:rsid w:val="007B78CC"/>
    <w:rsid w:val="007C1D8F"/>
    <w:rsid w:val="007C2C56"/>
    <w:rsid w:val="007C4153"/>
    <w:rsid w:val="007C4973"/>
    <w:rsid w:val="007C5F32"/>
    <w:rsid w:val="007C70BD"/>
    <w:rsid w:val="007C789C"/>
    <w:rsid w:val="007D0A92"/>
    <w:rsid w:val="007D1FDF"/>
    <w:rsid w:val="007D3CE7"/>
    <w:rsid w:val="007D5614"/>
    <w:rsid w:val="007E2B26"/>
    <w:rsid w:val="007E3490"/>
    <w:rsid w:val="007E57E3"/>
    <w:rsid w:val="007E5C61"/>
    <w:rsid w:val="007E648E"/>
    <w:rsid w:val="007F27A0"/>
    <w:rsid w:val="007F2C8A"/>
    <w:rsid w:val="007F5C52"/>
    <w:rsid w:val="007F5D9F"/>
    <w:rsid w:val="007F66EE"/>
    <w:rsid w:val="007F6707"/>
    <w:rsid w:val="007F72D0"/>
    <w:rsid w:val="0080262F"/>
    <w:rsid w:val="00803BF6"/>
    <w:rsid w:val="0080716D"/>
    <w:rsid w:val="00810B1B"/>
    <w:rsid w:val="00816691"/>
    <w:rsid w:val="00817762"/>
    <w:rsid w:val="00820ADC"/>
    <w:rsid w:val="00823A46"/>
    <w:rsid w:val="00823F4F"/>
    <w:rsid w:val="00825462"/>
    <w:rsid w:val="0082560C"/>
    <w:rsid w:val="00825E18"/>
    <w:rsid w:val="008266DE"/>
    <w:rsid w:val="0083016C"/>
    <w:rsid w:val="008302C8"/>
    <w:rsid w:val="008333C8"/>
    <w:rsid w:val="008340D5"/>
    <w:rsid w:val="008348E6"/>
    <w:rsid w:val="00835217"/>
    <w:rsid w:val="00835775"/>
    <w:rsid w:val="0083598D"/>
    <w:rsid w:val="008359A8"/>
    <w:rsid w:val="00835BB7"/>
    <w:rsid w:val="00835E62"/>
    <w:rsid w:val="00836258"/>
    <w:rsid w:val="0084243D"/>
    <w:rsid w:val="0084317A"/>
    <w:rsid w:val="008437D7"/>
    <w:rsid w:val="00850E64"/>
    <w:rsid w:val="0085417B"/>
    <w:rsid w:val="0085471D"/>
    <w:rsid w:val="00854A81"/>
    <w:rsid w:val="00854F99"/>
    <w:rsid w:val="00860484"/>
    <w:rsid w:val="00860556"/>
    <w:rsid w:val="008614C7"/>
    <w:rsid w:val="008621C0"/>
    <w:rsid w:val="008629FB"/>
    <w:rsid w:val="00863295"/>
    <w:rsid w:val="00863536"/>
    <w:rsid w:val="00867637"/>
    <w:rsid w:val="00867770"/>
    <w:rsid w:val="00870F4D"/>
    <w:rsid w:val="00872969"/>
    <w:rsid w:val="00876BAA"/>
    <w:rsid w:val="00877F43"/>
    <w:rsid w:val="00880A0D"/>
    <w:rsid w:val="00880EFF"/>
    <w:rsid w:val="008817E2"/>
    <w:rsid w:val="00882F7E"/>
    <w:rsid w:val="00884E9A"/>
    <w:rsid w:val="00884EC2"/>
    <w:rsid w:val="00885FC1"/>
    <w:rsid w:val="0089195A"/>
    <w:rsid w:val="00894022"/>
    <w:rsid w:val="00895B22"/>
    <w:rsid w:val="008962FC"/>
    <w:rsid w:val="00896984"/>
    <w:rsid w:val="008970E2"/>
    <w:rsid w:val="00897216"/>
    <w:rsid w:val="008979AD"/>
    <w:rsid w:val="008A1661"/>
    <w:rsid w:val="008A1816"/>
    <w:rsid w:val="008B0417"/>
    <w:rsid w:val="008B0582"/>
    <w:rsid w:val="008B0EC2"/>
    <w:rsid w:val="008B244B"/>
    <w:rsid w:val="008B3F5D"/>
    <w:rsid w:val="008B51FE"/>
    <w:rsid w:val="008B5A39"/>
    <w:rsid w:val="008B680F"/>
    <w:rsid w:val="008B7CED"/>
    <w:rsid w:val="008C1199"/>
    <w:rsid w:val="008C12B6"/>
    <w:rsid w:val="008C27EE"/>
    <w:rsid w:val="008C31D3"/>
    <w:rsid w:val="008C51E8"/>
    <w:rsid w:val="008C6C63"/>
    <w:rsid w:val="008C6DDD"/>
    <w:rsid w:val="008D207F"/>
    <w:rsid w:val="008D55FF"/>
    <w:rsid w:val="008D5941"/>
    <w:rsid w:val="008D73EA"/>
    <w:rsid w:val="008E39D2"/>
    <w:rsid w:val="008E40E9"/>
    <w:rsid w:val="008E7242"/>
    <w:rsid w:val="008F0392"/>
    <w:rsid w:val="008F08CA"/>
    <w:rsid w:val="008F68A3"/>
    <w:rsid w:val="00906237"/>
    <w:rsid w:val="00906B02"/>
    <w:rsid w:val="009074DA"/>
    <w:rsid w:val="009112FB"/>
    <w:rsid w:val="0091288A"/>
    <w:rsid w:val="00913156"/>
    <w:rsid w:val="009131C0"/>
    <w:rsid w:val="00913714"/>
    <w:rsid w:val="00915AB6"/>
    <w:rsid w:val="009173A3"/>
    <w:rsid w:val="00920606"/>
    <w:rsid w:val="00920B9B"/>
    <w:rsid w:val="00920F81"/>
    <w:rsid w:val="00924CC2"/>
    <w:rsid w:val="00925E68"/>
    <w:rsid w:val="0093138E"/>
    <w:rsid w:val="00932624"/>
    <w:rsid w:val="00933D32"/>
    <w:rsid w:val="00934AFD"/>
    <w:rsid w:val="00941656"/>
    <w:rsid w:val="00942EF3"/>
    <w:rsid w:val="009436A7"/>
    <w:rsid w:val="00943F5B"/>
    <w:rsid w:val="009445DF"/>
    <w:rsid w:val="009448D0"/>
    <w:rsid w:val="009454C3"/>
    <w:rsid w:val="00947379"/>
    <w:rsid w:val="00947F33"/>
    <w:rsid w:val="009504E8"/>
    <w:rsid w:val="0095343E"/>
    <w:rsid w:val="00957F25"/>
    <w:rsid w:val="00960856"/>
    <w:rsid w:val="00961BD1"/>
    <w:rsid w:val="009648A4"/>
    <w:rsid w:val="00964B1E"/>
    <w:rsid w:val="00964C25"/>
    <w:rsid w:val="00964C46"/>
    <w:rsid w:val="0096535B"/>
    <w:rsid w:val="0096644D"/>
    <w:rsid w:val="009705F5"/>
    <w:rsid w:val="00970780"/>
    <w:rsid w:val="00972075"/>
    <w:rsid w:val="00974AD2"/>
    <w:rsid w:val="00981114"/>
    <w:rsid w:val="009823B1"/>
    <w:rsid w:val="00982559"/>
    <w:rsid w:val="00982ABB"/>
    <w:rsid w:val="0098514F"/>
    <w:rsid w:val="009858CD"/>
    <w:rsid w:val="00991663"/>
    <w:rsid w:val="00991A83"/>
    <w:rsid w:val="00991D3E"/>
    <w:rsid w:val="00992BC9"/>
    <w:rsid w:val="00993659"/>
    <w:rsid w:val="00993938"/>
    <w:rsid w:val="00993AAA"/>
    <w:rsid w:val="009950C9"/>
    <w:rsid w:val="00996137"/>
    <w:rsid w:val="00996E37"/>
    <w:rsid w:val="00997D58"/>
    <w:rsid w:val="009A01CE"/>
    <w:rsid w:val="009A166A"/>
    <w:rsid w:val="009A3754"/>
    <w:rsid w:val="009A5805"/>
    <w:rsid w:val="009A6B9C"/>
    <w:rsid w:val="009B559D"/>
    <w:rsid w:val="009C03A3"/>
    <w:rsid w:val="009C20B1"/>
    <w:rsid w:val="009C391D"/>
    <w:rsid w:val="009C3F05"/>
    <w:rsid w:val="009C563B"/>
    <w:rsid w:val="009C5A84"/>
    <w:rsid w:val="009C669A"/>
    <w:rsid w:val="009D09AC"/>
    <w:rsid w:val="009D318C"/>
    <w:rsid w:val="009D3764"/>
    <w:rsid w:val="009D3886"/>
    <w:rsid w:val="009D3E47"/>
    <w:rsid w:val="009D7601"/>
    <w:rsid w:val="009E1582"/>
    <w:rsid w:val="009E286B"/>
    <w:rsid w:val="009E3811"/>
    <w:rsid w:val="009E3ED3"/>
    <w:rsid w:val="009E58F9"/>
    <w:rsid w:val="009E76E1"/>
    <w:rsid w:val="009F05C2"/>
    <w:rsid w:val="009F1A6D"/>
    <w:rsid w:val="009F2340"/>
    <w:rsid w:val="009F2EF6"/>
    <w:rsid w:val="009F399C"/>
    <w:rsid w:val="009F4BE3"/>
    <w:rsid w:val="009F6EA5"/>
    <w:rsid w:val="009F7746"/>
    <w:rsid w:val="00A00689"/>
    <w:rsid w:val="00A00B7D"/>
    <w:rsid w:val="00A01544"/>
    <w:rsid w:val="00A03E18"/>
    <w:rsid w:val="00A07CE2"/>
    <w:rsid w:val="00A11430"/>
    <w:rsid w:val="00A12E4D"/>
    <w:rsid w:val="00A14130"/>
    <w:rsid w:val="00A1485D"/>
    <w:rsid w:val="00A14AA2"/>
    <w:rsid w:val="00A15197"/>
    <w:rsid w:val="00A1617C"/>
    <w:rsid w:val="00A163E4"/>
    <w:rsid w:val="00A2048D"/>
    <w:rsid w:val="00A20755"/>
    <w:rsid w:val="00A214FF"/>
    <w:rsid w:val="00A23FBE"/>
    <w:rsid w:val="00A24140"/>
    <w:rsid w:val="00A24760"/>
    <w:rsid w:val="00A25083"/>
    <w:rsid w:val="00A25559"/>
    <w:rsid w:val="00A26CA0"/>
    <w:rsid w:val="00A26F66"/>
    <w:rsid w:val="00A324F0"/>
    <w:rsid w:val="00A37C59"/>
    <w:rsid w:val="00A43868"/>
    <w:rsid w:val="00A4449C"/>
    <w:rsid w:val="00A454F8"/>
    <w:rsid w:val="00A45ACC"/>
    <w:rsid w:val="00A45B67"/>
    <w:rsid w:val="00A47060"/>
    <w:rsid w:val="00A47C91"/>
    <w:rsid w:val="00A51377"/>
    <w:rsid w:val="00A515D7"/>
    <w:rsid w:val="00A51F8E"/>
    <w:rsid w:val="00A54583"/>
    <w:rsid w:val="00A54832"/>
    <w:rsid w:val="00A54923"/>
    <w:rsid w:val="00A54A9A"/>
    <w:rsid w:val="00A5694C"/>
    <w:rsid w:val="00A6215D"/>
    <w:rsid w:val="00A64F96"/>
    <w:rsid w:val="00A651C3"/>
    <w:rsid w:val="00A7273A"/>
    <w:rsid w:val="00A74D26"/>
    <w:rsid w:val="00A75E1A"/>
    <w:rsid w:val="00A8072F"/>
    <w:rsid w:val="00A80B1C"/>
    <w:rsid w:val="00A81443"/>
    <w:rsid w:val="00A822CF"/>
    <w:rsid w:val="00A84207"/>
    <w:rsid w:val="00A858AC"/>
    <w:rsid w:val="00A86FF0"/>
    <w:rsid w:val="00A87903"/>
    <w:rsid w:val="00A90F9F"/>
    <w:rsid w:val="00A90FEF"/>
    <w:rsid w:val="00A94288"/>
    <w:rsid w:val="00A95028"/>
    <w:rsid w:val="00A96547"/>
    <w:rsid w:val="00AA0744"/>
    <w:rsid w:val="00AA1498"/>
    <w:rsid w:val="00AA2FA0"/>
    <w:rsid w:val="00AB32AC"/>
    <w:rsid w:val="00AB4946"/>
    <w:rsid w:val="00AB612D"/>
    <w:rsid w:val="00AB61E8"/>
    <w:rsid w:val="00AB7A61"/>
    <w:rsid w:val="00AB7AC3"/>
    <w:rsid w:val="00AB7B0C"/>
    <w:rsid w:val="00AC0729"/>
    <w:rsid w:val="00AC1E9D"/>
    <w:rsid w:val="00AC1EFA"/>
    <w:rsid w:val="00AC2C10"/>
    <w:rsid w:val="00AC67B4"/>
    <w:rsid w:val="00AD2D2D"/>
    <w:rsid w:val="00AD6B43"/>
    <w:rsid w:val="00AD74CB"/>
    <w:rsid w:val="00AE0072"/>
    <w:rsid w:val="00AE033E"/>
    <w:rsid w:val="00AE28E6"/>
    <w:rsid w:val="00AE3FAE"/>
    <w:rsid w:val="00AE4106"/>
    <w:rsid w:val="00AE711F"/>
    <w:rsid w:val="00AF15FB"/>
    <w:rsid w:val="00AF1976"/>
    <w:rsid w:val="00AF6637"/>
    <w:rsid w:val="00AF7E17"/>
    <w:rsid w:val="00B00537"/>
    <w:rsid w:val="00B01C2C"/>
    <w:rsid w:val="00B0527D"/>
    <w:rsid w:val="00B065C7"/>
    <w:rsid w:val="00B1122D"/>
    <w:rsid w:val="00B11459"/>
    <w:rsid w:val="00B1697E"/>
    <w:rsid w:val="00B202B9"/>
    <w:rsid w:val="00B21987"/>
    <w:rsid w:val="00B233A5"/>
    <w:rsid w:val="00B25487"/>
    <w:rsid w:val="00B27F8E"/>
    <w:rsid w:val="00B31C9D"/>
    <w:rsid w:val="00B31D78"/>
    <w:rsid w:val="00B32251"/>
    <w:rsid w:val="00B35C0E"/>
    <w:rsid w:val="00B3617F"/>
    <w:rsid w:val="00B378B3"/>
    <w:rsid w:val="00B450AD"/>
    <w:rsid w:val="00B4606A"/>
    <w:rsid w:val="00B46E82"/>
    <w:rsid w:val="00B47D07"/>
    <w:rsid w:val="00B528D5"/>
    <w:rsid w:val="00B53025"/>
    <w:rsid w:val="00B575A4"/>
    <w:rsid w:val="00B57A9D"/>
    <w:rsid w:val="00B61A06"/>
    <w:rsid w:val="00B6539F"/>
    <w:rsid w:val="00B6575E"/>
    <w:rsid w:val="00B6638E"/>
    <w:rsid w:val="00B66DC5"/>
    <w:rsid w:val="00B66E60"/>
    <w:rsid w:val="00B72A1A"/>
    <w:rsid w:val="00B72D29"/>
    <w:rsid w:val="00B75536"/>
    <w:rsid w:val="00B76F8E"/>
    <w:rsid w:val="00B77359"/>
    <w:rsid w:val="00B82103"/>
    <w:rsid w:val="00B91070"/>
    <w:rsid w:val="00B953A4"/>
    <w:rsid w:val="00B9782C"/>
    <w:rsid w:val="00BA64B6"/>
    <w:rsid w:val="00BA6E73"/>
    <w:rsid w:val="00BB0E22"/>
    <w:rsid w:val="00BB37D8"/>
    <w:rsid w:val="00BC19A7"/>
    <w:rsid w:val="00BC21D5"/>
    <w:rsid w:val="00BC46FB"/>
    <w:rsid w:val="00BC5443"/>
    <w:rsid w:val="00BC5817"/>
    <w:rsid w:val="00BC6797"/>
    <w:rsid w:val="00BD1175"/>
    <w:rsid w:val="00BD4039"/>
    <w:rsid w:val="00BD5E26"/>
    <w:rsid w:val="00BE40B7"/>
    <w:rsid w:val="00BF100B"/>
    <w:rsid w:val="00BF19D9"/>
    <w:rsid w:val="00BF1A5C"/>
    <w:rsid w:val="00BF1B49"/>
    <w:rsid w:val="00BF4D8F"/>
    <w:rsid w:val="00BF7E4A"/>
    <w:rsid w:val="00C0041F"/>
    <w:rsid w:val="00C02656"/>
    <w:rsid w:val="00C02AF8"/>
    <w:rsid w:val="00C07960"/>
    <w:rsid w:val="00C1096D"/>
    <w:rsid w:val="00C11F98"/>
    <w:rsid w:val="00C12756"/>
    <w:rsid w:val="00C13728"/>
    <w:rsid w:val="00C14127"/>
    <w:rsid w:val="00C157CC"/>
    <w:rsid w:val="00C17F88"/>
    <w:rsid w:val="00C2633E"/>
    <w:rsid w:val="00C3180F"/>
    <w:rsid w:val="00C31D1F"/>
    <w:rsid w:val="00C33723"/>
    <w:rsid w:val="00C33B31"/>
    <w:rsid w:val="00C35ADC"/>
    <w:rsid w:val="00C420B9"/>
    <w:rsid w:val="00C437FD"/>
    <w:rsid w:val="00C4420B"/>
    <w:rsid w:val="00C44CBE"/>
    <w:rsid w:val="00C45351"/>
    <w:rsid w:val="00C45467"/>
    <w:rsid w:val="00C475F7"/>
    <w:rsid w:val="00C536C1"/>
    <w:rsid w:val="00C557CB"/>
    <w:rsid w:val="00C559A8"/>
    <w:rsid w:val="00C57F86"/>
    <w:rsid w:val="00C6076D"/>
    <w:rsid w:val="00C60B50"/>
    <w:rsid w:val="00C61F8A"/>
    <w:rsid w:val="00C62210"/>
    <w:rsid w:val="00C6310D"/>
    <w:rsid w:val="00C659E9"/>
    <w:rsid w:val="00C678F1"/>
    <w:rsid w:val="00C726D9"/>
    <w:rsid w:val="00C74183"/>
    <w:rsid w:val="00C74335"/>
    <w:rsid w:val="00C7452F"/>
    <w:rsid w:val="00C777FA"/>
    <w:rsid w:val="00C80444"/>
    <w:rsid w:val="00C81020"/>
    <w:rsid w:val="00C83E7A"/>
    <w:rsid w:val="00C84770"/>
    <w:rsid w:val="00C848C4"/>
    <w:rsid w:val="00C90492"/>
    <w:rsid w:val="00C90D1F"/>
    <w:rsid w:val="00C9224C"/>
    <w:rsid w:val="00C926A1"/>
    <w:rsid w:val="00C93718"/>
    <w:rsid w:val="00C94736"/>
    <w:rsid w:val="00C96D9C"/>
    <w:rsid w:val="00CA0B2B"/>
    <w:rsid w:val="00CA145A"/>
    <w:rsid w:val="00CA1B9E"/>
    <w:rsid w:val="00CA30A1"/>
    <w:rsid w:val="00CA58D5"/>
    <w:rsid w:val="00CA7857"/>
    <w:rsid w:val="00CB01D4"/>
    <w:rsid w:val="00CB350B"/>
    <w:rsid w:val="00CB4980"/>
    <w:rsid w:val="00CB5B66"/>
    <w:rsid w:val="00CB76E3"/>
    <w:rsid w:val="00CC01BA"/>
    <w:rsid w:val="00CC26A3"/>
    <w:rsid w:val="00CC27A4"/>
    <w:rsid w:val="00CC3EC8"/>
    <w:rsid w:val="00CC58F4"/>
    <w:rsid w:val="00CD01F7"/>
    <w:rsid w:val="00CD0B67"/>
    <w:rsid w:val="00CD1C50"/>
    <w:rsid w:val="00CD1FE4"/>
    <w:rsid w:val="00CD5972"/>
    <w:rsid w:val="00CD5B95"/>
    <w:rsid w:val="00CD6110"/>
    <w:rsid w:val="00CD6F35"/>
    <w:rsid w:val="00CE26FC"/>
    <w:rsid w:val="00CE3489"/>
    <w:rsid w:val="00CE5BD8"/>
    <w:rsid w:val="00CE6132"/>
    <w:rsid w:val="00CF0B79"/>
    <w:rsid w:val="00CF4372"/>
    <w:rsid w:val="00CF587B"/>
    <w:rsid w:val="00D00A36"/>
    <w:rsid w:val="00D01F5D"/>
    <w:rsid w:val="00D05D21"/>
    <w:rsid w:val="00D0665C"/>
    <w:rsid w:val="00D13F94"/>
    <w:rsid w:val="00D14010"/>
    <w:rsid w:val="00D1700B"/>
    <w:rsid w:val="00D205B2"/>
    <w:rsid w:val="00D20B90"/>
    <w:rsid w:val="00D20DC1"/>
    <w:rsid w:val="00D22F59"/>
    <w:rsid w:val="00D2417B"/>
    <w:rsid w:val="00D27130"/>
    <w:rsid w:val="00D33B38"/>
    <w:rsid w:val="00D34351"/>
    <w:rsid w:val="00D366EF"/>
    <w:rsid w:val="00D40715"/>
    <w:rsid w:val="00D44D61"/>
    <w:rsid w:val="00D44EB9"/>
    <w:rsid w:val="00D47626"/>
    <w:rsid w:val="00D50DC2"/>
    <w:rsid w:val="00D514CD"/>
    <w:rsid w:val="00D521B4"/>
    <w:rsid w:val="00D52331"/>
    <w:rsid w:val="00D52B8E"/>
    <w:rsid w:val="00D52CF8"/>
    <w:rsid w:val="00D52E0A"/>
    <w:rsid w:val="00D55664"/>
    <w:rsid w:val="00D572B2"/>
    <w:rsid w:val="00D602BA"/>
    <w:rsid w:val="00D63F0C"/>
    <w:rsid w:val="00D72D3B"/>
    <w:rsid w:val="00D8214B"/>
    <w:rsid w:val="00D905F8"/>
    <w:rsid w:val="00D91157"/>
    <w:rsid w:val="00D92D5C"/>
    <w:rsid w:val="00D935D3"/>
    <w:rsid w:val="00D95782"/>
    <w:rsid w:val="00D95C80"/>
    <w:rsid w:val="00D96A6F"/>
    <w:rsid w:val="00D96D29"/>
    <w:rsid w:val="00DA32B2"/>
    <w:rsid w:val="00DA7343"/>
    <w:rsid w:val="00DB1943"/>
    <w:rsid w:val="00DB2297"/>
    <w:rsid w:val="00DB294B"/>
    <w:rsid w:val="00DB3D82"/>
    <w:rsid w:val="00DB788F"/>
    <w:rsid w:val="00DC0CD5"/>
    <w:rsid w:val="00DC232E"/>
    <w:rsid w:val="00DC3567"/>
    <w:rsid w:val="00DC4784"/>
    <w:rsid w:val="00DC795E"/>
    <w:rsid w:val="00DD1469"/>
    <w:rsid w:val="00DD3F54"/>
    <w:rsid w:val="00DD5735"/>
    <w:rsid w:val="00DD5F2D"/>
    <w:rsid w:val="00DD6013"/>
    <w:rsid w:val="00DD6F7A"/>
    <w:rsid w:val="00DE1419"/>
    <w:rsid w:val="00DE2F5F"/>
    <w:rsid w:val="00DE3850"/>
    <w:rsid w:val="00DE6BB3"/>
    <w:rsid w:val="00DF5065"/>
    <w:rsid w:val="00DF7829"/>
    <w:rsid w:val="00DF7E0F"/>
    <w:rsid w:val="00E01AF0"/>
    <w:rsid w:val="00E01B24"/>
    <w:rsid w:val="00E03374"/>
    <w:rsid w:val="00E03853"/>
    <w:rsid w:val="00E04A6B"/>
    <w:rsid w:val="00E04B6E"/>
    <w:rsid w:val="00E05873"/>
    <w:rsid w:val="00E06BE2"/>
    <w:rsid w:val="00E1117B"/>
    <w:rsid w:val="00E14083"/>
    <w:rsid w:val="00E167C4"/>
    <w:rsid w:val="00E17593"/>
    <w:rsid w:val="00E17B00"/>
    <w:rsid w:val="00E207EB"/>
    <w:rsid w:val="00E25298"/>
    <w:rsid w:val="00E25F14"/>
    <w:rsid w:val="00E26B57"/>
    <w:rsid w:val="00E30F10"/>
    <w:rsid w:val="00E35F37"/>
    <w:rsid w:val="00E37B7C"/>
    <w:rsid w:val="00E40206"/>
    <w:rsid w:val="00E40F9F"/>
    <w:rsid w:val="00E41E47"/>
    <w:rsid w:val="00E51092"/>
    <w:rsid w:val="00E52FC2"/>
    <w:rsid w:val="00E5478C"/>
    <w:rsid w:val="00E55438"/>
    <w:rsid w:val="00E568E8"/>
    <w:rsid w:val="00E6273B"/>
    <w:rsid w:val="00E62B71"/>
    <w:rsid w:val="00E66033"/>
    <w:rsid w:val="00E67586"/>
    <w:rsid w:val="00E711CD"/>
    <w:rsid w:val="00E7170B"/>
    <w:rsid w:val="00E71EC8"/>
    <w:rsid w:val="00E721F2"/>
    <w:rsid w:val="00E7244D"/>
    <w:rsid w:val="00E74CFC"/>
    <w:rsid w:val="00E762D0"/>
    <w:rsid w:val="00E76B8C"/>
    <w:rsid w:val="00E80747"/>
    <w:rsid w:val="00E970D7"/>
    <w:rsid w:val="00E97D83"/>
    <w:rsid w:val="00EA18AC"/>
    <w:rsid w:val="00EA24A7"/>
    <w:rsid w:val="00EA3947"/>
    <w:rsid w:val="00EA3ED9"/>
    <w:rsid w:val="00EA4611"/>
    <w:rsid w:val="00EA4D79"/>
    <w:rsid w:val="00EB00A6"/>
    <w:rsid w:val="00EB049E"/>
    <w:rsid w:val="00EB2644"/>
    <w:rsid w:val="00EB32D7"/>
    <w:rsid w:val="00EB4182"/>
    <w:rsid w:val="00EB42D6"/>
    <w:rsid w:val="00EB56E3"/>
    <w:rsid w:val="00EB6939"/>
    <w:rsid w:val="00EB6995"/>
    <w:rsid w:val="00EB6C70"/>
    <w:rsid w:val="00EC0308"/>
    <w:rsid w:val="00EC15ED"/>
    <w:rsid w:val="00EC2063"/>
    <w:rsid w:val="00EC28E8"/>
    <w:rsid w:val="00EC3B6C"/>
    <w:rsid w:val="00EC3D64"/>
    <w:rsid w:val="00EC5729"/>
    <w:rsid w:val="00EC63AA"/>
    <w:rsid w:val="00EC66CE"/>
    <w:rsid w:val="00ED2645"/>
    <w:rsid w:val="00ED2A7A"/>
    <w:rsid w:val="00ED2F10"/>
    <w:rsid w:val="00ED4151"/>
    <w:rsid w:val="00ED64D8"/>
    <w:rsid w:val="00ED71E3"/>
    <w:rsid w:val="00EE03F4"/>
    <w:rsid w:val="00EE58BF"/>
    <w:rsid w:val="00EE6500"/>
    <w:rsid w:val="00EE7B1F"/>
    <w:rsid w:val="00EE7D41"/>
    <w:rsid w:val="00EF1E3D"/>
    <w:rsid w:val="00EF3A1A"/>
    <w:rsid w:val="00EF7B08"/>
    <w:rsid w:val="00EF7E4F"/>
    <w:rsid w:val="00F02103"/>
    <w:rsid w:val="00F0235C"/>
    <w:rsid w:val="00F02FF3"/>
    <w:rsid w:val="00F030AE"/>
    <w:rsid w:val="00F03ECC"/>
    <w:rsid w:val="00F0533B"/>
    <w:rsid w:val="00F06FC6"/>
    <w:rsid w:val="00F13A25"/>
    <w:rsid w:val="00F175DC"/>
    <w:rsid w:val="00F1798A"/>
    <w:rsid w:val="00F20FF6"/>
    <w:rsid w:val="00F217D3"/>
    <w:rsid w:val="00F236F4"/>
    <w:rsid w:val="00F23973"/>
    <w:rsid w:val="00F24581"/>
    <w:rsid w:val="00F248A1"/>
    <w:rsid w:val="00F2508D"/>
    <w:rsid w:val="00F303C2"/>
    <w:rsid w:val="00F32392"/>
    <w:rsid w:val="00F3454A"/>
    <w:rsid w:val="00F420E4"/>
    <w:rsid w:val="00F42491"/>
    <w:rsid w:val="00F42914"/>
    <w:rsid w:val="00F4294C"/>
    <w:rsid w:val="00F43064"/>
    <w:rsid w:val="00F43F3D"/>
    <w:rsid w:val="00F52D1E"/>
    <w:rsid w:val="00F57097"/>
    <w:rsid w:val="00F572EF"/>
    <w:rsid w:val="00F576BD"/>
    <w:rsid w:val="00F57CE2"/>
    <w:rsid w:val="00F603A5"/>
    <w:rsid w:val="00F60442"/>
    <w:rsid w:val="00F615FB"/>
    <w:rsid w:val="00F62CFA"/>
    <w:rsid w:val="00F63540"/>
    <w:rsid w:val="00F6771D"/>
    <w:rsid w:val="00F71809"/>
    <w:rsid w:val="00F7214C"/>
    <w:rsid w:val="00F74771"/>
    <w:rsid w:val="00F800F6"/>
    <w:rsid w:val="00F80D80"/>
    <w:rsid w:val="00F81157"/>
    <w:rsid w:val="00F81CCF"/>
    <w:rsid w:val="00F8268B"/>
    <w:rsid w:val="00F90229"/>
    <w:rsid w:val="00F90840"/>
    <w:rsid w:val="00F90A86"/>
    <w:rsid w:val="00F90C43"/>
    <w:rsid w:val="00FA11E9"/>
    <w:rsid w:val="00FA2DDF"/>
    <w:rsid w:val="00FA43DF"/>
    <w:rsid w:val="00FA5831"/>
    <w:rsid w:val="00FA5AFB"/>
    <w:rsid w:val="00FA7F5B"/>
    <w:rsid w:val="00FB42DF"/>
    <w:rsid w:val="00FB50A7"/>
    <w:rsid w:val="00FB6BD7"/>
    <w:rsid w:val="00FB6C47"/>
    <w:rsid w:val="00FC00A1"/>
    <w:rsid w:val="00FC03AC"/>
    <w:rsid w:val="00FC0D51"/>
    <w:rsid w:val="00FC11CC"/>
    <w:rsid w:val="00FC4B6C"/>
    <w:rsid w:val="00FC5977"/>
    <w:rsid w:val="00FC6257"/>
    <w:rsid w:val="00FD26D8"/>
    <w:rsid w:val="00FD2918"/>
    <w:rsid w:val="00FD3133"/>
    <w:rsid w:val="00FD7F56"/>
    <w:rsid w:val="00FE19A4"/>
    <w:rsid w:val="00FE3A84"/>
    <w:rsid w:val="00FE4845"/>
    <w:rsid w:val="00FE4FF6"/>
    <w:rsid w:val="00FF40CF"/>
    <w:rsid w:val="00FF5788"/>
    <w:rsid w:val="00FF5B52"/>
    <w:rsid w:val="00FF6D6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5B8"/>
    <w:pPr>
      <w:framePr w:wrap="auto"/>
      <w:widowControl/>
      <w:autoSpaceDE/>
      <w:autoSpaceDN/>
      <w:adjustRightInd/>
      <w:ind w:left="0" w:right="0"/>
      <w:jc w:val="left"/>
      <w:textAlignment w:val="auto"/>
    </w:pPr>
    <w:rPr>
      <w:rFonts w:ascii="Courier" w:hAnsi="Courier" w:cs="Courier"/>
      <w:sz w:val="24"/>
      <w:szCs w:val="24"/>
      <w:rtl w:val="0"/>
      <w:cs w:val="0"/>
      <w:lang w:val="sk-SK" w:eastAsia="cs-CZ" w:bidi="ar-SA"/>
    </w:rPr>
  </w:style>
  <w:style w:type="paragraph" w:styleId="Heading1">
    <w:name w:val="heading 1"/>
    <w:aliases w:val="Char5 Char,Heading 1 Char Char Char,Heading 1 Char Char Char Char,Heading 1 Char Char Char Char Char,Nadpis 1 Char Char,Čo robí (časť)"/>
    <w:basedOn w:val="Normal"/>
    <w:next w:val="Normal"/>
    <w:link w:val="Heading1Char"/>
    <w:qFormat/>
    <w:rsid w:val="006935B8"/>
    <w:pPr>
      <w:keepNext/>
      <w:spacing w:before="240" w:after="60"/>
      <w:jc w:val="left"/>
      <w:outlineLvl w:val="0"/>
    </w:pPr>
    <w:rPr>
      <w:rFonts w:ascii="Arial" w:hAnsi="Arial" w:cs="Arial"/>
      <w:b/>
      <w:bCs/>
      <w:kern w:val="32"/>
      <w:sz w:val="32"/>
      <w:szCs w:val="32"/>
    </w:rPr>
  </w:style>
  <w:style w:type="paragraph" w:styleId="Heading2">
    <w:name w:val="heading 2"/>
    <w:aliases w:val="Nadpis 2 Char Char,Nadpis 2 Char Char Char,Nadpis 2 Char Char Char Char,Úloha"/>
    <w:basedOn w:val="Normal"/>
    <w:next w:val="Normal"/>
    <w:link w:val="Heading2Char1"/>
    <w:uiPriority w:val="99"/>
    <w:qFormat/>
    <w:rsid w:val="006935B8"/>
    <w:pPr>
      <w:keepNext/>
      <w:spacing w:before="240" w:after="60"/>
      <w:jc w:val="left"/>
      <w:outlineLvl w:val="1"/>
    </w:pPr>
    <w:rPr>
      <w:rFonts w:ascii="Arial" w:hAnsi="Arial" w:cs="Times New Roman"/>
      <w:b/>
      <w:bCs/>
      <w:i/>
      <w:iCs/>
      <w:sz w:val="28"/>
      <w:szCs w:val="28"/>
    </w:rPr>
  </w:style>
  <w:style w:type="paragraph" w:styleId="Heading3">
    <w:name w:val="heading 3"/>
    <w:aliases w:val="Char4 Char,Heading 3 Char Char Char,Nadpis 3 Char Char,Podúloha"/>
    <w:basedOn w:val="Normal"/>
    <w:next w:val="Normal"/>
    <w:link w:val="Heading3Char"/>
    <w:qFormat/>
    <w:rsid w:val="00992BC9"/>
    <w:pPr>
      <w:keepNext/>
      <w:spacing w:before="240" w:after="60"/>
      <w:jc w:val="left"/>
      <w:outlineLvl w:val="2"/>
    </w:pPr>
    <w:rPr>
      <w:rFonts w:ascii="Arial" w:hAnsi="Arial" w:cs="Times New Roman"/>
      <w:b/>
      <w:bCs/>
      <w:sz w:val="26"/>
      <w:szCs w:val="26"/>
    </w:rPr>
  </w:style>
  <w:style w:type="paragraph" w:styleId="Heading4">
    <w:name w:val="heading 4"/>
    <w:aliases w:val="Char Char,Heading 4 Char Char Char,Nadpis 4 Char Char,Termín"/>
    <w:basedOn w:val="Normal"/>
    <w:next w:val="Normal"/>
    <w:link w:val="Heading4Char"/>
    <w:qFormat/>
    <w:rsid w:val="00992BC9"/>
    <w:pPr>
      <w:keepNext/>
      <w:jc w:val="both"/>
      <w:outlineLvl w:val="3"/>
    </w:pPr>
    <w:rPr>
      <w:rFonts w:ascii="Arial" w:hAnsi="Arial" w:cs="Times New Roman"/>
      <w:b/>
      <w:bCs/>
      <w:sz w:val="20"/>
      <w:szCs w:val="20"/>
    </w:rPr>
  </w:style>
  <w:style w:type="paragraph" w:styleId="Heading5">
    <w:name w:val="heading 5"/>
    <w:basedOn w:val="Normal"/>
    <w:next w:val="Normal"/>
    <w:link w:val="Heading5Char"/>
    <w:qFormat/>
    <w:rsid w:val="006F7083"/>
    <w:pPr>
      <w:tabs>
        <w:tab w:val="num" w:pos="3240"/>
      </w:tabs>
      <w:spacing w:before="240" w:after="60"/>
      <w:ind w:left="2880"/>
      <w:jc w:val="left"/>
      <w:outlineLvl w:val="4"/>
    </w:pPr>
    <w:rPr>
      <w:rFonts w:ascii="Times New Roman" w:hAnsi="Times New Roman" w:cs="Times New Roman"/>
      <w:b/>
      <w:bCs/>
      <w:i/>
      <w:iCs/>
      <w:sz w:val="26"/>
      <w:szCs w:val="26"/>
    </w:rPr>
  </w:style>
  <w:style w:type="paragraph" w:styleId="Heading6">
    <w:name w:val="heading 6"/>
    <w:basedOn w:val="Normal"/>
    <w:next w:val="Normal"/>
    <w:link w:val="Heading6Char"/>
    <w:qFormat/>
    <w:rsid w:val="006F7083"/>
    <w:pPr>
      <w:tabs>
        <w:tab w:val="num" w:pos="3960"/>
      </w:tabs>
      <w:spacing w:before="240" w:after="60"/>
      <w:ind w:left="3600"/>
      <w:jc w:val="left"/>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6F7083"/>
    <w:pPr>
      <w:tabs>
        <w:tab w:val="num" w:pos="4680"/>
      </w:tabs>
      <w:spacing w:before="240" w:after="60"/>
      <w:ind w:left="4320"/>
      <w:jc w:val="left"/>
      <w:outlineLvl w:val="6"/>
    </w:pPr>
    <w:rPr>
      <w:rFonts w:ascii="Times New Roman" w:hAnsi="Times New Roman" w:cs="Times New Roman"/>
    </w:rPr>
  </w:style>
  <w:style w:type="paragraph" w:styleId="Heading8">
    <w:name w:val="heading 8"/>
    <w:basedOn w:val="Normal"/>
    <w:next w:val="Normal"/>
    <w:link w:val="Heading8Char"/>
    <w:qFormat/>
    <w:rsid w:val="006F7083"/>
    <w:pPr>
      <w:tabs>
        <w:tab w:val="num" w:pos="5400"/>
      </w:tabs>
      <w:spacing w:before="240" w:after="60"/>
      <w:ind w:left="5040"/>
      <w:jc w:val="left"/>
      <w:outlineLvl w:val="7"/>
    </w:pPr>
    <w:rPr>
      <w:rFonts w:ascii="Times New Roman" w:hAnsi="Times New Roman" w:cs="Times New Roman"/>
      <w:i/>
      <w:iCs/>
    </w:rPr>
  </w:style>
  <w:style w:type="paragraph" w:styleId="Heading9">
    <w:name w:val="heading 9"/>
    <w:basedOn w:val="Normal"/>
    <w:next w:val="Normal"/>
    <w:link w:val="Heading9Char"/>
    <w:qFormat/>
    <w:rsid w:val="006F7083"/>
    <w:pPr>
      <w:tabs>
        <w:tab w:val="num" w:pos="6120"/>
      </w:tabs>
      <w:spacing w:before="240" w:after="60"/>
      <w:ind w:left="5760"/>
      <w:jc w:val="left"/>
      <w:outlineLvl w:val="8"/>
    </w:pPr>
    <w:rPr>
      <w:rFonts w:ascii="Arial" w:hAnsi="Arial"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aliases w:val="Char5 Char Char,Heading 1 Char Char Char Char Char Char,Heading 1 Char Char Char Char Char1,Heading 1 Char Char Char Char1,Nadpis 1 Char Char Char,Čo robí (časť) Char"/>
    <w:link w:val="Heading1"/>
    <w:locked/>
    <w:rsid w:val="006935B8"/>
    <w:rPr>
      <w:rFonts w:ascii="Arial" w:hAnsi="Arial" w:cs="Arial"/>
      <w:b/>
      <w:kern w:val="32"/>
      <w:sz w:val="32"/>
      <w:lang w:val="x-none" w:eastAsia="cs-CZ"/>
    </w:rPr>
  </w:style>
  <w:style w:type="character" w:customStyle="1" w:styleId="Heading2Char1">
    <w:name w:val="Heading 2 Char1"/>
    <w:aliases w:val="Nadpis 2 Char Char Char Char Char,Nadpis 2 Char Char Char Char1,Nadpis 2 Char Char Char1,Úloha Char"/>
    <w:link w:val="Heading2"/>
    <w:uiPriority w:val="99"/>
    <w:locked/>
    <w:rsid w:val="008C27EE"/>
    <w:rPr>
      <w:rFonts w:ascii="Arial" w:hAnsi="Arial" w:cs="Arial"/>
      <w:b/>
      <w:i/>
      <w:sz w:val="28"/>
      <w:lang w:val="x-none" w:eastAsia="cs-CZ"/>
    </w:rPr>
  </w:style>
  <w:style w:type="character" w:customStyle="1" w:styleId="Heading3Char">
    <w:name w:val="Heading 3 Char"/>
    <w:aliases w:val="Char4 Char Char,Heading 3 Char Char Char Char,Nadpis 3 Char Char Char,Podúloha Char"/>
    <w:link w:val="Heading3"/>
    <w:locked/>
    <w:rsid w:val="00992BC9"/>
    <w:rPr>
      <w:rFonts w:ascii="Arial" w:hAnsi="Arial" w:cs="Arial"/>
      <w:b/>
      <w:sz w:val="26"/>
      <w:lang w:val="x-none" w:eastAsia="cs-CZ"/>
    </w:rPr>
  </w:style>
  <w:style w:type="character" w:customStyle="1" w:styleId="Heading4Char">
    <w:name w:val="Heading 4 Char"/>
    <w:aliases w:val="Char Char Char,Heading 4 Char Char Char Char,Nadpis 4 Char Char Char,Termín Char"/>
    <w:link w:val="Heading4"/>
    <w:locked/>
    <w:rsid w:val="00992BC9"/>
    <w:rPr>
      <w:rFonts w:ascii="Arial" w:hAnsi="Arial" w:cs="Arial"/>
      <w:b/>
    </w:rPr>
  </w:style>
  <w:style w:type="character" w:customStyle="1" w:styleId="Heading5Char">
    <w:name w:val="Heading 5 Char"/>
    <w:link w:val="Heading5"/>
    <w:locked/>
    <w:rsid w:val="006F7083"/>
    <w:rPr>
      <w:b/>
      <w:i/>
      <w:sz w:val="26"/>
      <w:lang w:val="x-none" w:eastAsia="cs-CZ"/>
    </w:rPr>
  </w:style>
  <w:style w:type="character" w:customStyle="1" w:styleId="Heading6Char">
    <w:name w:val="Heading 6 Char"/>
    <w:link w:val="Heading6"/>
    <w:locked/>
    <w:rsid w:val="006F7083"/>
    <w:rPr>
      <w:b/>
      <w:sz w:val="22"/>
      <w:lang w:val="x-none" w:eastAsia="cs-CZ"/>
    </w:rPr>
  </w:style>
  <w:style w:type="character" w:customStyle="1" w:styleId="Heading7Char">
    <w:name w:val="Heading 7 Char"/>
    <w:link w:val="Heading7"/>
    <w:locked/>
    <w:rsid w:val="006F7083"/>
    <w:rPr>
      <w:sz w:val="24"/>
      <w:lang w:val="x-none" w:eastAsia="cs-CZ"/>
    </w:rPr>
  </w:style>
  <w:style w:type="character" w:customStyle="1" w:styleId="Heading8Char">
    <w:name w:val="Heading 8 Char"/>
    <w:link w:val="Heading8"/>
    <w:locked/>
    <w:rsid w:val="006F7083"/>
    <w:rPr>
      <w:i/>
      <w:sz w:val="24"/>
      <w:lang w:val="x-none" w:eastAsia="cs-CZ"/>
    </w:rPr>
  </w:style>
  <w:style w:type="character" w:customStyle="1" w:styleId="Heading9Char">
    <w:name w:val="Heading 9 Char"/>
    <w:link w:val="Heading9"/>
    <w:locked/>
    <w:rsid w:val="006F7083"/>
    <w:rPr>
      <w:rFonts w:ascii="Arial" w:hAnsi="Arial" w:cs="Arial"/>
      <w:sz w:val="22"/>
      <w:lang w:val="x-none" w:eastAsia="cs-CZ"/>
    </w:rPr>
  </w:style>
  <w:style w:type="paragraph" w:styleId="BodyText">
    <w:name w:val="Body Text"/>
    <w:aliases w:val="Body Text Char Char Char,Body Text Char Char Char Char,Body Text Char Char Char Char Char,Char14 Char,Char14 Char Char,Základný text Char Char"/>
    <w:basedOn w:val="Normal"/>
    <w:link w:val="BodyTextChar"/>
    <w:rsid w:val="006935B8"/>
    <w:pPr>
      <w:jc w:val="both"/>
    </w:pPr>
  </w:style>
  <w:style w:type="character" w:customStyle="1" w:styleId="BodyTextChar">
    <w:name w:val="Body Text Char"/>
    <w:aliases w:val="Body Text Char Char Char Char Char Char,Body Text Char Char Char Char Char1,Body Text Char Char Char Char1,Char14 Char Char Char,Char14 Char Char1,Základný text Char Char Char"/>
    <w:link w:val="BodyText"/>
    <w:locked/>
    <w:rsid w:val="006935B8"/>
    <w:rPr>
      <w:rFonts w:ascii="Courier" w:hAnsi="Courier" w:cs="Courier"/>
      <w:sz w:val="24"/>
      <w:lang w:val="sk-SK" w:eastAsia="cs-CZ"/>
    </w:rPr>
  </w:style>
  <w:style w:type="paragraph" w:styleId="BodyTextIndent">
    <w:name w:val="Body Text Indent"/>
    <w:aliases w:val="Char8 Char"/>
    <w:basedOn w:val="Normal"/>
    <w:link w:val="BodyTextIndentChar1"/>
    <w:uiPriority w:val="99"/>
    <w:rsid w:val="006935B8"/>
    <w:pPr>
      <w:spacing w:after="120" w:line="480" w:lineRule="auto"/>
      <w:jc w:val="left"/>
    </w:pPr>
  </w:style>
  <w:style w:type="character" w:customStyle="1" w:styleId="BodyTextIndentChar1">
    <w:name w:val="Body Text Indent Char1"/>
    <w:aliases w:val="Char8 Char Char"/>
    <w:link w:val="BodyTextIndent"/>
    <w:uiPriority w:val="99"/>
    <w:locked/>
    <w:rsid w:val="006935B8"/>
    <w:rPr>
      <w:rFonts w:ascii="Courier" w:hAnsi="Courier" w:cs="Courier"/>
      <w:sz w:val="24"/>
      <w:lang w:val="sk-SK" w:eastAsia="cs-CZ"/>
    </w:rPr>
  </w:style>
  <w:style w:type="paragraph" w:customStyle="1" w:styleId="Zakladnystyl">
    <w:name w:val="Zakladny styl"/>
    <w:rsid w:val="00C777F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CharCharCharCharChar1">
    <w:name w:val="Char Char Char Char Char1"/>
    <w:basedOn w:val="Normal"/>
    <w:rsid w:val="00390B69"/>
    <w:pPr>
      <w:spacing w:after="160" w:line="240" w:lineRule="exact"/>
      <w:jc w:val="left"/>
    </w:pPr>
    <w:rPr>
      <w:rFonts w:ascii="Tahoma" w:hAnsi="Tahoma" w:cs="Tahoma"/>
      <w:sz w:val="20"/>
      <w:szCs w:val="20"/>
      <w:lang w:val="en-US" w:eastAsia="en-US"/>
    </w:rPr>
  </w:style>
  <w:style w:type="paragraph" w:customStyle="1" w:styleId="Zarkazkladnhotextu1">
    <w:name w:val="Zarážka základného textu1"/>
    <w:basedOn w:val="Normal"/>
    <w:link w:val="BodyTextIndentChar"/>
    <w:rsid w:val="00390B69"/>
    <w:pPr>
      <w:spacing w:after="120"/>
      <w:ind w:left="283"/>
      <w:jc w:val="left"/>
    </w:pPr>
  </w:style>
  <w:style w:type="character" w:customStyle="1" w:styleId="BodyTextIndentChar">
    <w:name w:val="Body Text Indent Char"/>
    <w:link w:val="Zarkazkladnhotextu1"/>
    <w:locked/>
    <w:rsid w:val="00390B69"/>
    <w:rPr>
      <w:rFonts w:ascii="Courier" w:hAnsi="Courier" w:cs="Courier"/>
      <w:sz w:val="24"/>
      <w:lang w:val="x-none" w:eastAsia="cs-CZ"/>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uiPriority w:val="99"/>
    <w:rsid w:val="008333C8"/>
    <w:pPr>
      <w:spacing w:after="160" w:line="240" w:lineRule="exact"/>
      <w:jc w:val="left"/>
    </w:pPr>
    <w:rPr>
      <w:rFonts w:ascii="Tahoma" w:hAnsi="Tahoma" w:cs="Times New Roman"/>
      <w:sz w:val="20"/>
      <w:szCs w:val="20"/>
      <w:lang w:val="en-US" w:eastAsia="en-US"/>
    </w:rPr>
  </w:style>
  <w:style w:type="paragraph" w:customStyle="1" w:styleId="Zarkazkladnhotextu2">
    <w:name w:val="Zarážka základného textu2"/>
    <w:basedOn w:val="Normal"/>
    <w:rsid w:val="000E6159"/>
    <w:pPr>
      <w:spacing w:after="120"/>
      <w:ind w:left="283"/>
      <w:jc w:val="left"/>
    </w:pPr>
    <w:rPr>
      <w:rFonts w:eastAsia="Calibri"/>
    </w:rPr>
  </w:style>
  <w:style w:type="paragraph" w:styleId="BalloonText">
    <w:name w:val="Balloon Text"/>
    <w:aliases w:val="Balloon Text Char Char,Char13 Char,Text bubliny Char Char"/>
    <w:basedOn w:val="Normal"/>
    <w:link w:val="BalloonTextChar"/>
    <w:uiPriority w:val="99"/>
    <w:semiHidden/>
    <w:unhideWhenUsed/>
    <w:rsid w:val="00175AD5"/>
    <w:pPr>
      <w:jc w:val="left"/>
    </w:pPr>
    <w:rPr>
      <w:rFonts w:ascii="Tahoma" w:hAnsi="Tahoma" w:cs="Times New Roman"/>
      <w:sz w:val="16"/>
      <w:szCs w:val="16"/>
    </w:rPr>
  </w:style>
  <w:style w:type="character" w:customStyle="1" w:styleId="BalloonTextChar">
    <w:name w:val="Balloon Text Char"/>
    <w:aliases w:val="Balloon Text Char Char Char,Char13 Char Char,Text bubliny Char Char Char"/>
    <w:link w:val="BalloonText"/>
    <w:uiPriority w:val="99"/>
    <w:semiHidden/>
    <w:locked/>
    <w:rsid w:val="00175AD5"/>
    <w:rPr>
      <w:rFonts w:ascii="Tahoma" w:hAnsi="Tahoma" w:cs="Tahoma"/>
      <w:sz w:val="16"/>
      <w:lang w:val="x-none" w:eastAsia="cs-CZ"/>
    </w:rPr>
  </w:style>
  <w:style w:type="paragraph" w:styleId="ListParagraph">
    <w:name w:val="List Paragraph"/>
    <w:basedOn w:val="Normal"/>
    <w:uiPriority w:val="34"/>
    <w:qFormat/>
    <w:rsid w:val="00C02AF8"/>
    <w:pPr>
      <w:ind w:left="720"/>
      <w:contextualSpacing/>
      <w:jc w:val="left"/>
    </w:pPr>
  </w:style>
  <w:style w:type="paragraph" w:styleId="Header">
    <w:name w:val="header"/>
    <w:aliases w:val="Hlavička Char Char Char"/>
    <w:basedOn w:val="Normal"/>
    <w:link w:val="HeaderChar"/>
    <w:uiPriority w:val="99"/>
    <w:unhideWhenUsed/>
    <w:rsid w:val="00686060"/>
    <w:pPr>
      <w:tabs>
        <w:tab w:val="center" w:pos="4536"/>
        <w:tab w:val="right" w:pos="9072"/>
      </w:tabs>
      <w:jc w:val="left"/>
    </w:pPr>
    <w:rPr>
      <w:rFonts w:cs="Times New Roman"/>
    </w:rPr>
  </w:style>
  <w:style w:type="character" w:customStyle="1" w:styleId="HeaderChar">
    <w:name w:val="Header Char"/>
    <w:aliases w:val="Hlavička Char Char Char Char"/>
    <w:link w:val="Header"/>
    <w:uiPriority w:val="99"/>
    <w:locked/>
    <w:rsid w:val="00686060"/>
    <w:rPr>
      <w:rFonts w:ascii="Courier" w:hAnsi="Courier" w:cs="Courier"/>
      <w:sz w:val="24"/>
      <w:lang w:val="x-none" w:eastAsia="cs-CZ"/>
    </w:rPr>
  </w:style>
  <w:style w:type="paragraph" w:styleId="Footer">
    <w:name w:val="footer"/>
    <w:aliases w:val="Char11 Char,Footer Char Char Char,Päta Char Char"/>
    <w:basedOn w:val="Normal"/>
    <w:link w:val="FooterChar"/>
    <w:uiPriority w:val="99"/>
    <w:unhideWhenUsed/>
    <w:rsid w:val="00686060"/>
    <w:pPr>
      <w:tabs>
        <w:tab w:val="center" w:pos="4536"/>
        <w:tab w:val="right" w:pos="9072"/>
      </w:tabs>
      <w:jc w:val="left"/>
    </w:pPr>
    <w:rPr>
      <w:rFonts w:cs="Times New Roman"/>
    </w:rPr>
  </w:style>
  <w:style w:type="character" w:customStyle="1" w:styleId="FooterChar">
    <w:name w:val="Footer Char"/>
    <w:aliases w:val="Char11 Char Char,Footer Char Char Char Char,Päta Char Char Char"/>
    <w:link w:val="Footer"/>
    <w:uiPriority w:val="99"/>
    <w:locked/>
    <w:rsid w:val="00686060"/>
    <w:rPr>
      <w:rFonts w:ascii="Courier" w:hAnsi="Courier" w:cs="Courier"/>
      <w:sz w:val="24"/>
      <w:lang w:val="x-none" w:eastAsia="cs-CZ"/>
    </w:rPr>
  </w:style>
  <w:style w:type="paragraph" w:customStyle="1" w:styleId="Zkladntext">
    <w:name w:val="Základní text"/>
    <w:rsid w:val="008C27EE"/>
    <w:pPr>
      <w:framePr w:wrap="auto"/>
      <w:widowControl/>
      <w:autoSpaceDE/>
      <w:autoSpaceDN/>
      <w:adjustRightInd/>
      <w:snapToGrid w:val="0"/>
      <w:ind w:left="0" w:right="0"/>
      <w:jc w:val="left"/>
      <w:textAlignment w:val="auto"/>
    </w:pPr>
    <w:rPr>
      <w:rFonts w:cs="Times New Roman"/>
      <w:color w:val="000000"/>
      <w:sz w:val="24"/>
      <w:szCs w:val="20"/>
      <w:rtl w:val="0"/>
      <w:cs w:val="0"/>
      <w:lang w:val="sk-SK" w:eastAsia="sk-SK" w:bidi="ar-SA"/>
    </w:rPr>
  </w:style>
  <w:style w:type="paragraph" w:customStyle="1" w:styleId="Default">
    <w:name w:val="Default"/>
    <w:uiPriority w:val="99"/>
    <w:rsid w:val="005D1A7E"/>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sk-SK" w:bidi="ar-SA"/>
    </w:rPr>
  </w:style>
  <w:style w:type="paragraph" w:styleId="FootnoteText">
    <w:name w:val="footnote text"/>
    <w:aliases w:val="Footnote Text Char Char1 Char Char Char Char,Footnote Text Char1,Footnote Text Char1 Char,Footnote Text Char1 Char Char Char,Footnote Text Char2,Footnote Text Char2 Char Char,Footnote Text Char2 Char Char Char Char"/>
    <w:basedOn w:val="Normal"/>
    <w:link w:val="FootnoteTextChar"/>
    <w:uiPriority w:val="99"/>
    <w:unhideWhenUsed/>
    <w:rsid w:val="008C51E8"/>
    <w:pPr>
      <w:jc w:val="left"/>
    </w:pPr>
    <w:rPr>
      <w:rFonts w:ascii="Times New Roman" w:hAnsi="Times New Roman" w:cs="Times New Roman"/>
      <w:sz w:val="20"/>
      <w:szCs w:val="20"/>
      <w:lang w:eastAsia="sk-SK"/>
    </w:rPr>
  </w:style>
  <w:style w:type="character" w:customStyle="1" w:styleId="FootnoteTextChar">
    <w:name w:val="Footnote Text Char"/>
    <w:aliases w:val="Footnote Text Char Char1 Char Char Char Char Char,Footnote Text Char1 Char Char,Footnote Text Char1 Char Char Char Char,Footnote Text Char2 Char,Footnote Text Char2 Char Char Char,Footnote Text Char2 Char Char Char Char Char"/>
    <w:basedOn w:val="DefaultParagraphFont"/>
    <w:link w:val="FootnoteText"/>
    <w:uiPriority w:val="99"/>
    <w:locked/>
    <w:rsid w:val="008C51E8"/>
    <w:rPr>
      <w:rFonts w:cs="Times New Roman"/>
      <w:rtl w:val="0"/>
      <w:cs w:val="0"/>
    </w:rPr>
  </w:style>
  <w:style w:type="character" w:styleId="FootnoteReference">
    <w:name w:val="footnote reference"/>
    <w:uiPriority w:val="99"/>
    <w:semiHidden/>
    <w:unhideWhenUsed/>
    <w:rsid w:val="008C51E8"/>
    <w:rPr>
      <w:vertAlign w:val="superscript"/>
    </w:rPr>
  </w:style>
  <w:style w:type="paragraph" w:customStyle="1" w:styleId="CharChar2">
    <w:name w:val="Char Char2"/>
    <w:basedOn w:val="Normal"/>
    <w:uiPriority w:val="99"/>
    <w:rsid w:val="00992BC9"/>
    <w:pPr>
      <w:spacing w:after="160" w:line="240" w:lineRule="exact"/>
      <w:jc w:val="left"/>
    </w:pPr>
    <w:rPr>
      <w:rFonts w:ascii="Tahoma" w:hAnsi="Tahoma" w:cs="Tahoma"/>
      <w:sz w:val="20"/>
      <w:szCs w:val="20"/>
      <w:lang w:val="en-US" w:eastAsia="en-US"/>
    </w:rPr>
  </w:style>
  <w:style w:type="paragraph" w:customStyle="1" w:styleId="CharCharCharCharCharCharCharCharCharCharCharChar1CharCharCharCharCharCharCharCharCharCharCharCharCharCharCharChar">
    <w:name w:val="Char Char Char Char Char Char Char Char Char Char Char Char1 Char Char Char Char Char Char Char Char Char Char Char Char Char Char Char Char"/>
    <w:basedOn w:val="Normal"/>
    <w:uiPriority w:val="99"/>
    <w:rsid w:val="00992BC9"/>
    <w:pPr>
      <w:spacing w:after="160" w:line="240" w:lineRule="exact"/>
      <w:jc w:val="left"/>
    </w:pPr>
    <w:rPr>
      <w:rFonts w:ascii="Tahoma" w:hAnsi="Tahoma" w:cs="Tahoma"/>
      <w:sz w:val="20"/>
      <w:szCs w:val="20"/>
      <w:lang w:val="en-US" w:eastAsia="en-US"/>
    </w:rPr>
  </w:style>
  <w:style w:type="paragraph" w:styleId="BodyText2">
    <w:name w:val="Body Text 2"/>
    <w:aliases w:val="Body Text 2 Char Char Char,Základný text 2 Char Char"/>
    <w:basedOn w:val="Normal"/>
    <w:link w:val="BodyText2Char"/>
    <w:uiPriority w:val="99"/>
    <w:rsid w:val="00992BC9"/>
    <w:pPr>
      <w:spacing w:after="120" w:line="480" w:lineRule="auto"/>
      <w:jc w:val="left"/>
    </w:pPr>
    <w:rPr>
      <w:rFonts w:cs="Times New Roman"/>
    </w:rPr>
  </w:style>
  <w:style w:type="character" w:customStyle="1" w:styleId="BodyText2Char">
    <w:name w:val="Body Text 2 Char"/>
    <w:aliases w:val="Body Text 2 Char Char Char Char,Základný text 2 Char Char Char"/>
    <w:link w:val="BodyText2"/>
    <w:uiPriority w:val="99"/>
    <w:locked/>
    <w:rsid w:val="00992BC9"/>
    <w:rPr>
      <w:rFonts w:ascii="Courier" w:hAnsi="Courier" w:cs="Courier"/>
      <w:sz w:val="24"/>
    </w:rPr>
  </w:style>
  <w:style w:type="paragraph" w:customStyle="1" w:styleId="INGBodyText">
    <w:name w:val="ING Body Text"/>
    <w:basedOn w:val="Normal"/>
    <w:uiPriority w:val="99"/>
    <w:rsid w:val="00992BC9"/>
    <w:pPr>
      <w:spacing w:after="160" w:line="280" w:lineRule="exact"/>
      <w:jc w:val="both"/>
    </w:pPr>
    <w:rPr>
      <w:rFonts w:ascii="Arial" w:hAnsi="Arial" w:cs="Arial"/>
      <w:color w:val="000000"/>
      <w:sz w:val="19"/>
      <w:szCs w:val="19"/>
      <w:lang w:val="en-GB" w:eastAsia="en-US"/>
    </w:rPr>
  </w:style>
  <w:style w:type="character" w:styleId="PageNumber">
    <w:name w:val="page number"/>
    <w:basedOn w:val="DefaultParagraphFont"/>
    <w:rsid w:val="00992BC9"/>
    <w:rPr>
      <w:rFonts w:cs="Times New Roman"/>
      <w:rtl w:val="0"/>
      <w:cs w:val="0"/>
    </w:rPr>
  </w:style>
  <w:style w:type="paragraph" w:styleId="BodyTextIndent2">
    <w:name w:val="Body Text Indent 2"/>
    <w:aliases w:val="Body Text Indent 2 Char Char Char,Char10 Char,Zarážka základného textu 2 Char Char"/>
    <w:basedOn w:val="Normal"/>
    <w:link w:val="BodyTextIndent2Char"/>
    <w:uiPriority w:val="99"/>
    <w:rsid w:val="00992BC9"/>
    <w:pPr>
      <w:spacing w:after="120" w:line="480" w:lineRule="auto"/>
      <w:ind w:left="283"/>
      <w:jc w:val="left"/>
    </w:pPr>
    <w:rPr>
      <w:rFonts w:cs="Times New Roman"/>
    </w:rPr>
  </w:style>
  <w:style w:type="character" w:customStyle="1" w:styleId="BodyTextIndent2Char">
    <w:name w:val="Body Text Indent 2 Char"/>
    <w:aliases w:val="Body Text Indent 2 Char Char Char Char,Char10 Char Char,Zarážka základného textu 2 Char Char Char"/>
    <w:link w:val="BodyTextIndent2"/>
    <w:uiPriority w:val="99"/>
    <w:locked/>
    <w:rsid w:val="00992BC9"/>
    <w:rPr>
      <w:rFonts w:ascii="Courier" w:hAnsi="Courier" w:cs="Courier"/>
      <w:sz w:val="24"/>
    </w:rPr>
  </w:style>
  <w:style w:type="character" w:customStyle="1" w:styleId="DocumentMapChar">
    <w:name w:val="Document Map Char"/>
    <w:aliases w:val="Char9 Char Char,Document Map Char Char Char,Štruktúra dokumentu Char Char Char"/>
    <w:link w:val="DocumentMap"/>
    <w:uiPriority w:val="99"/>
    <w:semiHidden/>
    <w:locked/>
    <w:rsid w:val="00992BC9"/>
    <w:rPr>
      <w:rFonts w:ascii="Tahoma" w:hAnsi="Tahoma" w:cs="Tahoma"/>
      <w:sz w:val="24"/>
      <w:shd w:val="clear" w:color="auto" w:fill="000080"/>
    </w:rPr>
  </w:style>
  <w:style w:type="paragraph" w:styleId="DocumentMap">
    <w:name w:val="Document Map"/>
    <w:aliases w:val="Char9 Char,Document Map Char Char,Štruktúra dokumentu Char Char"/>
    <w:basedOn w:val="Normal"/>
    <w:link w:val="DocumentMapChar"/>
    <w:uiPriority w:val="99"/>
    <w:semiHidden/>
    <w:rsid w:val="00992BC9"/>
    <w:pPr>
      <w:shd w:val="clear" w:color="auto" w:fill="000080"/>
      <w:jc w:val="left"/>
    </w:pPr>
    <w:rPr>
      <w:rFonts w:ascii="Tahoma" w:hAnsi="Tahoma" w:cs="Times New Roman"/>
    </w:rPr>
  </w:style>
  <w:style w:type="character" w:customStyle="1" w:styleId="truktradokumentuChar1">
    <w:name w:val="Štruktúra dokumentu Char1"/>
    <w:aliases w:val="Char9 Char Char1,Document Map Char Char Char1,Štruktúra dokumentu Char Char Char1"/>
    <w:uiPriority w:val="99"/>
    <w:semiHidden/>
    <w:rsid w:val="00992BC9"/>
    <w:rPr>
      <w:rFonts w:ascii="Tahoma" w:hAnsi="Tahoma" w:cs="Tahoma"/>
      <w:sz w:val="16"/>
      <w:lang w:val="x-none" w:eastAsia="cs-CZ"/>
    </w:rPr>
  </w:style>
  <w:style w:type="paragraph" w:customStyle="1" w:styleId="CharCharCharCharCharCharCharCharCharCharCharCharCharCharCharCharCharCharCharCharCharCharChar1CharCharCharCharChar">
    <w:name w:val="Char Char Char Char Char Char Char Char Char Char Char Char Char Char Char Char Char Char Char Char Char Char Char1 Char Char Char Char Char"/>
    <w:basedOn w:val="Normal"/>
    <w:uiPriority w:val="99"/>
    <w:rsid w:val="00992BC9"/>
    <w:pPr>
      <w:spacing w:after="160" w:line="240" w:lineRule="exact"/>
      <w:jc w:val="left"/>
    </w:pPr>
    <w:rPr>
      <w:rFonts w:ascii="Tahoma" w:hAnsi="Tahoma" w:cs="Tahoma"/>
      <w:sz w:val="20"/>
      <w:szCs w:val="20"/>
      <w:lang w:val="en-US" w:eastAsia="en-US"/>
    </w:rPr>
  </w:style>
  <w:style w:type="paragraph" w:customStyle="1" w:styleId="CharCharChar2CharCharCharCharCharCharCharCharCharCharChar">
    <w:name w:val="Char Char Char2 Char Char Char Char Char Char Char Char Char Char Char"/>
    <w:basedOn w:val="Normal"/>
    <w:uiPriority w:val="99"/>
    <w:rsid w:val="00992BC9"/>
    <w:pPr>
      <w:spacing w:after="160" w:line="240" w:lineRule="exact"/>
      <w:jc w:val="left"/>
    </w:pPr>
    <w:rPr>
      <w:rFonts w:ascii="Tahoma" w:hAnsi="Tahoma" w:cs="Tahoma"/>
      <w:sz w:val="20"/>
      <w:szCs w:val="20"/>
      <w:lang w:val="en-US" w:eastAsia="en-US"/>
    </w:rPr>
  </w:style>
  <w:style w:type="paragraph" w:customStyle="1" w:styleId="CharCharChar2CharCharCharCharCharChar">
    <w:name w:val="Char Char Char2 Char Char Char Char Char Char"/>
    <w:basedOn w:val="Normal"/>
    <w:uiPriority w:val="99"/>
    <w:rsid w:val="00992BC9"/>
    <w:pPr>
      <w:spacing w:after="160" w:line="240" w:lineRule="exact"/>
      <w:jc w:val="left"/>
    </w:pPr>
    <w:rPr>
      <w:rFonts w:ascii="Tahoma" w:hAnsi="Tahoma" w:cs="Tahoma"/>
      <w:sz w:val="20"/>
      <w:szCs w:val="20"/>
      <w:lang w:val="en-US" w:eastAsia="en-US"/>
    </w:rPr>
  </w:style>
  <w:style w:type="character" w:customStyle="1" w:styleId="CommentTextChar">
    <w:name w:val="Comment Text Char"/>
    <w:aliases w:val="Char7 Char Char,Comment Text Char Char Char,Text komentára Char Char Char"/>
    <w:link w:val="CommentText"/>
    <w:uiPriority w:val="99"/>
    <w:semiHidden/>
    <w:locked/>
    <w:rsid w:val="00992BC9"/>
    <w:rPr>
      <w:rFonts w:ascii="Courier" w:hAnsi="Courier" w:cs="Courier"/>
    </w:rPr>
  </w:style>
  <w:style w:type="paragraph" w:styleId="CommentText">
    <w:name w:val="annotation text"/>
    <w:aliases w:val="Char7 Char,Comment Text Char Char,Text komentára Char Char"/>
    <w:basedOn w:val="Normal"/>
    <w:link w:val="CommentTextChar"/>
    <w:uiPriority w:val="99"/>
    <w:semiHidden/>
    <w:rsid w:val="00992BC9"/>
    <w:pPr>
      <w:jc w:val="left"/>
    </w:pPr>
    <w:rPr>
      <w:rFonts w:cs="Times New Roman"/>
      <w:sz w:val="20"/>
      <w:szCs w:val="20"/>
    </w:rPr>
  </w:style>
  <w:style w:type="character" w:customStyle="1" w:styleId="TextkomentraChar1">
    <w:name w:val="Text komentára Char1"/>
    <w:aliases w:val="Char7 Char Char1,Comment Text Char Char Char1,Text komentára Char Char Char1"/>
    <w:uiPriority w:val="99"/>
    <w:semiHidden/>
    <w:rsid w:val="00992BC9"/>
    <w:rPr>
      <w:rFonts w:ascii="Courier" w:hAnsi="Courier" w:cs="Courier"/>
      <w:lang w:val="x-none" w:eastAsia="cs-CZ"/>
    </w:rPr>
  </w:style>
  <w:style w:type="character" w:customStyle="1" w:styleId="CommentSubjectChar">
    <w:name w:val="Comment Subject Char"/>
    <w:aliases w:val="Char6 Char Char,Comment Subject Char Char Char,Predmet komentára Char Char Char"/>
    <w:link w:val="CommentSubject"/>
    <w:uiPriority w:val="99"/>
    <w:semiHidden/>
    <w:locked/>
    <w:rsid w:val="00992BC9"/>
    <w:rPr>
      <w:rFonts w:ascii="Courier" w:hAnsi="Courier" w:cs="Courier"/>
      <w:b/>
    </w:rPr>
  </w:style>
  <w:style w:type="paragraph" w:styleId="CommentSubject">
    <w:name w:val="annotation subject"/>
    <w:aliases w:val="Char6 Char,Comment Subject Char Char,Predmet komentára Char Char"/>
    <w:basedOn w:val="CommentText"/>
    <w:next w:val="CommentText"/>
    <w:link w:val="CommentSubjectChar"/>
    <w:uiPriority w:val="99"/>
    <w:semiHidden/>
    <w:rsid w:val="00992BC9"/>
    <w:pPr>
      <w:jc w:val="left"/>
    </w:pPr>
    <w:rPr>
      <w:b/>
      <w:bCs/>
    </w:rPr>
  </w:style>
  <w:style w:type="character" w:customStyle="1" w:styleId="PredmetkomentraChar1">
    <w:name w:val="Predmet komentára Char1"/>
    <w:aliases w:val="Char6 Char Char1,Comment Subject Char Char Char1,Predmet komentára Char Char Char1"/>
    <w:uiPriority w:val="99"/>
    <w:semiHidden/>
    <w:rsid w:val="00992BC9"/>
    <w:rPr>
      <w:rFonts w:ascii="Courier" w:hAnsi="Courier" w:cs="Courier"/>
      <w:b/>
      <w:lang w:val="x-none" w:eastAsia="cs-CZ"/>
    </w:rPr>
  </w:style>
  <w:style w:type="paragraph" w:customStyle="1" w:styleId="CharCharCharCharCharCharCharCharChar">
    <w:name w:val="Char Char Char Char Char Char Char Char Char"/>
    <w:basedOn w:val="Normal"/>
    <w:uiPriority w:val="99"/>
    <w:rsid w:val="00992BC9"/>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uiPriority w:val="99"/>
    <w:rsid w:val="00992BC9"/>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
    <w:name w:val="Char Char Char Char Char Char Char Char Char Char Char Char Char Char Char"/>
    <w:basedOn w:val="Normal"/>
    <w:uiPriority w:val="99"/>
    <w:rsid w:val="00992BC9"/>
    <w:pPr>
      <w:spacing w:after="160" w:line="240" w:lineRule="exact"/>
      <w:jc w:val="left"/>
    </w:pPr>
    <w:rPr>
      <w:rFonts w:ascii="Tahoma" w:hAnsi="Tahoma" w:cs="Tahoma"/>
      <w:sz w:val="20"/>
      <w:szCs w:val="20"/>
      <w:lang w:val="en-US" w:eastAsia="en-US"/>
    </w:rPr>
  </w:style>
  <w:style w:type="paragraph" w:customStyle="1" w:styleId="Char3">
    <w:name w:val="Char3"/>
    <w:basedOn w:val="Normal"/>
    <w:uiPriority w:val="99"/>
    <w:rsid w:val="00992BC9"/>
    <w:pPr>
      <w:spacing w:after="160" w:line="240" w:lineRule="exact"/>
      <w:jc w:val="left"/>
    </w:pPr>
    <w:rPr>
      <w:rFonts w:ascii="Tahoma" w:hAnsi="Tahoma" w:cs="Tahoma"/>
      <w:sz w:val="20"/>
      <w:szCs w:val="20"/>
      <w:lang w:val="en-US" w:eastAsia="en-US"/>
    </w:rPr>
  </w:style>
  <w:style w:type="paragraph" w:styleId="BodyTextIndent3">
    <w:name w:val="Body Text Indent 3"/>
    <w:aliases w:val="Body Text Indent 3 Char Char Char,Char2 Char,Zarážka základného textu 3 Char Char"/>
    <w:basedOn w:val="Normal"/>
    <w:link w:val="BodyTextIndent3Char"/>
    <w:uiPriority w:val="99"/>
    <w:rsid w:val="00992BC9"/>
    <w:pPr>
      <w:spacing w:after="120"/>
      <w:ind w:left="283"/>
      <w:jc w:val="left"/>
    </w:pPr>
    <w:rPr>
      <w:rFonts w:cs="Times New Roman"/>
      <w:sz w:val="16"/>
      <w:szCs w:val="16"/>
    </w:rPr>
  </w:style>
  <w:style w:type="character" w:customStyle="1" w:styleId="BodyTextIndent3Char">
    <w:name w:val="Body Text Indent 3 Char"/>
    <w:aliases w:val="Body Text Indent 3 Char Char Char Char,Char2 Char Char,Zarážka základného textu 3 Char Char Char"/>
    <w:link w:val="BodyTextIndent3"/>
    <w:uiPriority w:val="99"/>
    <w:locked/>
    <w:rsid w:val="00992BC9"/>
    <w:rPr>
      <w:rFonts w:ascii="Courier" w:hAnsi="Courier" w:cs="Courier"/>
      <w:sz w:val="16"/>
      <w:lang w:val="x-none" w:eastAsia="cs-CZ"/>
    </w:rPr>
  </w:style>
  <w:style w:type="paragraph" w:customStyle="1" w:styleId="CharChar1">
    <w:name w:val="Char Char1"/>
    <w:basedOn w:val="Normal"/>
    <w:rsid w:val="00992BC9"/>
    <w:pPr>
      <w:spacing w:after="160" w:line="240" w:lineRule="exact"/>
      <w:jc w:val="left"/>
    </w:pPr>
    <w:rPr>
      <w:rFonts w:ascii="Tahoma" w:hAnsi="Tahoma" w:cs="Tahoma"/>
      <w:sz w:val="20"/>
      <w:szCs w:val="20"/>
      <w:lang w:val="en-US" w:eastAsia="en-US"/>
    </w:rPr>
  </w:style>
  <w:style w:type="paragraph" w:customStyle="1" w:styleId="Char1">
    <w:name w:val="Char1"/>
    <w:basedOn w:val="Normal"/>
    <w:uiPriority w:val="99"/>
    <w:rsid w:val="00992BC9"/>
    <w:pPr>
      <w:spacing w:after="160" w:line="240" w:lineRule="exact"/>
      <w:jc w:val="left"/>
    </w:pPr>
    <w:rPr>
      <w:rFonts w:ascii="Tahoma" w:hAnsi="Tahoma" w:cs="Tahoma"/>
      <w:sz w:val="20"/>
      <w:szCs w:val="20"/>
      <w:lang w:val="en-US" w:eastAsia="en-US"/>
    </w:rPr>
  </w:style>
  <w:style w:type="character" w:styleId="Hyperlink">
    <w:name w:val="Hyperlink"/>
    <w:uiPriority w:val="99"/>
    <w:rsid w:val="00992BC9"/>
    <w:rPr>
      <w:color w:val="0000FF"/>
      <w:u w:val="single"/>
    </w:rPr>
  </w:style>
  <w:style w:type="character" w:customStyle="1" w:styleId="BodyTextIndentCharChar">
    <w:name w:val="Body Text Indent Char Char"/>
    <w:uiPriority w:val="99"/>
    <w:rsid w:val="00992BC9"/>
    <w:rPr>
      <w:rFonts w:ascii="Courier" w:hAnsi="Courier" w:cs="Courier"/>
      <w:sz w:val="24"/>
      <w:lang w:val="x-none" w:eastAsia="cs-CZ"/>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Normal"/>
    <w:uiPriority w:val="99"/>
    <w:rsid w:val="00992BC9"/>
    <w:pPr>
      <w:spacing w:after="160" w:line="240" w:lineRule="exact"/>
      <w:jc w:val="left"/>
    </w:pPr>
    <w:rPr>
      <w:rFonts w:ascii="Tahoma" w:hAnsi="Tahoma" w:cs="Tahoma"/>
      <w:sz w:val="20"/>
      <w:szCs w:val="20"/>
      <w:lang w:val="en-US" w:eastAsia="en-US"/>
    </w:rPr>
  </w:style>
  <w:style w:type="paragraph" w:customStyle="1" w:styleId="CharCharCharCharCharCharCharCharChar1">
    <w:name w:val="Char Char Char Char Char Char Char Char Char1"/>
    <w:basedOn w:val="Normal"/>
    <w:uiPriority w:val="99"/>
    <w:rsid w:val="00992BC9"/>
    <w:pPr>
      <w:spacing w:after="160" w:line="240" w:lineRule="exact"/>
      <w:jc w:val="left"/>
    </w:pPr>
    <w:rPr>
      <w:rFonts w:ascii="Tahoma" w:hAnsi="Tahoma" w:cs="Tahoma"/>
      <w:sz w:val="20"/>
      <w:szCs w:val="20"/>
      <w:lang w:val="en-US" w:eastAsia="en-US"/>
    </w:rPr>
  </w:style>
  <w:style w:type="paragraph" w:customStyle="1" w:styleId="CharCharChar2CharCharCharCharCharCharCharCharCharCharChar1">
    <w:name w:val="Char Char Char2 Char Char Char Char Char Char Char Char Char Char Char1"/>
    <w:basedOn w:val="Normal"/>
    <w:uiPriority w:val="99"/>
    <w:rsid w:val="00992BC9"/>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1CharCharCharCharChar1">
    <w:name w:val="Char Char Char Char Char Char Char Char Char Char Char Char Char Char Char Char Char Char Char Char Char Char Char1 Char Char Char Char Char1"/>
    <w:basedOn w:val="Normal"/>
    <w:uiPriority w:val="99"/>
    <w:rsid w:val="00992BC9"/>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1">
    <w:name w:val="Char Char Char Char Char Char Char Char Char Char Char Char Char Char Char1"/>
    <w:basedOn w:val="Normal"/>
    <w:uiPriority w:val="99"/>
    <w:rsid w:val="00992BC9"/>
    <w:pPr>
      <w:spacing w:after="160" w:line="240" w:lineRule="exact"/>
      <w:jc w:val="left"/>
    </w:pPr>
    <w:rPr>
      <w:rFonts w:ascii="Tahoma" w:hAnsi="Tahoma" w:cs="Tahoma"/>
      <w:sz w:val="20"/>
      <w:szCs w:val="20"/>
      <w:lang w:val="en-US" w:eastAsia="en-US"/>
    </w:rPr>
  </w:style>
  <w:style w:type="character" w:customStyle="1" w:styleId="PlainTextChar">
    <w:name w:val="Plain Text Char"/>
    <w:aliases w:val="Obyčajný text Char Char Char Char"/>
    <w:link w:val="PlainText"/>
    <w:uiPriority w:val="99"/>
    <w:locked/>
    <w:rsid w:val="00992BC9"/>
    <w:rPr>
      <w:rFonts w:ascii="Consolas" w:hAnsi="Consolas" w:cs="Consolas"/>
      <w:sz w:val="21"/>
    </w:rPr>
  </w:style>
  <w:style w:type="paragraph" w:styleId="PlainText">
    <w:name w:val="Plain Text"/>
    <w:aliases w:val="Obyčajný text Char Char Char"/>
    <w:basedOn w:val="Normal"/>
    <w:link w:val="PlainTextChar"/>
    <w:uiPriority w:val="99"/>
    <w:rsid w:val="00992BC9"/>
    <w:pPr>
      <w:jc w:val="left"/>
    </w:pPr>
    <w:rPr>
      <w:rFonts w:ascii="Consolas" w:hAnsi="Consolas" w:cs="Times New Roman"/>
      <w:sz w:val="21"/>
      <w:szCs w:val="21"/>
    </w:rPr>
  </w:style>
  <w:style w:type="character" w:customStyle="1" w:styleId="ObyajntextChar1">
    <w:name w:val="Obyčajný text Char1"/>
    <w:aliases w:val="Obyčajný text Char Char Char Char1"/>
    <w:uiPriority w:val="99"/>
    <w:semiHidden/>
    <w:rsid w:val="00992BC9"/>
    <w:rPr>
      <w:rFonts w:ascii="Courier New" w:hAnsi="Courier New" w:cs="Courier New"/>
      <w:lang w:val="x-none" w:eastAsia="cs-CZ"/>
    </w:rPr>
  </w:style>
  <w:style w:type="paragraph" w:customStyle="1" w:styleId="CharCharCharCharCharCharCharCharCharCharChar">
    <w:name w:val="Char Char Char Char Char Char Char Char Char Char Char"/>
    <w:basedOn w:val="Normal"/>
    <w:uiPriority w:val="99"/>
    <w:rsid w:val="00992BC9"/>
    <w:pPr>
      <w:spacing w:after="160" w:line="240" w:lineRule="exact"/>
      <w:jc w:val="left"/>
    </w:pPr>
    <w:rPr>
      <w:rFonts w:ascii="Tahoma" w:hAnsi="Tahoma" w:cs="Tahoma"/>
      <w:sz w:val="20"/>
      <w:szCs w:val="20"/>
      <w:lang w:val="en-US" w:eastAsia="en-US"/>
    </w:rPr>
  </w:style>
  <w:style w:type="paragraph" w:styleId="Title">
    <w:name w:val="Title"/>
    <w:basedOn w:val="Normal"/>
    <w:link w:val="TitleChar1"/>
    <w:uiPriority w:val="99"/>
    <w:qFormat/>
    <w:rsid w:val="00992BC9"/>
    <w:pPr>
      <w:jc w:val="center"/>
    </w:pPr>
    <w:rPr>
      <w:rFonts w:ascii="Arial Black" w:hAnsi="Arial Black" w:cs="Times New Roman"/>
      <w:b/>
      <w:bCs/>
    </w:rPr>
  </w:style>
  <w:style w:type="character" w:customStyle="1" w:styleId="TitleChar1">
    <w:name w:val="Title Char1"/>
    <w:link w:val="Title"/>
    <w:uiPriority w:val="99"/>
    <w:locked/>
    <w:rsid w:val="00992BC9"/>
    <w:rPr>
      <w:rFonts w:ascii="Arial Black" w:hAnsi="Arial Black" w:cs="Arial Black"/>
      <w:b/>
      <w:sz w:val="24"/>
    </w:rPr>
  </w:style>
  <w:style w:type="character" w:customStyle="1" w:styleId="NzovChar">
    <w:name w:val="Názov Char"/>
    <w:rsid w:val="00992BC9"/>
    <w:rPr>
      <w:rFonts w:ascii="Cambria" w:hAnsi="Cambria" w:cs="Cambria"/>
      <w:b/>
      <w:kern w:val="28"/>
      <w:sz w:val="32"/>
      <w:lang w:val="x-none" w:eastAsia="cs-CZ"/>
    </w:rPr>
  </w:style>
  <w:style w:type="paragraph" w:customStyle="1" w:styleId="CharCharCharCharChar">
    <w:name w:val="Char Char Char Char Char"/>
    <w:basedOn w:val="Normal"/>
    <w:rsid w:val="00992BC9"/>
    <w:pPr>
      <w:spacing w:after="160" w:line="240" w:lineRule="exact"/>
      <w:jc w:val="left"/>
    </w:pPr>
    <w:rPr>
      <w:rFonts w:ascii="Tahoma" w:hAnsi="Tahoma" w:cs="Tahoma"/>
      <w:sz w:val="20"/>
      <w:szCs w:val="20"/>
      <w:lang w:val="en-US" w:eastAsia="en-US"/>
    </w:rPr>
  </w:style>
  <w:style w:type="character" w:customStyle="1" w:styleId="Heading2Char">
    <w:name w:val="Heading 2 Char"/>
    <w:uiPriority w:val="99"/>
    <w:rsid w:val="00992BC9"/>
    <w:rPr>
      <w:rFonts w:ascii="Arial" w:hAnsi="Arial" w:cs="Arial"/>
      <w:b/>
      <w:i/>
      <w:sz w:val="28"/>
      <w:lang w:val="x-none" w:eastAsia="cs-CZ"/>
    </w:rPr>
  </w:style>
  <w:style w:type="character" w:customStyle="1" w:styleId="ZarkazkladnhotextuChar1">
    <w:name w:val="Zarážka základného textu Char1"/>
    <w:aliases w:val="Char8 Char Char1"/>
    <w:uiPriority w:val="99"/>
    <w:rsid w:val="00992BC9"/>
    <w:rPr>
      <w:rFonts w:ascii="Courier" w:hAnsi="Courier" w:cs="Courier"/>
      <w:sz w:val="24"/>
      <w:lang w:val="x-none" w:eastAsia="cs-CZ"/>
    </w:rPr>
  </w:style>
  <w:style w:type="character" w:customStyle="1" w:styleId="TitleChar">
    <w:name w:val="Title Char"/>
    <w:uiPriority w:val="99"/>
    <w:rsid w:val="00992BC9"/>
    <w:rPr>
      <w:rFonts w:ascii="Arial Black" w:hAnsi="Arial Black" w:cs="Arial Black"/>
      <w:b/>
      <w:sz w:val="24"/>
      <w:lang w:val="x-none" w:eastAsia="sk-SK"/>
    </w:rPr>
  </w:style>
  <w:style w:type="paragraph" w:styleId="NormalWeb">
    <w:name w:val="Normal (Web)"/>
    <w:basedOn w:val="Normal"/>
    <w:unhideWhenUsed/>
    <w:rsid w:val="00992BC9"/>
    <w:pPr>
      <w:spacing w:before="100" w:beforeAutospacing="1" w:after="100" w:afterAutospacing="1"/>
      <w:jc w:val="left"/>
    </w:pPr>
    <w:rPr>
      <w:rFonts w:ascii="Times New Roman" w:hAnsi="Times New Roman" w:cs="Times New Roman"/>
      <w:lang w:eastAsia="sk-SK"/>
    </w:rPr>
  </w:style>
  <w:style w:type="paragraph" w:styleId="TOCHeading">
    <w:name w:val="TOC Heading"/>
    <w:basedOn w:val="Heading1"/>
    <w:next w:val="Normal"/>
    <w:uiPriority w:val="39"/>
    <w:unhideWhenUsed/>
    <w:qFormat/>
    <w:rsid w:val="007520A4"/>
    <w:pPr>
      <w:keepLines/>
      <w:spacing w:before="480" w:after="0" w:line="276" w:lineRule="auto"/>
      <w:jc w:val="left"/>
      <w:outlineLvl w:val="9"/>
    </w:pPr>
    <w:rPr>
      <w:rFonts w:ascii="Cambria" w:hAnsi="Cambria" w:cs="Times New Roman"/>
      <w:color w:val="365F91"/>
      <w:kern w:val="0"/>
      <w:sz w:val="28"/>
      <w:szCs w:val="28"/>
      <w:lang w:eastAsia="en-US"/>
    </w:rPr>
  </w:style>
  <w:style w:type="paragraph" w:styleId="TOC1">
    <w:name w:val="toc 1"/>
    <w:basedOn w:val="Normal"/>
    <w:next w:val="Normal"/>
    <w:autoRedefine/>
    <w:uiPriority w:val="39"/>
    <w:unhideWhenUsed/>
    <w:rsid w:val="005D1280"/>
    <w:pPr>
      <w:tabs>
        <w:tab w:val="left" w:pos="284"/>
        <w:tab w:val="right" w:leader="dot" w:pos="9062"/>
      </w:tabs>
      <w:jc w:val="left"/>
    </w:pPr>
    <w:rPr>
      <w:rFonts w:ascii="Times New Roman" w:hAnsi="Times New Roman" w:cs="Times New Roman"/>
      <w:b/>
      <w:noProof/>
    </w:rPr>
  </w:style>
  <w:style w:type="paragraph" w:styleId="TOC2">
    <w:name w:val="toc 2"/>
    <w:basedOn w:val="Normal"/>
    <w:next w:val="Normal"/>
    <w:autoRedefine/>
    <w:uiPriority w:val="39"/>
    <w:unhideWhenUsed/>
    <w:rsid w:val="007520A4"/>
    <w:pPr>
      <w:ind w:left="240"/>
      <w:jc w:val="left"/>
    </w:pPr>
  </w:style>
  <w:style w:type="character" w:customStyle="1" w:styleId="spanr">
    <w:name w:val="span_r"/>
    <w:basedOn w:val="DefaultParagraphFont"/>
    <w:rsid w:val="006F7083"/>
    <w:rPr>
      <w:rFonts w:cs="Times New Roman"/>
      <w:rtl w:val="0"/>
      <w:cs w:val="0"/>
    </w:rPr>
  </w:style>
  <w:style w:type="character" w:styleId="Strong">
    <w:name w:val="Strong"/>
    <w:uiPriority w:val="22"/>
    <w:qFormat/>
    <w:rsid w:val="006F7083"/>
    <w:rPr>
      <w:b/>
    </w:rPr>
  </w:style>
  <w:style w:type="paragraph" w:customStyle="1" w:styleId="Char">
    <w:name w:val="Char"/>
    <w:basedOn w:val="Normal"/>
    <w:rsid w:val="006F7083"/>
    <w:pPr>
      <w:spacing w:after="160" w:line="240" w:lineRule="exact"/>
      <w:jc w:val="left"/>
    </w:pPr>
    <w:rPr>
      <w:rFonts w:ascii="Tahoma" w:hAnsi="Tahoma" w:cs="Tahoma"/>
      <w:sz w:val="20"/>
      <w:szCs w:val="20"/>
      <w:lang w:val="en-US" w:eastAsia="en-US"/>
    </w:rPr>
  </w:style>
  <w:style w:type="character" w:customStyle="1" w:styleId="st1">
    <w:name w:val="st1"/>
    <w:basedOn w:val="DefaultParagraphFont"/>
    <w:rsid w:val="006F7083"/>
    <w:rPr>
      <w:rFonts w:cs="Times New Roman"/>
      <w:rtl w:val="0"/>
      <w:cs w:val="0"/>
    </w:rPr>
  </w:style>
  <w:style w:type="paragraph" w:customStyle="1" w:styleId="BodyText25">
    <w:name w:val="Body Text 25"/>
    <w:basedOn w:val="Normal"/>
    <w:rsid w:val="006F7083"/>
    <w:pPr>
      <w:overflowPunct w:val="0"/>
      <w:autoSpaceDE w:val="0"/>
      <w:autoSpaceDN w:val="0"/>
      <w:adjustRightInd w:val="0"/>
      <w:ind w:left="4111" w:hanging="3403"/>
      <w:jc w:val="left"/>
      <w:textAlignment w:val="baseline"/>
    </w:pPr>
    <w:rPr>
      <w:rFonts w:ascii="Times New Roman" w:hAnsi="Times New Roman" w:cs="Times New Roman"/>
      <w:b/>
      <w:i/>
      <w:sz w:val="26"/>
      <w:szCs w:val="20"/>
      <w:lang w:eastAsia="sk-SK"/>
    </w:rPr>
  </w:style>
  <w:style w:type="table" w:styleId="TableGrid">
    <w:name w:val="Table Grid"/>
    <w:basedOn w:val="TableNormal"/>
    <w:uiPriority w:val="59"/>
    <w:rsid w:val="006F08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4ABC"/>
    <w:pPr>
      <w:framePr w:wrap="auto"/>
      <w:widowControl/>
      <w:autoSpaceDE/>
      <w:autoSpaceDN/>
      <w:adjustRightInd/>
      <w:ind w:left="0" w:right="0"/>
      <w:jc w:val="left"/>
      <w:textAlignment w:val="auto"/>
    </w:pPr>
    <w:rPr>
      <w:rFonts w:ascii="Arial Narrow" w:hAnsi="Arial Narrow" w:cstheme="minorBidi"/>
      <w:sz w:val="22"/>
      <w:szCs w:val="36"/>
      <w:rtl w:val="0"/>
      <w:cs w:val="0"/>
      <w:lang w:val="sk-SK" w:eastAsia="en-US" w:bidi="ar-SA"/>
    </w:rPr>
  </w:style>
  <w:style w:type="character" w:styleId="FollowedHyperlink">
    <w:name w:val="FollowedHyperlink"/>
    <w:basedOn w:val="DefaultParagraphFont"/>
    <w:uiPriority w:val="99"/>
    <w:semiHidden/>
    <w:unhideWhenUsed/>
    <w:rsid w:val="005313F8"/>
    <w:rPr>
      <w:rFonts w:cs="Times New Roman"/>
      <w:color w:val="800080" w:themeColor="folHlink" w:themeShade="FF"/>
      <w:u w:val="single"/>
      <w:rtl w:val="0"/>
      <w:cs w:val="0"/>
    </w:rPr>
  </w:style>
  <w:style w:type="character" w:customStyle="1" w:styleId="Nadpis1Char1">
    <w:name w:val="Nadpis 1 Char1"/>
    <w:aliases w:val="Char5 Char Char1,Heading 1 Char Char Char Char Char Char1,Heading 1 Char Char Char Char Char2,Heading 1 Char Char Char Char2,Nadpis 1 Char Char Char1,Čo robí (časť) Char1"/>
    <w:basedOn w:val="DefaultParagraphFont"/>
    <w:rsid w:val="005313F8"/>
    <w:rPr>
      <w:rFonts w:asciiTheme="majorHAnsi" w:eastAsiaTheme="majorEastAsia" w:hAnsiTheme="majorHAnsi" w:cstheme="majorBidi"/>
      <w:b/>
      <w:bCs/>
      <w:color w:val="365F91" w:themeColor="accent1" w:themeShade="BF"/>
      <w:sz w:val="28"/>
      <w:szCs w:val="28"/>
      <w:rtl w:val="0"/>
      <w:cs w:val="0"/>
      <w:lang w:val="x-none" w:eastAsia="cs-CZ"/>
    </w:rPr>
  </w:style>
  <w:style w:type="character" w:customStyle="1" w:styleId="Nadpis2Char1">
    <w:name w:val="Nadpis 2 Char1"/>
    <w:aliases w:val="Nadpis 2 Char Char Char Char Char1,Nadpis 2 Char Char Char Char2,Nadpis 2 Char Char Char2,Úloha Char1"/>
    <w:basedOn w:val="DefaultParagraphFont"/>
    <w:uiPriority w:val="99"/>
    <w:semiHidden/>
    <w:rsid w:val="005313F8"/>
    <w:rPr>
      <w:rFonts w:asciiTheme="majorHAnsi" w:eastAsiaTheme="majorEastAsia" w:hAnsiTheme="majorHAnsi" w:cstheme="majorBidi"/>
      <w:b/>
      <w:bCs/>
      <w:color w:val="4F81BD" w:themeColor="accent1" w:themeShade="FF"/>
      <w:sz w:val="26"/>
      <w:szCs w:val="26"/>
      <w:rtl w:val="0"/>
      <w:cs w:val="0"/>
      <w:lang w:val="x-none" w:eastAsia="cs-CZ"/>
    </w:rPr>
  </w:style>
  <w:style w:type="character" w:customStyle="1" w:styleId="Nadpis3Char1">
    <w:name w:val="Nadpis 3 Char1"/>
    <w:aliases w:val="Char4 Char Char1,Heading 3 Char Char Char Char1,Nadpis 3 Char Char Char1,Podúloha Char1"/>
    <w:basedOn w:val="DefaultParagraphFont"/>
    <w:semiHidden/>
    <w:rsid w:val="005313F8"/>
    <w:rPr>
      <w:rFonts w:asciiTheme="majorHAnsi" w:eastAsiaTheme="majorEastAsia" w:hAnsiTheme="majorHAnsi" w:cstheme="majorBidi"/>
      <w:b/>
      <w:bCs/>
      <w:color w:val="4F81BD" w:themeColor="accent1" w:themeShade="FF"/>
      <w:sz w:val="24"/>
      <w:szCs w:val="24"/>
      <w:rtl w:val="0"/>
      <w:cs w:val="0"/>
      <w:lang w:val="x-none" w:eastAsia="cs-CZ"/>
    </w:rPr>
  </w:style>
  <w:style w:type="character" w:customStyle="1" w:styleId="Nadpis4Char1">
    <w:name w:val="Nadpis 4 Char1"/>
    <w:aliases w:val="Char Char Char1,Heading 4 Char Char Char Char1,Nadpis 4 Char Char Char1,Termín Char1"/>
    <w:basedOn w:val="DefaultParagraphFont"/>
    <w:semiHidden/>
    <w:rsid w:val="005313F8"/>
    <w:rPr>
      <w:rFonts w:asciiTheme="majorHAnsi" w:eastAsiaTheme="majorEastAsia" w:hAnsiTheme="majorHAnsi" w:cstheme="majorBidi"/>
      <w:b/>
      <w:bCs/>
      <w:i/>
      <w:iCs/>
      <w:color w:val="4F81BD" w:themeColor="accent1" w:themeShade="FF"/>
      <w:sz w:val="24"/>
      <w:szCs w:val="24"/>
      <w:rtl w:val="0"/>
      <w:cs w:val="0"/>
      <w:lang w:val="x-none" w:eastAsia="cs-CZ"/>
    </w:rPr>
  </w:style>
  <w:style w:type="character" w:customStyle="1" w:styleId="TextpoznmkypodiarouChar1">
    <w:name w:val="Text poznámky pod čiarou Char1"/>
    <w:aliases w:val="Footnote Text Char1 Char Char Char Char1,Footnote Text Char1 Char Char1,Footnote Text Char1 Char2,Footnote Text Char2 Char Char Char Char Char1,Footnote Text Char2 Char Char Char1,Footnote Text Char2 Char1"/>
    <w:basedOn w:val="DefaultParagraphFont"/>
    <w:uiPriority w:val="99"/>
    <w:semiHidden/>
    <w:rsid w:val="005313F8"/>
    <w:rPr>
      <w:rFonts w:ascii="Courier" w:hAnsi="Courier" w:cs="Courier"/>
      <w:rtl w:val="0"/>
      <w:cs w:val="0"/>
      <w:lang w:val="x-none" w:eastAsia="cs-CZ"/>
    </w:rPr>
  </w:style>
  <w:style w:type="character" w:customStyle="1" w:styleId="HlavikaChar1">
    <w:name w:val="Hlavička Char1"/>
    <w:aliases w:val="Hlavička Char Char Char Char1"/>
    <w:basedOn w:val="DefaultParagraphFont"/>
    <w:uiPriority w:val="99"/>
    <w:semiHidden/>
    <w:rsid w:val="005313F8"/>
    <w:rPr>
      <w:rFonts w:ascii="Courier" w:hAnsi="Courier" w:cs="Courier"/>
      <w:sz w:val="24"/>
      <w:szCs w:val="24"/>
      <w:rtl w:val="0"/>
      <w:cs w:val="0"/>
      <w:lang w:val="x-none" w:eastAsia="cs-CZ"/>
    </w:rPr>
  </w:style>
  <w:style w:type="character" w:customStyle="1" w:styleId="PtaChar1">
    <w:name w:val="Päta Char1"/>
    <w:aliases w:val="Char11 Char Char1,Footer Char Char Char Char1,Päta Char Char Char1"/>
    <w:basedOn w:val="DefaultParagraphFont"/>
    <w:uiPriority w:val="99"/>
    <w:semiHidden/>
    <w:rsid w:val="005313F8"/>
    <w:rPr>
      <w:rFonts w:ascii="Courier" w:hAnsi="Courier" w:cs="Courier"/>
      <w:sz w:val="24"/>
      <w:szCs w:val="24"/>
      <w:rtl w:val="0"/>
      <w:cs w:val="0"/>
      <w:lang w:val="x-none" w:eastAsia="cs-CZ"/>
    </w:rPr>
  </w:style>
  <w:style w:type="character" w:customStyle="1" w:styleId="ZkladntextChar1">
    <w:name w:val="Základný text Char1"/>
    <w:aliases w:val="Body Text Char Char Char Char Char Char1,Body Text Char Char Char Char Char2,Body Text Char Char Char Char2,Char14 Char Char Char1,Char14 Char Char2,Základný text Char Char Char1"/>
    <w:basedOn w:val="DefaultParagraphFont"/>
    <w:semiHidden/>
    <w:rsid w:val="005313F8"/>
    <w:rPr>
      <w:rFonts w:ascii="Courier" w:hAnsi="Courier" w:cs="Courier"/>
      <w:sz w:val="24"/>
      <w:szCs w:val="24"/>
      <w:rtl w:val="0"/>
      <w:cs w:val="0"/>
      <w:lang w:val="x-none" w:eastAsia="cs-CZ"/>
    </w:rPr>
  </w:style>
  <w:style w:type="character" w:customStyle="1" w:styleId="Zkladntext2Char1">
    <w:name w:val="Základný text 2 Char1"/>
    <w:aliases w:val="Body Text 2 Char Char Char Char1,Základný text 2 Char Char Char1"/>
    <w:basedOn w:val="DefaultParagraphFont"/>
    <w:uiPriority w:val="99"/>
    <w:semiHidden/>
    <w:rsid w:val="005313F8"/>
    <w:rPr>
      <w:rFonts w:ascii="Courier" w:hAnsi="Courier" w:cs="Courier"/>
      <w:sz w:val="24"/>
      <w:szCs w:val="24"/>
      <w:rtl w:val="0"/>
      <w:cs w:val="0"/>
      <w:lang w:val="x-none" w:eastAsia="cs-CZ"/>
    </w:rPr>
  </w:style>
  <w:style w:type="character" w:customStyle="1" w:styleId="Zarkazkladnhotextu2Char1">
    <w:name w:val="Zarážka základného textu 2 Char1"/>
    <w:aliases w:val="Body Text Indent 2 Char Char Char Char1,Char10 Char Char1,Zarážka základného textu 2 Char Char Char1"/>
    <w:basedOn w:val="DefaultParagraphFont"/>
    <w:uiPriority w:val="99"/>
    <w:semiHidden/>
    <w:rsid w:val="005313F8"/>
    <w:rPr>
      <w:rFonts w:ascii="Courier" w:hAnsi="Courier" w:cs="Courier"/>
      <w:sz w:val="24"/>
      <w:szCs w:val="24"/>
      <w:rtl w:val="0"/>
      <w:cs w:val="0"/>
      <w:lang w:val="x-none" w:eastAsia="cs-CZ"/>
    </w:rPr>
  </w:style>
  <w:style w:type="character" w:customStyle="1" w:styleId="Zarkazkladnhotextu3Char1">
    <w:name w:val="Zarážka základného textu 3 Char1"/>
    <w:aliases w:val="Body Text Indent 3 Char Char Char Char1,Char2 Char Char1,Zarážka základného textu 3 Char Char Char1"/>
    <w:basedOn w:val="DefaultParagraphFont"/>
    <w:uiPriority w:val="99"/>
    <w:semiHidden/>
    <w:rsid w:val="005313F8"/>
    <w:rPr>
      <w:rFonts w:ascii="Courier" w:hAnsi="Courier" w:cs="Courier"/>
      <w:sz w:val="16"/>
      <w:szCs w:val="16"/>
      <w:rtl w:val="0"/>
      <w:cs w:val="0"/>
      <w:lang w:val="x-none" w:eastAsia="cs-CZ"/>
    </w:rPr>
  </w:style>
  <w:style w:type="character" w:customStyle="1" w:styleId="TextbublinyChar1">
    <w:name w:val="Text bubliny Char1"/>
    <w:aliases w:val="Balloon Text Char Char Char1,Char13 Char Char1,Text bubliny Char Char Char1"/>
    <w:basedOn w:val="DefaultParagraphFont"/>
    <w:uiPriority w:val="99"/>
    <w:semiHidden/>
    <w:rsid w:val="005313F8"/>
    <w:rPr>
      <w:rFonts w:ascii="Tahoma" w:hAnsi="Tahoma" w:cs="Tahoma"/>
      <w:sz w:val="16"/>
      <w:szCs w:val="16"/>
      <w:rtl w:val="0"/>
      <w:cs w:val="0"/>
      <w:lang w:val="x-none" w:eastAsia="cs-CZ"/>
    </w:rPr>
  </w:style>
  <w:style w:type="character" w:styleId="CommentReference">
    <w:name w:val="annotation reference"/>
    <w:basedOn w:val="DefaultParagraphFont"/>
    <w:uiPriority w:val="99"/>
    <w:semiHidden/>
    <w:unhideWhenUsed/>
    <w:rsid w:val="000A6169"/>
    <w:rPr>
      <w:rFonts w:cs="Times New Roman"/>
      <w:sz w:val="16"/>
      <w:szCs w:val="16"/>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wmf" /><Relationship Id="rId7" Type="http://schemas.openxmlformats.org/officeDocument/2006/relationships/image" Target="media/image2.wmf" /><Relationship Id="rId8" Type="http://schemas.openxmlformats.org/officeDocument/2006/relationships/image" Target="media/image3.emf" /><Relationship Id="rId9" Type="http://schemas.openxmlformats.org/officeDocument/2006/relationships/image" Target="media/image4.wmf"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27C0D-1A8C-4846-9ECD-39A48FEB0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53</Pages>
  <Words>61965</Words>
  <Characters>353205</Characters>
  <Application>Microsoft Office Word</Application>
  <DocSecurity>0</DocSecurity>
  <Lines>0</Lines>
  <Paragraphs>0</Paragraphs>
  <ScaleCrop>false</ScaleCrop>
  <Company>Kancelaria NR SR</Company>
  <LinksUpToDate>false</LinksUpToDate>
  <CharactersWithSpaces>414342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MFSR</dc:creator>
  <cp:lastModifiedBy>Gašparíková, Jarmila</cp:lastModifiedBy>
  <cp:revision>2</cp:revision>
  <cp:lastPrinted>2011-10-13T08:47:00Z</cp:lastPrinted>
  <dcterms:created xsi:type="dcterms:W3CDTF">2011-10-14T13:07:00Z</dcterms:created>
  <dcterms:modified xsi:type="dcterms:W3CDTF">2011-10-14T13:07:00Z</dcterms:modified>
</cp:coreProperties>
</file>