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A1D97" w:rsidP="002027A5">
      <w:pPr>
        <w:pStyle w:val="Title"/>
        <w:bidi w:val="0"/>
        <w:rPr>
          <w:rFonts w:ascii="Times New Roman" w:hAnsi="Times New Roman"/>
        </w:rPr>
      </w:pPr>
    </w:p>
    <w:p w:rsidR="002027A5" w:rsidRPr="009A1D97" w:rsidP="002027A5">
      <w:pPr>
        <w:pStyle w:val="Title"/>
        <w:bidi w:val="0"/>
        <w:rPr>
          <w:rFonts w:ascii="Times New Roman" w:hAnsi="Times New Roman"/>
        </w:rPr>
      </w:pPr>
      <w:r w:rsidRPr="009A1D97">
        <w:rPr>
          <w:rFonts w:ascii="Times New Roman" w:hAnsi="Times New Roman"/>
        </w:rPr>
        <w:t>DOLOŽKA ZLUČITEĽNOSTI</w:t>
      </w:r>
    </w:p>
    <w:p w:rsidR="00847373" w:rsidRPr="009A1D97" w:rsidP="002027A5">
      <w:pPr>
        <w:pBdr>
          <w:bottom w:val="single" w:sz="6" w:space="1" w:color="auto"/>
        </w:pBdr>
        <w:bidi w:val="0"/>
        <w:jc w:val="center"/>
        <w:rPr>
          <w:rFonts w:ascii="Times New Roman" w:hAnsi="Times New Roman"/>
        </w:rPr>
      </w:pPr>
      <w:r w:rsidRPr="009A1D97" w:rsidR="00447DAC">
        <w:rPr>
          <w:rFonts w:ascii="Times New Roman" w:hAnsi="Times New Roman"/>
        </w:rPr>
        <w:t>n</w:t>
      </w:r>
      <w:r w:rsidRPr="009A1D97" w:rsidR="002027A5">
        <w:rPr>
          <w:rFonts w:ascii="Times New Roman" w:hAnsi="Times New Roman"/>
        </w:rPr>
        <w:t>ávrh</w:t>
      </w:r>
      <w:r w:rsidRPr="009A1D97" w:rsidR="00447DAC">
        <w:rPr>
          <w:rFonts w:ascii="Times New Roman" w:hAnsi="Times New Roman"/>
        </w:rPr>
        <w:t>u</w:t>
      </w:r>
      <w:r w:rsidRPr="009A1D97" w:rsidR="002027A5">
        <w:rPr>
          <w:rFonts w:ascii="Times New Roman" w:hAnsi="Times New Roman"/>
        </w:rPr>
        <w:t xml:space="preserve"> zákona</w:t>
      </w:r>
      <w:r w:rsidRPr="009A1D97" w:rsidR="00661F82">
        <w:rPr>
          <w:rFonts w:ascii="Times New Roman" w:hAnsi="Times New Roman"/>
        </w:rPr>
        <w:t xml:space="preserve"> o </w:t>
      </w:r>
      <w:r w:rsidRPr="009A1D97">
        <w:rPr>
          <w:rFonts w:ascii="Times New Roman" w:hAnsi="Times New Roman"/>
        </w:rPr>
        <w:t>štátn</w:t>
      </w:r>
      <w:r w:rsidRPr="009A1D97" w:rsidR="00661F82">
        <w:rPr>
          <w:rFonts w:ascii="Times New Roman" w:hAnsi="Times New Roman"/>
        </w:rPr>
        <w:t>om rozpočte na rok 20</w:t>
      </w:r>
      <w:r w:rsidRPr="009A1D97" w:rsidR="00AF7C3D">
        <w:rPr>
          <w:rFonts w:ascii="Times New Roman" w:hAnsi="Times New Roman"/>
        </w:rPr>
        <w:t>1</w:t>
      </w:r>
      <w:r w:rsidRPr="009A1D97" w:rsidR="00151C1C">
        <w:rPr>
          <w:rFonts w:ascii="Times New Roman" w:hAnsi="Times New Roman"/>
        </w:rPr>
        <w:t>2</w:t>
      </w:r>
    </w:p>
    <w:p w:rsidR="002027A5" w:rsidRPr="009A1D97" w:rsidP="002027A5">
      <w:pPr>
        <w:pBdr>
          <w:bottom w:val="single" w:sz="6" w:space="1" w:color="auto"/>
        </w:pBdr>
        <w:bidi w:val="0"/>
        <w:jc w:val="center"/>
        <w:rPr>
          <w:rFonts w:ascii="Times New Roman" w:hAnsi="Times New Roman"/>
          <w:bCs/>
        </w:rPr>
      </w:pPr>
      <w:r w:rsidRPr="009A1D97">
        <w:rPr>
          <w:rFonts w:ascii="Times New Roman" w:hAnsi="Times New Roman"/>
          <w:bCs/>
        </w:rPr>
        <w:t>s právom Európskej únie</w:t>
      </w:r>
    </w:p>
    <w:p w:rsidR="002027A5" w:rsidRPr="009A1D97" w:rsidP="002027A5">
      <w:pPr>
        <w:bidi w:val="0"/>
        <w:jc w:val="center"/>
        <w:rPr>
          <w:rFonts w:ascii="Times New Roman" w:hAnsi="Times New Roman"/>
          <w:b/>
        </w:rPr>
      </w:pPr>
    </w:p>
    <w:p w:rsidR="002027A5" w:rsidRPr="009A1D97" w:rsidP="00CE1C89">
      <w:pPr>
        <w:numPr>
          <w:numId w:val="1"/>
        </w:numPr>
        <w:bidi w:val="0"/>
        <w:spacing w:after="120"/>
        <w:jc w:val="both"/>
        <w:rPr>
          <w:rFonts w:ascii="Times New Roman" w:hAnsi="Times New Roman"/>
        </w:rPr>
      </w:pPr>
      <w:r w:rsidRPr="009A1D97">
        <w:rPr>
          <w:rFonts w:ascii="Times New Roman" w:hAnsi="Times New Roman"/>
          <w:b/>
        </w:rPr>
        <w:t>Predkladateľ zákona:</w:t>
      </w:r>
    </w:p>
    <w:p w:rsidR="002027A5" w:rsidRPr="009A1D97" w:rsidP="002027A5">
      <w:pPr>
        <w:bidi w:val="0"/>
        <w:ind w:firstLine="425"/>
        <w:jc w:val="both"/>
        <w:rPr>
          <w:rFonts w:ascii="Times New Roman" w:hAnsi="Times New Roman"/>
        </w:rPr>
      </w:pPr>
      <w:r w:rsidRPr="009A1D97">
        <w:rPr>
          <w:rFonts w:ascii="Times New Roman" w:hAnsi="Times New Roman"/>
        </w:rPr>
        <w:t>Vláda Slovenskej republiky</w:t>
      </w:r>
      <w:r w:rsidRPr="009A1D97" w:rsidR="00D17398">
        <w:rPr>
          <w:rFonts w:ascii="Times New Roman" w:hAnsi="Times New Roman"/>
        </w:rPr>
        <w:t>.</w:t>
      </w:r>
      <w:r w:rsidRPr="009A1D97">
        <w:rPr>
          <w:rFonts w:ascii="Times New Roman" w:hAnsi="Times New Roman"/>
        </w:rPr>
        <w:t xml:space="preserve"> </w:t>
      </w:r>
    </w:p>
    <w:p w:rsidR="002027A5" w:rsidRPr="009A1D97" w:rsidP="002027A5">
      <w:pPr>
        <w:bidi w:val="0"/>
        <w:jc w:val="both"/>
        <w:rPr>
          <w:rFonts w:ascii="Times New Roman" w:hAnsi="Times New Roman"/>
          <w:b/>
        </w:rPr>
      </w:pPr>
    </w:p>
    <w:p w:rsidR="002027A5" w:rsidRPr="009A1D97" w:rsidP="00CE1C89">
      <w:pPr>
        <w:numPr>
          <w:numId w:val="1"/>
        </w:numPr>
        <w:bidi w:val="0"/>
        <w:spacing w:after="120"/>
        <w:jc w:val="both"/>
        <w:rPr>
          <w:rFonts w:ascii="Times New Roman" w:hAnsi="Times New Roman"/>
          <w:b/>
        </w:rPr>
      </w:pPr>
      <w:r w:rsidRPr="009A1D97">
        <w:rPr>
          <w:rFonts w:ascii="Times New Roman" w:hAnsi="Times New Roman"/>
          <w:b/>
        </w:rPr>
        <w:t>Názov návrhu zákona:</w:t>
      </w:r>
    </w:p>
    <w:p w:rsidR="002027A5" w:rsidRPr="009A1D97" w:rsidP="002027A5">
      <w:pPr>
        <w:bidi w:val="0"/>
        <w:ind w:left="425"/>
        <w:jc w:val="both"/>
        <w:rPr>
          <w:rFonts w:ascii="Times New Roman" w:hAnsi="Times New Roman"/>
          <w:b/>
        </w:rPr>
      </w:pPr>
      <w:r w:rsidRPr="009A1D97" w:rsidR="00C63798">
        <w:rPr>
          <w:rFonts w:ascii="Times New Roman" w:hAnsi="Times New Roman"/>
        </w:rPr>
        <w:t>Návrh zákona</w:t>
      </w:r>
      <w:r w:rsidRPr="009A1D97" w:rsidR="00661F82">
        <w:rPr>
          <w:rFonts w:ascii="Times New Roman" w:hAnsi="Times New Roman"/>
        </w:rPr>
        <w:t xml:space="preserve"> o štátnom rozpočte na rok 20</w:t>
      </w:r>
      <w:r w:rsidRPr="009A1D97" w:rsidR="00AF7C3D">
        <w:rPr>
          <w:rFonts w:ascii="Times New Roman" w:hAnsi="Times New Roman"/>
        </w:rPr>
        <w:t>1</w:t>
      </w:r>
      <w:r w:rsidRPr="009A1D97" w:rsidR="00151C1C">
        <w:rPr>
          <w:rFonts w:ascii="Times New Roman" w:hAnsi="Times New Roman"/>
        </w:rPr>
        <w:t>2</w:t>
      </w:r>
      <w:r w:rsidRPr="009A1D97" w:rsidR="00F56102">
        <w:rPr>
          <w:rFonts w:ascii="Times New Roman" w:hAnsi="Times New Roman"/>
        </w:rPr>
        <w:t>.</w:t>
      </w:r>
    </w:p>
    <w:p w:rsidR="002027A5" w:rsidRPr="009A1D97" w:rsidP="002027A5">
      <w:pPr>
        <w:bidi w:val="0"/>
        <w:jc w:val="both"/>
        <w:rPr>
          <w:rFonts w:ascii="Times New Roman" w:hAnsi="Times New Roman"/>
          <w:b/>
        </w:rPr>
      </w:pPr>
    </w:p>
    <w:p w:rsidR="002027A5" w:rsidRPr="009A1D97" w:rsidP="00CE1C89">
      <w:pPr>
        <w:numPr>
          <w:numId w:val="1"/>
        </w:numPr>
        <w:bidi w:val="0"/>
        <w:spacing w:after="120"/>
        <w:jc w:val="both"/>
        <w:rPr>
          <w:rFonts w:ascii="Times New Roman" w:hAnsi="Times New Roman"/>
          <w:b/>
        </w:rPr>
      </w:pPr>
      <w:r w:rsidRPr="009A1D97">
        <w:rPr>
          <w:rFonts w:ascii="Times New Roman" w:hAnsi="Times New Roman"/>
          <w:b/>
        </w:rPr>
        <w:t xml:space="preserve">Problematika návrhu zákona: </w:t>
      </w:r>
    </w:p>
    <w:p w:rsidR="00ED7975" w:rsidRPr="009A1D97" w:rsidP="0082659D">
      <w:pPr>
        <w:pStyle w:val="BodyText"/>
        <w:numPr>
          <w:ilvl w:val="1"/>
          <w:numId w:val="1"/>
        </w:numPr>
        <w:tabs>
          <w:tab w:val="clear" w:pos="0"/>
          <w:tab w:val="num" w:pos="397"/>
          <w:tab w:val="left" w:pos="540"/>
        </w:tabs>
        <w:bidi w:val="0"/>
        <w:ind w:left="851"/>
        <w:rPr>
          <w:rFonts w:ascii="Times New Roman" w:hAnsi="Times New Roman"/>
        </w:rPr>
      </w:pPr>
      <w:r w:rsidRPr="009A1D97">
        <w:rPr>
          <w:rFonts w:ascii="Times New Roman" w:hAnsi="Times New Roman"/>
        </w:rPr>
        <w:t>je upravená v práve Európskej únie:</w:t>
      </w:r>
    </w:p>
    <w:p w:rsidR="00ED7975" w:rsidRPr="009A1D97" w:rsidP="00ED7975">
      <w:pPr>
        <w:pStyle w:val="BodyText"/>
        <w:bidi w:val="0"/>
        <w:spacing w:before="120" w:after="240"/>
        <w:ind w:left="357"/>
        <w:rPr>
          <w:rFonts w:ascii="Times New Roman" w:hAnsi="Times New Roman"/>
          <w:b/>
          <w:bCs/>
          <w:i/>
          <w:iCs/>
        </w:rPr>
      </w:pPr>
      <w:r w:rsidRPr="009A1D97">
        <w:rPr>
          <w:rFonts w:ascii="Times New Roman" w:hAnsi="Times New Roman"/>
          <w:b/>
          <w:bCs/>
          <w:i/>
          <w:iCs/>
        </w:rPr>
        <w:t xml:space="preserve">Primárne právo: </w:t>
      </w:r>
    </w:p>
    <w:p w:rsidR="00ED7975" w:rsidRPr="009A1D97" w:rsidP="0082659D">
      <w:pPr>
        <w:pStyle w:val="BodyText"/>
        <w:numPr>
          <w:numId w:val="13"/>
        </w:numPr>
        <w:bidi w:val="0"/>
        <w:ind w:left="357" w:firstLine="69"/>
        <w:jc w:val="both"/>
        <w:rPr>
          <w:rFonts w:ascii="Times New Roman" w:hAnsi="Times New Roman"/>
        </w:rPr>
      </w:pPr>
      <w:r w:rsidRPr="009A1D97">
        <w:rPr>
          <w:rFonts w:ascii="Times New Roman" w:hAnsi="Times New Roman"/>
        </w:rPr>
        <w:t xml:space="preserve">čl. 126, </w:t>
      </w:r>
      <w:r w:rsidRPr="009A1D97" w:rsidR="000B623C">
        <w:rPr>
          <w:rFonts w:ascii="Times New Roman" w:hAnsi="Times New Roman"/>
        </w:rPr>
        <w:t xml:space="preserve">čl. 136, </w:t>
      </w:r>
      <w:r w:rsidRPr="009A1D97">
        <w:rPr>
          <w:rFonts w:ascii="Times New Roman" w:hAnsi="Times New Roman"/>
        </w:rPr>
        <w:t>čl. 310 až 325 Zmluvy o fungovaní Európskej únie,</w:t>
      </w:r>
    </w:p>
    <w:p w:rsidR="009E33CB" w:rsidP="009E33CB">
      <w:pPr>
        <w:pStyle w:val="BodyText"/>
        <w:numPr>
          <w:numId w:val="13"/>
        </w:numPr>
        <w:tabs>
          <w:tab w:val="clear" w:pos="360"/>
          <w:tab w:val="num" w:pos="709"/>
        </w:tabs>
        <w:bidi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9A1D97" w:rsidR="00ED7975">
        <w:rPr>
          <w:rFonts w:ascii="Times New Roman" w:hAnsi="Times New Roman"/>
        </w:rPr>
        <w:t>Protokol (č.12) o  postupe pri nadmernom deficite pripojený k Zmluve o fungovaní Európskej únie a Zmluve o Európskej únii.</w:t>
      </w:r>
    </w:p>
    <w:p w:rsidR="00ED7975" w:rsidRPr="009A1D97" w:rsidP="009E33CB">
      <w:pPr>
        <w:pStyle w:val="BodyText"/>
        <w:tabs>
          <w:tab w:val="num" w:pos="426"/>
        </w:tabs>
        <w:bidi w:val="0"/>
        <w:spacing w:line="276" w:lineRule="auto"/>
        <w:ind w:left="426"/>
        <w:jc w:val="both"/>
        <w:rPr>
          <w:rFonts w:ascii="Times New Roman" w:hAnsi="Times New Roman"/>
        </w:rPr>
      </w:pPr>
      <w:r w:rsidRPr="009E33CB">
        <w:rPr>
          <w:rFonts w:ascii="Times New Roman" w:hAnsi="Times New Roman"/>
          <w:b/>
          <w:bCs/>
          <w:i/>
          <w:iCs/>
        </w:rPr>
        <w:t xml:space="preserve">Sekundárne právo </w:t>
      </w:r>
      <w:r w:rsidRPr="009A1D97">
        <w:rPr>
          <w:rFonts w:ascii="Times New Roman" w:hAnsi="Times New Roman"/>
        </w:rPr>
        <w:t>(prijaté pred nadobudnutím platnosti Lisabonskej zmluvy, ktorou sa mení a dopĺňa Zmluva o Európskom spoločenstve a Zmluva o Európskej únii - do 30.</w:t>
      </w:r>
      <w:r w:rsidR="009E33CB">
        <w:rPr>
          <w:rFonts w:ascii="Times New Roman" w:hAnsi="Times New Roman"/>
        </w:rPr>
        <w:t> </w:t>
      </w:r>
      <w:r w:rsidRPr="009A1D97">
        <w:rPr>
          <w:rFonts w:ascii="Times New Roman" w:hAnsi="Times New Roman"/>
        </w:rPr>
        <w:t>novembra 2009):</w:t>
      </w:r>
      <w:r w:rsidRPr="009E33CB">
        <w:rPr>
          <w:rFonts w:ascii="Times New Roman" w:hAnsi="Times New Roman"/>
          <w:b/>
          <w:bCs/>
          <w:i/>
          <w:iCs/>
        </w:rPr>
        <w:t xml:space="preserve"> </w:t>
      </w:r>
    </w:p>
    <w:p w:rsidR="00ED7975" w:rsidRPr="009A1D97" w:rsidP="0082659D">
      <w:pPr>
        <w:pStyle w:val="BodyText"/>
        <w:numPr>
          <w:numId w:val="14"/>
        </w:numPr>
        <w:tabs>
          <w:tab w:val="clear" w:pos="360"/>
          <w:tab w:val="num" w:pos="709"/>
        </w:tabs>
        <w:bidi w:val="0"/>
        <w:ind w:left="709" w:hanging="283"/>
        <w:jc w:val="both"/>
        <w:rPr>
          <w:rStyle w:val="Emphasis"/>
          <w:rFonts w:ascii="Times New Roman" w:hAnsi="Times New Roman"/>
          <w:i w:val="0"/>
          <w:iCs w:val="0"/>
        </w:rPr>
      </w:pPr>
      <w:r w:rsidRPr="009A1D97">
        <w:rPr>
          <w:rFonts w:ascii="Times New Roman" w:hAnsi="Times New Roman"/>
        </w:rPr>
        <w:t>nariadenie Rady (ES) č. 479/2009 z 25. mája 2009 o uplatňovaní Protokolu o postupe pri nadmernom schodku, ktorý tvorí prílohu Zmluvy o založení Európskeho spoločenstva v platnom znení (Ú. v. EÚ L 145, 10.6. 2009</w:t>
      </w:r>
      <w:r w:rsidRPr="009A1D97">
        <w:rPr>
          <w:rStyle w:val="Emphasis"/>
          <w:rFonts w:ascii="Times New Roman" w:hAnsi="Times New Roman"/>
          <w:i w:val="0"/>
          <w:iCs w:val="0"/>
        </w:rPr>
        <w:t>),</w:t>
      </w:r>
    </w:p>
    <w:p w:rsidR="00ED7975" w:rsidRPr="009A1D97" w:rsidP="0082659D">
      <w:pPr>
        <w:pStyle w:val="BodyText"/>
        <w:numPr>
          <w:numId w:val="14"/>
        </w:numPr>
        <w:tabs>
          <w:tab w:val="clear" w:pos="360"/>
          <w:tab w:val="num" w:pos="709"/>
        </w:tabs>
        <w:bidi w:val="0"/>
        <w:ind w:left="709" w:hanging="283"/>
        <w:jc w:val="both"/>
        <w:rPr>
          <w:rStyle w:val="Emphasis"/>
          <w:rFonts w:ascii="Times New Roman" w:hAnsi="Times New Roman"/>
          <w:i w:val="0"/>
          <w:iCs w:val="0"/>
        </w:rPr>
      </w:pPr>
      <w:r w:rsidRPr="009A1D97">
        <w:rPr>
          <w:rFonts w:ascii="Times New Roman" w:hAnsi="Times New Roman"/>
        </w:rPr>
        <w:t>nariadenie Rady (ES) č. 2223/96 z 25. júna 1996 o Európskom systéme národných a regionálnych účtov v Spoločenstve v platnom znení (Mimoriadne vydanie Ú. v. EÚ, kap.10</w:t>
      </w:r>
      <w:r w:rsidRPr="009A1D97">
        <w:rPr>
          <w:rStyle w:val="Emphasis"/>
          <w:rFonts w:ascii="Times New Roman" w:hAnsi="Times New Roman"/>
          <w:i w:val="0"/>
          <w:iCs w:val="0"/>
        </w:rPr>
        <w:t>/ zv. 2),</w:t>
      </w:r>
    </w:p>
    <w:p w:rsidR="00ED7975" w:rsidRPr="009A1D97" w:rsidP="0082659D">
      <w:pPr>
        <w:pStyle w:val="BodyText"/>
        <w:numPr>
          <w:numId w:val="14"/>
        </w:numPr>
        <w:tabs>
          <w:tab w:val="clear" w:pos="360"/>
          <w:tab w:val="num" w:pos="709"/>
        </w:tabs>
        <w:bidi w:val="0"/>
        <w:spacing w:after="200"/>
        <w:ind w:left="709" w:hanging="283"/>
        <w:jc w:val="both"/>
        <w:rPr>
          <w:rFonts w:ascii="Times New Roman" w:hAnsi="Times New Roman"/>
        </w:rPr>
      </w:pPr>
      <w:r w:rsidRPr="009A1D97">
        <w:rPr>
          <w:rFonts w:ascii="Times New Roman" w:hAnsi="Times New Roman"/>
        </w:rPr>
        <w:t>nariadenie Európskeho Parlamentu a Rady (ES) č. 501/2004 z 10. marca 2004 o štvrťročných finančných účtoch verejnej správy (Mimoriadne vydanie Ú. v. EÚ, kap.10</w:t>
      </w:r>
      <w:r w:rsidRPr="009A1D97">
        <w:rPr>
          <w:rStyle w:val="Emphasis"/>
          <w:rFonts w:ascii="Times New Roman" w:hAnsi="Times New Roman"/>
          <w:i w:val="0"/>
          <w:iCs w:val="0"/>
        </w:rPr>
        <w:t>/ zv. 5).</w:t>
      </w:r>
    </w:p>
    <w:p w:rsidR="002027A5" w:rsidRPr="009A1D97" w:rsidP="0082659D">
      <w:pPr>
        <w:pStyle w:val="BodyText"/>
        <w:numPr>
          <w:ilvl w:val="1"/>
          <w:numId w:val="1"/>
        </w:numPr>
        <w:tabs>
          <w:tab w:val="clear" w:pos="0"/>
          <w:tab w:val="num" w:pos="360"/>
        </w:tabs>
        <w:bidi w:val="0"/>
        <w:ind w:left="357" w:firstLine="69"/>
        <w:jc w:val="both"/>
        <w:rPr>
          <w:rFonts w:ascii="Times New Roman" w:hAnsi="Times New Roman"/>
        </w:rPr>
      </w:pPr>
      <w:r w:rsidRPr="009A1D97">
        <w:rPr>
          <w:rFonts w:ascii="Times New Roman" w:hAnsi="Times New Roman"/>
        </w:rPr>
        <w:t xml:space="preserve">je obsiahnutá v judikatúre </w:t>
      </w:r>
      <w:r w:rsidRPr="009A1D97" w:rsidR="00413BDA">
        <w:rPr>
          <w:rFonts w:ascii="Times New Roman" w:hAnsi="Times New Roman"/>
        </w:rPr>
        <w:t>Súdneho dvora Európskej únie</w:t>
      </w:r>
      <w:r w:rsidRPr="009A1D97">
        <w:rPr>
          <w:rFonts w:ascii="Times New Roman" w:hAnsi="Times New Roman"/>
        </w:rPr>
        <w:t>:</w:t>
      </w:r>
    </w:p>
    <w:p w:rsidR="00413BDA" w:rsidRPr="009A1D97" w:rsidP="0082659D">
      <w:pPr>
        <w:pStyle w:val="Zkladntext"/>
        <w:widowControl/>
        <w:numPr>
          <w:numId w:val="17"/>
        </w:numPr>
        <w:bidi w:val="0"/>
        <w:snapToGrid/>
        <w:spacing w:after="60"/>
        <w:ind w:left="709" w:hanging="283"/>
        <w:jc w:val="both"/>
        <w:rPr>
          <w:rFonts w:ascii="Times New Roman" w:hAnsi="Times New Roman"/>
          <w:szCs w:val="24"/>
        </w:rPr>
      </w:pPr>
      <w:r w:rsidRPr="009A1D97">
        <w:rPr>
          <w:rFonts w:ascii="Times New Roman" w:hAnsi="Times New Roman"/>
          <w:szCs w:val="24"/>
        </w:rPr>
        <w:t xml:space="preserve">v rozhodnutí Súdneho dvora  vo veci C - 27/04, Európska </w:t>
      </w:r>
      <w:r w:rsidRPr="009A1D97">
        <w:rPr>
          <w:rFonts w:ascii="Times New Roman" w:hAnsi="Times New Roman"/>
          <w:color w:val="auto"/>
          <w:szCs w:val="24"/>
        </w:rPr>
        <w:t>Komisia v. Rada Európskej únie</w:t>
      </w:r>
      <w:r w:rsidRPr="009A1D97">
        <w:rPr>
          <w:rFonts w:ascii="Times New Roman" w:hAnsi="Times New Roman"/>
          <w:szCs w:val="24"/>
        </w:rPr>
        <w:t xml:space="preserve">, rok 2004. </w:t>
      </w:r>
    </w:p>
    <w:p w:rsidR="002027A5" w:rsidRPr="009A1D97" w:rsidP="002027A5">
      <w:pPr>
        <w:pStyle w:val="BodyText"/>
        <w:bidi w:val="0"/>
        <w:spacing w:after="0"/>
        <w:ind w:left="425"/>
        <w:rPr>
          <w:rFonts w:ascii="Times New Roman" w:hAnsi="Times New Roman"/>
        </w:rPr>
      </w:pPr>
    </w:p>
    <w:p w:rsidR="002027A5" w:rsidRPr="009A1D97" w:rsidP="00CE1C89">
      <w:pPr>
        <w:numPr>
          <w:numId w:val="1"/>
        </w:numPr>
        <w:bidi w:val="0"/>
        <w:spacing w:after="120"/>
        <w:jc w:val="both"/>
        <w:rPr>
          <w:rFonts w:ascii="Times New Roman" w:hAnsi="Times New Roman"/>
          <w:b/>
        </w:rPr>
      </w:pPr>
      <w:r w:rsidRPr="009A1D97">
        <w:rPr>
          <w:rFonts w:ascii="Times New Roman" w:hAnsi="Times New Roman"/>
          <w:b/>
        </w:rPr>
        <w:t>Záväzky Slovenskej republiky vo vzťahu k  Európskej únii:</w:t>
      </w:r>
    </w:p>
    <w:p w:rsidR="00413BDA" w:rsidRPr="009A1D97" w:rsidP="0082659D">
      <w:pPr>
        <w:pStyle w:val="BodyTextIndent2"/>
        <w:numPr>
          <w:ilvl w:val="1"/>
          <w:numId w:val="1"/>
        </w:numPr>
        <w:tabs>
          <w:tab w:val="clear" w:pos="0"/>
          <w:tab w:val="num" w:pos="709"/>
        </w:tabs>
        <w:bidi w:val="0"/>
        <w:spacing w:after="120"/>
        <w:ind w:left="709" w:hanging="283"/>
        <w:jc w:val="both"/>
        <w:rPr>
          <w:rFonts w:ascii="Times New Roman" w:hAnsi="Times New Roman"/>
          <w:color w:val="auto"/>
          <w:szCs w:val="24"/>
        </w:rPr>
      </w:pPr>
      <w:r w:rsidRPr="009A1D97">
        <w:rPr>
          <w:rFonts w:ascii="Times New Roman" w:hAnsi="Times New Roman"/>
          <w:szCs w:val="24"/>
          <w:lang w:eastAsia="cs-CZ"/>
        </w:rPr>
        <w:t xml:space="preserve">Lehota na prebratie smernice: </w:t>
      </w:r>
      <w:r w:rsidRPr="009A1D97">
        <w:rPr>
          <w:rFonts w:ascii="Times New Roman" w:hAnsi="Times New Roman"/>
          <w:szCs w:val="24"/>
        </w:rPr>
        <w:t>Bezpredmetné.</w:t>
      </w:r>
    </w:p>
    <w:p w:rsidR="00413BDA" w:rsidRPr="009A1D97" w:rsidP="0082659D">
      <w:pPr>
        <w:pStyle w:val="BodyTextIndent2"/>
        <w:numPr>
          <w:ilvl w:val="1"/>
          <w:numId w:val="1"/>
        </w:numPr>
        <w:tabs>
          <w:tab w:val="clear" w:pos="0"/>
          <w:tab w:val="num" w:pos="709"/>
        </w:tabs>
        <w:bidi w:val="0"/>
        <w:spacing w:after="120"/>
        <w:ind w:left="709" w:hanging="283"/>
        <w:jc w:val="both"/>
        <w:rPr>
          <w:rFonts w:ascii="Times New Roman" w:hAnsi="Times New Roman"/>
          <w:color w:val="auto"/>
          <w:szCs w:val="24"/>
        </w:rPr>
      </w:pPr>
      <w:r w:rsidRPr="009A1D97">
        <w:rPr>
          <w:rFonts w:ascii="Times New Roman" w:hAnsi="Times New Roman"/>
          <w:szCs w:val="24"/>
          <w:lang w:eastAsia="cs-CZ"/>
        </w:rPr>
        <w:t>Lehota určená na predloženie návrhu právneho predpisu na rokovanie vlády podľa určenia gestorských ústredných orgánov štátnej správy zodpovedných za transpozíciu smerníc a vypracovanie tabuliek zhody k návrhom všeobecne záväzných právnych predpisov: bezpredmetné.</w:t>
      </w:r>
    </w:p>
    <w:p w:rsidR="00413BDA" w:rsidRPr="009A1D97" w:rsidP="0082659D">
      <w:pPr>
        <w:pStyle w:val="BodyTextIndent2"/>
        <w:numPr>
          <w:ilvl w:val="1"/>
          <w:numId w:val="1"/>
        </w:numPr>
        <w:tabs>
          <w:tab w:val="clear" w:pos="0"/>
          <w:tab w:val="num" w:pos="709"/>
        </w:tabs>
        <w:bidi w:val="0"/>
        <w:spacing w:after="120"/>
        <w:ind w:left="709" w:hanging="283"/>
        <w:jc w:val="both"/>
        <w:rPr>
          <w:rFonts w:ascii="Times New Roman" w:hAnsi="Times New Roman"/>
          <w:color w:val="auto"/>
          <w:szCs w:val="24"/>
        </w:rPr>
      </w:pPr>
      <w:r w:rsidRPr="009A1D97">
        <w:rPr>
          <w:rFonts w:ascii="Times New Roman" w:hAnsi="Times New Roman"/>
          <w:szCs w:val="24"/>
        </w:rPr>
        <w:t>Proti SR nebolo začaté konanie o porušení Zmluvy o fungovaní Európskej únie podľa čl. 258 až 260 Zmluvy o fungovaní Európskej únie.</w:t>
      </w:r>
    </w:p>
    <w:p w:rsidR="00413BDA" w:rsidP="0082659D">
      <w:pPr>
        <w:pStyle w:val="BodyTextIndent2"/>
        <w:numPr>
          <w:ilvl w:val="1"/>
          <w:numId w:val="1"/>
        </w:numPr>
        <w:tabs>
          <w:tab w:val="clear" w:pos="0"/>
          <w:tab w:val="num" w:pos="709"/>
        </w:tabs>
        <w:bidi w:val="0"/>
        <w:spacing w:after="240"/>
        <w:ind w:left="709" w:hanging="283"/>
        <w:jc w:val="both"/>
        <w:rPr>
          <w:rFonts w:ascii="Times New Roman" w:hAnsi="Times New Roman"/>
          <w:color w:val="auto"/>
          <w:szCs w:val="24"/>
        </w:rPr>
      </w:pPr>
      <w:r w:rsidRPr="009A1D97">
        <w:rPr>
          <w:rFonts w:ascii="Times New Roman" w:hAnsi="Times New Roman"/>
          <w:color w:val="auto"/>
          <w:szCs w:val="24"/>
        </w:rPr>
        <w:t>Bezpredmetné.</w:t>
      </w:r>
    </w:p>
    <w:p w:rsidR="009A1D97" w:rsidRPr="009A1D97" w:rsidP="009A1D97">
      <w:pPr>
        <w:pStyle w:val="BodyTextIndent2"/>
        <w:bidi w:val="0"/>
        <w:spacing w:after="240"/>
        <w:jc w:val="both"/>
        <w:rPr>
          <w:rFonts w:ascii="Times New Roman" w:hAnsi="Times New Roman"/>
          <w:color w:val="auto"/>
          <w:szCs w:val="24"/>
        </w:rPr>
      </w:pPr>
    </w:p>
    <w:p w:rsidR="00CE1C89" w:rsidRPr="009A1D97" w:rsidP="00CE1C89">
      <w:pPr>
        <w:numPr>
          <w:numId w:val="1"/>
        </w:numPr>
        <w:bidi w:val="0"/>
        <w:spacing w:after="120"/>
        <w:jc w:val="both"/>
        <w:rPr>
          <w:rFonts w:ascii="Times New Roman" w:hAnsi="Times New Roman"/>
          <w:b/>
        </w:rPr>
      </w:pPr>
      <w:r w:rsidRPr="009A1D97" w:rsidR="002027A5">
        <w:rPr>
          <w:rFonts w:ascii="Times New Roman" w:hAnsi="Times New Roman"/>
          <w:b/>
        </w:rPr>
        <w:t xml:space="preserve">Stupeň zlučiteľnosti návrhu </w:t>
      </w:r>
      <w:r w:rsidRPr="009A1D97" w:rsidR="009041B5">
        <w:rPr>
          <w:rFonts w:ascii="Times New Roman" w:hAnsi="Times New Roman"/>
          <w:b/>
        </w:rPr>
        <w:t>zákona</w:t>
      </w:r>
      <w:r w:rsidRPr="009A1D97" w:rsidR="002027A5">
        <w:rPr>
          <w:rFonts w:ascii="Times New Roman" w:hAnsi="Times New Roman"/>
          <w:b/>
        </w:rPr>
        <w:t xml:space="preserve"> s právom Európskej únie:</w:t>
      </w:r>
    </w:p>
    <w:p w:rsidR="000E1E4C" w:rsidRPr="009A1D97" w:rsidP="0063216E">
      <w:pPr>
        <w:bidi w:val="0"/>
        <w:spacing w:after="240"/>
        <w:ind w:left="425"/>
        <w:jc w:val="both"/>
        <w:rPr>
          <w:rFonts w:ascii="Times New Roman" w:hAnsi="Times New Roman"/>
          <w:bCs/>
        </w:rPr>
      </w:pPr>
      <w:r w:rsidRPr="009A1D97" w:rsidR="0063216E">
        <w:rPr>
          <w:rFonts w:ascii="Times New Roman" w:hAnsi="Times New Roman"/>
          <w:bCs/>
        </w:rPr>
        <w:t>Ú</w:t>
      </w:r>
      <w:r w:rsidRPr="009A1D97" w:rsidR="00E023C6">
        <w:rPr>
          <w:rFonts w:ascii="Times New Roman" w:hAnsi="Times New Roman"/>
          <w:bCs/>
        </w:rPr>
        <w:t>plný</w:t>
      </w:r>
      <w:r w:rsidRPr="009A1D97" w:rsidR="0063216E">
        <w:rPr>
          <w:rFonts w:ascii="Times New Roman" w:hAnsi="Times New Roman"/>
          <w:bCs/>
        </w:rPr>
        <w:t>.</w:t>
      </w:r>
    </w:p>
    <w:p w:rsidR="00CE1C89" w:rsidRPr="009A1D97" w:rsidP="00CE1C89">
      <w:pPr>
        <w:numPr>
          <w:numId w:val="1"/>
        </w:numPr>
        <w:bidi w:val="0"/>
        <w:spacing w:after="120"/>
        <w:jc w:val="both"/>
        <w:rPr>
          <w:rFonts w:ascii="Times New Roman" w:hAnsi="Times New Roman"/>
          <w:b/>
        </w:rPr>
      </w:pPr>
      <w:r w:rsidRPr="009A1D97" w:rsidR="002027A5">
        <w:rPr>
          <w:rFonts w:ascii="Times New Roman" w:hAnsi="Times New Roman"/>
          <w:b/>
        </w:rPr>
        <w:t xml:space="preserve">Gestor </w:t>
      </w:r>
      <w:r w:rsidRPr="009A1D97" w:rsidR="00D8728C">
        <w:rPr>
          <w:rFonts w:ascii="Times New Roman" w:hAnsi="Times New Roman"/>
          <w:b/>
        </w:rPr>
        <w:t xml:space="preserve">a </w:t>
      </w:r>
      <w:r w:rsidRPr="009A1D97" w:rsidR="002027A5">
        <w:rPr>
          <w:rFonts w:ascii="Times New Roman" w:hAnsi="Times New Roman"/>
          <w:b/>
        </w:rPr>
        <w:t xml:space="preserve">spolupracujúce rezorty: </w:t>
      </w:r>
    </w:p>
    <w:p w:rsidR="002027A5" w:rsidRPr="009A1D97" w:rsidP="00EE635D">
      <w:pPr>
        <w:bidi w:val="0"/>
        <w:spacing w:after="120"/>
        <w:ind w:left="426"/>
        <w:jc w:val="both"/>
        <w:rPr>
          <w:rFonts w:ascii="Times New Roman" w:hAnsi="Times New Roman"/>
          <w:b/>
        </w:rPr>
      </w:pPr>
      <w:r w:rsidRPr="009A1D97" w:rsidR="009041B5">
        <w:rPr>
          <w:rFonts w:ascii="Times New Roman" w:hAnsi="Times New Roman"/>
          <w:bCs/>
        </w:rPr>
        <w:t>Ministerstvo financií</w:t>
      </w:r>
      <w:r w:rsidRPr="009A1D97">
        <w:rPr>
          <w:rFonts w:ascii="Times New Roman" w:hAnsi="Times New Roman"/>
          <w:bCs/>
        </w:rPr>
        <w:t xml:space="preserve"> Slovenskej republiky</w:t>
      </w:r>
      <w:r w:rsidRPr="009A1D97" w:rsidR="002D2D98">
        <w:rPr>
          <w:rFonts w:ascii="Times New Roman" w:hAnsi="Times New Roman"/>
          <w:bCs/>
        </w:rPr>
        <w:t>.</w:t>
      </w:r>
    </w:p>
    <w:sectPr w:rsidSect="000B0FC8">
      <w:pgSz w:w="11906" w:h="16838"/>
      <w:pgMar w:top="1134" w:right="1418" w:bottom="1134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E13B3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cs="Times New Roman"/>
        <w:rtl w:val="0"/>
        <w:cs w:val="0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  <w:rtl w:val="0"/>
        <w:cs w:val="0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  <w:rtl w:val="0"/>
        <w:cs w:val="0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  <w:rtl w:val="0"/>
        <w:cs w:val="0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  <w:rtl w:val="0"/>
        <w:cs w:val="0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  <w:rtl w:val="0"/>
        <w:cs w:val="0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  <w:rtl w:val="0"/>
        <w:cs w:val="0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  <w:rtl w:val="0"/>
        <w:cs w:val="0"/>
      </w:rPr>
    </w:lvl>
  </w:abstractNum>
  <w:abstractNum w:abstractNumId="1">
    <w:nsid w:val="0E297216"/>
    <w:multiLevelType w:val="multilevel"/>
    <w:tmpl w:val="8A2E6BDA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50" w:hanging="425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3.)"/>
      <w:lvlJc w:val="left"/>
      <w:pPr>
        <w:tabs>
          <w:tab w:val="num" w:pos="0"/>
        </w:tabs>
        <w:ind w:left="1275" w:hanging="425"/>
      </w:pPr>
      <w:rPr>
        <w:rFonts w:cs="Times New Roman" w:hint="default"/>
        <w:rtl w:val="0"/>
        <w:cs w:val="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983" w:hanging="708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691" w:hanging="708"/>
      </w:pPr>
      <w:rPr>
        <w:rFonts w:cs="Times New Roman" w:hint="default"/>
        <w:rtl w:val="0"/>
        <w:cs w:val="0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399" w:hanging="708"/>
      </w:pPr>
      <w:rPr>
        <w:rFonts w:cs="Times New Roman" w:hint="default"/>
        <w:rtl w:val="0"/>
        <w:cs w:val="0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107" w:hanging="708"/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815" w:hanging="708"/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523" w:hanging="708"/>
      </w:pPr>
      <w:rPr>
        <w:rFonts w:cs="Times New Roman" w:hint="default"/>
        <w:rtl w:val="0"/>
        <w:cs w:val="0"/>
      </w:rPr>
    </w:lvl>
  </w:abstractNum>
  <w:abstractNum w:abstractNumId="2">
    <w:nsid w:val="124B0749"/>
    <w:multiLevelType w:val="hybridMultilevel"/>
    <w:tmpl w:val="236AF06C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12562A51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cs="Times New Roman"/>
        <w:rtl w:val="0"/>
        <w:cs w:val="0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  <w:rtl w:val="0"/>
        <w:cs w:val="0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  <w:rtl w:val="0"/>
        <w:cs w:val="0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  <w:rtl w:val="0"/>
        <w:cs w:val="0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  <w:rtl w:val="0"/>
        <w:cs w:val="0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  <w:rtl w:val="0"/>
        <w:cs w:val="0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  <w:rtl w:val="0"/>
        <w:cs w:val="0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  <w:rtl w:val="0"/>
        <w:cs w:val="0"/>
      </w:rPr>
    </w:lvl>
  </w:abstractNum>
  <w:abstractNum w:abstractNumId="4">
    <w:nsid w:val="1D3F2D1F"/>
    <w:multiLevelType w:val="hybridMultilevel"/>
    <w:tmpl w:val="2976140A"/>
    <w:lvl w:ilvl="0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223042"/>
    <w:multiLevelType w:val="hybridMultilevel"/>
    <w:tmpl w:val="115C54F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  <w:rtl w:val="0"/>
        <w:cs w:val="0"/>
      </w:rPr>
    </w:lvl>
  </w:abstractNum>
  <w:abstractNum w:abstractNumId="6">
    <w:nsid w:val="2F0F05D2"/>
    <w:multiLevelType w:val="hybridMultilevel"/>
    <w:tmpl w:val="D4D0EF3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C9D0143"/>
    <w:multiLevelType w:val="hybridMultilevel"/>
    <w:tmpl w:val="E48C64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40BB08A6"/>
    <w:multiLevelType w:val="hybridMultilevel"/>
    <w:tmpl w:val="1FB241BC"/>
    <w:lvl w:ilvl="0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43D512F3"/>
    <w:multiLevelType w:val="multilevel"/>
    <w:tmpl w:val="5C14D0D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>
    <w:nsid w:val="4977230B"/>
    <w:multiLevelType w:val="multilevel"/>
    <w:tmpl w:val="0EAE707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97"/>
        </w:tabs>
        <w:ind w:left="850" w:hanging="425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3.)"/>
      <w:lvlJc w:val="left"/>
      <w:pPr>
        <w:tabs>
          <w:tab w:val="num" w:pos="0"/>
        </w:tabs>
        <w:ind w:left="1275" w:hanging="425"/>
      </w:pPr>
      <w:rPr>
        <w:rFonts w:cs="Times New Roman" w:hint="default"/>
        <w:rtl w:val="0"/>
        <w:cs w:val="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983" w:hanging="708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691" w:hanging="708"/>
      </w:pPr>
      <w:rPr>
        <w:rFonts w:cs="Times New Roman" w:hint="default"/>
        <w:rtl w:val="0"/>
        <w:cs w:val="0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399" w:hanging="708"/>
      </w:pPr>
      <w:rPr>
        <w:rFonts w:cs="Times New Roman" w:hint="default"/>
        <w:rtl w:val="0"/>
        <w:cs w:val="0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107" w:hanging="708"/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815" w:hanging="708"/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523" w:hanging="708"/>
      </w:pPr>
      <w:rPr>
        <w:rFonts w:cs="Times New Roman" w:hint="default"/>
        <w:rtl w:val="0"/>
        <w:cs w:val="0"/>
      </w:rPr>
    </w:lvl>
  </w:abstractNum>
  <w:abstractNum w:abstractNumId="11">
    <w:nsid w:val="5AE54E81"/>
    <w:multiLevelType w:val="hybridMultilevel"/>
    <w:tmpl w:val="6660FC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2">
    <w:nsid w:val="5C9B77D4"/>
    <w:multiLevelType w:val="multilevel"/>
    <w:tmpl w:val="8AFA3AF2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50" w:hanging="425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3.)"/>
      <w:lvlJc w:val="left"/>
      <w:pPr>
        <w:tabs>
          <w:tab w:val="num" w:pos="0"/>
        </w:tabs>
        <w:ind w:left="1275" w:hanging="425"/>
      </w:pPr>
      <w:rPr>
        <w:rFonts w:cs="Times New Roman" w:hint="default"/>
        <w:rtl w:val="0"/>
        <w:cs w:val="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983" w:hanging="708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691" w:hanging="708"/>
      </w:pPr>
      <w:rPr>
        <w:rFonts w:cs="Times New Roman" w:hint="default"/>
        <w:rtl w:val="0"/>
        <w:cs w:val="0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399" w:hanging="708"/>
      </w:pPr>
      <w:rPr>
        <w:rFonts w:cs="Times New Roman" w:hint="default"/>
        <w:rtl w:val="0"/>
        <w:cs w:val="0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107" w:hanging="708"/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815" w:hanging="708"/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523" w:hanging="708"/>
      </w:pPr>
      <w:rPr>
        <w:rFonts w:cs="Times New Roman" w:hint="default"/>
        <w:rtl w:val="0"/>
        <w:cs w:val="0"/>
      </w:rPr>
    </w:lvl>
  </w:abstractNum>
  <w:abstractNum w:abstractNumId="13">
    <w:nsid w:val="60084D96"/>
    <w:multiLevelType w:val="hybridMultilevel"/>
    <w:tmpl w:val="62A4C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4">
    <w:nsid w:val="6EBF6C91"/>
    <w:multiLevelType w:val="hybridMultilevel"/>
    <w:tmpl w:val="A9E2D6A0"/>
    <w:lvl w:ilvl="0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>
    <w:nsid w:val="6F096F74"/>
    <w:multiLevelType w:val="hybridMultilevel"/>
    <w:tmpl w:val="ECBECC8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13"/>
  </w:num>
  <w:num w:numId="5">
    <w:abstractNumId w:val="2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0"/>
  </w:num>
  <w:num w:numId="10">
    <w:abstractNumId w:val="0"/>
  </w:num>
  <w:num w:numId="11">
    <w:abstractNumId w:val="3"/>
  </w:num>
  <w:num w:numId="12">
    <w:abstractNumId w:val="1"/>
  </w:num>
  <w:num w:numId="13">
    <w:abstractNumId w:val="15"/>
  </w:num>
  <w:num w:numId="14">
    <w:abstractNumId w:val="6"/>
  </w:num>
  <w:num w:numId="15">
    <w:abstractNumId w:val="9"/>
  </w:num>
  <w:num w:numId="16">
    <w:abstractNumId w:val="7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compat/>
  <w:rsids>
    <w:rsidRoot w:val="00B250D2"/>
    <w:rsid w:val="00025EB1"/>
    <w:rsid w:val="0006214B"/>
    <w:rsid w:val="000912F4"/>
    <w:rsid w:val="000B0FC8"/>
    <w:rsid w:val="000B623C"/>
    <w:rsid w:val="000D1C04"/>
    <w:rsid w:val="000E0B40"/>
    <w:rsid w:val="000E1E4C"/>
    <w:rsid w:val="00114285"/>
    <w:rsid w:val="00130B2F"/>
    <w:rsid w:val="00151C1C"/>
    <w:rsid w:val="00170AC0"/>
    <w:rsid w:val="001B208E"/>
    <w:rsid w:val="001D67D5"/>
    <w:rsid w:val="001D7243"/>
    <w:rsid w:val="002027A5"/>
    <w:rsid w:val="00235521"/>
    <w:rsid w:val="002534A9"/>
    <w:rsid w:val="0026143F"/>
    <w:rsid w:val="002A1045"/>
    <w:rsid w:val="002C44BA"/>
    <w:rsid w:val="002D2D98"/>
    <w:rsid w:val="003700FF"/>
    <w:rsid w:val="003C21FE"/>
    <w:rsid w:val="003C3818"/>
    <w:rsid w:val="003E05F8"/>
    <w:rsid w:val="00413BDA"/>
    <w:rsid w:val="00430F89"/>
    <w:rsid w:val="00447DAC"/>
    <w:rsid w:val="00454A3D"/>
    <w:rsid w:val="0046444F"/>
    <w:rsid w:val="004A0774"/>
    <w:rsid w:val="004B0E16"/>
    <w:rsid w:val="004D2419"/>
    <w:rsid w:val="00504BF9"/>
    <w:rsid w:val="00512966"/>
    <w:rsid w:val="005160C2"/>
    <w:rsid w:val="00547955"/>
    <w:rsid w:val="005751FC"/>
    <w:rsid w:val="005A16E3"/>
    <w:rsid w:val="0063216E"/>
    <w:rsid w:val="0063228F"/>
    <w:rsid w:val="00643CC8"/>
    <w:rsid w:val="00661F82"/>
    <w:rsid w:val="00676395"/>
    <w:rsid w:val="00690CD5"/>
    <w:rsid w:val="006C79C5"/>
    <w:rsid w:val="006D50A2"/>
    <w:rsid w:val="006E4997"/>
    <w:rsid w:val="006F1CFA"/>
    <w:rsid w:val="006F5CBD"/>
    <w:rsid w:val="00813957"/>
    <w:rsid w:val="00825818"/>
    <w:rsid w:val="0082659D"/>
    <w:rsid w:val="00837478"/>
    <w:rsid w:val="00845E02"/>
    <w:rsid w:val="00847373"/>
    <w:rsid w:val="008C31AD"/>
    <w:rsid w:val="008C5A0E"/>
    <w:rsid w:val="008C60E8"/>
    <w:rsid w:val="008C7DE7"/>
    <w:rsid w:val="008E698D"/>
    <w:rsid w:val="00900BA4"/>
    <w:rsid w:val="009041B5"/>
    <w:rsid w:val="00984E76"/>
    <w:rsid w:val="009A1D97"/>
    <w:rsid w:val="009A70B8"/>
    <w:rsid w:val="009B3E02"/>
    <w:rsid w:val="009D472C"/>
    <w:rsid w:val="009E33CB"/>
    <w:rsid w:val="00A14220"/>
    <w:rsid w:val="00A50150"/>
    <w:rsid w:val="00A82A91"/>
    <w:rsid w:val="00A86FC5"/>
    <w:rsid w:val="00AA1076"/>
    <w:rsid w:val="00AF7C3D"/>
    <w:rsid w:val="00B03445"/>
    <w:rsid w:val="00B242F5"/>
    <w:rsid w:val="00B250D2"/>
    <w:rsid w:val="00B35376"/>
    <w:rsid w:val="00B514EF"/>
    <w:rsid w:val="00B52001"/>
    <w:rsid w:val="00B571C4"/>
    <w:rsid w:val="00B962B4"/>
    <w:rsid w:val="00C2366D"/>
    <w:rsid w:val="00C257FC"/>
    <w:rsid w:val="00C63798"/>
    <w:rsid w:val="00CD3529"/>
    <w:rsid w:val="00CE1C89"/>
    <w:rsid w:val="00D10B2B"/>
    <w:rsid w:val="00D17398"/>
    <w:rsid w:val="00D53E60"/>
    <w:rsid w:val="00D54BE7"/>
    <w:rsid w:val="00D83561"/>
    <w:rsid w:val="00D8728C"/>
    <w:rsid w:val="00D87351"/>
    <w:rsid w:val="00DB51BF"/>
    <w:rsid w:val="00DC1C3F"/>
    <w:rsid w:val="00E023C6"/>
    <w:rsid w:val="00E042B7"/>
    <w:rsid w:val="00E42C25"/>
    <w:rsid w:val="00E62192"/>
    <w:rsid w:val="00E72CE3"/>
    <w:rsid w:val="00E7527A"/>
    <w:rsid w:val="00E975A5"/>
    <w:rsid w:val="00EB14A2"/>
    <w:rsid w:val="00EB7AC6"/>
    <w:rsid w:val="00EC571D"/>
    <w:rsid w:val="00ED7975"/>
    <w:rsid w:val="00EE635D"/>
    <w:rsid w:val="00F56102"/>
    <w:rsid w:val="00FA3DE4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7A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2027A5"/>
    <w:pPr>
      <w:jc w:val="center"/>
    </w:pPr>
    <w:rPr>
      <w:b/>
      <w:bCs/>
    </w:rPr>
  </w:style>
  <w:style w:type="paragraph" w:styleId="BodyText">
    <w:name w:val="Body Text"/>
    <w:basedOn w:val="Normal"/>
    <w:link w:val="BodyTextChar"/>
    <w:uiPriority w:val="99"/>
    <w:rsid w:val="002027A5"/>
    <w:pPr>
      <w:spacing w:after="120"/>
      <w:jc w:val="left"/>
    </w:pPr>
    <w:rPr>
      <w:lang w:eastAsia="cs-CZ"/>
    </w:rPr>
  </w:style>
  <w:style w:type="paragraph" w:styleId="BodyTextIndent">
    <w:name w:val="Body Text Indent"/>
    <w:basedOn w:val="Normal"/>
    <w:rsid w:val="002027A5"/>
    <w:pPr>
      <w:autoSpaceDE w:val="0"/>
      <w:autoSpaceDN w:val="0"/>
      <w:adjustRightInd w:val="0"/>
      <w:ind w:left="720"/>
      <w:jc w:val="left"/>
    </w:pPr>
    <w:rPr>
      <w:bCs/>
    </w:rPr>
  </w:style>
  <w:style w:type="paragraph" w:styleId="BodyTextIndent2">
    <w:name w:val="Body Text Indent 2"/>
    <w:basedOn w:val="Normal"/>
    <w:rsid w:val="002027A5"/>
    <w:pPr>
      <w:adjustRightInd w:val="0"/>
      <w:ind w:left="540"/>
      <w:jc w:val="left"/>
    </w:pPr>
    <w:rPr>
      <w:color w:val="000000"/>
      <w:szCs w:val="20"/>
    </w:rPr>
  </w:style>
  <w:style w:type="paragraph" w:customStyle="1" w:styleId="Normlnywebov8">
    <w:name w:val="Normálny (webový)8"/>
    <w:basedOn w:val="Normal"/>
    <w:rsid w:val="0063228F"/>
    <w:pPr>
      <w:spacing w:before="75" w:after="75"/>
      <w:ind w:left="225" w:right="225"/>
      <w:jc w:val="left"/>
    </w:pPr>
    <w:rPr>
      <w:sz w:val="22"/>
      <w:szCs w:val="22"/>
    </w:rPr>
  </w:style>
  <w:style w:type="character" w:styleId="Emphasis">
    <w:name w:val="Emphasis"/>
    <w:basedOn w:val="DefaultParagraphFont"/>
    <w:uiPriority w:val="99"/>
    <w:qFormat/>
    <w:rsid w:val="00C257FC"/>
    <w:rPr>
      <w:rFonts w:cs="Times New Roman"/>
      <w:i/>
      <w:iCs/>
      <w:rtl w:val="0"/>
      <w:cs w:val="0"/>
    </w:rPr>
  </w:style>
  <w:style w:type="paragraph" w:customStyle="1" w:styleId="Zkladntext">
    <w:name w:val="Základní text"/>
    <w:uiPriority w:val="99"/>
    <w:rsid w:val="008C7DE7"/>
    <w:pPr>
      <w:framePr w:wrap="auto"/>
      <w:widowControl w:val="0"/>
      <w:autoSpaceDE/>
      <w:autoSpaceDN/>
      <w:adjustRightInd/>
      <w:snapToGrid w:val="0"/>
      <w:ind w:left="0" w:right="0"/>
      <w:jc w:val="left"/>
      <w:textAlignment w:val="auto"/>
    </w:pPr>
    <w:rPr>
      <w:rFonts w:cs="Times New Roman"/>
      <w:color w:val="000000"/>
      <w:sz w:val="24"/>
      <w:szCs w:val="20"/>
      <w:rtl w:val="0"/>
      <w:cs w:val="0"/>
      <w:lang w:val="sk-SK" w:eastAsia="sk-SK" w:bidi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D7975"/>
    <w:rPr>
      <w:rFonts w:cs="Times New Roman"/>
      <w:sz w:val="24"/>
      <w:szCs w:val="24"/>
      <w:rtl w:val="0"/>
      <w:cs w:val="0"/>
      <w:lang w:val="x-none"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0B8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A70B8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304</Words>
  <Characters>1736</Characters>
  <Application>Microsoft Office Word</Application>
  <DocSecurity>0</DocSecurity>
  <Lines>0</Lines>
  <Paragraphs>0</Paragraphs>
  <ScaleCrop>false</ScaleCrop>
  <Company>MFSR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ZLUČITEĽNOSTI</dc:title>
  <dc:creator>JUDr. Petra Zámečníková</dc:creator>
  <cp:lastModifiedBy>Gašparíková, Jarmila</cp:lastModifiedBy>
  <cp:revision>2</cp:revision>
  <cp:lastPrinted>2011-08-05T14:10:00Z</cp:lastPrinted>
  <dcterms:created xsi:type="dcterms:W3CDTF">2011-10-14T13:00:00Z</dcterms:created>
  <dcterms:modified xsi:type="dcterms:W3CDTF">2011-10-14T13:00:00Z</dcterms:modified>
</cp:coreProperties>
</file>