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4963" w:rsidRPr="00AF1956" w:rsidP="00011A2A">
      <w:pPr>
        <w:pStyle w:val="BodyTextIndent2"/>
        <w:bidi w:val="0"/>
        <w:spacing w:after="0" w:line="240" w:lineRule="auto"/>
        <w:ind w:left="0"/>
        <w:jc w:val="center"/>
        <w:rPr>
          <w:rFonts w:ascii="Times New Roman" w:hAnsi="Times New Roman"/>
          <w:b/>
          <w:sz w:val="28"/>
          <w:szCs w:val="28"/>
        </w:rPr>
      </w:pPr>
      <w:r w:rsidRPr="00AF1956">
        <w:rPr>
          <w:rFonts w:ascii="Times New Roman" w:hAnsi="Times New Roman"/>
          <w:b/>
          <w:sz w:val="28"/>
          <w:szCs w:val="28"/>
        </w:rPr>
        <w:t>Návrh rozpočtu Sociálnej poisťovne na rok 20</w:t>
      </w:r>
      <w:r w:rsidRPr="00AF1956" w:rsidR="00AC6C42">
        <w:rPr>
          <w:rFonts w:ascii="Times New Roman" w:hAnsi="Times New Roman"/>
          <w:b/>
          <w:sz w:val="28"/>
          <w:szCs w:val="28"/>
        </w:rPr>
        <w:t>1</w:t>
      </w:r>
      <w:r w:rsidR="00AC680B">
        <w:rPr>
          <w:rFonts w:ascii="Times New Roman" w:hAnsi="Times New Roman"/>
          <w:b/>
          <w:sz w:val="28"/>
          <w:szCs w:val="28"/>
        </w:rPr>
        <w:t>2</w:t>
      </w:r>
      <w:r w:rsidRPr="00AF1956">
        <w:rPr>
          <w:rFonts w:ascii="Times New Roman" w:hAnsi="Times New Roman"/>
          <w:b/>
          <w:sz w:val="28"/>
          <w:szCs w:val="28"/>
        </w:rPr>
        <w:t xml:space="preserve"> </w:t>
      </w:r>
    </w:p>
    <w:p w:rsidR="00310750" w:rsidRPr="00310750" w:rsidP="008173F1">
      <w:pPr>
        <w:numPr>
          <w:numId w:val="5"/>
        </w:numPr>
        <w:bidi w:val="0"/>
        <w:spacing w:before="240" w:after="120"/>
        <w:ind w:left="709" w:hanging="709"/>
        <w:jc w:val="both"/>
        <w:rPr>
          <w:rFonts w:ascii="Times New Roman" w:hAnsi="Times New Roman"/>
          <w:b/>
          <w:szCs w:val="24"/>
        </w:rPr>
      </w:pPr>
      <w:r w:rsidRPr="00310750">
        <w:rPr>
          <w:rFonts w:ascii="Times New Roman" w:hAnsi="Times New Roman"/>
          <w:b/>
          <w:szCs w:val="24"/>
        </w:rPr>
        <w:t>Očakávané výsledky hospodárenia Sociálnej poisťovne v roku 2011</w:t>
      </w:r>
    </w:p>
    <w:p w:rsidR="00452404" w:rsidRPr="004B6982" w:rsidP="00452404">
      <w:pPr>
        <w:bidi w:val="0"/>
        <w:spacing w:before="120" w:after="120"/>
        <w:ind w:firstLine="720"/>
        <w:jc w:val="both"/>
        <w:rPr>
          <w:rFonts w:ascii="Times New Roman" w:hAnsi="Times New Roman"/>
          <w:szCs w:val="24"/>
        </w:rPr>
      </w:pPr>
      <w:r w:rsidRPr="004B6982">
        <w:rPr>
          <w:rFonts w:ascii="Times New Roman" w:hAnsi="Times New Roman"/>
          <w:szCs w:val="24"/>
        </w:rPr>
        <w:t>Východiskom pre zostavenie očakávanej skutočnosti v roku 201</w:t>
      </w:r>
      <w:r>
        <w:rPr>
          <w:rFonts w:ascii="Times New Roman" w:hAnsi="Times New Roman"/>
          <w:szCs w:val="24"/>
        </w:rPr>
        <w:t>1</w:t>
      </w:r>
      <w:r w:rsidRPr="004B6982">
        <w:rPr>
          <w:rFonts w:ascii="Times New Roman" w:hAnsi="Times New Roman"/>
          <w:szCs w:val="24"/>
        </w:rPr>
        <w:t xml:space="preserve"> boli výsledky hospodárenia za obdobie mesiacov január až </w:t>
      </w:r>
      <w:r w:rsidR="00847678">
        <w:rPr>
          <w:rFonts w:ascii="Times New Roman" w:hAnsi="Times New Roman"/>
          <w:szCs w:val="24"/>
        </w:rPr>
        <w:t>august</w:t>
      </w:r>
      <w:r w:rsidRPr="004B6982">
        <w:rPr>
          <w:rFonts w:ascii="Times New Roman" w:hAnsi="Times New Roman"/>
          <w:szCs w:val="24"/>
        </w:rPr>
        <w:t xml:space="preserve"> 201</w:t>
      </w:r>
      <w:r>
        <w:rPr>
          <w:rFonts w:ascii="Times New Roman" w:hAnsi="Times New Roman"/>
          <w:szCs w:val="24"/>
        </w:rPr>
        <w:t>1</w:t>
      </w:r>
      <w:r w:rsidRPr="004B6982">
        <w:rPr>
          <w:rFonts w:ascii="Times New Roman" w:hAnsi="Times New Roman"/>
          <w:szCs w:val="24"/>
        </w:rPr>
        <w:t xml:space="preserve"> a predpokladané príjmy a výdavky do konca tohto roka na základe prepočtov zohľadňujúcich makroekonomické ukazovatele </w:t>
      </w:r>
      <w:r w:rsidR="00EB524D">
        <w:rPr>
          <w:rFonts w:ascii="Times New Roman" w:hAnsi="Times New Roman"/>
          <w:szCs w:val="24"/>
        </w:rPr>
        <w:t>vydané</w:t>
      </w:r>
      <w:r w:rsidRPr="004B6982">
        <w:rPr>
          <w:rFonts w:ascii="Times New Roman" w:hAnsi="Times New Roman"/>
          <w:szCs w:val="24"/>
        </w:rPr>
        <w:t xml:space="preserve"> </w:t>
      </w:r>
      <w:r w:rsidRPr="004B6982">
        <w:rPr>
          <w:rFonts w:ascii="Times New Roman" w:hAnsi="Times New Roman"/>
        </w:rPr>
        <w:t>Inštitútom finančnej politiky Ministerstva financií Slovenskej republiky</w:t>
      </w:r>
      <w:r>
        <w:rPr>
          <w:rFonts w:ascii="Times New Roman" w:hAnsi="Times New Roman"/>
        </w:rPr>
        <w:t xml:space="preserve"> (IFP MF SR)</w:t>
      </w:r>
      <w:r w:rsidRPr="004B6982">
        <w:rPr>
          <w:rFonts w:ascii="Times New Roman" w:hAnsi="Times New Roman"/>
        </w:rPr>
        <w:t xml:space="preserve"> dňa </w:t>
      </w:r>
      <w:r w:rsidR="004463D5">
        <w:rPr>
          <w:rFonts w:ascii="Times New Roman" w:hAnsi="Times New Roman"/>
        </w:rPr>
        <w:t>2</w:t>
      </w:r>
      <w:r>
        <w:rPr>
          <w:rFonts w:ascii="Times New Roman" w:hAnsi="Times New Roman"/>
        </w:rPr>
        <w:t xml:space="preserve">6. </w:t>
      </w:r>
      <w:r w:rsidR="004463D5">
        <w:rPr>
          <w:rFonts w:ascii="Times New Roman" w:hAnsi="Times New Roman"/>
        </w:rPr>
        <w:t>augusta</w:t>
      </w:r>
      <w:r w:rsidRPr="004B6982">
        <w:rPr>
          <w:rFonts w:ascii="Times New Roman" w:hAnsi="Times New Roman"/>
        </w:rPr>
        <w:t xml:space="preserve"> 201</w:t>
      </w:r>
      <w:r>
        <w:rPr>
          <w:rFonts w:ascii="Times New Roman" w:hAnsi="Times New Roman"/>
        </w:rPr>
        <w:t>1</w:t>
      </w:r>
      <w:r w:rsidRPr="004B6982">
        <w:rPr>
          <w:rFonts w:ascii="Times New Roman" w:hAnsi="Times New Roman"/>
        </w:rPr>
        <w:t>.</w:t>
      </w:r>
    </w:p>
    <w:p w:rsidR="00310750" w:rsidRPr="00310750" w:rsidP="00310750">
      <w:pPr>
        <w:bidi w:val="0"/>
        <w:spacing w:before="240" w:after="120"/>
        <w:ind w:firstLine="720"/>
        <w:jc w:val="both"/>
        <w:rPr>
          <w:rFonts w:ascii="Times New Roman" w:hAnsi="Times New Roman"/>
          <w:b/>
          <w:szCs w:val="24"/>
        </w:rPr>
      </w:pPr>
      <w:r w:rsidRPr="00310750">
        <w:rPr>
          <w:rFonts w:ascii="Times New Roman" w:hAnsi="Times New Roman"/>
          <w:b/>
          <w:szCs w:val="24"/>
        </w:rPr>
        <w:t>Príjmy</w:t>
      </w:r>
    </w:p>
    <w:p w:rsidR="00310750" w:rsidRPr="00310750" w:rsidP="00310750">
      <w:pPr>
        <w:bidi w:val="0"/>
        <w:spacing w:before="240" w:after="120"/>
        <w:ind w:firstLine="720"/>
        <w:jc w:val="both"/>
        <w:rPr>
          <w:rFonts w:ascii="Times New Roman" w:hAnsi="Times New Roman"/>
          <w:szCs w:val="24"/>
        </w:rPr>
      </w:pPr>
      <w:r w:rsidRPr="00310750">
        <w:rPr>
          <w:rFonts w:ascii="Times New Roman" w:hAnsi="Times New Roman"/>
          <w:szCs w:val="24"/>
        </w:rPr>
        <w:t>Východiskom pre zostavenie príjmov bol skutočný vývoj príjmov z poistného a príspevkov na starobné dôchodkové sporenie (SDS) od zamestnancov, zamestnávateľov, samostatne zárobkovo činných osôb (SZČO) a dobrovoľne poistených osôb (DPO) spolu, ako aj vývoj dlžného poistného v roku 2010 a</w:t>
      </w:r>
      <w:r w:rsidR="004463D5">
        <w:rPr>
          <w:rFonts w:ascii="Times New Roman" w:hAnsi="Times New Roman"/>
          <w:szCs w:val="24"/>
        </w:rPr>
        <w:t> za osem</w:t>
      </w:r>
      <w:r w:rsidRPr="00310750">
        <w:rPr>
          <w:rFonts w:ascii="Times New Roman" w:hAnsi="Times New Roman"/>
          <w:szCs w:val="24"/>
        </w:rPr>
        <w:t xml:space="preserve"> mesiaco</w:t>
      </w:r>
      <w:r w:rsidR="004463D5">
        <w:rPr>
          <w:rFonts w:ascii="Times New Roman" w:hAnsi="Times New Roman"/>
          <w:szCs w:val="24"/>
        </w:rPr>
        <w:t>v</w:t>
      </w:r>
      <w:r w:rsidRPr="00310750">
        <w:rPr>
          <w:rFonts w:ascii="Times New Roman" w:hAnsi="Times New Roman"/>
          <w:szCs w:val="24"/>
        </w:rPr>
        <w:t xml:space="preserve"> roka 2011 a vplyv makroekonomických ukazovateľov.</w:t>
      </w:r>
    </w:p>
    <w:p w:rsidR="00310750" w:rsidP="00310750">
      <w:pPr>
        <w:bidi w:val="0"/>
        <w:spacing w:before="240" w:after="120"/>
        <w:ind w:firstLine="720"/>
        <w:jc w:val="both"/>
        <w:rPr>
          <w:rFonts w:ascii="Times New Roman" w:hAnsi="Times New Roman"/>
          <w:szCs w:val="24"/>
        </w:rPr>
      </w:pPr>
      <w:r w:rsidRPr="00310750">
        <w:rPr>
          <w:rFonts w:ascii="Times New Roman" w:hAnsi="Times New Roman"/>
          <w:szCs w:val="24"/>
        </w:rPr>
        <w:t xml:space="preserve">Príjmy Sociálnej poisťovne sa </w:t>
      </w:r>
      <w:r w:rsidRPr="00310750">
        <w:rPr>
          <w:rFonts w:ascii="Times New Roman" w:hAnsi="Times New Roman"/>
          <w:b/>
          <w:szCs w:val="24"/>
        </w:rPr>
        <w:t>v roku 2011 očakávajú</w:t>
      </w:r>
      <w:r w:rsidRPr="00310750">
        <w:rPr>
          <w:rFonts w:ascii="Times New Roman" w:hAnsi="Times New Roman"/>
          <w:szCs w:val="24"/>
        </w:rPr>
        <w:t xml:space="preserve"> takéto: </w:t>
      </w:r>
    </w:p>
    <w:tbl>
      <w:tblPr>
        <w:tblStyle w:val="TableNormal"/>
        <w:tblW w:w="9848" w:type="dxa"/>
        <w:tblInd w:w="55" w:type="dxa"/>
        <w:tblLayout w:type="fixed"/>
        <w:tblCellMar>
          <w:left w:w="70" w:type="dxa"/>
          <w:right w:w="70" w:type="dxa"/>
        </w:tblCellMar>
        <w:tblLook w:val="04A0"/>
      </w:tblPr>
      <w:tblGrid>
        <w:gridCol w:w="4268"/>
        <w:gridCol w:w="1395"/>
        <w:gridCol w:w="285"/>
        <w:gridCol w:w="1110"/>
        <w:gridCol w:w="190"/>
        <w:gridCol w:w="1205"/>
        <w:gridCol w:w="95"/>
        <w:gridCol w:w="1300"/>
      </w:tblGrid>
      <w:tr>
        <w:tblPrEx>
          <w:tblW w:w="9848" w:type="dxa"/>
          <w:tblInd w:w="55" w:type="dxa"/>
          <w:tblLayout w:type="fixed"/>
          <w:tblCellMar>
            <w:left w:w="70" w:type="dxa"/>
            <w:right w:w="70" w:type="dxa"/>
          </w:tblCellMar>
          <w:tblLook w:val="04A0"/>
        </w:tblPrEx>
        <w:trPr>
          <w:trHeight w:val="300"/>
        </w:trPr>
        <w:tc>
          <w:tcPr>
            <w:tcW w:w="4268" w:type="dxa"/>
            <w:tcBorders>
              <w:top w:val="nil"/>
              <w:left w:val="nil"/>
              <w:bottom w:val="nil"/>
              <w:right w:val="nil"/>
            </w:tcBorders>
            <w:noWrap/>
            <w:textDirection w:val="lrTb"/>
            <w:vAlign w:val="center"/>
            <w:hideMark/>
          </w:tcPr>
          <w:p w:rsidR="00DD59DD" w:rsidRPr="00DD59DD" w:rsidP="00DD59DD">
            <w:pPr>
              <w:bidi w:val="0"/>
              <w:rPr>
                <w:rFonts w:ascii="Times New Roman" w:hAnsi="Times New Roman"/>
                <w:sz w:val="22"/>
                <w:szCs w:val="22"/>
              </w:rPr>
            </w:pPr>
          </w:p>
        </w:tc>
        <w:tc>
          <w:tcPr>
            <w:tcW w:w="1680" w:type="dxa"/>
            <w:gridSpan w:val="2"/>
            <w:tcBorders>
              <w:top w:val="nil"/>
              <w:left w:val="nil"/>
              <w:bottom w:val="nil"/>
              <w:right w:val="nil"/>
            </w:tcBorders>
            <w:noWrap/>
            <w:textDirection w:val="lrTb"/>
            <w:vAlign w:val="center"/>
            <w:hideMark/>
          </w:tcPr>
          <w:p w:rsidR="00DD59DD" w:rsidRPr="00DD59DD" w:rsidP="00DD59DD">
            <w:pPr>
              <w:bidi w:val="0"/>
              <w:jc w:val="right"/>
              <w:rPr>
                <w:rFonts w:ascii="Times New Roman" w:hAnsi="Times New Roman"/>
                <w:sz w:val="22"/>
                <w:szCs w:val="22"/>
              </w:rPr>
            </w:pPr>
          </w:p>
        </w:tc>
        <w:tc>
          <w:tcPr>
            <w:tcW w:w="1300" w:type="dxa"/>
            <w:gridSpan w:val="2"/>
            <w:tcBorders>
              <w:top w:val="nil"/>
              <w:left w:val="nil"/>
              <w:bottom w:val="nil"/>
              <w:right w:val="nil"/>
            </w:tcBorders>
            <w:noWrap/>
            <w:textDirection w:val="lrTb"/>
            <w:vAlign w:val="center"/>
            <w:hideMark/>
          </w:tcPr>
          <w:p w:rsidR="00DD59DD" w:rsidRPr="00DD59DD" w:rsidP="00DD59DD">
            <w:pPr>
              <w:bidi w:val="0"/>
              <w:jc w:val="right"/>
              <w:rPr>
                <w:rFonts w:ascii="Times New Roman" w:hAnsi="Times New Roman"/>
                <w:sz w:val="22"/>
                <w:szCs w:val="22"/>
              </w:rPr>
            </w:pPr>
          </w:p>
        </w:tc>
        <w:tc>
          <w:tcPr>
            <w:tcW w:w="1300" w:type="dxa"/>
            <w:gridSpan w:val="2"/>
            <w:tcBorders>
              <w:top w:val="nil"/>
              <w:left w:val="nil"/>
              <w:bottom w:val="nil"/>
              <w:right w:val="nil"/>
            </w:tcBorders>
            <w:noWrap/>
            <w:textDirection w:val="lrTb"/>
            <w:vAlign w:val="center"/>
            <w:hideMark/>
          </w:tcPr>
          <w:p w:rsidR="00DD59DD" w:rsidRPr="00DD59DD" w:rsidP="00DD59DD">
            <w:pPr>
              <w:bidi w:val="0"/>
              <w:jc w:val="right"/>
              <w:rPr>
                <w:rFonts w:ascii="Times New Roman" w:hAnsi="Times New Roman"/>
                <w:sz w:val="22"/>
                <w:szCs w:val="22"/>
              </w:rPr>
            </w:pPr>
          </w:p>
        </w:tc>
        <w:tc>
          <w:tcPr>
            <w:tcW w:w="1300" w:type="dxa"/>
            <w:tcBorders>
              <w:top w:val="nil"/>
              <w:left w:val="nil"/>
              <w:bottom w:val="nil"/>
              <w:right w:val="nil"/>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v tis. Eur</w:t>
            </w:r>
          </w:p>
        </w:tc>
      </w:tr>
      <w:tr>
        <w:tblPrEx>
          <w:tblW w:w="9848" w:type="dxa"/>
          <w:tblInd w:w="55" w:type="dxa"/>
          <w:tblLayout w:type="fixed"/>
          <w:tblCellMar>
            <w:left w:w="70" w:type="dxa"/>
            <w:right w:w="70" w:type="dxa"/>
          </w:tblCellMar>
          <w:tblLook w:val="04A0"/>
        </w:tblPrEx>
        <w:trPr>
          <w:trHeight w:val="615"/>
        </w:trPr>
        <w:tc>
          <w:tcPr>
            <w:tcW w:w="4268"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Príjmy s vplyvom II. piliera</w:t>
            </w:r>
          </w:p>
        </w:tc>
        <w:tc>
          <w:tcPr>
            <w:tcW w:w="1395"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Schválený rozpočet rok 2011</w:t>
            </w:r>
          </w:p>
        </w:tc>
        <w:tc>
          <w:tcPr>
            <w:tcW w:w="1395" w:type="dxa"/>
            <w:gridSpan w:val="2"/>
            <w:vMerge w:val="restart"/>
            <w:tcBorders>
              <w:top w:val="single" w:sz="4" w:space="0" w:color="auto"/>
              <w:left w:val="single" w:sz="4" w:space="0" w:color="auto"/>
              <w:bottom w:val="single" w:sz="4" w:space="0" w:color="auto"/>
              <w:right w:val="single" w:sz="4" w:space="0" w:color="auto"/>
            </w:tcBorders>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Upravený rozpočet  rok 2011</w:t>
            </w:r>
          </w:p>
        </w:tc>
        <w:tc>
          <w:tcPr>
            <w:tcW w:w="1395" w:type="dxa"/>
            <w:gridSpan w:val="2"/>
            <w:vMerge w:val="restart"/>
            <w:tcBorders>
              <w:top w:val="single" w:sz="4" w:space="0" w:color="auto"/>
              <w:left w:val="single" w:sz="4" w:space="0" w:color="auto"/>
              <w:bottom w:val="single" w:sz="4" w:space="0" w:color="auto"/>
              <w:right w:val="single" w:sz="4" w:space="0" w:color="auto"/>
            </w:tcBorders>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Očakávaná skutočnosť v roku 2011</w:t>
            </w:r>
          </w:p>
        </w:tc>
        <w:tc>
          <w:tcPr>
            <w:tcW w:w="1395" w:type="dxa"/>
            <w:gridSpan w:val="2"/>
            <w:vMerge w:val="restart"/>
            <w:tcBorders>
              <w:top w:val="single" w:sz="4" w:space="0" w:color="auto"/>
              <w:left w:val="single" w:sz="4" w:space="0" w:color="auto"/>
              <w:bottom w:val="single" w:sz="4" w:space="0" w:color="000000"/>
              <w:right w:val="single" w:sz="4" w:space="0" w:color="auto"/>
            </w:tcBorders>
            <w:noWrap/>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Rozdiel (3-2)</w:t>
            </w:r>
          </w:p>
        </w:tc>
      </w:tr>
      <w:tr>
        <w:tblPrEx>
          <w:tblW w:w="9848" w:type="dxa"/>
          <w:tblInd w:w="55" w:type="dxa"/>
          <w:tblLayout w:type="fixed"/>
          <w:tblCellMar>
            <w:left w:w="70" w:type="dxa"/>
            <w:right w:w="70" w:type="dxa"/>
          </w:tblCellMar>
          <w:tblLook w:val="04A0"/>
        </w:tblPrEx>
        <w:trPr>
          <w:trHeight w:val="315"/>
        </w:trPr>
        <w:tc>
          <w:tcPr>
            <w:tcW w:w="4268" w:type="dxa"/>
            <w:vMerge/>
            <w:tcBorders>
              <w:top w:val="single" w:sz="4" w:space="0" w:color="auto"/>
              <w:left w:val="single" w:sz="4" w:space="0" w:color="auto"/>
              <w:bottom w:val="single" w:sz="4" w:space="0" w:color="auto"/>
              <w:right w:val="single" w:sz="4" w:space="0" w:color="auto"/>
            </w:tcBorders>
            <w:textDirection w:val="lrTb"/>
            <w:vAlign w:val="center"/>
            <w:hideMark/>
          </w:tcPr>
          <w:p w:rsidR="00DD59DD" w:rsidRPr="00DD59DD" w:rsidP="00DD59DD">
            <w:pPr>
              <w:bidi w:val="0"/>
              <w:rPr>
                <w:rFonts w:ascii="Times New Roman" w:hAnsi="Times New Roman"/>
                <w:sz w:val="22"/>
                <w:szCs w:val="22"/>
              </w:rPr>
            </w:pPr>
          </w:p>
        </w:tc>
        <w:tc>
          <w:tcPr>
            <w:tcW w:w="1395" w:type="dxa"/>
            <w:vMerge/>
            <w:tcBorders>
              <w:top w:val="single" w:sz="4" w:space="0" w:color="auto"/>
              <w:left w:val="single" w:sz="4" w:space="0" w:color="auto"/>
              <w:bottom w:val="single" w:sz="4" w:space="0" w:color="auto"/>
              <w:right w:val="single" w:sz="4" w:space="0" w:color="auto"/>
            </w:tcBorders>
            <w:textDirection w:val="lrTb"/>
            <w:vAlign w:val="center"/>
            <w:hideMark/>
          </w:tcPr>
          <w:p w:rsidR="00DD59DD" w:rsidRPr="00DD59DD" w:rsidP="00DD59DD">
            <w:pPr>
              <w:bidi w:val="0"/>
              <w:rPr>
                <w:rFonts w:ascii="Times New Roman" w:hAnsi="Times New Roman"/>
                <w:sz w:val="22"/>
                <w:szCs w:val="22"/>
              </w:rPr>
            </w:pPr>
          </w:p>
        </w:tc>
        <w:tc>
          <w:tcPr>
            <w:tcW w:w="1395" w:type="dxa"/>
            <w:gridSpan w:val="2"/>
            <w:vMerge/>
            <w:tcBorders>
              <w:top w:val="single" w:sz="4" w:space="0" w:color="auto"/>
              <w:left w:val="single" w:sz="4" w:space="0" w:color="auto"/>
              <w:bottom w:val="single" w:sz="4" w:space="0" w:color="auto"/>
              <w:right w:val="single" w:sz="4" w:space="0" w:color="auto"/>
            </w:tcBorders>
            <w:textDirection w:val="lrTb"/>
            <w:vAlign w:val="center"/>
            <w:hideMark/>
          </w:tcPr>
          <w:p w:rsidR="00DD59DD" w:rsidRPr="00DD59DD" w:rsidP="00DD59DD">
            <w:pPr>
              <w:bidi w:val="0"/>
              <w:rPr>
                <w:rFonts w:ascii="Times New Roman" w:hAnsi="Times New Roman"/>
                <w:sz w:val="22"/>
                <w:szCs w:val="22"/>
              </w:rPr>
            </w:pPr>
          </w:p>
        </w:tc>
        <w:tc>
          <w:tcPr>
            <w:tcW w:w="1395" w:type="dxa"/>
            <w:gridSpan w:val="2"/>
            <w:vMerge/>
            <w:tcBorders>
              <w:top w:val="single" w:sz="4" w:space="0" w:color="auto"/>
              <w:left w:val="single" w:sz="4" w:space="0" w:color="auto"/>
              <w:bottom w:val="single" w:sz="4" w:space="0" w:color="auto"/>
              <w:right w:val="single" w:sz="4" w:space="0" w:color="auto"/>
            </w:tcBorders>
            <w:textDirection w:val="lrTb"/>
            <w:vAlign w:val="center"/>
            <w:hideMark/>
          </w:tcPr>
          <w:p w:rsidR="00DD59DD" w:rsidRPr="00DD59DD" w:rsidP="00DD59DD">
            <w:pPr>
              <w:bidi w:val="0"/>
              <w:rPr>
                <w:rFonts w:ascii="Times New Roman" w:hAnsi="Times New Roman"/>
                <w:sz w:val="22"/>
                <w:szCs w:val="22"/>
              </w:rPr>
            </w:pPr>
          </w:p>
        </w:tc>
        <w:tc>
          <w:tcPr>
            <w:tcW w:w="1395" w:type="dxa"/>
            <w:gridSpan w:val="2"/>
            <w:vMerge/>
            <w:tcBorders>
              <w:top w:val="single" w:sz="4" w:space="0" w:color="auto"/>
              <w:left w:val="single" w:sz="4" w:space="0" w:color="auto"/>
              <w:bottom w:val="single" w:sz="4" w:space="0" w:color="000000"/>
              <w:right w:val="single" w:sz="4" w:space="0" w:color="auto"/>
            </w:tcBorders>
            <w:textDirection w:val="lrTb"/>
            <w:vAlign w:val="center"/>
            <w:hideMark/>
          </w:tcPr>
          <w:p w:rsidR="00DD59DD" w:rsidRPr="00DD59DD" w:rsidP="00DD59DD">
            <w:pPr>
              <w:bidi w:val="0"/>
              <w:rPr>
                <w:rFonts w:ascii="Times New Roman" w:hAnsi="Times New Roman"/>
                <w:sz w:val="22"/>
                <w:szCs w:val="22"/>
              </w:rPr>
            </w:pP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a</w:t>
            </w:r>
          </w:p>
        </w:tc>
        <w:tc>
          <w:tcPr>
            <w:tcW w:w="1395" w:type="dxa"/>
            <w:tcBorders>
              <w:top w:val="nil"/>
              <w:left w:val="nil"/>
              <w:bottom w:val="single" w:sz="4" w:space="0" w:color="auto"/>
              <w:right w:val="single" w:sz="4" w:space="0" w:color="auto"/>
            </w:tcBorders>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1</w:t>
            </w:r>
          </w:p>
        </w:tc>
        <w:tc>
          <w:tcPr>
            <w:tcW w:w="1395" w:type="dxa"/>
            <w:gridSpan w:val="2"/>
            <w:tcBorders>
              <w:top w:val="nil"/>
              <w:left w:val="nil"/>
              <w:bottom w:val="single" w:sz="4" w:space="0" w:color="auto"/>
              <w:right w:val="single" w:sz="4" w:space="0" w:color="auto"/>
            </w:tcBorders>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2</w:t>
            </w:r>
          </w:p>
        </w:tc>
        <w:tc>
          <w:tcPr>
            <w:tcW w:w="1395" w:type="dxa"/>
            <w:gridSpan w:val="2"/>
            <w:tcBorders>
              <w:top w:val="nil"/>
              <w:left w:val="nil"/>
              <w:bottom w:val="single" w:sz="4" w:space="0" w:color="auto"/>
              <w:right w:val="single" w:sz="4" w:space="0" w:color="auto"/>
            </w:tcBorders>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3</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center"/>
              <w:rPr>
                <w:rFonts w:ascii="Times New Roman" w:hAnsi="Times New Roman"/>
                <w:sz w:val="22"/>
                <w:szCs w:val="22"/>
              </w:rPr>
            </w:pPr>
            <w:r w:rsidRPr="00DD59DD">
              <w:rPr>
                <w:rFonts w:ascii="Times New Roman" w:hAnsi="Times New Roman"/>
                <w:sz w:val="22"/>
                <w:szCs w:val="22"/>
              </w:rPr>
              <w:t>4</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Príjmy celkom</w:t>
            </w:r>
          </w:p>
        </w:tc>
        <w:tc>
          <w:tcPr>
            <w:tcW w:w="1395" w:type="dxa"/>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6 350 829</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6 340 851</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6 258 326</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-82 525</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v tom:</w:t>
            </w:r>
          </w:p>
        </w:tc>
        <w:tc>
          <w:tcPr>
            <w:tcW w:w="1395" w:type="dxa"/>
            <w:tcBorders>
              <w:top w:val="nil"/>
              <w:left w:val="nil"/>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 </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 </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 </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 </w:t>
            </w:r>
          </w:p>
        </w:tc>
      </w:tr>
      <w:tr>
        <w:tblPrEx>
          <w:tblW w:w="9848" w:type="dxa"/>
          <w:tblInd w:w="55" w:type="dxa"/>
          <w:tblLayout w:type="fixed"/>
          <w:tblCellMar>
            <w:left w:w="70" w:type="dxa"/>
            <w:right w:w="70" w:type="dxa"/>
          </w:tblCellMar>
          <w:tblLook w:val="04A0"/>
        </w:tblPrEx>
        <w:trPr>
          <w:trHeight w:val="461"/>
        </w:trPr>
        <w:tc>
          <w:tcPr>
            <w:tcW w:w="4268" w:type="dxa"/>
            <w:tcBorders>
              <w:top w:val="nil"/>
              <w:left w:val="single" w:sz="4" w:space="0" w:color="auto"/>
              <w:bottom w:val="single" w:sz="4" w:space="0" w:color="auto"/>
              <w:right w:val="single" w:sz="4" w:space="0" w:color="auto"/>
            </w:tcBorders>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príjmy z bežného poistného od ekonomicky aktívneho obyvateľstva (EAO)</w:t>
            </w:r>
          </w:p>
        </w:tc>
        <w:tc>
          <w:tcPr>
            <w:tcW w:w="1395" w:type="dxa"/>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4 367 869</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4 357 893</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4 261 602</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-96 291</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 xml:space="preserve">príjmy z dlžného poistného  </w:t>
            </w:r>
          </w:p>
        </w:tc>
        <w:tc>
          <w:tcPr>
            <w:tcW w:w="1395" w:type="dxa"/>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167 549</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167 549</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271 620</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104 071</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príjmy zo sankcií</w:t>
            </w:r>
          </w:p>
        </w:tc>
        <w:tc>
          <w:tcPr>
            <w:tcW w:w="1395" w:type="dxa"/>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2 490</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2 490</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2 490</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0</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príjmy z poistného od štátu</w:t>
            </w:r>
          </w:p>
        </w:tc>
        <w:tc>
          <w:tcPr>
            <w:tcW w:w="1395" w:type="dxa"/>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167 984</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167 984</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171 502</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3 518</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príjmy od Sociálnej poisťovne</w:t>
            </w:r>
          </w:p>
        </w:tc>
        <w:tc>
          <w:tcPr>
            <w:tcW w:w="1395" w:type="dxa"/>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1 888</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1 888</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1 834</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-54</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 xml:space="preserve">ostatné príjmy </w:t>
            </w:r>
          </w:p>
        </w:tc>
        <w:tc>
          <w:tcPr>
            <w:tcW w:w="1395" w:type="dxa"/>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1 619 457</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1 619 455</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1 519 289</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-100 166</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z toho príjmy zo štátneho rozpočtu SR (ŠR SR)</w:t>
            </w:r>
          </w:p>
        </w:tc>
        <w:tc>
          <w:tcPr>
            <w:tcW w:w="1395" w:type="dxa"/>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1 608 733</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1 608 733</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1 508 733</w:t>
            </w:r>
          </w:p>
        </w:tc>
        <w:tc>
          <w:tcPr>
            <w:tcW w:w="1395" w:type="dxa"/>
            <w:gridSpan w:val="2"/>
            <w:tcBorders>
              <w:top w:val="nil"/>
              <w:left w:val="nil"/>
              <w:bottom w:val="single" w:sz="4" w:space="0" w:color="auto"/>
              <w:right w:val="single" w:sz="4" w:space="0" w:color="auto"/>
            </w:tcBorders>
            <w:noWrap/>
            <w:textDirection w:val="lrTb"/>
            <w:vAlign w:val="center"/>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-100 000</w:t>
            </w:r>
          </w:p>
        </w:tc>
      </w:tr>
      <w:tr>
        <w:tblPrEx>
          <w:tblW w:w="9848" w:type="dxa"/>
          <w:tblInd w:w="55" w:type="dxa"/>
          <w:tblLayout w:type="fixed"/>
          <w:tblCellMar>
            <w:left w:w="70" w:type="dxa"/>
            <w:right w:w="70" w:type="dxa"/>
          </w:tblCellMar>
          <w:tblLook w:val="04A0"/>
        </w:tblPrEx>
        <w:trPr>
          <w:trHeight w:val="555"/>
        </w:trPr>
        <w:tc>
          <w:tcPr>
            <w:tcW w:w="4268" w:type="dxa"/>
            <w:tcBorders>
              <w:top w:val="nil"/>
              <w:left w:val="single" w:sz="4" w:space="0" w:color="auto"/>
              <w:bottom w:val="single" w:sz="4" w:space="0" w:color="auto"/>
              <w:right w:val="single" w:sz="4" w:space="0" w:color="auto"/>
            </w:tcBorders>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príspevky na SDS zaplatené zamestnávateľom  po uplynutí 60 dní</w:t>
            </w:r>
          </w:p>
        </w:tc>
        <w:tc>
          <w:tcPr>
            <w:tcW w:w="1395" w:type="dxa"/>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19 492</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19 492</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25 725</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6 233</w:t>
            </w:r>
          </w:p>
        </w:tc>
      </w:tr>
      <w:tr>
        <w:tblPrEx>
          <w:tblW w:w="9848" w:type="dxa"/>
          <w:tblInd w:w="55" w:type="dxa"/>
          <w:tblLayout w:type="fixed"/>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textDirection w:val="lrTb"/>
            <w:vAlign w:val="center"/>
            <w:hideMark/>
          </w:tcPr>
          <w:p w:rsidR="00DD59DD" w:rsidRPr="00DD59DD" w:rsidP="00DD59DD">
            <w:pPr>
              <w:bidi w:val="0"/>
              <w:rPr>
                <w:rFonts w:ascii="Times New Roman" w:hAnsi="Times New Roman"/>
                <w:sz w:val="22"/>
                <w:szCs w:val="22"/>
              </w:rPr>
            </w:pPr>
            <w:r w:rsidRPr="00DD59DD">
              <w:rPr>
                <w:rFonts w:ascii="Times New Roman" w:hAnsi="Times New Roman"/>
                <w:sz w:val="22"/>
                <w:szCs w:val="22"/>
              </w:rPr>
              <w:t>príjmy správneho fondu z príspevkov na SDS</w:t>
            </w:r>
          </w:p>
        </w:tc>
        <w:tc>
          <w:tcPr>
            <w:tcW w:w="1395" w:type="dxa"/>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4 100</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4 100</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4 264</w:t>
            </w:r>
          </w:p>
        </w:tc>
        <w:tc>
          <w:tcPr>
            <w:tcW w:w="1395" w:type="dxa"/>
            <w:gridSpan w:val="2"/>
            <w:tcBorders>
              <w:top w:val="nil"/>
              <w:left w:val="nil"/>
              <w:bottom w:val="single" w:sz="4" w:space="0" w:color="auto"/>
              <w:right w:val="single" w:sz="4" w:space="0" w:color="auto"/>
            </w:tcBorders>
            <w:noWrap/>
            <w:textDirection w:val="lrTb"/>
            <w:vAlign w:val="bottom"/>
            <w:hideMark/>
          </w:tcPr>
          <w:p w:rsidR="00DD59DD" w:rsidRPr="00DD59DD" w:rsidP="00DD59DD">
            <w:pPr>
              <w:bidi w:val="0"/>
              <w:jc w:val="right"/>
              <w:rPr>
                <w:rFonts w:ascii="Times New Roman" w:hAnsi="Times New Roman"/>
                <w:sz w:val="22"/>
                <w:szCs w:val="22"/>
              </w:rPr>
            </w:pPr>
            <w:r w:rsidRPr="00DD59DD">
              <w:rPr>
                <w:rFonts w:ascii="Times New Roman" w:hAnsi="Times New Roman"/>
                <w:sz w:val="22"/>
                <w:szCs w:val="22"/>
              </w:rPr>
              <w:t>164</w:t>
            </w:r>
          </w:p>
        </w:tc>
      </w:tr>
    </w:tbl>
    <w:p w:rsidR="00DD59DD" w:rsidP="0061697D">
      <w:pPr>
        <w:bidi w:val="0"/>
        <w:jc w:val="both"/>
        <w:rPr>
          <w:rFonts w:ascii="Times New Roman" w:hAnsi="Times New Roman"/>
          <w:szCs w:val="24"/>
        </w:rPr>
      </w:pPr>
    </w:p>
    <w:p w:rsidR="001143E9" w:rsidRPr="001143E9" w:rsidP="002D6298">
      <w:pPr>
        <w:bidi w:val="0"/>
        <w:spacing w:after="120"/>
        <w:ind w:firstLine="720"/>
        <w:jc w:val="both"/>
        <w:rPr>
          <w:rFonts w:ascii="Times New Roman" w:hAnsi="Times New Roman"/>
          <w:szCs w:val="24"/>
        </w:rPr>
      </w:pPr>
      <w:r w:rsidRPr="001143E9">
        <w:rPr>
          <w:rFonts w:ascii="Times New Roman" w:hAnsi="Times New Roman"/>
          <w:szCs w:val="24"/>
        </w:rPr>
        <w:t xml:space="preserve">V roku 2011 sa očakávajú </w:t>
      </w:r>
      <w:r w:rsidR="003B725D">
        <w:rPr>
          <w:rFonts w:ascii="Times New Roman" w:hAnsi="Times New Roman"/>
          <w:b/>
          <w:szCs w:val="24"/>
        </w:rPr>
        <w:t>nižšie</w:t>
      </w:r>
      <w:r w:rsidRPr="001143E9">
        <w:rPr>
          <w:rFonts w:ascii="Times New Roman" w:hAnsi="Times New Roman"/>
          <w:b/>
          <w:szCs w:val="24"/>
        </w:rPr>
        <w:t xml:space="preserve"> príjmy celkom </w:t>
      </w:r>
      <w:r w:rsidRPr="001143E9">
        <w:rPr>
          <w:rFonts w:ascii="Times New Roman" w:hAnsi="Times New Roman"/>
          <w:szCs w:val="24"/>
        </w:rPr>
        <w:t xml:space="preserve">oproti upravenému rozpočtu na rok 2011 </w:t>
      </w:r>
      <w:r w:rsidRPr="001143E9">
        <w:rPr>
          <w:rFonts w:ascii="Times New Roman" w:hAnsi="Times New Roman"/>
          <w:b/>
          <w:szCs w:val="24"/>
        </w:rPr>
        <w:t>o </w:t>
      </w:r>
      <w:r w:rsidR="004463D5">
        <w:rPr>
          <w:rFonts w:ascii="Times New Roman" w:hAnsi="Times New Roman"/>
          <w:b/>
          <w:szCs w:val="24"/>
        </w:rPr>
        <w:t>82</w:t>
      </w:r>
      <w:r w:rsidRPr="001143E9">
        <w:rPr>
          <w:rFonts w:ascii="Times New Roman" w:hAnsi="Times New Roman"/>
          <w:b/>
          <w:szCs w:val="24"/>
        </w:rPr>
        <w:t> </w:t>
      </w:r>
      <w:r w:rsidR="004463D5">
        <w:rPr>
          <w:rFonts w:ascii="Times New Roman" w:hAnsi="Times New Roman"/>
          <w:b/>
          <w:szCs w:val="24"/>
        </w:rPr>
        <w:t>52</w:t>
      </w:r>
      <w:r w:rsidR="00DD59DD">
        <w:rPr>
          <w:rFonts w:ascii="Times New Roman" w:hAnsi="Times New Roman"/>
          <w:b/>
          <w:szCs w:val="24"/>
        </w:rPr>
        <w:t>5</w:t>
      </w:r>
      <w:r w:rsidRPr="001143E9">
        <w:rPr>
          <w:rFonts w:ascii="Times New Roman" w:hAnsi="Times New Roman"/>
          <w:b/>
          <w:szCs w:val="24"/>
        </w:rPr>
        <w:t> tis. Eur</w:t>
      </w:r>
      <w:r w:rsidRPr="001143E9">
        <w:rPr>
          <w:rFonts w:ascii="Times New Roman" w:hAnsi="Times New Roman"/>
          <w:szCs w:val="24"/>
        </w:rPr>
        <w:t>. Nižšie sa očakávajú príjmy z bežného poistného</w:t>
      </w:r>
      <w:r w:rsidRPr="001143E9">
        <w:rPr>
          <w:rFonts w:ascii="Times New Roman" w:hAnsi="Times New Roman"/>
          <w:color w:val="FF0000"/>
          <w:szCs w:val="24"/>
        </w:rPr>
        <w:t xml:space="preserve"> </w:t>
      </w:r>
      <w:r w:rsidRPr="001143E9">
        <w:rPr>
          <w:rFonts w:ascii="Times New Roman" w:hAnsi="Times New Roman"/>
          <w:szCs w:val="24"/>
        </w:rPr>
        <w:t>od EAO o </w:t>
      </w:r>
      <w:r w:rsidR="004463D5">
        <w:rPr>
          <w:rFonts w:ascii="Times New Roman" w:hAnsi="Times New Roman"/>
          <w:szCs w:val="24"/>
        </w:rPr>
        <w:t>96</w:t>
      </w:r>
      <w:r w:rsidRPr="001143E9">
        <w:rPr>
          <w:rFonts w:ascii="Times New Roman" w:hAnsi="Times New Roman"/>
          <w:szCs w:val="24"/>
        </w:rPr>
        <w:t> </w:t>
      </w:r>
      <w:r w:rsidR="004463D5">
        <w:rPr>
          <w:rFonts w:ascii="Times New Roman" w:hAnsi="Times New Roman"/>
          <w:szCs w:val="24"/>
        </w:rPr>
        <w:t>291</w:t>
      </w:r>
      <w:r w:rsidRPr="001143E9">
        <w:rPr>
          <w:rFonts w:ascii="Times New Roman" w:hAnsi="Times New Roman"/>
          <w:szCs w:val="24"/>
        </w:rPr>
        <w:t> tis. Eur</w:t>
      </w:r>
      <w:r w:rsidR="002D6298">
        <w:rPr>
          <w:rFonts w:ascii="Times New Roman" w:hAnsi="Times New Roman"/>
          <w:szCs w:val="24"/>
        </w:rPr>
        <w:t>.</w:t>
      </w:r>
      <w:r w:rsidR="006E01A8">
        <w:rPr>
          <w:rFonts w:ascii="Times New Roman" w:hAnsi="Times New Roman"/>
          <w:szCs w:val="24"/>
        </w:rPr>
        <w:t xml:space="preserve"> </w:t>
      </w:r>
      <w:r w:rsidRPr="001143E9">
        <w:rPr>
          <w:rFonts w:ascii="Times New Roman" w:hAnsi="Times New Roman"/>
          <w:szCs w:val="24"/>
        </w:rPr>
        <w:t xml:space="preserve">Na uvedené má vplyv najmä skutočnosť, že sa v roku 2011 očakáva </w:t>
      </w:r>
      <w:r w:rsidR="00F47DBC">
        <w:rPr>
          <w:rFonts w:ascii="Times New Roman" w:hAnsi="Times New Roman"/>
          <w:szCs w:val="24"/>
        </w:rPr>
        <w:t>dôchodkový</w:t>
      </w:r>
      <w:r w:rsidR="00D337CD">
        <w:rPr>
          <w:rFonts w:ascii="Times New Roman" w:hAnsi="Times New Roman"/>
          <w:szCs w:val="24"/>
        </w:rPr>
        <w:t>m</w:t>
      </w:r>
      <w:r w:rsidRPr="001143E9">
        <w:rPr>
          <w:rFonts w:ascii="Times New Roman" w:hAnsi="Times New Roman"/>
          <w:szCs w:val="24"/>
        </w:rPr>
        <w:t xml:space="preserve"> správcovským spoločnostiam (DSS) postúpiť príspevky na SDS za EAO v sume 761 119 tis. Eur, čo je o 22 391 tis. Eur viac, ako bolo zapracované v rozpočte. Príjmy z dlžného poistného sa predpokladajú vo výške 271 620 tis. Eur, čo predstavuje prekročenie v absolútnej sume 104 071 tis. Eur. </w:t>
      </w:r>
      <w:r w:rsidR="002D6298">
        <w:rPr>
          <w:rFonts w:ascii="Times New Roman" w:hAnsi="Times New Roman"/>
          <w:szCs w:val="24"/>
        </w:rPr>
        <w:t>Zároveň sa predpokladá nižší transfer zo ŠR SR o </w:t>
      </w:r>
      <w:r w:rsidR="004463D5">
        <w:rPr>
          <w:rFonts w:ascii="Times New Roman" w:hAnsi="Times New Roman"/>
          <w:szCs w:val="24"/>
        </w:rPr>
        <w:t>100</w:t>
      </w:r>
      <w:r w:rsidR="002D6298">
        <w:rPr>
          <w:rFonts w:ascii="Times New Roman" w:hAnsi="Times New Roman"/>
          <w:szCs w:val="24"/>
        </w:rPr>
        <w:t> 0</w:t>
      </w:r>
      <w:r w:rsidR="004463D5">
        <w:rPr>
          <w:rFonts w:ascii="Times New Roman" w:hAnsi="Times New Roman"/>
          <w:szCs w:val="24"/>
        </w:rPr>
        <w:t>00</w:t>
      </w:r>
      <w:r w:rsidR="002D6298">
        <w:rPr>
          <w:rFonts w:ascii="Times New Roman" w:hAnsi="Times New Roman"/>
          <w:szCs w:val="24"/>
        </w:rPr>
        <w:t> tis. Eur</w:t>
      </w:r>
      <w:r w:rsidRPr="001143E9" w:rsidR="002D6298">
        <w:rPr>
          <w:rFonts w:ascii="Times New Roman" w:hAnsi="Times New Roman"/>
          <w:szCs w:val="24"/>
        </w:rPr>
        <w:t>.</w:t>
      </w:r>
    </w:p>
    <w:p w:rsidR="001143E9" w:rsidRPr="001143E9" w:rsidP="001143E9">
      <w:pPr>
        <w:bidi w:val="0"/>
        <w:spacing w:before="240" w:after="120"/>
        <w:ind w:firstLine="720"/>
        <w:jc w:val="both"/>
        <w:rPr>
          <w:rFonts w:ascii="Times New Roman" w:hAnsi="Times New Roman"/>
          <w:szCs w:val="24"/>
        </w:rPr>
      </w:pPr>
      <w:r w:rsidRPr="001143E9">
        <w:rPr>
          <w:rFonts w:ascii="Times New Roman" w:hAnsi="Times New Roman"/>
          <w:szCs w:val="24"/>
        </w:rPr>
        <w:t>V očakávanej skutočnosti ostatných príjmov je zapracovaný transfer finančných prostriedkov zo ŠR SR v sume 1 </w:t>
      </w:r>
      <w:r w:rsidR="003B725D">
        <w:rPr>
          <w:rFonts w:ascii="Times New Roman" w:hAnsi="Times New Roman"/>
          <w:szCs w:val="24"/>
        </w:rPr>
        <w:t>5</w:t>
      </w:r>
      <w:r w:rsidR="004463D5">
        <w:rPr>
          <w:rFonts w:ascii="Times New Roman" w:hAnsi="Times New Roman"/>
          <w:szCs w:val="24"/>
        </w:rPr>
        <w:t>08</w:t>
      </w:r>
      <w:r w:rsidRPr="001143E9">
        <w:rPr>
          <w:rFonts w:ascii="Times New Roman" w:hAnsi="Times New Roman"/>
          <w:szCs w:val="24"/>
        </w:rPr>
        <w:t> 7</w:t>
      </w:r>
      <w:r w:rsidR="004463D5">
        <w:rPr>
          <w:rFonts w:ascii="Times New Roman" w:hAnsi="Times New Roman"/>
          <w:szCs w:val="24"/>
        </w:rPr>
        <w:t>33</w:t>
      </w:r>
      <w:r w:rsidRPr="001143E9">
        <w:rPr>
          <w:rFonts w:ascii="Times New Roman" w:hAnsi="Times New Roman"/>
          <w:szCs w:val="24"/>
        </w:rPr>
        <w:t> tis. Eur, v tom v základnom fonde starobného poistenia (ZFSP) v sume 1 </w:t>
      </w:r>
      <w:r w:rsidR="003B725D">
        <w:rPr>
          <w:rFonts w:ascii="Times New Roman" w:hAnsi="Times New Roman"/>
          <w:szCs w:val="24"/>
        </w:rPr>
        <w:t>46</w:t>
      </w:r>
      <w:r w:rsidR="004463D5">
        <w:rPr>
          <w:rFonts w:ascii="Times New Roman" w:hAnsi="Times New Roman"/>
          <w:szCs w:val="24"/>
        </w:rPr>
        <w:t>4</w:t>
      </w:r>
      <w:r w:rsidRPr="001143E9">
        <w:rPr>
          <w:rFonts w:ascii="Times New Roman" w:hAnsi="Times New Roman"/>
          <w:szCs w:val="24"/>
        </w:rPr>
        <w:t> </w:t>
      </w:r>
      <w:r w:rsidR="003B725D">
        <w:rPr>
          <w:rFonts w:ascii="Times New Roman" w:hAnsi="Times New Roman"/>
          <w:szCs w:val="24"/>
        </w:rPr>
        <w:t>9</w:t>
      </w:r>
      <w:r w:rsidR="004463D5">
        <w:rPr>
          <w:rFonts w:ascii="Times New Roman" w:hAnsi="Times New Roman"/>
          <w:szCs w:val="24"/>
        </w:rPr>
        <w:t>45</w:t>
      </w:r>
      <w:r w:rsidRPr="001143E9">
        <w:rPr>
          <w:rFonts w:ascii="Times New Roman" w:hAnsi="Times New Roman"/>
          <w:szCs w:val="24"/>
        </w:rPr>
        <w:t> tis. Eur na krytie deficitu vzniknutého dôsledkom zavedenia II. piliera a ako finančná výpomoc z dôvodu platobnej neschopnosti ZFSP, v zmysle §</w:t>
      </w:r>
      <w:r w:rsidR="00635879">
        <w:rPr>
          <w:rFonts w:ascii="Times New Roman" w:hAnsi="Times New Roman"/>
          <w:szCs w:val="24"/>
        </w:rPr>
        <w:t> </w:t>
      </w:r>
      <w:r w:rsidRPr="001143E9">
        <w:rPr>
          <w:rFonts w:ascii="Times New Roman" w:hAnsi="Times New Roman"/>
          <w:szCs w:val="24"/>
        </w:rPr>
        <w:t>157 ods. 4 zákona č. 461/2003 Z. z. o sociálnom poistení v znení neskorších predpisov a o zmene a doplnení niektorých zákonov (ďalej len „zákon o sociálnom poistení“) a v rezervnom fonde solidarity (RFS) v sume 43 788 tis. Eur v zmysle §</w:t>
      </w:r>
      <w:r w:rsidR="00635879">
        <w:rPr>
          <w:rFonts w:ascii="Times New Roman" w:hAnsi="Times New Roman"/>
          <w:szCs w:val="24"/>
        </w:rPr>
        <w:t> </w:t>
      </w:r>
      <w:r w:rsidRPr="001143E9">
        <w:rPr>
          <w:rFonts w:ascii="Times New Roman" w:hAnsi="Times New Roman"/>
          <w:szCs w:val="24"/>
        </w:rPr>
        <w:t>293bg ods. 3 zákona o sociálnom poistení, ktorým bola znížená sadzba poistného do RFS v období od 1. apríla 2009 do 31. decembra 2010 pre povinne dôchodkovo poistenú SZČO.</w:t>
      </w:r>
    </w:p>
    <w:p w:rsidR="00767BF8" w:rsidRPr="00767BF8" w:rsidP="00767BF8">
      <w:pPr>
        <w:pStyle w:val="BodyTextIndent2"/>
        <w:bidi w:val="0"/>
        <w:spacing w:before="240" w:line="240" w:lineRule="auto"/>
        <w:ind w:left="0" w:firstLine="720"/>
        <w:jc w:val="both"/>
        <w:rPr>
          <w:rFonts w:ascii="Times New Roman" w:hAnsi="Times New Roman"/>
          <w:b/>
          <w:szCs w:val="24"/>
        </w:rPr>
      </w:pPr>
      <w:r w:rsidRPr="00767BF8">
        <w:rPr>
          <w:rFonts w:ascii="Times New Roman" w:hAnsi="Times New Roman"/>
          <w:b/>
          <w:szCs w:val="24"/>
        </w:rPr>
        <w:t xml:space="preserve">Výdavky </w:t>
      </w:r>
    </w:p>
    <w:p w:rsidR="00767BF8" w:rsidP="00767BF8">
      <w:pPr>
        <w:bidi w:val="0"/>
        <w:spacing w:before="240" w:after="120"/>
        <w:ind w:firstLine="709"/>
        <w:jc w:val="both"/>
        <w:rPr>
          <w:rFonts w:ascii="Times New Roman" w:hAnsi="Times New Roman"/>
          <w:szCs w:val="24"/>
        </w:rPr>
      </w:pPr>
      <w:r w:rsidRPr="00767BF8">
        <w:rPr>
          <w:rFonts w:ascii="Times New Roman" w:hAnsi="Times New Roman"/>
          <w:b/>
          <w:szCs w:val="24"/>
        </w:rPr>
        <w:t xml:space="preserve">Výdavky (náklady) </w:t>
      </w:r>
      <w:r w:rsidRPr="00767BF8">
        <w:rPr>
          <w:rFonts w:ascii="Times New Roman" w:hAnsi="Times New Roman"/>
          <w:szCs w:val="24"/>
        </w:rPr>
        <w:t xml:space="preserve">Sociálnej poisťovne sa </w:t>
      </w:r>
      <w:r w:rsidRPr="00767BF8">
        <w:rPr>
          <w:rFonts w:ascii="Times New Roman" w:hAnsi="Times New Roman"/>
          <w:b/>
          <w:szCs w:val="24"/>
        </w:rPr>
        <w:t xml:space="preserve">v roku 2011 </w:t>
      </w:r>
      <w:r w:rsidRPr="00767BF8">
        <w:rPr>
          <w:rFonts w:ascii="Times New Roman" w:hAnsi="Times New Roman"/>
          <w:szCs w:val="24"/>
        </w:rPr>
        <w:t>očakávajú takéto:</w:t>
      </w:r>
    </w:p>
    <w:tbl>
      <w:tblPr>
        <w:tblStyle w:val="TableNormal"/>
        <w:tblW w:w="10210" w:type="dxa"/>
        <w:tblInd w:w="-214" w:type="dxa"/>
        <w:tblLayout w:type="fixed"/>
        <w:tblCellMar>
          <w:left w:w="70" w:type="dxa"/>
          <w:right w:w="70" w:type="dxa"/>
        </w:tblCellMar>
        <w:tblLook w:val="04A0"/>
      </w:tblPr>
      <w:tblGrid>
        <w:gridCol w:w="4551"/>
        <w:gridCol w:w="1414"/>
        <w:gridCol w:w="345"/>
        <w:gridCol w:w="1070"/>
        <w:gridCol w:w="230"/>
        <w:gridCol w:w="1185"/>
        <w:gridCol w:w="115"/>
        <w:gridCol w:w="1300"/>
      </w:tblGrid>
      <w:tr>
        <w:tblPrEx>
          <w:tblW w:w="10210" w:type="dxa"/>
          <w:tblInd w:w="-214" w:type="dxa"/>
          <w:tblLayout w:type="fixed"/>
          <w:tblCellMar>
            <w:left w:w="70" w:type="dxa"/>
            <w:right w:w="70" w:type="dxa"/>
          </w:tblCellMar>
          <w:tblLook w:val="04A0"/>
        </w:tblPrEx>
        <w:trPr>
          <w:trHeight w:val="300"/>
        </w:trPr>
        <w:tc>
          <w:tcPr>
            <w:tcW w:w="4551" w:type="dxa"/>
            <w:tcBorders>
              <w:top w:val="nil"/>
              <w:left w:val="nil"/>
              <w:bottom w:val="nil"/>
              <w:right w:val="nil"/>
            </w:tcBorders>
            <w:noWrap/>
            <w:textDirection w:val="lrTb"/>
            <w:vAlign w:val="bottom"/>
            <w:hideMark/>
          </w:tcPr>
          <w:p w:rsidR="009D0B90" w:rsidRPr="009D0B90" w:rsidP="009D0B90">
            <w:pPr>
              <w:bidi w:val="0"/>
              <w:rPr>
                <w:rFonts w:ascii="Times New Roman" w:hAnsi="Times New Roman"/>
                <w:sz w:val="22"/>
                <w:szCs w:val="22"/>
              </w:rPr>
            </w:pPr>
          </w:p>
        </w:tc>
        <w:tc>
          <w:tcPr>
            <w:tcW w:w="1759" w:type="dxa"/>
            <w:gridSpan w:val="2"/>
            <w:tcBorders>
              <w:top w:val="nil"/>
              <w:left w:val="nil"/>
              <w:bottom w:val="nil"/>
              <w:right w:val="nil"/>
            </w:tcBorders>
            <w:noWrap/>
            <w:textDirection w:val="lrTb"/>
            <w:vAlign w:val="bottom"/>
            <w:hideMark/>
          </w:tcPr>
          <w:p w:rsidR="009D0B90" w:rsidRPr="009D0B90" w:rsidP="009D0B90">
            <w:pPr>
              <w:bidi w:val="0"/>
              <w:rPr>
                <w:rFonts w:ascii="Times New Roman" w:hAnsi="Times New Roman"/>
                <w:sz w:val="22"/>
                <w:szCs w:val="22"/>
              </w:rPr>
            </w:pPr>
          </w:p>
        </w:tc>
        <w:tc>
          <w:tcPr>
            <w:tcW w:w="1300" w:type="dxa"/>
            <w:gridSpan w:val="2"/>
            <w:tcBorders>
              <w:top w:val="nil"/>
              <w:left w:val="nil"/>
              <w:bottom w:val="nil"/>
              <w:right w:val="nil"/>
            </w:tcBorders>
            <w:noWrap/>
            <w:textDirection w:val="lrTb"/>
            <w:vAlign w:val="bottom"/>
            <w:hideMark/>
          </w:tcPr>
          <w:p w:rsidR="009D0B90" w:rsidRPr="009D0B90" w:rsidP="009D0B90">
            <w:pPr>
              <w:bidi w:val="0"/>
              <w:rPr>
                <w:rFonts w:ascii="Times New Roman" w:hAnsi="Times New Roman"/>
                <w:sz w:val="22"/>
                <w:szCs w:val="22"/>
              </w:rPr>
            </w:pPr>
          </w:p>
        </w:tc>
        <w:tc>
          <w:tcPr>
            <w:tcW w:w="1300" w:type="dxa"/>
            <w:gridSpan w:val="2"/>
            <w:tcBorders>
              <w:top w:val="nil"/>
              <w:left w:val="nil"/>
              <w:bottom w:val="nil"/>
              <w:right w:val="nil"/>
            </w:tcBorders>
            <w:noWrap/>
            <w:textDirection w:val="lrTb"/>
            <w:vAlign w:val="bottom"/>
            <w:hideMark/>
          </w:tcPr>
          <w:p w:rsidR="009D0B90" w:rsidRPr="009D0B90" w:rsidP="009D0B90">
            <w:pPr>
              <w:bidi w:val="0"/>
              <w:rPr>
                <w:rFonts w:ascii="Times New Roman" w:hAnsi="Times New Roman"/>
                <w:sz w:val="22"/>
                <w:szCs w:val="22"/>
              </w:rPr>
            </w:pPr>
          </w:p>
        </w:tc>
        <w:tc>
          <w:tcPr>
            <w:tcW w:w="1300" w:type="dxa"/>
            <w:tcBorders>
              <w:top w:val="nil"/>
              <w:left w:val="nil"/>
              <w:bottom w:val="nil"/>
              <w:right w:val="nil"/>
            </w:tcBorders>
            <w:noWrap/>
            <w:textDirection w:val="lrTb"/>
            <w:vAlign w:val="bottom"/>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v tis. Eur</w:t>
            </w:r>
          </w:p>
        </w:tc>
      </w:tr>
      <w:tr>
        <w:tblPrEx>
          <w:tblW w:w="10210" w:type="dxa"/>
          <w:tblInd w:w="-214" w:type="dxa"/>
          <w:tblLayout w:type="fixed"/>
          <w:tblCellMar>
            <w:left w:w="70" w:type="dxa"/>
            <w:right w:w="70" w:type="dxa"/>
          </w:tblCellMar>
          <w:tblLook w:val="04A0"/>
        </w:tblPrEx>
        <w:trPr>
          <w:trHeight w:val="735"/>
        </w:trPr>
        <w:tc>
          <w:tcPr>
            <w:tcW w:w="4551" w:type="dxa"/>
            <w:tcBorders>
              <w:top w:val="single" w:sz="4" w:space="0" w:color="auto"/>
              <w:left w:val="single" w:sz="4" w:space="0" w:color="auto"/>
              <w:bottom w:val="single" w:sz="4" w:space="0" w:color="auto"/>
              <w:right w:val="single" w:sz="4" w:space="0" w:color="auto"/>
            </w:tcBorders>
            <w:noWrap/>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Ukazovateľ</w:t>
            </w:r>
          </w:p>
        </w:tc>
        <w:tc>
          <w:tcPr>
            <w:tcW w:w="1414" w:type="dxa"/>
            <w:tcBorders>
              <w:top w:val="single" w:sz="4" w:space="0" w:color="auto"/>
              <w:left w:val="nil"/>
              <w:bottom w:val="single" w:sz="4" w:space="0" w:color="auto"/>
              <w:right w:val="single" w:sz="4" w:space="0" w:color="auto"/>
            </w:tcBorders>
            <w:noWrap/>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Schválený rozpočet</w:t>
            </w:r>
          </w:p>
        </w:tc>
        <w:tc>
          <w:tcPr>
            <w:tcW w:w="1415" w:type="dxa"/>
            <w:gridSpan w:val="2"/>
            <w:tcBorders>
              <w:top w:val="single" w:sz="4" w:space="0" w:color="auto"/>
              <w:left w:val="nil"/>
              <w:bottom w:val="single" w:sz="4" w:space="0" w:color="auto"/>
              <w:right w:val="single" w:sz="4" w:space="0" w:color="auto"/>
            </w:tcBorders>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 xml:space="preserve">Upravený rozpočet </w:t>
            </w:r>
          </w:p>
        </w:tc>
        <w:tc>
          <w:tcPr>
            <w:tcW w:w="1415" w:type="dxa"/>
            <w:gridSpan w:val="2"/>
            <w:tcBorders>
              <w:top w:val="single" w:sz="4" w:space="0" w:color="auto"/>
              <w:left w:val="nil"/>
              <w:bottom w:val="single" w:sz="4" w:space="0" w:color="auto"/>
              <w:right w:val="single" w:sz="4" w:space="0" w:color="auto"/>
            </w:tcBorders>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Očakávaná skutočnosť v roku 2011</w:t>
            </w:r>
          </w:p>
        </w:tc>
        <w:tc>
          <w:tcPr>
            <w:tcW w:w="1415" w:type="dxa"/>
            <w:gridSpan w:val="2"/>
            <w:tcBorders>
              <w:top w:val="single" w:sz="4" w:space="0" w:color="auto"/>
              <w:left w:val="nil"/>
              <w:bottom w:val="single" w:sz="4" w:space="0" w:color="auto"/>
              <w:right w:val="single" w:sz="4" w:space="0" w:color="auto"/>
            </w:tcBorders>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Rozdiel (3-2)</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single" w:sz="4" w:space="0" w:color="auto"/>
              <w:right w:val="single" w:sz="4" w:space="0" w:color="auto"/>
            </w:tcBorders>
            <w:noWrap/>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a</w:t>
            </w:r>
          </w:p>
        </w:tc>
        <w:tc>
          <w:tcPr>
            <w:tcW w:w="1414" w:type="dxa"/>
            <w:tcBorders>
              <w:top w:val="nil"/>
              <w:left w:val="nil"/>
              <w:bottom w:val="single" w:sz="4" w:space="0" w:color="auto"/>
              <w:right w:val="single" w:sz="4" w:space="0" w:color="auto"/>
            </w:tcBorders>
            <w:noWrap/>
            <w:textDirection w:val="lrTb"/>
            <w:vAlign w:val="center"/>
            <w:hideMark/>
          </w:tcPr>
          <w:p w:rsidR="009D0B90" w:rsidRPr="009D0B90" w:rsidP="009D0B90">
            <w:pPr>
              <w:bidi w:val="0"/>
              <w:jc w:val="center"/>
              <w:rPr>
                <w:rFonts w:ascii="Times New Roman" w:hAnsi="Times New Roman"/>
                <w:color w:val="000000"/>
                <w:sz w:val="22"/>
                <w:szCs w:val="22"/>
              </w:rPr>
            </w:pPr>
            <w:r w:rsidRPr="009D0B90">
              <w:rPr>
                <w:rFonts w:ascii="Times New Roman" w:hAnsi="Times New Roman"/>
                <w:color w:val="000000"/>
                <w:sz w:val="22"/>
                <w:szCs w:val="22"/>
              </w:rPr>
              <w:t>1</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2</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3</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center"/>
              <w:rPr>
                <w:rFonts w:ascii="Times New Roman" w:hAnsi="Times New Roman"/>
                <w:sz w:val="22"/>
                <w:szCs w:val="22"/>
              </w:rPr>
            </w:pPr>
            <w:r w:rsidRPr="009D0B90">
              <w:rPr>
                <w:rFonts w:ascii="Times New Roman" w:hAnsi="Times New Roman"/>
                <w:sz w:val="22"/>
                <w:szCs w:val="22"/>
              </w:rPr>
              <w:t>4</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Použitie prostriedkov celkom</w:t>
            </w:r>
          </w:p>
        </w:tc>
        <w:tc>
          <w:tcPr>
            <w:tcW w:w="1414" w:type="dxa"/>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6 254 902</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6 270 715</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6 167 433</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-103 282</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v tom:</w:t>
            </w:r>
          </w:p>
        </w:tc>
        <w:tc>
          <w:tcPr>
            <w:tcW w:w="1414" w:type="dxa"/>
            <w:tcBorders>
              <w:top w:val="nil"/>
              <w:left w:val="nil"/>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xml:space="preserve"> základný fond nemocenského poistenia (ZFNP)</w:t>
            </w:r>
          </w:p>
        </w:tc>
        <w:tc>
          <w:tcPr>
            <w:tcW w:w="1414" w:type="dxa"/>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332 219</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348 521</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391 523</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43 002</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základný fond starobného poistenia (ZFSP)</w:t>
            </w:r>
          </w:p>
        </w:tc>
        <w:tc>
          <w:tcPr>
            <w:tcW w:w="1414" w:type="dxa"/>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4 659 053</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4 659 053</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4 567 523</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-91 530</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základný fond invalidného poistenia (ZFIP)</w:t>
            </w:r>
          </w:p>
        </w:tc>
        <w:tc>
          <w:tcPr>
            <w:tcW w:w="1414" w:type="dxa"/>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833 612</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833 612</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844 970</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11 358</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nil"/>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základný fond úrazového poistenia (ZFÚP), v tom:</w:t>
            </w:r>
          </w:p>
        </w:tc>
        <w:tc>
          <w:tcPr>
            <w:tcW w:w="1414" w:type="dxa"/>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44 024</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44 024</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44 360</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336</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nil"/>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xml:space="preserve"> - výdavky na úrazové dávky</w:t>
            </w:r>
          </w:p>
        </w:tc>
        <w:tc>
          <w:tcPr>
            <w:tcW w:w="1414" w:type="dxa"/>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41 933</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41 933</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42 269</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336</w:t>
            </w:r>
          </w:p>
        </w:tc>
      </w:tr>
      <w:tr>
        <w:tblPrEx>
          <w:tblW w:w="10210" w:type="dxa"/>
          <w:tblInd w:w="-214" w:type="dxa"/>
          <w:tblLayout w:type="fixed"/>
          <w:tblCellMar>
            <w:left w:w="70" w:type="dxa"/>
            <w:right w:w="70" w:type="dxa"/>
          </w:tblCellMar>
          <w:tblLook w:val="04A0"/>
        </w:tblPrEx>
        <w:trPr>
          <w:trHeight w:val="272"/>
        </w:trPr>
        <w:tc>
          <w:tcPr>
            <w:tcW w:w="4551" w:type="dxa"/>
            <w:tcBorders>
              <w:top w:val="nil"/>
              <w:left w:val="single" w:sz="4" w:space="0" w:color="auto"/>
              <w:bottom w:val="single" w:sz="4" w:space="0" w:color="auto"/>
              <w:right w:val="single" w:sz="4" w:space="0" w:color="auto"/>
            </w:tcBorders>
            <w:textDirection w:val="lrTb"/>
            <w:vAlign w:val="bottom"/>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xml:space="preserve"> - úhrada poistného na starobné poistenie a príspevkov na SDS za poberateľov úrazovej renty</w:t>
            </w:r>
          </w:p>
        </w:tc>
        <w:tc>
          <w:tcPr>
            <w:tcW w:w="1414" w:type="dxa"/>
            <w:tcBorders>
              <w:top w:val="nil"/>
              <w:left w:val="nil"/>
              <w:bottom w:val="single" w:sz="4" w:space="0" w:color="auto"/>
              <w:right w:val="single" w:sz="4" w:space="0" w:color="auto"/>
            </w:tcBorders>
            <w:noWrap/>
            <w:textDirection w:val="lrTb"/>
            <w:vAlign w:val="bottom"/>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2 091</w:t>
            </w:r>
          </w:p>
        </w:tc>
        <w:tc>
          <w:tcPr>
            <w:tcW w:w="1415" w:type="dxa"/>
            <w:gridSpan w:val="2"/>
            <w:tcBorders>
              <w:top w:val="nil"/>
              <w:left w:val="nil"/>
              <w:bottom w:val="single" w:sz="4" w:space="0" w:color="auto"/>
              <w:right w:val="single" w:sz="4" w:space="0" w:color="auto"/>
            </w:tcBorders>
            <w:noWrap/>
            <w:textDirection w:val="lrTb"/>
            <w:vAlign w:val="bottom"/>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2 091</w:t>
            </w:r>
          </w:p>
        </w:tc>
        <w:tc>
          <w:tcPr>
            <w:tcW w:w="1415" w:type="dxa"/>
            <w:gridSpan w:val="2"/>
            <w:tcBorders>
              <w:top w:val="nil"/>
              <w:left w:val="nil"/>
              <w:bottom w:val="single" w:sz="4" w:space="0" w:color="auto"/>
              <w:right w:val="single" w:sz="4" w:space="0" w:color="auto"/>
            </w:tcBorders>
            <w:noWrap/>
            <w:textDirection w:val="lrTb"/>
            <w:vAlign w:val="bottom"/>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2 091</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0</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nil"/>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základný fond garančného poistenia (ZFGP), v tom:</w:t>
            </w:r>
          </w:p>
        </w:tc>
        <w:tc>
          <w:tcPr>
            <w:tcW w:w="1414" w:type="dxa"/>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50 082</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50 082</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39 516</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-10 566</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nil"/>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xml:space="preserve"> - výdavky na dávku garančného poistenia </w:t>
            </w:r>
          </w:p>
        </w:tc>
        <w:tc>
          <w:tcPr>
            <w:tcW w:w="1414" w:type="dxa"/>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10 513</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10 513</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5 897</w:t>
            </w:r>
          </w:p>
        </w:tc>
        <w:tc>
          <w:tcPr>
            <w:tcW w:w="1415" w:type="dxa"/>
            <w:gridSpan w:val="2"/>
            <w:tcBorders>
              <w:top w:val="nil"/>
              <w:left w:val="nil"/>
              <w:bottom w:val="nil"/>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-4 616</w:t>
            </w:r>
          </w:p>
        </w:tc>
      </w:tr>
      <w:tr>
        <w:tblPrEx>
          <w:tblW w:w="10210" w:type="dxa"/>
          <w:tblInd w:w="-214" w:type="dxa"/>
          <w:tblLayout w:type="fixed"/>
          <w:tblCellMar>
            <w:left w:w="70" w:type="dxa"/>
            <w:right w:w="70" w:type="dxa"/>
          </w:tblCellMar>
          <w:tblLook w:val="04A0"/>
        </w:tblPrEx>
        <w:trPr>
          <w:trHeight w:val="660"/>
        </w:trPr>
        <w:tc>
          <w:tcPr>
            <w:tcW w:w="4551" w:type="dxa"/>
            <w:tcBorders>
              <w:top w:val="nil"/>
              <w:left w:val="single" w:sz="4" w:space="0" w:color="auto"/>
              <w:bottom w:val="single" w:sz="4" w:space="0" w:color="auto"/>
              <w:right w:val="single" w:sz="4" w:space="0" w:color="auto"/>
            </w:tcBorders>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 xml:space="preserve"> - úhrada príspevkov na SDS nezaplatených zamestnávateľom do základného fondu príspevkov na starobné dôchodkové sporenie</w:t>
            </w:r>
          </w:p>
        </w:tc>
        <w:tc>
          <w:tcPr>
            <w:tcW w:w="1414" w:type="dxa"/>
            <w:tcBorders>
              <w:top w:val="nil"/>
              <w:left w:val="nil"/>
              <w:bottom w:val="single" w:sz="4" w:space="0" w:color="auto"/>
              <w:right w:val="single" w:sz="4" w:space="0" w:color="auto"/>
            </w:tcBorders>
            <w:noWrap/>
            <w:textDirection w:val="lrTb"/>
            <w:vAlign w:val="bottom"/>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39 569</w:t>
            </w:r>
          </w:p>
        </w:tc>
        <w:tc>
          <w:tcPr>
            <w:tcW w:w="1415" w:type="dxa"/>
            <w:gridSpan w:val="2"/>
            <w:tcBorders>
              <w:top w:val="nil"/>
              <w:left w:val="nil"/>
              <w:bottom w:val="single" w:sz="4" w:space="0" w:color="auto"/>
              <w:right w:val="single" w:sz="4" w:space="0" w:color="auto"/>
            </w:tcBorders>
            <w:noWrap/>
            <w:textDirection w:val="lrTb"/>
            <w:vAlign w:val="bottom"/>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39 569</w:t>
            </w:r>
          </w:p>
        </w:tc>
        <w:tc>
          <w:tcPr>
            <w:tcW w:w="1415" w:type="dxa"/>
            <w:gridSpan w:val="2"/>
            <w:tcBorders>
              <w:top w:val="nil"/>
              <w:left w:val="nil"/>
              <w:bottom w:val="single" w:sz="4" w:space="0" w:color="auto"/>
              <w:right w:val="single" w:sz="4" w:space="0" w:color="auto"/>
            </w:tcBorders>
            <w:noWrap/>
            <w:textDirection w:val="lrTb"/>
            <w:vAlign w:val="bottom"/>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33 619</w:t>
            </w:r>
          </w:p>
        </w:tc>
        <w:tc>
          <w:tcPr>
            <w:tcW w:w="1415" w:type="dxa"/>
            <w:gridSpan w:val="2"/>
            <w:tcBorders>
              <w:top w:val="nil"/>
              <w:left w:val="nil"/>
              <w:bottom w:val="single" w:sz="4" w:space="0" w:color="auto"/>
              <w:right w:val="single" w:sz="4" w:space="0" w:color="auto"/>
            </w:tcBorders>
            <w:noWrap/>
            <w:textDirection w:val="lrTb"/>
            <w:vAlign w:val="bottom"/>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-5 950</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základný fond poistenia v nezamestnanosti (ZFPvN)</w:t>
            </w:r>
          </w:p>
        </w:tc>
        <w:tc>
          <w:tcPr>
            <w:tcW w:w="1414" w:type="dxa"/>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200 442</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199 953</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163 968</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-35 985</w:t>
            </w:r>
          </w:p>
        </w:tc>
      </w:tr>
      <w:tr>
        <w:tblPrEx>
          <w:tblW w:w="10210" w:type="dxa"/>
          <w:tblInd w:w="-214" w:type="dxa"/>
          <w:tblLayout w:type="fixed"/>
          <w:tblCellMar>
            <w:left w:w="70" w:type="dxa"/>
            <w:right w:w="70" w:type="dxa"/>
          </w:tblCellMar>
          <w:tblLook w:val="04A0"/>
        </w:tblPrEx>
        <w:trPr>
          <w:trHeight w:val="300"/>
        </w:trPr>
        <w:tc>
          <w:tcPr>
            <w:tcW w:w="4551" w:type="dxa"/>
            <w:tcBorders>
              <w:top w:val="nil"/>
              <w:left w:val="single" w:sz="4" w:space="0" w:color="auto"/>
              <w:bottom w:val="single" w:sz="4" w:space="0" w:color="auto"/>
              <w:right w:val="single" w:sz="4" w:space="0" w:color="auto"/>
            </w:tcBorders>
            <w:noWrap/>
            <w:textDirection w:val="lrTb"/>
            <w:vAlign w:val="center"/>
            <w:hideMark/>
          </w:tcPr>
          <w:p w:rsidR="009D0B90" w:rsidRPr="009D0B90" w:rsidP="009D0B90">
            <w:pPr>
              <w:bidi w:val="0"/>
              <w:rPr>
                <w:rFonts w:ascii="Times New Roman" w:hAnsi="Times New Roman"/>
                <w:sz w:val="22"/>
                <w:szCs w:val="22"/>
              </w:rPr>
            </w:pPr>
            <w:r w:rsidRPr="009D0B90">
              <w:rPr>
                <w:rFonts w:ascii="Times New Roman" w:hAnsi="Times New Roman"/>
                <w:sz w:val="22"/>
                <w:szCs w:val="22"/>
              </w:rPr>
              <w:t>správny fond</w:t>
            </w:r>
          </w:p>
        </w:tc>
        <w:tc>
          <w:tcPr>
            <w:tcW w:w="1414" w:type="dxa"/>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135 470</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135 470</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115 573</w:t>
            </w:r>
          </w:p>
        </w:tc>
        <w:tc>
          <w:tcPr>
            <w:tcW w:w="1415" w:type="dxa"/>
            <w:gridSpan w:val="2"/>
            <w:tcBorders>
              <w:top w:val="nil"/>
              <w:left w:val="nil"/>
              <w:bottom w:val="single" w:sz="4" w:space="0" w:color="auto"/>
              <w:right w:val="single" w:sz="4" w:space="0" w:color="auto"/>
            </w:tcBorders>
            <w:noWrap/>
            <w:textDirection w:val="lrTb"/>
            <w:vAlign w:val="center"/>
            <w:hideMark/>
          </w:tcPr>
          <w:p w:rsidR="009D0B90" w:rsidRPr="009D0B90" w:rsidP="009D0B90">
            <w:pPr>
              <w:bidi w:val="0"/>
              <w:jc w:val="right"/>
              <w:rPr>
                <w:rFonts w:ascii="Times New Roman" w:hAnsi="Times New Roman"/>
                <w:sz w:val="22"/>
                <w:szCs w:val="22"/>
              </w:rPr>
            </w:pPr>
            <w:r w:rsidRPr="009D0B90">
              <w:rPr>
                <w:rFonts w:ascii="Times New Roman" w:hAnsi="Times New Roman"/>
                <w:sz w:val="22"/>
                <w:szCs w:val="22"/>
              </w:rPr>
              <w:t>-19 897</w:t>
            </w:r>
          </w:p>
        </w:tc>
      </w:tr>
    </w:tbl>
    <w:p w:rsidR="009D0B90" w:rsidP="0061697D">
      <w:pPr>
        <w:bidi w:val="0"/>
        <w:jc w:val="both"/>
        <w:rPr>
          <w:rFonts w:ascii="Times New Roman" w:hAnsi="Times New Roman"/>
          <w:szCs w:val="24"/>
        </w:rPr>
      </w:pPr>
    </w:p>
    <w:p w:rsidR="00767BF8" w:rsidRPr="00767BF8" w:rsidP="002D37D3">
      <w:pPr>
        <w:bidi w:val="0"/>
        <w:spacing w:after="120"/>
        <w:ind w:firstLine="709"/>
        <w:jc w:val="both"/>
        <w:rPr>
          <w:rFonts w:ascii="Times New Roman" w:hAnsi="Times New Roman"/>
          <w:szCs w:val="24"/>
        </w:rPr>
      </w:pPr>
      <w:r w:rsidRPr="00767BF8">
        <w:rPr>
          <w:rFonts w:ascii="Times New Roman" w:hAnsi="Times New Roman"/>
          <w:szCs w:val="24"/>
        </w:rPr>
        <w:t xml:space="preserve">V roku 2011 sa očakávajú </w:t>
      </w:r>
      <w:r w:rsidRPr="00767BF8">
        <w:rPr>
          <w:rFonts w:ascii="Times New Roman" w:hAnsi="Times New Roman"/>
          <w:b/>
          <w:szCs w:val="24"/>
        </w:rPr>
        <w:t>celkovo</w:t>
      </w:r>
      <w:r w:rsidRPr="00767BF8">
        <w:rPr>
          <w:rFonts w:ascii="Times New Roman" w:hAnsi="Times New Roman"/>
          <w:szCs w:val="24"/>
        </w:rPr>
        <w:t xml:space="preserve"> </w:t>
      </w:r>
      <w:r w:rsidRPr="00767BF8">
        <w:rPr>
          <w:rFonts w:ascii="Times New Roman" w:hAnsi="Times New Roman"/>
          <w:b/>
          <w:szCs w:val="24"/>
        </w:rPr>
        <w:t>nižšie</w:t>
      </w:r>
      <w:r w:rsidRPr="00767BF8">
        <w:rPr>
          <w:rFonts w:ascii="Times New Roman" w:hAnsi="Times New Roman"/>
          <w:szCs w:val="24"/>
        </w:rPr>
        <w:t xml:space="preserve"> výdavky (náklady) Sociálnej poisťovne o </w:t>
      </w:r>
      <w:r w:rsidR="004463D5">
        <w:rPr>
          <w:rFonts w:ascii="Times New Roman" w:hAnsi="Times New Roman"/>
          <w:b/>
          <w:szCs w:val="24"/>
        </w:rPr>
        <w:t>103</w:t>
      </w:r>
      <w:r w:rsidRPr="00767BF8">
        <w:rPr>
          <w:rFonts w:ascii="Times New Roman" w:hAnsi="Times New Roman"/>
          <w:b/>
          <w:szCs w:val="24"/>
        </w:rPr>
        <w:t> </w:t>
      </w:r>
      <w:r w:rsidR="004463D5">
        <w:rPr>
          <w:rFonts w:ascii="Times New Roman" w:hAnsi="Times New Roman"/>
          <w:b/>
          <w:szCs w:val="24"/>
        </w:rPr>
        <w:t>28</w:t>
      </w:r>
      <w:r w:rsidR="009D0B90">
        <w:rPr>
          <w:rFonts w:ascii="Times New Roman" w:hAnsi="Times New Roman"/>
          <w:b/>
          <w:szCs w:val="24"/>
        </w:rPr>
        <w:t>2</w:t>
      </w:r>
      <w:r w:rsidRPr="00767BF8">
        <w:rPr>
          <w:rFonts w:ascii="Times New Roman" w:hAnsi="Times New Roman"/>
          <w:b/>
          <w:szCs w:val="24"/>
        </w:rPr>
        <w:t> tis. Eur</w:t>
      </w:r>
      <w:r w:rsidRPr="00767BF8">
        <w:rPr>
          <w:rFonts w:ascii="Times New Roman" w:hAnsi="Times New Roman"/>
          <w:szCs w:val="24"/>
        </w:rPr>
        <w:t>, oproti upravenému rozpočtu,  v tom:</w:t>
      </w:r>
    </w:p>
    <w:p w:rsidR="00767BF8" w:rsidRPr="00767BF8" w:rsidP="008173F1">
      <w:pPr>
        <w:pStyle w:val="BodyTextIndent2"/>
        <w:numPr>
          <w:numId w:val="6"/>
        </w:numPr>
        <w:bidi w:val="0"/>
        <w:spacing w:line="240" w:lineRule="auto"/>
        <w:ind w:left="714" w:hanging="714"/>
        <w:jc w:val="both"/>
        <w:rPr>
          <w:rFonts w:ascii="Times New Roman" w:hAnsi="Times New Roman"/>
          <w:szCs w:val="24"/>
        </w:rPr>
      </w:pPr>
      <w:r w:rsidRPr="00767BF8">
        <w:rPr>
          <w:rFonts w:ascii="Times New Roman" w:hAnsi="Times New Roman"/>
          <w:b/>
          <w:szCs w:val="24"/>
        </w:rPr>
        <w:t>v ZFNP vyššie o </w:t>
      </w:r>
      <w:r w:rsidR="004463D5">
        <w:rPr>
          <w:rFonts w:ascii="Times New Roman" w:hAnsi="Times New Roman"/>
          <w:b/>
          <w:szCs w:val="24"/>
        </w:rPr>
        <w:t>4</w:t>
      </w:r>
      <w:r w:rsidRPr="00767BF8">
        <w:rPr>
          <w:rFonts w:ascii="Times New Roman" w:hAnsi="Times New Roman"/>
          <w:b/>
          <w:szCs w:val="24"/>
        </w:rPr>
        <w:t>3 </w:t>
      </w:r>
      <w:r w:rsidR="004463D5">
        <w:rPr>
          <w:rFonts w:ascii="Times New Roman" w:hAnsi="Times New Roman"/>
          <w:b/>
          <w:szCs w:val="24"/>
        </w:rPr>
        <w:t>00</w:t>
      </w:r>
      <w:r w:rsidR="009D0B90">
        <w:rPr>
          <w:rFonts w:ascii="Times New Roman" w:hAnsi="Times New Roman"/>
          <w:b/>
          <w:szCs w:val="24"/>
        </w:rPr>
        <w:t>2</w:t>
      </w:r>
      <w:r w:rsidRPr="00767BF8">
        <w:rPr>
          <w:rFonts w:ascii="Times New Roman" w:hAnsi="Times New Roman"/>
          <w:b/>
          <w:szCs w:val="24"/>
        </w:rPr>
        <w:t> tis. Eur</w:t>
      </w:r>
      <w:r w:rsidRPr="00767BF8">
        <w:rPr>
          <w:rFonts w:ascii="Times New Roman" w:hAnsi="Times New Roman"/>
          <w:szCs w:val="24"/>
        </w:rPr>
        <w:t>. Pri prepočte bol zohľadnený očakávaný vývoj ukazovateľov ovplyvňujúcich výšku výdavkov na nemocenské dávky:</w:t>
      </w:r>
    </w:p>
    <w:tbl>
      <w:tblPr>
        <w:tblStyle w:val="TableNormal"/>
        <w:tblW w:w="7148" w:type="dxa"/>
        <w:tblInd w:w="779" w:type="dxa"/>
        <w:tblCellMar>
          <w:left w:w="70" w:type="dxa"/>
          <w:right w:w="70" w:type="dxa"/>
        </w:tblCellMar>
        <w:tblLook w:val="04A0"/>
      </w:tblPr>
      <w:tblGrid>
        <w:gridCol w:w="2268"/>
        <w:gridCol w:w="2440"/>
        <w:gridCol w:w="2440"/>
      </w:tblGrid>
      <w:tr>
        <w:tblPrEx>
          <w:tblW w:w="7148" w:type="dxa"/>
          <w:tblInd w:w="779" w:type="dxa"/>
          <w:tblCellMar>
            <w:left w:w="70" w:type="dxa"/>
            <w:right w:w="70" w:type="dxa"/>
          </w:tblCellMar>
          <w:tblLook w:val="04A0"/>
        </w:tblPrEx>
        <w:trPr>
          <w:trHeight w:val="555"/>
        </w:trPr>
        <w:tc>
          <w:tcPr>
            <w:tcW w:w="2268" w:type="dxa"/>
            <w:tcBorders>
              <w:top w:val="single" w:sz="4" w:space="0" w:color="auto"/>
              <w:left w:val="single" w:sz="4" w:space="0" w:color="auto"/>
              <w:bottom w:val="single" w:sz="4" w:space="0" w:color="auto"/>
              <w:right w:val="single" w:sz="4" w:space="0" w:color="auto"/>
            </w:tcBorders>
            <w:noWrap/>
            <w:textDirection w:val="lrTb"/>
            <w:vAlign w:val="bottom"/>
            <w:hideMark/>
          </w:tcPr>
          <w:p w:rsidR="00767BF8" w:rsidRPr="00E208DC" w:rsidP="003E3545">
            <w:pPr>
              <w:bidi w:val="0"/>
              <w:jc w:val="center"/>
              <w:rPr>
                <w:rFonts w:ascii="Times New Roman" w:hAnsi="Times New Roman"/>
                <w:sz w:val="22"/>
                <w:szCs w:val="22"/>
              </w:rPr>
            </w:pPr>
            <w:r w:rsidRPr="00E208DC">
              <w:rPr>
                <w:rFonts w:ascii="Times New Roman" w:hAnsi="Times New Roman"/>
                <w:sz w:val="22"/>
                <w:szCs w:val="22"/>
              </w:rPr>
              <w:t>Dávka</w:t>
            </w:r>
          </w:p>
        </w:tc>
        <w:tc>
          <w:tcPr>
            <w:tcW w:w="2440" w:type="dxa"/>
            <w:tcBorders>
              <w:top w:val="single" w:sz="4" w:space="0" w:color="auto"/>
              <w:left w:val="nil"/>
              <w:bottom w:val="single" w:sz="4" w:space="0" w:color="auto"/>
              <w:right w:val="single" w:sz="4" w:space="0" w:color="auto"/>
            </w:tcBorders>
            <w:textDirection w:val="lrTb"/>
            <w:vAlign w:val="bottom"/>
            <w:hideMark/>
          </w:tcPr>
          <w:p w:rsidR="00767BF8" w:rsidRPr="00E208DC" w:rsidP="003E3545">
            <w:pPr>
              <w:bidi w:val="0"/>
              <w:jc w:val="center"/>
              <w:rPr>
                <w:rFonts w:ascii="Times New Roman" w:hAnsi="Times New Roman"/>
                <w:sz w:val="22"/>
                <w:szCs w:val="22"/>
              </w:rPr>
            </w:pPr>
            <w:r w:rsidRPr="00E208DC">
              <w:rPr>
                <w:rFonts w:ascii="Times New Roman" w:hAnsi="Times New Roman"/>
                <w:sz w:val="22"/>
                <w:szCs w:val="22"/>
              </w:rPr>
              <w:t>Priemerná mesačná výška dávky v Eur</w:t>
            </w:r>
          </w:p>
        </w:tc>
        <w:tc>
          <w:tcPr>
            <w:tcW w:w="2440" w:type="dxa"/>
            <w:tcBorders>
              <w:top w:val="single" w:sz="4" w:space="0" w:color="auto"/>
              <w:left w:val="nil"/>
              <w:bottom w:val="single" w:sz="4" w:space="0" w:color="auto"/>
              <w:right w:val="single" w:sz="4" w:space="0" w:color="auto"/>
            </w:tcBorders>
            <w:textDirection w:val="lrTb"/>
            <w:vAlign w:val="bottom"/>
            <w:hideMark/>
          </w:tcPr>
          <w:p w:rsidR="00767BF8" w:rsidRPr="00E208DC" w:rsidP="003E3545">
            <w:pPr>
              <w:bidi w:val="0"/>
              <w:jc w:val="center"/>
              <w:rPr>
                <w:rFonts w:ascii="Times New Roman" w:hAnsi="Times New Roman"/>
                <w:sz w:val="22"/>
                <w:szCs w:val="22"/>
              </w:rPr>
            </w:pPr>
            <w:r w:rsidRPr="00E208DC">
              <w:rPr>
                <w:rFonts w:ascii="Times New Roman" w:hAnsi="Times New Roman"/>
                <w:sz w:val="22"/>
                <w:szCs w:val="22"/>
              </w:rPr>
              <w:t>Priemerný mesačný počet poberateľov dávky</w:t>
            </w:r>
          </w:p>
        </w:tc>
      </w:tr>
      <w:tr>
        <w:tblPrEx>
          <w:tblW w:w="7148" w:type="dxa"/>
          <w:tblInd w:w="779" w:type="dxa"/>
          <w:tblCellMar>
            <w:left w:w="70" w:type="dxa"/>
            <w:right w:w="70" w:type="dxa"/>
          </w:tblCellMar>
          <w:tblLook w:val="04A0"/>
        </w:tblPrEx>
        <w:trPr>
          <w:trHeight w:val="232"/>
        </w:trPr>
        <w:tc>
          <w:tcPr>
            <w:tcW w:w="2268" w:type="dxa"/>
            <w:tcBorders>
              <w:top w:val="nil"/>
              <w:left w:val="single" w:sz="4" w:space="0" w:color="auto"/>
              <w:bottom w:val="single" w:sz="4" w:space="0" w:color="auto"/>
              <w:right w:val="single" w:sz="4" w:space="0" w:color="auto"/>
            </w:tcBorders>
            <w:noWrap/>
            <w:textDirection w:val="lrTb"/>
            <w:vAlign w:val="bottom"/>
            <w:hideMark/>
          </w:tcPr>
          <w:p w:rsidR="00767BF8" w:rsidRPr="00E208DC" w:rsidP="003E3545">
            <w:pPr>
              <w:bidi w:val="0"/>
              <w:rPr>
                <w:rFonts w:ascii="Times New Roman" w:hAnsi="Times New Roman"/>
                <w:sz w:val="22"/>
                <w:szCs w:val="22"/>
              </w:rPr>
            </w:pPr>
            <w:r w:rsidRPr="00E208DC">
              <w:rPr>
                <w:rFonts w:ascii="Times New Roman" w:hAnsi="Times New Roman"/>
                <w:sz w:val="22"/>
                <w:szCs w:val="22"/>
              </w:rPr>
              <w:t>Nemocenské</w:t>
            </w:r>
          </w:p>
        </w:tc>
        <w:tc>
          <w:tcPr>
            <w:tcW w:w="2440" w:type="dxa"/>
            <w:tcBorders>
              <w:top w:val="nil"/>
              <w:left w:val="nil"/>
              <w:bottom w:val="single" w:sz="4" w:space="0" w:color="auto"/>
              <w:right w:val="single" w:sz="4" w:space="0" w:color="auto"/>
            </w:tcBorders>
            <w:noWrap/>
            <w:textDirection w:val="lrTb"/>
            <w:vAlign w:val="bottom"/>
            <w:hideMark/>
          </w:tcPr>
          <w:p w:rsidR="00767BF8" w:rsidRPr="00E208DC" w:rsidP="001B1A49">
            <w:pPr>
              <w:bidi w:val="0"/>
              <w:jc w:val="right"/>
              <w:rPr>
                <w:rFonts w:ascii="Times New Roman" w:hAnsi="Times New Roman"/>
                <w:sz w:val="22"/>
                <w:szCs w:val="22"/>
              </w:rPr>
            </w:pPr>
            <w:r w:rsidRPr="00E208DC">
              <w:rPr>
                <w:rFonts w:ascii="Times New Roman" w:hAnsi="Times New Roman"/>
                <w:sz w:val="22"/>
                <w:szCs w:val="22"/>
              </w:rPr>
              <w:t>20</w:t>
            </w:r>
            <w:r w:rsidR="001B1A49">
              <w:rPr>
                <w:rFonts w:ascii="Times New Roman" w:hAnsi="Times New Roman"/>
                <w:sz w:val="22"/>
                <w:szCs w:val="22"/>
              </w:rPr>
              <w:t>7</w:t>
            </w:r>
          </w:p>
        </w:tc>
        <w:tc>
          <w:tcPr>
            <w:tcW w:w="2440" w:type="dxa"/>
            <w:tcBorders>
              <w:top w:val="nil"/>
              <w:left w:val="nil"/>
              <w:bottom w:val="single" w:sz="4" w:space="0" w:color="auto"/>
              <w:right w:val="single" w:sz="4" w:space="0" w:color="auto"/>
            </w:tcBorders>
            <w:noWrap/>
            <w:textDirection w:val="lrTb"/>
            <w:vAlign w:val="bottom"/>
            <w:hideMark/>
          </w:tcPr>
          <w:p w:rsidR="00767BF8" w:rsidRPr="00E208DC" w:rsidP="003E3545">
            <w:pPr>
              <w:bidi w:val="0"/>
              <w:jc w:val="right"/>
              <w:rPr>
                <w:rFonts w:ascii="Times New Roman" w:hAnsi="Times New Roman"/>
                <w:sz w:val="22"/>
                <w:szCs w:val="22"/>
              </w:rPr>
            </w:pPr>
            <w:r w:rsidR="001B1A49">
              <w:rPr>
                <w:rFonts w:ascii="Times New Roman" w:hAnsi="Times New Roman"/>
                <w:sz w:val="22"/>
                <w:szCs w:val="22"/>
              </w:rPr>
              <w:t>111 450</w:t>
            </w:r>
          </w:p>
        </w:tc>
      </w:tr>
      <w:tr>
        <w:tblPrEx>
          <w:tblW w:w="7148" w:type="dxa"/>
          <w:tblInd w:w="779" w:type="dxa"/>
          <w:tblCellMar>
            <w:left w:w="70" w:type="dxa"/>
            <w:right w:w="70" w:type="dxa"/>
          </w:tblCellMar>
          <w:tblLook w:val="04A0"/>
        </w:tblPrEx>
        <w:trPr>
          <w:trHeight w:val="124"/>
        </w:trPr>
        <w:tc>
          <w:tcPr>
            <w:tcW w:w="2268" w:type="dxa"/>
            <w:tcBorders>
              <w:top w:val="nil"/>
              <w:left w:val="single" w:sz="4" w:space="0" w:color="auto"/>
              <w:bottom w:val="single" w:sz="4" w:space="0" w:color="auto"/>
              <w:right w:val="single" w:sz="4" w:space="0" w:color="auto"/>
            </w:tcBorders>
            <w:noWrap/>
            <w:textDirection w:val="lrTb"/>
            <w:vAlign w:val="bottom"/>
            <w:hideMark/>
          </w:tcPr>
          <w:p w:rsidR="00767BF8" w:rsidRPr="00E208DC" w:rsidP="003E3545">
            <w:pPr>
              <w:bidi w:val="0"/>
              <w:rPr>
                <w:rFonts w:ascii="Times New Roman" w:hAnsi="Times New Roman"/>
                <w:sz w:val="22"/>
                <w:szCs w:val="22"/>
              </w:rPr>
            </w:pPr>
            <w:r w:rsidRPr="00E208DC">
              <w:rPr>
                <w:rFonts w:ascii="Times New Roman" w:hAnsi="Times New Roman"/>
                <w:sz w:val="22"/>
                <w:szCs w:val="22"/>
              </w:rPr>
              <w:t xml:space="preserve">Ošetrovné </w:t>
            </w:r>
          </w:p>
        </w:tc>
        <w:tc>
          <w:tcPr>
            <w:tcW w:w="2440" w:type="dxa"/>
            <w:tcBorders>
              <w:top w:val="nil"/>
              <w:left w:val="nil"/>
              <w:bottom w:val="single" w:sz="4" w:space="0" w:color="auto"/>
              <w:right w:val="single" w:sz="4" w:space="0" w:color="auto"/>
            </w:tcBorders>
            <w:noWrap/>
            <w:textDirection w:val="lrTb"/>
            <w:vAlign w:val="bottom"/>
            <w:hideMark/>
          </w:tcPr>
          <w:p w:rsidR="00767BF8" w:rsidRPr="00E208DC" w:rsidP="003E3545">
            <w:pPr>
              <w:bidi w:val="0"/>
              <w:jc w:val="right"/>
              <w:rPr>
                <w:rFonts w:ascii="Times New Roman" w:hAnsi="Times New Roman"/>
                <w:sz w:val="22"/>
                <w:szCs w:val="22"/>
              </w:rPr>
            </w:pPr>
            <w:r w:rsidRPr="00E208DC">
              <w:rPr>
                <w:rFonts w:ascii="Times New Roman" w:hAnsi="Times New Roman"/>
                <w:sz w:val="22"/>
                <w:szCs w:val="22"/>
              </w:rPr>
              <w:t>7</w:t>
            </w:r>
            <w:r w:rsidR="001B1A49">
              <w:rPr>
                <w:rFonts w:ascii="Times New Roman" w:hAnsi="Times New Roman"/>
                <w:sz w:val="22"/>
                <w:szCs w:val="22"/>
              </w:rPr>
              <w:t>4</w:t>
            </w:r>
          </w:p>
        </w:tc>
        <w:tc>
          <w:tcPr>
            <w:tcW w:w="2440" w:type="dxa"/>
            <w:tcBorders>
              <w:top w:val="nil"/>
              <w:left w:val="nil"/>
              <w:bottom w:val="single" w:sz="4" w:space="0" w:color="auto"/>
              <w:right w:val="single" w:sz="4" w:space="0" w:color="auto"/>
            </w:tcBorders>
            <w:noWrap/>
            <w:textDirection w:val="lrTb"/>
            <w:vAlign w:val="bottom"/>
            <w:hideMark/>
          </w:tcPr>
          <w:p w:rsidR="00767BF8" w:rsidRPr="00E208DC" w:rsidP="003E3545">
            <w:pPr>
              <w:bidi w:val="0"/>
              <w:jc w:val="right"/>
              <w:rPr>
                <w:rFonts w:ascii="Times New Roman" w:hAnsi="Times New Roman"/>
                <w:sz w:val="22"/>
                <w:szCs w:val="22"/>
              </w:rPr>
            </w:pPr>
            <w:r w:rsidR="001B1A49">
              <w:rPr>
                <w:rFonts w:ascii="Times New Roman" w:hAnsi="Times New Roman"/>
                <w:sz w:val="22"/>
                <w:szCs w:val="22"/>
              </w:rPr>
              <w:t>12 400</w:t>
            </w:r>
          </w:p>
        </w:tc>
      </w:tr>
      <w:tr>
        <w:tblPrEx>
          <w:tblW w:w="7148" w:type="dxa"/>
          <w:tblInd w:w="779" w:type="dxa"/>
          <w:tblCellMar>
            <w:left w:w="70" w:type="dxa"/>
            <w:right w:w="70" w:type="dxa"/>
          </w:tblCellMar>
          <w:tblLook w:val="04A0"/>
        </w:tblPrEx>
        <w:trPr>
          <w:trHeight w:val="171"/>
        </w:trPr>
        <w:tc>
          <w:tcPr>
            <w:tcW w:w="2268" w:type="dxa"/>
            <w:tcBorders>
              <w:top w:val="nil"/>
              <w:left w:val="single" w:sz="4" w:space="0" w:color="auto"/>
              <w:bottom w:val="single" w:sz="4" w:space="0" w:color="auto"/>
              <w:right w:val="single" w:sz="4" w:space="0" w:color="auto"/>
            </w:tcBorders>
            <w:noWrap/>
            <w:textDirection w:val="lrTb"/>
            <w:vAlign w:val="bottom"/>
            <w:hideMark/>
          </w:tcPr>
          <w:p w:rsidR="00767BF8" w:rsidRPr="00E208DC" w:rsidP="003E3545">
            <w:pPr>
              <w:bidi w:val="0"/>
              <w:rPr>
                <w:rFonts w:ascii="Times New Roman" w:hAnsi="Times New Roman"/>
                <w:sz w:val="22"/>
                <w:szCs w:val="22"/>
              </w:rPr>
            </w:pPr>
            <w:r w:rsidRPr="00E208DC">
              <w:rPr>
                <w:rFonts w:ascii="Times New Roman" w:hAnsi="Times New Roman"/>
                <w:sz w:val="22"/>
                <w:szCs w:val="22"/>
              </w:rPr>
              <w:t>Vyrovnávacia dávka</w:t>
            </w:r>
          </w:p>
        </w:tc>
        <w:tc>
          <w:tcPr>
            <w:tcW w:w="2440" w:type="dxa"/>
            <w:tcBorders>
              <w:top w:val="nil"/>
              <w:left w:val="nil"/>
              <w:bottom w:val="single" w:sz="4" w:space="0" w:color="auto"/>
              <w:right w:val="single" w:sz="4" w:space="0" w:color="auto"/>
            </w:tcBorders>
            <w:noWrap/>
            <w:textDirection w:val="lrTb"/>
            <w:vAlign w:val="bottom"/>
            <w:hideMark/>
          </w:tcPr>
          <w:p w:rsidR="00767BF8" w:rsidRPr="00E208DC" w:rsidP="003E3545">
            <w:pPr>
              <w:bidi w:val="0"/>
              <w:jc w:val="right"/>
              <w:rPr>
                <w:rFonts w:ascii="Times New Roman" w:hAnsi="Times New Roman"/>
                <w:sz w:val="22"/>
                <w:szCs w:val="22"/>
              </w:rPr>
            </w:pPr>
            <w:r w:rsidR="001B1A49">
              <w:rPr>
                <w:rFonts w:ascii="Times New Roman" w:hAnsi="Times New Roman"/>
                <w:sz w:val="22"/>
                <w:szCs w:val="22"/>
              </w:rPr>
              <w:t>5</w:t>
            </w:r>
            <w:r w:rsidRPr="00E208DC">
              <w:rPr>
                <w:rFonts w:ascii="Times New Roman" w:hAnsi="Times New Roman"/>
                <w:sz w:val="22"/>
                <w:szCs w:val="22"/>
              </w:rPr>
              <w:t>1</w:t>
            </w:r>
          </w:p>
        </w:tc>
        <w:tc>
          <w:tcPr>
            <w:tcW w:w="2440" w:type="dxa"/>
            <w:tcBorders>
              <w:top w:val="nil"/>
              <w:left w:val="nil"/>
              <w:bottom w:val="single" w:sz="4" w:space="0" w:color="auto"/>
              <w:right w:val="single" w:sz="4" w:space="0" w:color="auto"/>
            </w:tcBorders>
            <w:noWrap/>
            <w:textDirection w:val="lrTb"/>
            <w:vAlign w:val="bottom"/>
            <w:hideMark/>
          </w:tcPr>
          <w:p w:rsidR="00767BF8" w:rsidRPr="00E208DC" w:rsidP="003E3545">
            <w:pPr>
              <w:bidi w:val="0"/>
              <w:jc w:val="right"/>
              <w:rPr>
                <w:rFonts w:ascii="Times New Roman" w:hAnsi="Times New Roman"/>
                <w:sz w:val="22"/>
                <w:szCs w:val="22"/>
              </w:rPr>
            </w:pPr>
            <w:r w:rsidR="001B1A49">
              <w:rPr>
                <w:rFonts w:ascii="Times New Roman" w:hAnsi="Times New Roman"/>
                <w:sz w:val="22"/>
                <w:szCs w:val="22"/>
              </w:rPr>
              <w:t>98</w:t>
            </w:r>
          </w:p>
        </w:tc>
      </w:tr>
      <w:tr>
        <w:tblPrEx>
          <w:tblW w:w="7148" w:type="dxa"/>
          <w:tblInd w:w="779" w:type="dxa"/>
          <w:tblCellMar>
            <w:left w:w="70" w:type="dxa"/>
            <w:right w:w="70" w:type="dxa"/>
          </w:tblCellMar>
          <w:tblLook w:val="04A0"/>
        </w:tblPrEx>
        <w:trPr>
          <w:trHeight w:val="206"/>
        </w:trPr>
        <w:tc>
          <w:tcPr>
            <w:tcW w:w="2268" w:type="dxa"/>
            <w:tcBorders>
              <w:top w:val="nil"/>
              <w:left w:val="single" w:sz="4" w:space="0" w:color="auto"/>
              <w:bottom w:val="single" w:sz="4" w:space="0" w:color="auto"/>
              <w:right w:val="single" w:sz="4" w:space="0" w:color="auto"/>
            </w:tcBorders>
            <w:noWrap/>
            <w:textDirection w:val="lrTb"/>
            <w:vAlign w:val="bottom"/>
            <w:hideMark/>
          </w:tcPr>
          <w:p w:rsidR="00767BF8" w:rsidRPr="00E208DC" w:rsidP="003E3545">
            <w:pPr>
              <w:bidi w:val="0"/>
              <w:rPr>
                <w:rFonts w:ascii="Times New Roman" w:hAnsi="Times New Roman"/>
                <w:sz w:val="22"/>
                <w:szCs w:val="22"/>
              </w:rPr>
            </w:pPr>
            <w:r w:rsidRPr="00E208DC">
              <w:rPr>
                <w:rFonts w:ascii="Times New Roman" w:hAnsi="Times New Roman"/>
                <w:sz w:val="22"/>
                <w:szCs w:val="22"/>
              </w:rPr>
              <w:t>Materské</w:t>
            </w:r>
          </w:p>
        </w:tc>
        <w:tc>
          <w:tcPr>
            <w:tcW w:w="2440" w:type="dxa"/>
            <w:tcBorders>
              <w:top w:val="nil"/>
              <w:left w:val="nil"/>
              <w:bottom w:val="single" w:sz="4" w:space="0" w:color="auto"/>
              <w:right w:val="single" w:sz="4" w:space="0" w:color="auto"/>
            </w:tcBorders>
            <w:noWrap/>
            <w:textDirection w:val="lrTb"/>
            <w:vAlign w:val="bottom"/>
            <w:hideMark/>
          </w:tcPr>
          <w:p w:rsidR="00767BF8" w:rsidRPr="00E208DC" w:rsidP="003E3545">
            <w:pPr>
              <w:bidi w:val="0"/>
              <w:jc w:val="right"/>
              <w:rPr>
                <w:rFonts w:ascii="Times New Roman" w:hAnsi="Times New Roman"/>
                <w:sz w:val="22"/>
                <w:szCs w:val="22"/>
              </w:rPr>
            </w:pPr>
            <w:r w:rsidRPr="00E208DC">
              <w:rPr>
                <w:rFonts w:ascii="Times New Roman" w:hAnsi="Times New Roman"/>
                <w:sz w:val="22"/>
                <w:szCs w:val="22"/>
              </w:rPr>
              <w:t>379</w:t>
            </w:r>
          </w:p>
        </w:tc>
        <w:tc>
          <w:tcPr>
            <w:tcW w:w="2440" w:type="dxa"/>
            <w:tcBorders>
              <w:top w:val="nil"/>
              <w:left w:val="nil"/>
              <w:bottom w:val="single" w:sz="4" w:space="0" w:color="auto"/>
              <w:right w:val="single" w:sz="4" w:space="0" w:color="auto"/>
            </w:tcBorders>
            <w:noWrap/>
            <w:textDirection w:val="lrTb"/>
            <w:vAlign w:val="bottom"/>
            <w:hideMark/>
          </w:tcPr>
          <w:p w:rsidR="00767BF8" w:rsidRPr="00E208DC" w:rsidP="001B1A49">
            <w:pPr>
              <w:bidi w:val="0"/>
              <w:jc w:val="right"/>
              <w:rPr>
                <w:rFonts w:ascii="Times New Roman" w:hAnsi="Times New Roman"/>
                <w:sz w:val="22"/>
                <w:szCs w:val="22"/>
              </w:rPr>
            </w:pPr>
            <w:r w:rsidRPr="00E208DC">
              <w:rPr>
                <w:rFonts w:ascii="Times New Roman" w:hAnsi="Times New Roman"/>
                <w:sz w:val="22"/>
                <w:szCs w:val="22"/>
              </w:rPr>
              <w:t xml:space="preserve">22 </w:t>
            </w:r>
            <w:r w:rsidR="001B1A49">
              <w:rPr>
                <w:rFonts w:ascii="Times New Roman" w:hAnsi="Times New Roman"/>
                <w:sz w:val="22"/>
                <w:szCs w:val="22"/>
              </w:rPr>
              <w:t>8</w:t>
            </w:r>
            <w:r w:rsidRPr="00E208DC">
              <w:rPr>
                <w:rFonts w:ascii="Times New Roman" w:hAnsi="Times New Roman"/>
                <w:sz w:val="22"/>
                <w:szCs w:val="22"/>
              </w:rPr>
              <w:t>00</w:t>
            </w:r>
          </w:p>
        </w:tc>
      </w:tr>
    </w:tbl>
    <w:p w:rsidR="00767BF8" w:rsidRPr="001B1A49" w:rsidP="00767BF8">
      <w:pPr>
        <w:bidi w:val="0"/>
        <w:jc w:val="both"/>
        <w:rPr>
          <w:rFonts w:ascii="Times New Roman" w:hAnsi="Times New Roman"/>
          <w:szCs w:val="24"/>
        </w:rPr>
      </w:pPr>
    </w:p>
    <w:p w:rsidR="00767BF8" w:rsidRPr="001B1A49" w:rsidP="008173F1">
      <w:pPr>
        <w:numPr>
          <w:numId w:val="6"/>
        </w:numPr>
        <w:bidi w:val="0"/>
        <w:ind w:hanging="720"/>
        <w:jc w:val="both"/>
        <w:rPr>
          <w:rFonts w:ascii="Times New Roman" w:hAnsi="Times New Roman"/>
          <w:szCs w:val="24"/>
        </w:rPr>
      </w:pPr>
      <w:r w:rsidRPr="001B1A49" w:rsidR="001B1A49">
        <w:rPr>
          <w:rFonts w:ascii="Times New Roman" w:hAnsi="Times New Roman"/>
          <w:b/>
          <w:szCs w:val="24"/>
        </w:rPr>
        <w:t>v ZFSP nižšie o </w:t>
      </w:r>
      <w:r w:rsidR="001B1A49">
        <w:rPr>
          <w:rFonts w:ascii="Times New Roman" w:hAnsi="Times New Roman"/>
          <w:b/>
          <w:szCs w:val="24"/>
        </w:rPr>
        <w:t>91</w:t>
      </w:r>
      <w:r w:rsidRPr="001B1A49" w:rsidR="001B1A49">
        <w:rPr>
          <w:rFonts w:ascii="Times New Roman" w:hAnsi="Times New Roman"/>
          <w:b/>
          <w:szCs w:val="24"/>
        </w:rPr>
        <w:t> </w:t>
      </w:r>
      <w:r w:rsidR="001B1A49">
        <w:rPr>
          <w:rFonts w:ascii="Times New Roman" w:hAnsi="Times New Roman"/>
          <w:b/>
          <w:szCs w:val="24"/>
        </w:rPr>
        <w:t>530</w:t>
      </w:r>
      <w:r w:rsidRPr="001B1A49" w:rsidR="001B1A49">
        <w:rPr>
          <w:rFonts w:ascii="Times New Roman" w:hAnsi="Times New Roman"/>
          <w:b/>
          <w:szCs w:val="24"/>
        </w:rPr>
        <w:t> tis. Eur</w:t>
      </w:r>
      <w:r w:rsidRPr="001B1A49" w:rsidR="001B1A49">
        <w:rPr>
          <w:rFonts w:ascii="Times New Roman" w:hAnsi="Times New Roman"/>
          <w:szCs w:val="24"/>
        </w:rPr>
        <w:t xml:space="preserve">, </w:t>
      </w:r>
      <w:r w:rsidRPr="001B1A49" w:rsidR="001B1A49">
        <w:rPr>
          <w:rFonts w:ascii="Times New Roman" w:hAnsi="Times New Roman"/>
        </w:rPr>
        <w:t>najmä z dôvodu nižšieho počtu priznaných predčasných starobných dôchodkov  na základe zmeny podmienok nároku na výplatu predčasného starobného dôchodku (zárobok alebo dôchodok),</w:t>
      </w:r>
    </w:p>
    <w:p w:rsidR="00767BF8" w:rsidRPr="00767BF8" w:rsidP="008173F1">
      <w:pPr>
        <w:numPr>
          <w:numId w:val="6"/>
        </w:numPr>
        <w:bidi w:val="0"/>
        <w:ind w:hanging="720"/>
        <w:jc w:val="both"/>
        <w:rPr>
          <w:rFonts w:ascii="Times New Roman" w:hAnsi="Times New Roman"/>
          <w:szCs w:val="24"/>
        </w:rPr>
      </w:pPr>
      <w:r w:rsidRPr="00767BF8">
        <w:rPr>
          <w:rFonts w:ascii="Times New Roman" w:hAnsi="Times New Roman"/>
          <w:b/>
          <w:szCs w:val="24"/>
        </w:rPr>
        <w:t>v ZFIP vyššie o </w:t>
      </w:r>
      <w:r w:rsidR="001B1A49">
        <w:rPr>
          <w:rFonts w:ascii="Times New Roman" w:hAnsi="Times New Roman"/>
          <w:b/>
          <w:szCs w:val="24"/>
        </w:rPr>
        <w:t>11</w:t>
      </w:r>
      <w:r w:rsidRPr="00767BF8">
        <w:rPr>
          <w:rFonts w:ascii="Times New Roman" w:hAnsi="Times New Roman"/>
          <w:b/>
          <w:szCs w:val="24"/>
        </w:rPr>
        <w:t> </w:t>
      </w:r>
      <w:r w:rsidR="001B1A49">
        <w:rPr>
          <w:rFonts w:ascii="Times New Roman" w:hAnsi="Times New Roman"/>
          <w:b/>
          <w:szCs w:val="24"/>
        </w:rPr>
        <w:t>358</w:t>
      </w:r>
      <w:r w:rsidRPr="00767BF8">
        <w:rPr>
          <w:rFonts w:ascii="Times New Roman" w:hAnsi="Times New Roman"/>
          <w:b/>
          <w:szCs w:val="24"/>
        </w:rPr>
        <w:t> tis. Eur</w:t>
      </w:r>
      <w:r w:rsidRPr="00767BF8">
        <w:rPr>
          <w:rFonts w:ascii="Times New Roman" w:hAnsi="Times New Roman"/>
          <w:szCs w:val="24"/>
        </w:rPr>
        <w:t>,</w:t>
      </w:r>
    </w:p>
    <w:p w:rsidR="00767BF8" w:rsidRPr="00767BF8" w:rsidP="008173F1">
      <w:pPr>
        <w:numPr>
          <w:numId w:val="6"/>
        </w:numPr>
        <w:bidi w:val="0"/>
        <w:ind w:hanging="720"/>
        <w:jc w:val="both"/>
        <w:rPr>
          <w:rFonts w:ascii="Times New Roman" w:hAnsi="Times New Roman"/>
          <w:szCs w:val="24"/>
        </w:rPr>
      </w:pPr>
      <w:r w:rsidRPr="00767BF8">
        <w:rPr>
          <w:rFonts w:ascii="Times New Roman" w:hAnsi="Times New Roman"/>
          <w:b/>
          <w:szCs w:val="24"/>
        </w:rPr>
        <w:t>v ZFÚP vyššie o </w:t>
      </w:r>
      <w:r w:rsidR="001B1A49">
        <w:rPr>
          <w:rFonts w:ascii="Times New Roman" w:hAnsi="Times New Roman"/>
          <w:b/>
          <w:szCs w:val="24"/>
        </w:rPr>
        <w:t>336</w:t>
      </w:r>
      <w:r w:rsidRPr="00767BF8">
        <w:rPr>
          <w:rFonts w:ascii="Times New Roman" w:hAnsi="Times New Roman"/>
          <w:b/>
          <w:szCs w:val="24"/>
        </w:rPr>
        <w:t xml:space="preserve"> tis. Eur</w:t>
      </w:r>
      <w:r w:rsidRPr="00767BF8">
        <w:rPr>
          <w:rFonts w:ascii="Times New Roman" w:hAnsi="Times New Roman"/>
          <w:szCs w:val="24"/>
        </w:rPr>
        <w:t xml:space="preserve">, </w:t>
      </w:r>
    </w:p>
    <w:p w:rsidR="00767BF8" w:rsidRPr="00767BF8" w:rsidP="008173F1">
      <w:pPr>
        <w:numPr>
          <w:numId w:val="6"/>
        </w:numPr>
        <w:bidi w:val="0"/>
        <w:ind w:hanging="720"/>
        <w:jc w:val="both"/>
        <w:rPr>
          <w:rFonts w:ascii="Times New Roman" w:hAnsi="Times New Roman"/>
          <w:szCs w:val="24"/>
        </w:rPr>
      </w:pPr>
      <w:r w:rsidRPr="00767BF8">
        <w:rPr>
          <w:rFonts w:ascii="Times New Roman" w:hAnsi="Times New Roman"/>
          <w:b/>
          <w:szCs w:val="24"/>
        </w:rPr>
        <w:t>v ZFGP nižšie o 1</w:t>
      </w:r>
      <w:r w:rsidR="001B1A49">
        <w:rPr>
          <w:rFonts w:ascii="Times New Roman" w:hAnsi="Times New Roman"/>
          <w:b/>
          <w:szCs w:val="24"/>
        </w:rPr>
        <w:t>0</w:t>
      </w:r>
      <w:r w:rsidRPr="00767BF8">
        <w:rPr>
          <w:rFonts w:ascii="Times New Roman" w:hAnsi="Times New Roman"/>
          <w:b/>
          <w:szCs w:val="24"/>
        </w:rPr>
        <w:t> </w:t>
      </w:r>
      <w:r w:rsidR="001B1A49">
        <w:rPr>
          <w:rFonts w:ascii="Times New Roman" w:hAnsi="Times New Roman"/>
          <w:b/>
          <w:szCs w:val="24"/>
        </w:rPr>
        <w:t>566</w:t>
      </w:r>
      <w:r w:rsidRPr="00767BF8">
        <w:rPr>
          <w:rFonts w:ascii="Times New Roman" w:hAnsi="Times New Roman"/>
          <w:b/>
          <w:szCs w:val="24"/>
        </w:rPr>
        <w:t> tis. Eur</w:t>
      </w:r>
      <w:r w:rsidRPr="00767BF8">
        <w:rPr>
          <w:rFonts w:ascii="Times New Roman" w:hAnsi="Times New Roman"/>
          <w:szCs w:val="24"/>
        </w:rPr>
        <w:t>, z dôvodu nižšej úhrady príspevkov na SDS (nezaplatených zamestnávateľom) zo základného fondu garančného poistenia a nižších výdavkov na dávku garančného poistenia,</w:t>
      </w:r>
    </w:p>
    <w:p w:rsidR="00767BF8" w:rsidRPr="00767BF8" w:rsidP="008173F1">
      <w:pPr>
        <w:numPr>
          <w:numId w:val="6"/>
        </w:numPr>
        <w:bidi w:val="0"/>
        <w:ind w:hanging="720"/>
        <w:jc w:val="both"/>
        <w:rPr>
          <w:rFonts w:ascii="Times New Roman" w:hAnsi="Times New Roman"/>
          <w:szCs w:val="24"/>
        </w:rPr>
      </w:pPr>
      <w:r w:rsidRPr="00767BF8">
        <w:rPr>
          <w:rFonts w:ascii="Times New Roman" w:hAnsi="Times New Roman"/>
          <w:b/>
          <w:szCs w:val="24"/>
        </w:rPr>
        <w:t>v ZFPvN nižšie o 3</w:t>
      </w:r>
      <w:r w:rsidR="001B1A49">
        <w:rPr>
          <w:rFonts w:ascii="Times New Roman" w:hAnsi="Times New Roman"/>
          <w:b/>
          <w:szCs w:val="24"/>
        </w:rPr>
        <w:t>5</w:t>
      </w:r>
      <w:r w:rsidRPr="00767BF8">
        <w:rPr>
          <w:rFonts w:ascii="Times New Roman" w:hAnsi="Times New Roman"/>
          <w:b/>
          <w:szCs w:val="24"/>
        </w:rPr>
        <w:t> </w:t>
      </w:r>
      <w:r w:rsidR="001B1A49">
        <w:rPr>
          <w:rFonts w:ascii="Times New Roman" w:hAnsi="Times New Roman"/>
          <w:b/>
          <w:szCs w:val="24"/>
        </w:rPr>
        <w:t>985</w:t>
      </w:r>
      <w:r w:rsidRPr="00767BF8">
        <w:rPr>
          <w:rFonts w:ascii="Times New Roman" w:hAnsi="Times New Roman"/>
          <w:b/>
          <w:szCs w:val="24"/>
        </w:rPr>
        <w:t> tis. Eur</w:t>
      </w:r>
      <w:r w:rsidRPr="00767BF8">
        <w:rPr>
          <w:rFonts w:ascii="Times New Roman" w:hAnsi="Times New Roman"/>
          <w:szCs w:val="24"/>
        </w:rPr>
        <w:t>. Suma výdavkov v roku 2011 bola vykvantifikovaná na základe očakávaného vývoja priemernej mesačnej výšky dávky do konca roka (312 Eur) a priemerného mesačného počtu poberateľov (43 500).</w:t>
      </w:r>
    </w:p>
    <w:p w:rsidR="00767BF8" w:rsidRPr="00767BF8" w:rsidP="008173F1">
      <w:pPr>
        <w:numPr>
          <w:numId w:val="6"/>
        </w:numPr>
        <w:bidi w:val="0"/>
        <w:spacing w:after="120"/>
        <w:ind w:hanging="720"/>
        <w:jc w:val="both"/>
        <w:rPr>
          <w:rFonts w:ascii="Times New Roman" w:hAnsi="Times New Roman"/>
          <w:szCs w:val="24"/>
        </w:rPr>
      </w:pPr>
      <w:r w:rsidRPr="00767BF8">
        <w:rPr>
          <w:rFonts w:ascii="Times New Roman" w:hAnsi="Times New Roman"/>
          <w:b/>
          <w:szCs w:val="24"/>
        </w:rPr>
        <w:t>v správnom fonde nižšie o 1</w:t>
      </w:r>
      <w:r w:rsidR="005F2FF8">
        <w:rPr>
          <w:rFonts w:ascii="Times New Roman" w:hAnsi="Times New Roman"/>
          <w:b/>
          <w:szCs w:val="24"/>
        </w:rPr>
        <w:t>9</w:t>
      </w:r>
      <w:r w:rsidRPr="00767BF8">
        <w:rPr>
          <w:rFonts w:ascii="Times New Roman" w:hAnsi="Times New Roman"/>
          <w:b/>
          <w:szCs w:val="24"/>
        </w:rPr>
        <w:t> </w:t>
      </w:r>
      <w:r w:rsidR="005F2FF8">
        <w:rPr>
          <w:rFonts w:ascii="Times New Roman" w:hAnsi="Times New Roman"/>
          <w:b/>
          <w:szCs w:val="24"/>
        </w:rPr>
        <w:t>89</w:t>
      </w:r>
      <w:r w:rsidR="00A17FA0">
        <w:rPr>
          <w:rFonts w:ascii="Times New Roman" w:hAnsi="Times New Roman"/>
          <w:b/>
          <w:szCs w:val="24"/>
        </w:rPr>
        <w:t>7</w:t>
      </w:r>
      <w:r w:rsidRPr="00767BF8">
        <w:rPr>
          <w:rFonts w:ascii="Times New Roman" w:hAnsi="Times New Roman"/>
          <w:b/>
          <w:szCs w:val="24"/>
        </w:rPr>
        <w:t> tis. Eur</w:t>
      </w:r>
      <w:r w:rsidRPr="00767BF8">
        <w:rPr>
          <w:rFonts w:ascii="Times New Roman" w:hAnsi="Times New Roman"/>
          <w:szCs w:val="24"/>
        </w:rPr>
        <w:t>, z dôvodu zefektívnenia činností a procesov vo všetkých oblastiach výkonu Sociálnej poisťovne.</w:t>
      </w:r>
    </w:p>
    <w:p w:rsidR="00767BF8" w:rsidP="00767BF8">
      <w:pPr>
        <w:bidi w:val="0"/>
        <w:spacing w:before="240" w:after="120"/>
        <w:ind w:firstLine="720"/>
        <w:jc w:val="both"/>
        <w:rPr>
          <w:rFonts w:ascii="Times New Roman" w:hAnsi="Times New Roman"/>
          <w:szCs w:val="24"/>
        </w:rPr>
      </w:pPr>
      <w:r w:rsidRPr="00767BF8">
        <w:rPr>
          <w:rFonts w:ascii="Times New Roman" w:hAnsi="Times New Roman"/>
          <w:szCs w:val="24"/>
        </w:rPr>
        <w:t xml:space="preserve">Z hľadiska </w:t>
      </w:r>
      <w:r w:rsidRPr="00767BF8">
        <w:rPr>
          <w:rFonts w:ascii="Times New Roman" w:hAnsi="Times New Roman"/>
          <w:b/>
          <w:szCs w:val="24"/>
        </w:rPr>
        <w:t>celkového hospodárenia Sociálnej poisťovne</w:t>
      </w:r>
      <w:r w:rsidRPr="00767BF8">
        <w:rPr>
          <w:rFonts w:ascii="Times New Roman" w:hAnsi="Times New Roman"/>
          <w:szCs w:val="24"/>
        </w:rPr>
        <w:t xml:space="preserve"> je možné očakávať k 31. 12. 2011 v jednotlivých fondoch takéto výsledky:</w:t>
      </w:r>
    </w:p>
    <w:tbl>
      <w:tblPr>
        <w:tblStyle w:val="TableNormal"/>
        <w:tblW w:w="8662" w:type="dxa"/>
        <w:tblInd w:w="55" w:type="dxa"/>
        <w:tblLayout w:type="fixed"/>
        <w:tblCellMar>
          <w:left w:w="70" w:type="dxa"/>
          <w:right w:w="70" w:type="dxa"/>
        </w:tblCellMar>
        <w:tblLook w:val="04A0"/>
      </w:tblPr>
      <w:tblGrid>
        <w:gridCol w:w="2850"/>
        <w:gridCol w:w="1426"/>
        <w:gridCol w:w="254"/>
        <w:gridCol w:w="1173"/>
        <w:gridCol w:w="127"/>
        <w:gridCol w:w="1300"/>
        <w:gridCol w:w="1532"/>
      </w:tblGrid>
      <w:tr>
        <w:tblPrEx>
          <w:tblW w:w="8662" w:type="dxa"/>
          <w:tblInd w:w="55" w:type="dxa"/>
          <w:tblLayout w:type="fixed"/>
          <w:tblCellMar>
            <w:left w:w="70" w:type="dxa"/>
            <w:right w:w="70" w:type="dxa"/>
          </w:tblCellMar>
          <w:tblLook w:val="04A0"/>
        </w:tblPrEx>
        <w:trPr>
          <w:trHeight w:val="300"/>
        </w:trPr>
        <w:tc>
          <w:tcPr>
            <w:tcW w:w="2850" w:type="dxa"/>
            <w:tcBorders>
              <w:top w:val="nil"/>
              <w:left w:val="nil"/>
              <w:bottom w:val="nil"/>
              <w:right w:val="nil"/>
            </w:tcBorders>
            <w:noWrap/>
            <w:textDirection w:val="lrTb"/>
            <w:vAlign w:val="center"/>
            <w:hideMark/>
          </w:tcPr>
          <w:p w:rsidR="00B76A8C" w:rsidRPr="00B76A8C" w:rsidP="00B76A8C">
            <w:pPr>
              <w:bidi w:val="0"/>
              <w:rPr>
                <w:rFonts w:ascii="Times New Roman" w:hAnsi="Times New Roman"/>
                <w:sz w:val="22"/>
                <w:szCs w:val="22"/>
              </w:rPr>
            </w:pPr>
          </w:p>
        </w:tc>
        <w:tc>
          <w:tcPr>
            <w:tcW w:w="1680" w:type="dxa"/>
            <w:gridSpan w:val="2"/>
            <w:tcBorders>
              <w:top w:val="nil"/>
              <w:left w:val="nil"/>
              <w:bottom w:val="nil"/>
              <w:right w:val="nil"/>
            </w:tcBorders>
            <w:noWrap/>
            <w:textDirection w:val="lrTb"/>
            <w:vAlign w:val="center"/>
            <w:hideMark/>
          </w:tcPr>
          <w:p w:rsidR="00B76A8C" w:rsidRPr="00B76A8C" w:rsidP="00B76A8C">
            <w:pPr>
              <w:bidi w:val="0"/>
              <w:rPr>
                <w:rFonts w:ascii="Times New Roman" w:hAnsi="Times New Roman"/>
                <w:sz w:val="22"/>
                <w:szCs w:val="22"/>
              </w:rPr>
            </w:pPr>
          </w:p>
        </w:tc>
        <w:tc>
          <w:tcPr>
            <w:tcW w:w="1300" w:type="dxa"/>
            <w:gridSpan w:val="2"/>
            <w:tcBorders>
              <w:top w:val="nil"/>
              <w:left w:val="nil"/>
              <w:bottom w:val="nil"/>
              <w:right w:val="nil"/>
            </w:tcBorders>
            <w:noWrap/>
            <w:textDirection w:val="lrTb"/>
            <w:vAlign w:val="center"/>
            <w:hideMark/>
          </w:tcPr>
          <w:p w:rsidR="00B76A8C" w:rsidRPr="00B76A8C" w:rsidP="00B76A8C">
            <w:pPr>
              <w:bidi w:val="0"/>
              <w:rPr>
                <w:rFonts w:ascii="Times New Roman" w:hAnsi="Times New Roman"/>
                <w:sz w:val="22"/>
                <w:szCs w:val="22"/>
              </w:rPr>
            </w:pPr>
          </w:p>
        </w:tc>
        <w:tc>
          <w:tcPr>
            <w:tcW w:w="1300" w:type="dxa"/>
            <w:tcBorders>
              <w:top w:val="nil"/>
              <w:left w:val="nil"/>
              <w:bottom w:val="nil"/>
              <w:right w:val="nil"/>
            </w:tcBorders>
            <w:noWrap/>
            <w:textDirection w:val="lrTb"/>
            <w:vAlign w:val="center"/>
            <w:hideMark/>
          </w:tcPr>
          <w:p w:rsidR="00B76A8C" w:rsidRPr="00B76A8C" w:rsidP="00B76A8C">
            <w:pPr>
              <w:bidi w:val="0"/>
              <w:rPr>
                <w:rFonts w:ascii="Times New Roman" w:hAnsi="Times New Roman"/>
                <w:sz w:val="22"/>
                <w:szCs w:val="22"/>
              </w:rPr>
            </w:pPr>
          </w:p>
        </w:tc>
        <w:tc>
          <w:tcPr>
            <w:tcW w:w="1532" w:type="dxa"/>
            <w:tcBorders>
              <w:top w:val="nil"/>
              <w:left w:val="nil"/>
              <w:bottom w:val="nil"/>
              <w:right w:val="nil"/>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v tis. Eur</w:t>
            </w:r>
          </w:p>
        </w:tc>
      </w:tr>
      <w:tr>
        <w:tblPrEx>
          <w:tblW w:w="8662" w:type="dxa"/>
          <w:tblInd w:w="55" w:type="dxa"/>
          <w:tblLayout w:type="fixed"/>
          <w:tblCellMar>
            <w:left w:w="70" w:type="dxa"/>
            <w:right w:w="70" w:type="dxa"/>
          </w:tblCellMar>
          <w:tblLook w:val="04A0"/>
        </w:tblPrEx>
        <w:trPr>
          <w:trHeight w:val="300"/>
        </w:trPr>
        <w:tc>
          <w:tcPr>
            <w:tcW w:w="2850"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 xml:space="preserve">Fond  </w:t>
            </w:r>
          </w:p>
        </w:tc>
        <w:tc>
          <w:tcPr>
            <w:tcW w:w="4280" w:type="dxa"/>
            <w:gridSpan w:val="5"/>
            <w:tcBorders>
              <w:top w:val="single" w:sz="4" w:space="0" w:color="auto"/>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Bilančný rozdiel k 31.12.2011</w:t>
            </w:r>
          </w:p>
        </w:tc>
        <w:tc>
          <w:tcPr>
            <w:tcW w:w="1532"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Rozdiel (3-2)</w:t>
            </w:r>
          </w:p>
        </w:tc>
      </w:tr>
      <w:tr>
        <w:tblPrEx>
          <w:tblW w:w="8662" w:type="dxa"/>
          <w:tblInd w:w="55" w:type="dxa"/>
          <w:tblLayout w:type="fixed"/>
          <w:tblCellMar>
            <w:left w:w="70" w:type="dxa"/>
            <w:right w:w="70" w:type="dxa"/>
          </w:tblCellMar>
          <w:tblLook w:val="04A0"/>
        </w:tblPrEx>
        <w:trPr>
          <w:trHeight w:val="600"/>
        </w:trPr>
        <w:tc>
          <w:tcPr>
            <w:tcW w:w="2850" w:type="dxa"/>
            <w:vMerge/>
            <w:tcBorders>
              <w:top w:val="single" w:sz="4" w:space="0" w:color="auto"/>
              <w:left w:val="single" w:sz="4" w:space="0" w:color="auto"/>
              <w:bottom w:val="single" w:sz="4" w:space="0" w:color="auto"/>
              <w:right w:val="single" w:sz="4" w:space="0" w:color="auto"/>
            </w:tcBorders>
            <w:textDirection w:val="lrTb"/>
            <w:vAlign w:val="center"/>
            <w:hideMark/>
          </w:tcPr>
          <w:p w:rsidR="00B76A8C" w:rsidRPr="00B76A8C" w:rsidP="00B76A8C">
            <w:pPr>
              <w:bidi w:val="0"/>
              <w:rPr>
                <w:rFonts w:ascii="Times New Roman" w:hAnsi="Times New Roman"/>
                <w:sz w:val="22"/>
                <w:szCs w:val="22"/>
              </w:rPr>
            </w:pPr>
          </w:p>
        </w:tc>
        <w:tc>
          <w:tcPr>
            <w:tcW w:w="1426" w:type="dxa"/>
            <w:tcBorders>
              <w:top w:val="nil"/>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 xml:space="preserve">Schválený rozpočet </w:t>
            </w:r>
          </w:p>
        </w:tc>
        <w:tc>
          <w:tcPr>
            <w:tcW w:w="1427" w:type="dxa"/>
            <w:gridSpan w:val="2"/>
            <w:tcBorders>
              <w:top w:val="nil"/>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 xml:space="preserve">Upravený rozpočet </w:t>
            </w:r>
          </w:p>
        </w:tc>
        <w:tc>
          <w:tcPr>
            <w:tcW w:w="1427" w:type="dxa"/>
            <w:gridSpan w:val="2"/>
            <w:tcBorders>
              <w:top w:val="nil"/>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 xml:space="preserve">Očakávaná skutočnosť </w:t>
            </w:r>
          </w:p>
        </w:tc>
        <w:tc>
          <w:tcPr>
            <w:tcW w:w="1532" w:type="dxa"/>
            <w:vMerge/>
            <w:tcBorders>
              <w:top w:val="single" w:sz="4" w:space="0" w:color="auto"/>
              <w:left w:val="single" w:sz="4" w:space="0" w:color="auto"/>
              <w:bottom w:val="single" w:sz="4" w:space="0" w:color="auto"/>
              <w:right w:val="single" w:sz="4" w:space="0" w:color="auto"/>
            </w:tcBorders>
            <w:textDirection w:val="lrTb"/>
            <w:vAlign w:val="center"/>
            <w:hideMark/>
          </w:tcPr>
          <w:p w:rsidR="00B76A8C" w:rsidRPr="00B76A8C" w:rsidP="00B76A8C">
            <w:pPr>
              <w:bidi w:val="0"/>
              <w:rPr>
                <w:rFonts w:ascii="Times New Roman" w:hAnsi="Times New Roman"/>
                <w:sz w:val="22"/>
                <w:szCs w:val="22"/>
              </w:rPr>
            </w:pP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a</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1</w:t>
            </w:r>
          </w:p>
        </w:tc>
        <w:tc>
          <w:tcPr>
            <w:tcW w:w="1427" w:type="dxa"/>
            <w:gridSpan w:val="2"/>
            <w:tcBorders>
              <w:top w:val="nil"/>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2</w:t>
            </w:r>
          </w:p>
        </w:tc>
        <w:tc>
          <w:tcPr>
            <w:tcW w:w="1427" w:type="dxa"/>
            <w:gridSpan w:val="2"/>
            <w:tcBorders>
              <w:top w:val="nil"/>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3</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4</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ZFNP</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30 000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30 000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94 756</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64 756</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ZFSP</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253 731</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233 420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257 489</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24 069</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ZFIP</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156 978</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156 415</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105 873</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-50 542</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ZFÚP</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4 000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4 000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4 000</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0</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ZFGP</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12 338</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12 366</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5 000</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-7 366</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ZFPvN</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17 000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17 000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15 000</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-2 000</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Rezervný fond solidarity</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0</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0</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Správny fond</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6 573</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1 628</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44 442</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42 814</w:t>
            </w:r>
          </w:p>
        </w:tc>
      </w:tr>
      <w:tr>
        <w:tblPrEx>
          <w:tblW w:w="8662" w:type="dxa"/>
          <w:tblInd w:w="55" w:type="dxa"/>
          <w:tblLayout w:type="fixed"/>
          <w:tblCellMar>
            <w:left w:w="70" w:type="dxa"/>
            <w:right w:w="70" w:type="dxa"/>
          </w:tblCellMar>
          <w:tblLook w:val="04A0"/>
        </w:tblPrEx>
        <w:trPr>
          <w:trHeight w:val="300"/>
        </w:trPr>
        <w:tc>
          <w:tcPr>
            <w:tcW w:w="2850"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Spolu</w:t>
            </w:r>
          </w:p>
        </w:tc>
        <w:tc>
          <w:tcPr>
            <w:tcW w:w="1426"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480 620</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454 829</w:t>
            </w:r>
          </w:p>
        </w:tc>
        <w:tc>
          <w:tcPr>
            <w:tcW w:w="1427"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526 560</w:t>
            </w:r>
          </w:p>
        </w:tc>
        <w:tc>
          <w:tcPr>
            <w:tcW w:w="1532" w:type="dxa"/>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71 731</w:t>
            </w:r>
          </w:p>
        </w:tc>
      </w:tr>
    </w:tbl>
    <w:p w:rsidR="00B76A8C" w:rsidP="00A514AB">
      <w:pPr>
        <w:bidi w:val="0"/>
        <w:spacing w:after="120"/>
        <w:jc w:val="both"/>
        <w:rPr>
          <w:rFonts w:ascii="Times New Roman" w:hAnsi="Times New Roman"/>
          <w:szCs w:val="24"/>
        </w:rPr>
      </w:pPr>
    </w:p>
    <w:p w:rsidR="00767BF8" w:rsidRPr="00767BF8" w:rsidP="00767BF8">
      <w:pPr>
        <w:bidi w:val="0"/>
        <w:spacing w:after="120"/>
        <w:ind w:firstLine="720"/>
        <w:jc w:val="both"/>
        <w:rPr>
          <w:rFonts w:ascii="Times New Roman" w:hAnsi="Times New Roman"/>
          <w:szCs w:val="24"/>
        </w:rPr>
      </w:pPr>
      <w:r w:rsidRPr="00767BF8">
        <w:rPr>
          <w:rFonts w:ascii="Times New Roman" w:hAnsi="Times New Roman"/>
          <w:b/>
        </w:rPr>
        <w:t>Hospodárenie Sociálnej poisťovne v roku 2011 by malo skončiť lepším výsledkom o </w:t>
      </w:r>
      <w:r w:rsidR="003B725D">
        <w:rPr>
          <w:rFonts w:ascii="Times New Roman" w:hAnsi="Times New Roman"/>
          <w:b/>
        </w:rPr>
        <w:t>71</w:t>
      </w:r>
      <w:r w:rsidRPr="00767BF8">
        <w:rPr>
          <w:rFonts w:ascii="Times New Roman" w:hAnsi="Times New Roman"/>
          <w:b/>
        </w:rPr>
        <w:t xml:space="preserve"> </w:t>
      </w:r>
      <w:r w:rsidR="00D22712">
        <w:rPr>
          <w:rFonts w:ascii="Times New Roman" w:hAnsi="Times New Roman"/>
          <w:b/>
        </w:rPr>
        <w:t>73</w:t>
      </w:r>
      <w:r w:rsidR="003B725D">
        <w:rPr>
          <w:rFonts w:ascii="Times New Roman" w:hAnsi="Times New Roman"/>
          <w:b/>
        </w:rPr>
        <w:t>1</w:t>
      </w:r>
      <w:r w:rsidRPr="00767BF8">
        <w:rPr>
          <w:rFonts w:ascii="Times New Roman" w:hAnsi="Times New Roman"/>
          <w:b/>
        </w:rPr>
        <w:t> tis. Eur</w:t>
      </w:r>
      <w:r w:rsidRPr="00767BF8">
        <w:rPr>
          <w:rFonts w:ascii="Times New Roman" w:hAnsi="Times New Roman"/>
        </w:rPr>
        <w:t>, ako sa predpokladalo v upravenom rozpočte.</w:t>
      </w:r>
    </w:p>
    <w:p w:rsidR="00767BF8" w:rsidRPr="00767BF8" w:rsidP="00767BF8">
      <w:pPr>
        <w:bidi w:val="0"/>
        <w:spacing w:after="120"/>
        <w:jc w:val="center"/>
        <w:rPr>
          <w:rFonts w:ascii="Times New Roman" w:hAnsi="Times New Roman"/>
          <w:szCs w:val="24"/>
        </w:rPr>
      </w:pPr>
      <w:r w:rsidRPr="00767BF8">
        <w:rPr>
          <w:rFonts w:ascii="Times New Roman" w:hAnsi="Times New Roman"/>
          <w:szCs w:val="24"/>
        </w:rPr>
        <w:t>x  x  x</w:t>
      </w:r>
    </w:p>
    <w:p w:rsidR="00767BF8" w:rsidRPr="00767BF8" w:rsidP="00767BF8">
      <w:pPr>
        <w:bidi w:val="0"/>
        <w:ind w:firstLine="720"/>
        <w:jc w:val="both"/>
        <w:rPr>
          <w:rFonts w:ascii="Times New Roman" w:hAnsi="Times New Roman"/>
        </w:rPr>
      </w:pPr>
      <w:r w:rsidRPr="00767BF8">
        <w:rPr>
          <w:rFonts w:ascii="Times New Roman" w:hAnsi="Times New Roman"/>
        </w:rPr>
        <w:t>Sociálna poisťovňa predpokladá, že v roku 2011 postúpi príspevky na SDS do DSS v sume 85</w:t>
      </w:r>
      <w:r w:rsidR="00D22712">
        <w:rPr>
          <w:rFonts w:ascii="Times New Roman" w:hAnsi="Times New Roman"/>
        </w:rPr>
        <w:t>6</w:t>
      </w:r>
      <w:r w:rsidRPr="00767BF8">
        <w:rPr>
          <w:rFonts w:ascii="Times New Roman" w:hAnsi="Times New Roman"/>
        </w:rPr>
        <w:t> </w:t>
      </w:r>
      <w:r w:rsidR="00D22712">
        <w:rPr>
          <w:rFonts w:ascii="Times New Roman" w:hAnsi="Times New Roman"/>
        </w:rPr>
        <w:t>914</w:t>
      </w:r>
      <w:r w:rsidRPr="00767BF8">
        <w:rPr>
          <w:rFonts w:ascii="Times New Roman" w:hAnsi="Times New Roman"/>
        </w:rPr>
        <w:t> tis. Eur</w:t>
      </w:r>
      <w:r w:rsidR="007B33A4">
        <w:rPr>
          <w:rFonts w:ascii="Times New Roman" w:hAnsi="Times New Roman"/>
        </w:rPr>
        <w:t xml:space="preserve"> (vrátane penále)</w:t>
      </w:r>
      <w:r w:rsidRPr="00767BF8">
        <w:rPr>
          <w:rFonts w:ascii="Times New Roman" w:hAnsi="Times New Roman"/>
        </w:rPr>
        <w:t>.</w:t>
      </w:r>
    </w:p>
    <w:p w:rsidR="00310750" w:rsidRPr="00310750" w:rsidP="008173F1">
      <w:pPr>
        <w:numPr>
          <w:numId w:val="5"/>
        </w:numPr>
        <w:bidi w:val="0"/>
        <w:spacing w:before="240" w:after="120"/>
        <w:ind w:left="709" w:hanging="709"/>
        <w:jc w:val="both"/>
        <w:rPr>
          <w:rFonts w:ascii="Times New Roman" w:hAnsi="Times New Roman"/>
          <w:b/>
          <w:szCs w:val="24"/>
        </w:rPr>
      </w:pPr>
      <w:r w:rsidRPr="00310750">
        <w:rPr>
          <w:rFonts w:ascii="Times New Roman" w:hAnsi="Times New Roman"/>
          <w:b/>
          <w:szCs w:val="24"/>
        </w:rPr>
        <w:t xml:space="preserve">Návrh rozpočtu Sociálnej poisťovne na rok 2012 </w:t>
      </w:r>
    </w:p>
    <w:p w:rsidR="00DC0989" w:rsidP="00DC0989">
      <w:pPr>
        <w:bidi w:val="0"/>
        <w:spacing w:before="240" w:after="120"/>
        <w:ind w:firstLine="709"/>
        <w:jc w:val="both"/>
        <w:rPr>
          <w:rFonts w:ascii="Times New Roman" w:hAnsi="Times New Roman"/>
        </w:rPr>
      </w:pPr>
      <w:r w:rsidRPr="00333B66" w:rsidR="00452404">
        <w:rPr>
          <w:rFonts w:ascii="Times New Roman" w:hAnsi="Times New Roman"/>
        </w:rPr>
        <w:t>Návrh rozpočtu Sociálnej poisťovne na rok 201</w:t>
      </w:r>
      <w:r w:rsidR="00452404">
        <w:rPr>
          <w:rFonts w:ascii="Times New Roman" w:hAnsi="Times New Roman"/>
        </w:rPr>
        <w:t xml:space="preserve">2 </w:t>
      </w:r>
      <w:r w:rsidRPr="00452404" w:rsidR="00452404">
        <w:rPr>
          <w:rFonts w:ascii="Times New Roman" w:hAnsi="Times New Roman"/>
          <w:szCs w:val="24"/>
        </w:rPr>
        <w:t>a rozpočtový výhľad na roky 2013 a</w:t>
      </w:r>
      <w:r w:rsidR="00452404">
        <w:rPr>
          <w:rFonts w:ascii="Times New Roman" w:hAnsi="Times New Roman"/>
          <w:szCs w:val="24"/>
        </w:rPr>
        <w:t> </w:t>
      </w:r>
      <w:r w:rsidRPr="00452404" w:rsidR="00452404">
        <w:rPr>
          <w:rFonts w:ascii="Times New Roman" w:hAnsi="Times New Roman"/>
          <w:szCs w:val="24"/>
        </w:rPr>
        <w:t>2014</w:t>
      </w:r>
      <w:r w:rsidR="00452404">
        <w:rPr>
          <w:rFonts w:ascii="Times New Roman" w:hAnsi="Times New Roman"/>
        </w:rPr>
        <w:t xml:space="preserve"> </w:t>
      </w:r>
      <w:r w:rsidRPr="00333B66" w:rsidR="00C3405A">
        <w:rPr>
          <w:rFonts w:ascii="Times New Roman" w:hAnsi="Times New Roman"/>
        </w:rPr>
        <w:t xml:space="preserve">(ďalej len „návrh rozpočtu“) </w:t>
      </w:r>
      <w:r w:rsidRPr="00333B66" w:rsidR="00452404">
        <w:rPr>
          <w:rFonts w:ascii="Times New Roman" w:hAnsi="Times New Roman"/>
        </w:rPr>
        <w:t xml:space="preserve">je zostavený v podmienkach </w:t>
      </w:r>
      <w:r w:rsidR="00452404">
        <w:rPr>
          <w:rFonts w:ascii="Times New Roman" w:hAnsi="Times New Roman"/>
          <w:szCs w:val="24"/>
        </w:rPr>
        <w:t xml:space="preserve">zákona </w:t>
      </w:r>
      <w:r w:rsidRPr="00310750" w:rsidR="00452404">
        <w:rPr>
          <w:rFonts w:ascii="Times New Roman" w:hAnsi="Times New Roman"/>
          <w:szCs w:val="24"/>
        </w:rPr>
        <w:t xml:space="preserve">o sociálnom poistení </w:t>
      </w:r>
      <w:r w:rsidR="00452404">
        <w:rPr>
          <w:rFonts w:ascii="Times New Roman" w:hAnsi="Times New Roman"/>
          <w:szCs w:val="24"/>
        </w:rPr>
        <w:t xml:space="preserve">a návrhu zákona o úprave príjmu zo závislej činnosti a o zmene a doplnení niektorých zákonov </w:t>
      </w:r>
      <w:r w:rsidRPr="00333B66" w:rsidR="00452404">
        <w:rPr>
          <w:rFonts w:ascii="Times New Roman" w:hAnsi="Times New Roman"/>
        </w:rPr>
        <w:t>s účinnosťou od 1. januára 201</w:t>
      </w:r>
      <w:r w:rsidR="00452404">
        <w:rPr>
          <w:rFonts w:ascii="Times New Roman" w:hAnsi="Times New Roman"/>
        </w:rPr>
        <w:t>2</w:t>
      </w:r>
      <w:r w:rsidR="00452404">
        <w:rPr>
          <w:rFonts w:ascii="Times New Roman" w:hAnsi="Times New Roman"/>
          <w:szCs w:val="24"/>
        </w:rPr>
        <w:t xml:space="preserve"> (ďalej len „novela </w:t>
      </w:r>
      <w:r w:rsidRPr="00333B66" w:rsidR="00452404">
        <w:rPr>
          <w:rFonts w:ascii="Times New Roman" w:hAnsi="Times New Roman"/>
        </w:rPr>
        <w:t>zákona o sociálnom poistení</w:t>
      </w:r>
      <w:r w:rsidR="00452404">
        <w:rPr>
          <w:rFonts w:ascii="Times New Roman" w:hAnsi="Times New Roman"/>
        </w:rPr>
        <w:t>)“</w:t>
      </w:r>
      <w:r>
        <w:rPr>
          <w:rFonts w:ascii="Times New Roman" w:hAnsi="Times New Roman"/>
        </w:rPr>
        <w:t xml:space="preserve">. </w:t>
      </w:r>
    </w:p>
    <w:p w:rsidR="00DC0989" w:rsidRPr="00310750" w:rsidP="00DC0989">
      <w:pPr>
        <w:bidi w:val="0"/>
        <w:spacing w:before="240" w:after="120"/>
        <w:ind w:firstLine="709"/>
        <w:jc w:val="both"/>
        <w:rPr>
          <w:rFonts w:ascii="Times New Roman" w:hAnsi="Times New Roman"/>
          <w:szCs w:val="24"/>
        </w:rPr>
      </w:pPr>
      <w:r w:rsidRPr="00310750">
        <w:rPr>
          <w:rFonts w:ascii="Times New Roman" w:hAnsi="Times New Roman"/>
          <w:szCs w:val="24"/>
        </w:rPr>
        <w:t xml:space="preserve">Zohľadňuje skutočné výsledky hospodárenia Sociálnej poisťovne v roku 2010 a v mesiacoch január až </w:t>
      </w:r>
      <w:r w:rsidR="00ED0569">
        <w:rPr>
          <w:rFonts w:ascii="Times New Roman" w:hAnsi="Times New Roman"/>
          <w:szCs w:val="24"/>
        </w:rPr>
        <w:t>august</w:t>
      </w:r>
      <w:r w:rsidRPr="00310750">
        <w:rPr>
          <w:rFonts w:ascii="Times New Roman" w:hAnsi="Times New Roman"/>
          <w:szCs w:val="24"/>
        </w:rPr>
        <w:t xml:space="preserve"> 2011 a predpoklad ich vývoja do konca roka 2011, vplyv  makroekonomických ukazovateľov zverejnených IFP MF SR</w:t>
      </w:r>
      <w:r>
        <w:rPr>
          <w:rFonts w:ascii="Times New Roman" w:hAnsi="Times New Roman"/>
          <w:szCs w:val="24"/>
        </w:rPr>
        <w:t xml:space="preserve"> </w:t>
      </w:r>
      <w:r w:rsidRPr="00310750">
        <w:rPr>
          <w:rFonts w:ascii="Times New Roman" w:hAnsi="Times New Roman"/>
          <w:szCs w:val="24"/>
        </w:rPr>
        <w:t xml:space="preserve">dňa </w:t>
      </w:r>
      <w:r w:rsidR="00ED0569">
        <w:rPr>
          <w:rFonts w:ascii="Times New Roman" w:hAnsi="Times New Roman"/>
          <w:szCs w:val="24"/>
        </w:rPr>
        <w:t>2</w:t>
      </w:r>
      <w:r w:rsidRPr="00310750">
        <w:rPr>
          <w:rFonts w:ascii="Times New Roman" w:hAnsi="Times New Roman"/>
          <w:szCs w:val="24"/>
        </w:rPr>
        <w:t>6.</w:t>
      </w:r>
      <w:r>
        <w:rPr>
          <w:rFonts w:ascii="Times New Roman" w:hAnsi="Times New Roman"/>
          <w:szCs w:val="24"/>
        </w:rPr>
        <w:t> </w:t>
      </w:r>
      <w:r w:rsidR="00ED0569">
        <w:rPr>
          <w:rFonts w:ascii="Times New Roman" w:hAnsi="Times New Roman"/>
          <w:szCs w:val="24"/>
        </w:rPr>
        <w:t>augusta</w:t>
      </w:r>
      <w:r>
        <w:rPr>
          <w:rFonts w:ascii="Times New Roman" w:hAnsi="Times New Roman"/>
          <w:szCs w:val="24"/>
        </w:rPr>
        <w:t xml:space="preserve"> 2011, </w:t>
      </w:r>
      <w:r w:rsidR="008B5E19">
        <w:rPr>
          <w:rFonts w:ascii="Times New Roman" w:hAnsi="Times New Roman"/>
          <w:szCs w:val="24"/>
        </w:rPr>
        <w:t>MF</w:t>
      </w:r>
      <w:r w:rsidRPr="00310750">
        <w:rPr>
          <w:rFonts w:ascii="Times New Roman" w:hAnsi="Times New Roman"/>
          <w:szCs w:val="24"/>
        </w:rPr>
        <w:t xml:space="preserve"> </w:t>
      </w:r>
      <w:r>
        <w:rPr>
          <w:rFonts w:ascii="Times New Roman" w:hAnsi="Times New Roman"/>
          <w:szCs w:val="24"/>
        </w:rPr>
        <w:t xml:space="preserve">SR </w:t>
      </w:r>
      <w:r w:rsidRPr="00310750">
        <w:rPr>
          <w:rFonts w:ascii="Times New Roman" w:hAnsi="Times New Roman"/>
          <w:szCs w:val="24"/>
        </w:rPr>
        <w:t>navr</w:t>
      </w:r>
      <w:r>
        <w:rPr>
          <w:rFonts w:ascii="Times New Roman" w:hAnsi="Times New Roman"/>
          <w:szCs w:val="24"/>
        </w:rPr>
        <w:t xml:space="preserve">hovanú výšku príjmov a výdavkov a zmeny navrhnuté v novele </w:t>
      </w:r>
      <w:r w:rsidR="00FF0368">
        <w:rPr>
          <w:rFonts w:ascii="Times New Roman" w:hAnsi="Times New Roman"/>
          <w:bCs/>
          <w:szCs w:val="24"/>
        </w:rPr>
        <w:t>zákona o sociálnom poistení, najmä</w:t>
      </w:r>
      <w:r>
        <w:rPr>
          <w:rFonts w:ascii="Times New Roman" w:hAnsi="Times New Roman"/>
          <w:szCs w:val="24"/>
        </w:rPr>
        <w:t>:</w:t>
      </w:r>
    </w:p>
    <w:p w:rsidR="00F1580A" w:rsidRPr="00F1580A" w:rsidP="008173F1">
      <w:pPr>
        <w:pStyle w:val="ListParagraph"/>
        <w:numPr>
          <w:numId w:val="10"/>
        </w:numPr>
        <w:bidi w:val="0"/>
        <w:ind w:hanging="720"/>
        <w:jc w:val="both"/>
        <w:rPr>
          <w:rFonts w:ascii="Times New Roman" w:hAnsi="Times New Roman"/>
          <w:bCs/>
          <w:szCs w:val="24"/>
        </w:rPr>
      </w:pPr>
      <w:r w:rsidR="005969DF">
        <w:rPr>
          <w:rFonts w:ascii="Times New Roman" w:hAnsi="Times New Roman"/>
          <w:b/>
          <w:color w:val="000000"/>
          <w:szCs w:val="24"/>
        </w:rPr>
        <w:t>R</w:t>
      </w:r>
      <w:r w:rsidRPr="00F1580A">
        <w:rPr>
          <w:rFonts w:ascii="Times New Roman" w:hAnsi="Times New Roman"/>
          <w:b/>
          <w:color w:val="000000"/>
          <w:szCs w:val="24"/>
        </w:rPr>
        <w:t>ozšírenie osobného rozsahu povinne sociálne poistených osôb o</w:t>
      </w:r>
    </w:p>
    <w:p w:rsidR="00F1580A" w:rsidRPr="00F1580A" w:rsidP="008173F1">
      <w:pPr>
        <w:pStyle w:val="ListParagraph"/>
        <w:numPr>
          <w:numId w:val="11"/>
        </w:numPr>
        <w:bidi w:val="0"/>
        <w:jc w:val="both"/>
        <w:rPr>
          <w:rFonts w:ascii="Times New Roman" w:hAnsi="Times New Roman"/>
          <w:color w:val="000000"/>
          <w:szCs w:val="24"/>
        </w:rPr>
      </w:pPr>
      <w:r w:rsidRPr="00F1580A">
        <w:rPr>
          <w:rFonts w:ascii="Times New Roman" w:hAnsi="Times New Roman"/>
          <w:color w:val="000000"/>
          <w:szCs w:val="24"/>
        </w:rPr>
        <w:t xml:space="preserve">fyzické osoby v právnom vzťahu na základe dohôd o  prácach vykonávaných mimo pracovného pomeru, t. j. o tzv. </w:t>
      </w:r>
      <w:r w:rsidRPr="00B52F40">
        <w:rPr>
          <w:rFonts w:ascii="Times New Roman" w:hAnsi="Times New Roman"/>
          <w:color w:val="000000"/>
          <w:szCs w:val="24"/>
        </w:rPr>
        <w:t>dohodárov</w:t>
      </w:r>
      <w:r w:rsidR="00B52F40">
        <w:rPr>
          <w:rFonts w:ascii="Times New Roman" w:hAnsi="Times New Roman"/>
          <w:i/>
          <w:color w:val="000000"/>
          <w:szCs w:val="24"/>
        </w:rPr>
        <w:t xml:space="preserve"> </w:t>
      </w:r>
      <w:r w:rsidR="00272428">
        <w:rPr>
          <w:rFonts w:ascii="Times New Roman" w:hAnsi="Times New Roman"/>
          <w:color w:val="000000"/>
          <w:szCs w:val="24"/>
        </w:rPr>
        <w:t>(</w:t>
      </w:r>
      <w:r w:rsidR="00B52F40">
        <w:rPr>
          <w:rFonts w:ascii="Times New Roman" w:hAnsi="Times New Roman"/>
          <w:color w:val="000000"/>
          <w:szCs w:val="24"/>
        </w:rPr>
        <w:t>tieto osoby budú podliehať len povinnému dôchodkovému poisteniu na účely starobného poistenia so sadzbou 10</w:t>
      </w:r>
      <w:r w:rsidR="000672D4">
        <w:rPr>
          <w:rFonts w:ascii="Times New Roman" w:hAnsi="Times New Roman"/>
          <w:color w:val="000000"/>
          <w:szCs w:val="24"/>
        </w:rPr>
        <w:t> </w:t>
      </w:r>
      <w:r w:rsidR="00B52F40">
        <w:t>%</w:t>
      </w:r>
      <w:r w:rsidR="00272428">
        <w:t>)</w:t>
      </w:r>
      <w:r w:rsidR="00B52F40">
        <w:t>.</w:t>
      </w:r>
    </w:p>
    <w:p w:rsidR="00F1580A" w:rsidRPr="00F1580A" w:rsidP="008173F1">
      <w:pPr>
        <w:pStyle w:val="ListParagraph"/>
        <w:numPr>
          <w:numId w:val="11"/>
        </w:numPr>
        <w:bidi w:val="0"/>
        <w:jc w:val="both"/>
        <w:rPr>
          <w:rFonts w:ascii="Times New Roman" w:hAnsi="Times New Roman"/>
          <w:color w:val="000000"/>
          <w:szCs w:val="24"/>
        </w:rPr>
      </w:pPr>
      <w:r w:rsidRPr="00F1580A">
        <w:rPr>
          <w:rFonts w:ascii="Times New Roman" w:hAnsi="Times New Roman"/>
          <w:color w:val="000000"/>
          <w:szCs w:val="24"/>
        </w:rPr>
        <w:t>fyzické osoby, ktoré budú mať právo na príjem, ktorým je podiel na zisku vyplatený obchodnou spoločnosťou alebo družstvom</w:t>
      </w:r>
      <w:r>
        <w:rPr>
          <w:rFonts w:ascii="Times New Roman" w:hAnsi="Times New Roman"/>
          <w:color w:val="000000"/>
          <w:szCs w:val="24"/>
        </w:rPr>
        <w:t xml:space="preserve"> (tieto osoby budú podliehať povinnému dôchod</w:t>
      </w:r>
      <w:r w:rsidR="00AA586D">
        <w:rPr>
          <w:rFonts w:ascii="Times New Roman" w:hAnsi="Times New Roman"/>
          <w:color w:val="000000"/>
          <w:szCs w:val="24"/>
        </w:rPr>
        <w:t>kovému poisteniu so sadzbou 13 %)</w:t>
      </w:r>
      <w:r w:rsidR="005969DF">
        <w:rPr>
          <w:rFonts w:ascii="Times New Roman" w:hAnsi="Times New Roman"/>
          <w:color w:val="000000"/>
          <w:szCs w:val="24"/>
        </w:rPr>
        <w:t>.</w:t>
      </w:r>
    </w:p>
    <w:p w:rsidR="00F1580A" w:rsidP="008173F1">
      <w:pPr>
        <w:pStyle w:val="ListParagraph"/>
        <w:numPr>
          <w:numId w:val="10"/>
        </w:numPr>
        <w:bidi w:val="0"/>
        <w:ind w:hanging="720"/>
        <w:jc w:val="both"/>
        <w:rPr>
          <w:rFonts w:ascii="Times New Roman" w:hAnsi="Times New Roman"/>
          <w:color w:val="000000"/>
          <w:szCs w:val="24"/>
        </w:rPr>
      </w:pPr>
      <w:r w:rsidR="005969DF">
        <w:rPr>
          <w:rFonts w:ascii="Times New Roman" w:hAnsi="Times New Roman"/>
          <w:b/>
          <w:color w:val="000000"/>
          <w:szCs w:val="24"/>
        </w:rPr>
        <w:t>Z</w:t>
      </w:r>
      <w:r w:rsidRPr="00F1580A">
        <w:rPr>
          <w:rFonts w:ascii="Times New Roman" w:hAnsi="Times New Roman"/>
          <w:b/>
          <w:color w:val="000000"/>
          <w:szCs w:val="24"/>
        </w:rPr>
        <w:t>mena sadzby poistného na sociálne poistenie pre zamestnancov na 19 % z dôvodu úpravy príjmu na tzv. superhrubú úroveň a z dôvodu zavedenia nových parametrov daňovo</w:t>
      </w:r>
      <w:r w:rsidR="000672D4">
        <w:rPr>
          <w:rFonts w:ascii="Times New Roman" w:hAnsi="Times New Roman"/>
          <w:b/>
          <w:color w:val="000000"/>
          <w:szCs w:val="24"/>
        </w:rPr>
        <w:t>-</w:t>
      </w:r>
      <w:r w:rsidRPr="00F1580A">
        <w:rPr>
          <w:rFonts w:ascii="Times New Roman" w:hAnsi="Times New Roman"/>
          <w:b/>
          <w:color w:val="000000"/>
          <w:szCs w:val="24"/>
        </w:rPr>
        <w:t>odvodového systému</w:t>
      </w:r>
      <w:r w:rsidR="005969DF">
        <w:rPr>
          <w:rFonts w:ascii="Times New Roman" w:hAnsi="Times New Roman"/>
          <w:color w:val="000000"/>
          <w:szCs w:val="24"/>
        </w:rPr>
        <w:t>.</w:t>
      </w:r>
    </w:p>
    <w:p w:rsidR="00AA586D" w:rsidRPr="00F1580A" w:rsidP="008173F1">
      <w:pPr>
        <w:pStyle w:val="ListParagraph"/>
        <w:numPr>
          <w:numId w:val="10"/>
        </w:numPr>
        <w:bidi w:val="0"/>
        <w:ind w:hanging="720"/>
        <w:jc w:val="both"/>
        <w:rPr>
          <w:rFonts w:ascii="Times New Roman" w:hAnsi="Times New Roman"/>
          <w:color w:val="000000"/>
          <w:szCs w:val="24"/>
        </w:rPr>
      </w:pPr>
      <w:r w:rsidR="005969DF">
        <w:rPr>
          <w:rFonts w:ascii="Times New Roman" w:hAnsi="Times New Roman"/>
          <w:b/>
          <w:color w:val="000000"/>
          <w:szCs w:val="24"/>
        </w:rPr>
        <w:t>N</w:t>
      </w:r>
      <w:r w:rsidRPr="00F1580A">
        <w:rPr>
          <w:rFonts w:ascii="Times New Roman" w:hAnsi="Times New Roman"/>
          <w:b/>
          <w:color w:val="000000"/>
          <w:szCs w:val="24"/>
        </w:rPr>
        <w:t>ové podmienky sociálneho poistenia pre SZČO</w:t>
      </w:r>
    </w:p>
    <w:p w:rsidR="00F1580A" w:rsidP="008173F1">
      <w:pPr>
        <w:pStyle w:val="ListParagraph"/>
        <w:numPr>
          <w:numId w:val="12"/>
        </w:numPr>
        <w:bidi w:val="0"/>
        <w:jc w:val="both"/>
        <w:rPr>
          <w:rFonts w:ascii="Times New Roman" w:hAnsi="Times New Roman"/>
          <w:color w:val="000000"/>
          <w:szCs w:val="24"/>
        </w:rPr>
      </w:pPr>
      <w:r w:rsidRPr="00F1580A" w:rsidR="00AA586D">
        <w:rPr>
          <w:rFonts w:ascii="Times New Roman" w:hAnsi="Times New Roman"/>
          <w:color w:val="000000"/>
          <w:szCs w:val="24"/>
        </w:rPr>
        <w:t>zmena sadzby poistného na sociálne poistenie na úroveň 13 %, ktorá bude pokrývať povinné dôchodkové poistenie,</w:t>
      </w:r>
    </w:p>
    <w:p w:rsidR="00AA586D" w:rsidP="008173F1">
      <w:pPr>
        <w:pStyle w:val="ListParagraph"/>
        <w:numPr>
          <w:numId w:val="12"/>
        </w:numPr>
        <w:bidi w:val="0"/>
        <w:jc w:val="both"/>
        <w:rPr>
          <w:rFonts w:ascii="Times New Roman" w:hAnsi="Times New Roman"/>
          <w:color w:val="000000"/>
          <w:szCs w:val="24"/>
        </w:rPr>
      </w:pPr>
      <w:r w:rsidRPr="00F1580A">
        <w:rPr>
          <w:rFonts w:ascii="Times New Roman" w:hAnsi="Times New Roman"/>
          <w:color w:val="000000"/>
          <w:szCs w:val="24"/>
        </w:rPr>
        <w:t>navrhuje sa platenie poistného na sociálne poistenie odo dňa registrácie na daňové účely spätne, ak príjem SZČO na základe daňového priznania podaného za kalendárny rok, v ktorom sa zaregistrovala, presiahne zákonom ustanovenú hranicu (21,49-násobok sumy životného minima pre jednu plnoletú fyzickú osobu). Poistenie následne trvá až do zrušenia registrácie alebo do 30. júna kalendárneho roka nasledujúceho po kalendárnom roku, za ktorý zákonom ustanovený príjem SZČO nepresiahla,</w:t>
      </w:r>
    </w:p>
    <w:p w:rsidR="00AA586D" w:rsidP="008173F1">
      <w:pPr>
        <w:pStyle w:val="ListParagraph"/>
        <w:numPr>
          <w:numId w:val="12"/>
        </w:numPr>
        <w:bidi w:val="0"/>
        <w:jc w:val="both"/>
        <w:rPr>
          <w:rFonts w:ascii="Times New Roman" w:hAnsi="Times New Roman"/>
          <w:color w:val="000000"/>
          <w:szCs w:val="24"/>
        </w:rPr>
      </w:pPr>
      <w:r w:rsidRPr="00F1580A">
        <w:rPr>
          <w:rFonts w:ascii="Times New Roman" w:hAnsi="Times New Roman"/>
          <w:color w:val="000000"/>
          <w:szCs w:val="24"/>
        </w:rPr>
        <w:t>nová právna úprava vymeriavacieho základu pre SZČO – navrhuje sa neuplatňovanie  konštanty 2, t. z., že vymeriavacím základom SZČO bude jej základ dane neznížený o poistné na verejné zdravotné poistenie a poistné na sociálne poistenie,</w:t>
      </w:r>
    </w:p>
    <w:p w:rsidR="00AA586D" w:rsidRPr="00AA586D" w:rsidP="008173F1">
      <w:pPr>
        <w:pStyle w:val="ListParagraph"/>
        <w:numPr>
          <w:numId w:val="12"/>
        </w:numPr>
        <w:bidi w:val="0"/>
        <w:jc w:val="both"/>
        <w:rPr>
          <w:rFonts w:ascii="Times New Roman" w:hAnsi="Times New Roman"/>
          <w:color w:val="000000"/>
          <w:szCs w:val="24"/>
        </w:rPr>
      </w:pPr>
      <w:r w:rsidRPr="00F1580A">
        <w:rPr>
          <w:rFonts w:ascii="Times New Roman" w:hAnsi="Times New Roman"/>
          <w:color w:val="000000"/>
          <w:szCs w:val="24"/>
        </w:rPr>
        <w:t>novo sa ustanovuje minimálny vymeriavací základ zo súčasných 44,2 % priemernej mesačnej mzdy spred dvoch rokov na 3,3-násobok sumy životného minima pre jednu plnoletú fyzickú osobu</w:t>
      </w:r>
      <w:r w:rsidR="005969DF">
        <w:rPr>
          <w:rFonts w:ascii="Times New Roman" w:hAnsi="Times New Roman"/>
          <w:color w:val="000000"/>
          <w:szCs w:val="24"/>
        </w:rPr>
        <w:t>.</w:t>
      </w:r>
    </w:p>
    <w:p w:rsidR="00AA586D" w:rsidRPr="00F1580A" w:rsidP="008173F1">
      <w:pPr>
        <w:pStyle w:val="ListParagraph"/>
        <w:numPr>
          <w:numId w:val="10"/>
        </w:numPr>
        <w:bidi w:val="0"/>
        <w:ind w:hanging="720"/>
        <w:jc w:val="both"/>
        <w:rPr>
          <w:rFonts w:ascii="Times New Roman" w:hAnsi="Times New Roman"/>
          <w:color w:val="000000"/>
          <w:szCs w:val="24"/>
        </w:rPr>
      </w:pPr>
      <w:r w:rsidR="005969DF">
        <w:rPr>
          <w:rFonts w:ascii="Times New Roman" w:hAnsi="Times New Roman"/>
          <w:b/>
          <w:color w:val="000000"/>
          <w:szCs w:val="24"/>
        </w:rPr>
        <w:t>Ú</w:t>
      </w:r>
      <w:r w:rsidRPr="00F1580A">
        <w:rPr>
          <w:rFonts w:ascii="Times New Roman" w:hAnsi="Times New Roman"/>
          <w:b/>
          <w:color w:val="000000"/>
          <w:szCs w:val="24"/>
        </w:rPr>
        <w:t>prava dobrovoľného poistenia na účely sociálneho poistenia</w:t>
      </w:r>
    </w:p>
    <w:p w:rsidR="00F1580A" w:rsidP="008173F1">
      <w:pPr>
        <w:pStyle w:val="ListParagraph"/>
        <w:numPr>
          <w:numId w:val="9"/>
        </w:numPr>
        <w:tabs>
          <w:tab w:val="left" w:pos="993"/>
        </w:tabs>
        <w:bidi w:val="0"/>
        <w:spacing w:after="120"/>
        <w:ind w:left="993" w:hanging="284"/>
        <w:jc w:val="both"/>
        <w:rPr>
          <w:rFonts w:ascii="Times New Roman" w:hAnsi="Times New Roman"/>
          <w:color w:val="000000"/>
          <w:szCs w:val="24"/>
        </w:rPr>
      </w:pPr>
      <w:r w:rsidRPr="00AA586D">
        <w:rPr>
          <w:rFonts w:ascii="Times New Roman" w:hAnsi="Times New Roman"/>
          <w:color w:val="000000"/>
          <w:szCs w:val="24"/>
        </w:rPr>
        <w:t xml:space="preserve">dobrovoľné sociálne poistenie v plnom rozsahu so sadzbou 19 % </w:t>
      </w:r>
      <w:r w:rsidRPr="004D1D61" w:rsidR="004D1D61">
        <w:rPr>
          <w:rFonts w:ascii="Times New Roman" w:hAnsi="Times New Roman"/>
        </w:rPr>
        <w:t>alebo so sadzbou 10 % na dôchodkové poistenia na účely starobného poistenia</w:t>
      </w:r>
      <w:r w:rsidRPr="004D1D61" w:rsidR="004D1D61">
        <w:rPr>
          <w:rFonts w:ascii="Times New Roman" w:hAnsi="Times New Roman"/>
          <w:color w:val="000000"/>
          <w:szCs w:val="24"/>
        </w:rPr>
        <w:t xml:space="preserve"> </w:t>
      </w:r>
      <w:r w:rsidRPr="00AA586D">
        <w:rPr>
          <w:rFonts w:ascii="Times New Roman" w:hAnsi="Times New Roman"/>
          <w:color w:val="000000"/>
          <w:szCs w:val="24"/>
        </w:rPr>
        <w:t>bude môcť využiť fyzická osoba, ktorá nie je povinne sociálne poistená a splní zákonom ustanovené podmienky,</w:t>
      </w:r>
    </w:p>
    <w:p w:rsidR="00AA586D" w:rsidP="008173F1">
      <w:pPr>
        <w:pStyle w:val="ListParagraph"/>
        <w:numPr>
          <w:numId w:val="9"/>
        </w:numPr>
        <w:tabs>
          <w:tab w:val="left" w:pos="993"/>
        </w:tabs>
        <w:bidi w:val="0"/>
        <w:spacing w:after="120"/>
        <w:ind w:left="993" w:hanging="284"/>
        <w:jc w:val="both"/>
        <w:rPr>
          <w:rFonts w:ascii="Times New Roman" w:hAnsi="Times New Roman"/>
          <w:color w:val="000000"/>
          <w:szCs w:val="24"/>
        </w:rPr>
      </w:pPr>
      <w:r w:rsidRPr="00F1580A">
        <w:rPr>
          <w:rFonts w:ascii="Times New Roman" w:hAnsi="Times New Roman"/>
          <w:color w:val="000000"/>
          <w:szCs w:val="24"/>
        </w:rPr>
        <w:t>umožní sa len súbeh povinného dôchodkového poistenia na účely starobného poistenia s dobrovoľným dôchodkovým poistením na účely starobného poistenia (so sadzbou 10</w:t>
      </w:r>
      <w:r w:rsidR="007B33A4">
        <w:rPr>
          <w:rFonts w:ascii="Times New Roman" w:hAnsi="Times New Roman"/>
          <w:color w:val="000000"/>
          <w:szCs w:val="24"/>
        </w:rPr>
        <w:t> </w:t>
      </w:r>
      <w:r w:rsidRPr="00F1580A">
        <w:rPr>
          <w:rFonts w:ascii="Times New Roman" w:hAnsi="Times New Roman"/>
          <w:color w:val="000000"/>
          <w:szCs w:val="24"/>
        </w:rPr>
        <w:t>% - napr. pre zamestnanca a SZČO, ktorí budú mať záujem si dobrovoľne priplácať na starobné poistenie),</w:t>
      </w:r>
    </w:p>
    <w:p w:rsidR="00AA586D" w:rsidP="008173F1">
      <w:pPr>
        <w:pStyle w:val="ListParagraph"/>
        <w:numPr>
          <w:numId w:val="9"/>
        </w:numPr>
        <w:tabs>
          <w:tab w:val="left" w:pos="993"/>
        </w:tabs>
        <w:bidi w:val="0"/>
        <w:spacing w:after="120"/>
        <w:ind w:left="993" w:hanging="284"/>
        <w:jc w:val="both"/>
        <w:rPr>
          <w:rFonts w:ascii="Times New Roman" w:hAnsi="Times New Roman"/>
          <w:color w:val="000000"/>
          <w:szCs w:val="24"/>
        </w:rPr>
      </w:pPr>
      <w:r w:rsidRPr="00F1580A">
        <w:rPr>
          <w:rFonts w:ascii="Times New Roman" w:hAnsi="Times New Roman"/>
          <w:color w:val="000000"/>
          <w:szCs w:val="24"/>
        </w:rPr>
        <w:t xml:space="preserve">dobrovoľné nemocenské poistenie a dobrovoľné poistenie v nezamestnanosti bude môcť využiť len poistenec, ktorý je povinne dôchodkovo poistený (so sadzbou </w:t>
      </w:r>
      <w:r w:rsidR="007B33A4">
        <w:rPr>
          <w:rFonts w:ascii="Times New Roman" w:hAnsi="Times New Roman"/>
          <w:color w:val="000000"/>
          <w:szCs w:val="24"/>
        </w:rPr>
        <w:br/>
      </w:r>
      <w:r w:rsidRPr="00F1580A">
        <w:rPr>
          <w:rFonts w:ascii="Times New Roman" w:hAnsi="Times New Roman"/>
          <w:color w:val="000000"/>
          <w:szCs w:val="24"/>
        </w:rPr>
        <w:t xml:space="preserve">6 % </w:t>
      </w:r>
      <w:r w:rsidR="007B33A4">
        <w:rPr>
          <w:rFonts w:ascii="Times New Roman" w:hAnsi="Times New Roman"/>
          <w:color w:val="000000"/>
          <w:szCs w:val="24"/>
        </w:rPr>
        <w:t xml:space="preserve">- </w:t>
      </w:r>
      <w:r w:rsidRPr="00F1580A">
        <w:rPr>
          <w:rFonts w:ascii="Times New Roman" w:hAnsi="Times New Roman"/>
          <w:color w:val="000000"/>
          <w:szCs w:val="24"/>
        </w:rPr>
        <w:t>určené pre SZČO, ktorým podľa navrhovaného stavu nevzniká povinné nemocenské poistenie),</w:t>
      </w:r>
    </w:p>
    <w:p w:rsidR="00AA586D" w:rsidP="008173F1">
      <w:pPr>
        <w:pStyle w:val="ListParagraph"/>
        <w:numPr>
          <w:numId w:val="9"/>
        </w:numPr>
        <w:tabs>
          <w:tab w:val="left" w:pos="993"/>
        </w:tabs>
        <w:bidi w:val="0"/>
        <w:spacing w:after="120"/>
        <w:ind w:left="993" w:hanging="284"/>
        <w:jc w:val="both"/>
        <w:rPr>
          <w:rFonts w:ascii="Times New Roman" w:hAnsi="Times New Roman"/>
          <w:color w:val="000000"/>
          <w:szCs w:val="24"/>
        </w:rPr>
      </w:pPr>
      <w:r w:rsidRPr="00F1580A">
        <w:rPr>
          <w:rFonts w:ascii="Times New Roman" w:hAnsi="Times New Roman"/>
          <w:color w:val="000000"/>
          <w:szCs w:val="24"/>
        </w:rPr>
        <w:t>dobrovoľné nemocenské poistenie, dobrovoľné poistenie v nezamestnanosti a dobrovoľné dôchodkové poistenie na účely invalidného poistenia bude môcť využiť len poistenec, ktorý je povinne dôchodkovo poistený na účely starobného poistenia (so sadzbou 9 % - určené najmä pre dohodárov, ktorým navrhovaná sadzba na povinné sociálne poistenie pokrýva iba dôchodkové poistenie</w:t>
      </w:r>
      <w:r>
        <w:rPr>
          <w:rFonts w:ascii="Times New Roman" w:hAnsi="Times New Roman"/>
          <w:color w:val="000000"/>
          <w:szCs w:val="24"/>
        </w:rPr>
        <w:t xml:space="preserve"> na účely starobného poistenia)</w:t>
      </w:r>
      <w:r w:rsidR="005969DF">
        <w:rPr>
          <w:rFonts w:ascii="Times New Roman" w:hAnsi="Times New Roman"/>
          <w:color w:val="000000"/>
          <w:szCs w:val="24"/>
        </w:rPr>
        <w:t>.</w:t>
      </w:r>
    </w:p>
    <w:p w:rsidR="00AA586D" w:rsidP="008173F1">
      <w:pPr>
        <w:pStyle w:val="ListParagraph"/>
        <w:numPr>
          <w:numId w:val="10"/>
        </w:numPr>
        <w:tabs>
          <w:tab w:val="left" w:pos="993"/>
        </w:tabs>
        <w:bidi w:val="0"/>
        <w:spacing w:after="120"/>
        <w:ind w:hanging="720"/>
        <w:jc w:val="both"/>
        <w:rPr>
          <w:rFonts w:ascii="Times New Roman" w:hAnsi="Times New Roman"/>
          <w:color w:val="000000"/>
          <w:szCs w:val="24"/>
        </w:rPr>
      </w:pPr>
      <w:r w:rsidR="005969DF">
        <w:rPr>
          <w:rFonts w:ascii="Times New Roman" w:hAnsi="Times New Roman"/>
          <w:b/>
          <w:color w:val="000000"/>
          <w:szCs w:val="24"/>
        </w:rPr>
        <w:t>Z</w:t>
      </w:r>
      <w:r w:rsidRPr="00F1580A">
        <w:rPr>
          <w:rFonts w:ascii="Times New Roman" w:hAnsi="Times New Roman"/>
          <w:b/>
          <w:color w:val="000000"/>
          <w:szCs w:val="24"/>
        </w:rPr>
        <w:t>avedenie maximálneho poistného na sociálne poistenie</w:t>
      </w:r>
      <w:r>
        <w:rPr>
          <w:rFonts w:ascii="Times New Roman" w:hAnsi="Times New Roman"/>
          <w:b/>
          <w:color w:val="000000"/>
          <w:szCs w:val="24"/>
        </w:rPr>
        <w:t xml:space="preserve"> - </w:t>
      </w:r>
      <w:r w:rsidRPr="00F1580A">
        <w:rPr>
          <w:rFonts w:ascii="Times New Roman" w:hAnsi="Times New Roman"/>
          <w:color w:val="000000"/>
          <w:szCs w:val="24"/>
        </w:rPr>
        <w:t>cieľom je zavedenie jednotnej sumy maximálneho ročného poistného na úrovni 47,171</w:t>
      </w:r>
      <w:r w:rsidR="00DF224A">
        <w:rPr>
          <w:rFonts w:ascii="Times New Roman" w:hAnsi="Times New Roman"/>
          <w:color w:val="000000"/>
          <w:szCs w:val="24"/>
        </w:rPr>
        <w:t>6</w:t>
      </w:r>
      <w:r w:rsidRPr="00F1580A">
        <w:rPr>
          <w:rFonts w:ascii="Times New Roman" w:hAnsi="Times New Roman"/>
          <w:color w:val="000000"/>
          <w:szCs w:val="24"/>
        </w:rPr>
        <w:t>-násobku sumy životného minima pre jednu plnoletú fyzickú osobu. Z uvedeného vyplýva, že dochádza k zjednoteniu výšky maximálnych vymeriavacích základov na sociálne poistenie s výnimkou úrazového poistenia, na ktoré sa bude naďalej vzťahovať neobmedzený vymeriavací základ.</w:t>
      </w:r>
    </w:p>
    <w:p w:rsidR="00DF2544" w:rsidP="008173F1">
      <w:pPr>
        <w:pStyle w:val="ListParagraph"/>
        <w:numPr>
          <w:numId w:val="10"/>
        </w:numPr>
        <w:tabs>
          <w:tab w:val="left" w:pos="993"/>
        </w:tabs>
        <w:bidi w:val="0"/>
        <w:spacing w:after="120"/>
        <w:ind w:hanging="720"/>
        <w:jc w:val="both"/>
        <w:rPr>
          <w:rFonts w:ascii="Times New Roman" w:hAnsi="Times New Roman"/>
          <w:color w:val="000000"/>
          <w:szCs w:val="24"/>
        </w:rPr>
      </w:pPr>
      <w:r w:rsidRPr="00F1580A">
        <w:rPr>
          <w:rFonts w:ascii="Times New Roman" w:hAnsi="Times New Roman"/>
          <w:b/>
          <w:color w:val="000000"/>
          <w:szCs w:val="24"/>
        </w:rPr>
        <w:t xml:space="preserve">Prispôsobenie sadzby poistného na sociálne poistenie platenej štátom a Sociálnou poisťovňou za zákonom ustanovený okruh osôb </w:t>
      </w:r>
      <w:r w:rsidRPr="00F1580A">
        <w:rPr>
          <w:rFonts w:ascii="Times New Roman" w:hAnsi="Times New Roman"/>
          <w:color w:val="000000"/>
          <w:szCs w:val="24"/>
        </w:rPr>
        <w:t>– percentuálna sadzba poistného platená štátom sa navrhuje zmeniť zo súčasných 26 % na 19 % a v prípade Sociálnej poisťovne zo súčasných 18 % na 19 %. Okruh poistencov štátu a Sociálnej poisťovne ostáva nezmenený rovnako ako vymeriavací základ na účely platby štátu a Sociálnej poisťovne.</w:t>
      </w:r>
    </w:p>
    <w:p w:rsidR="004D1D61" w:rsidRPr="00827B76" w:rsidP="008173F1">
      <w:pPr>
        <w:pStyle w:val="ListParagraph"/>
        <w:numPr>
          <w:numId w:val="10"/>
        </w:numPr>
        <w:tabs>
          <w:tab w:val="left" w:pos="993"/>
        </w:tabs>
        <w:bidi w:val="0"/>
        <w:ind w:hanging="720"/>
        <w:contextualSpacing w:val="0"/>
        <w:jc w:val="both"/>
        <w:rPr>
          <w:rFonts w:ascii="Times New Roman" w:hAnsi="Times New Roman"/>
          <w:color w:val="000000"/>
          <w:szCs w:val="24"/>
        </w:rPr>
      </w:pPr>
      <w:r w:rsidRPr="00F1580A">
        <w:rPr>
          <w:rFonts w:ascii="Times New Roman" w:hAnsi="Times New Roman"/>
          <w:b/>
          <w:color w:val="000000"/>
          <w:szCs w:val="24"/>
        </w:rPr>
        <w:t>Prechod na valorizačný mechanizmus prostredníctvom dôchodcovskej inflácie s účinnosťou od 1. januára 2013</w:t>
      </w:r>
      <w:r w:rsidRPr="00F1580A">
        <w:rPr>
          <w:rFonts w:ascii="Times New Roman" w:hAnsi="Times New Roman"/>
          <w:color w:val="000000"/>
          <w:szCs w:val="24"/>
        </w:rPr>
        <w:t xml:space="preserve"> </w:t>
      </w:r>
      <w:r w:rsidRPr="004D1D61">
        <w:rPr>
          <w:rFonts w:ascii="Times New Roman" w:hAnsi="Times New Roman"/>
          <w:b/>
          <w:color w:val="000000"/>
          <w:szCs w:val="24"/>
        </w:rPr>
        <w:t>do konca roka 2016</w:t>
      </w:r>
      <w:r>
        <w:rPr>
          <w:rFonts w:ascii="Times New Roman" w:hAnsi="Times New Roman"/>
          <w:color w:val="000000"/>
          <w:szCs w:val="24"/>
        </w:rPr>
        <w:t xml:space="preserve"> </w:t>
      </w:r>
      <w:r w:rsidRPr="00F1580A">
        <w:rPr>
          <w:rFonts w:ascii="Times New Roman" w:hAnsi="Times New Roman"/>
          <w:color w:val="000000"/>
          <w:szCs w:val="24"/>
        </w:rPr>
        <w:t xml:space="preserve">– </w:t>
      </w:r>
      <w:r w:rsidRPr="00827B76">
        <w:rPr>
          <w:rFonts w:ascii="Times New Roman" w:hAnsi="Times New Roman"/>
          <w:color w:val="000000"/>
          <w:szCs w:val="24"/>
        </w:rPr>
        <w:t>p</w:t>
      </w:r>
      <w:r w:rsidRPr="00827B76">
        <w:rPr>
          <w:rFonts w:ascii="Times New Roman" w:eastAsia="Calibri" w:hAnsi="Times New Roman" w:hint="default"/>
          <w:szCs w:val="24"/>
        </w:rPr>
        <w:t>ostupný</w:t>
      </w:r>
      <w:r w:rsidRPr="00827B76">
        <w:rPr>
          <w:rFonts w:ascii="Times New Roman" w:eastAsia="Calibri" w:hAnsi="Times New Roman" w:hint="default"/>
          <w:szCs w:val="24"/>
        </w:rPr>
        <w:t xml:space="preserve"> prechod na valorizač</w:t>
      </w:r>
      <w:r w:rsidRPr="00827B76">
        <w:rPr>
          <w:rFonts w:ascii="Times New Roman" w:eastAsia="Calibri" w:hAnsi="Times New Roman" w:hint="default"/>
          <w:szCs w:val="24"/>
        </w:rPr>
        <w:t>ný</w:t>
      </w:r>
      <w:r w:rsidRPr="00827B76">
        <w:rPr>
          <w:rFonts w:ascii="Times New Roman" w:eastAsia="Calibri" w:hAnsi="Times New Roman" w:hint="default"/>
          <w:szCs w:val="24"/>
        </w:rPr>
        <w:t xml:space="preserve"> mechanizmus prostrední</w:t>
      </w:r>
      <w:r w:rsidRPr="00827B76">
        <w:rPr>
          <w:rFonts w:ascii="Times New Roman" w:eastAsia="Calibri" w:hAnsi="Times New Roman" w:hint="default"/>
          <w:szCs w:val="24"/>
        </w:rPr>
        <w:t>ctvom dô</w:t>
      </w:r>
      <w:r w:rsidRPr="00827B76">
        <w:rPr>
          <w:rFonts w:ascii="Times New Roman" w:eastAsia="Calibri" w:hAnsi="Times New Roman" w:hint="default"/>
          <w:szCs w:val="24"/>
        </w:rPr>
        <w:t>chodcovskej inflá</w:t>
      </w:r>
      <w:r w:rsidRPr="00827B76">
        <w:rPr>
          <w:rFonts w:ascii="Times New Roman" w:eastAsia="Calibri" w:hAnsi="Times New Roman" w:hint="default"/>
          <w:szCs w:val="24"/>
        </w:rPr>
        <w:t>cie s </w:t>
      </w:r>
      <w:r w:rsidRPr="00827B76">
        <w:rPr>
          <w:rFonts w:ascii="Times New Roman" w:eastAsia="Calibri" w:hAnsi="Times New Roman" w:hint="default"/>
          <w:szCs w:val="24"/>
        </w:rPr>
        <w:t>úč</w:t>
      </w:r>
      <w:r w:rsidRPr="00827B76">
        <w:rPr>
          <w:rFonts w:ascii="Times New Roman" w:eastAsia="Calibri" w:hAnsi="Times New Roman" w:hint="default"/>
          <w:szCs w:val="24"/>
        </w:rPr>
        <w:t>innosť</w:t>
      </w:r>
      <w:r w:rsidRPr="00827B76">
        <w:rPr>
          <w:rFonts w:ascii="Times New Roman" w:eastAsia="Calibri" w:hAnsi="Times New Roman" w:hint="default"/>
          <w:szCs w:val="24"/>
        </w:rPr>
        <w:t>ou od 1. januá</w:t>
      </w:r>
      <w:r w:rsidRPr="00827B76">
        <w:rPr>
          <w:rFonts w:ascii="Times New Roman" w:eastAsia="Calibri" w:hAnsi="Times New Roman" w:hint="default"/>
          <w:szCs w:val="24"/>
        </w:rPr>
        <w:t>ra 2017, prič</w:t>
      </w:r>
      <w:r w:rsidRPr="00827B76">
        <w:rPr>
          <w:rFonts w:ascii="Times New Roman" w:eastAsia="Calibri" w:hAnsi="Times New Roman" w:hint="default"/>
          <w:szCs w:val="24"/>
        </w:rPr>
        <w:t>om poč</w:t>
      </w:r>
      <w:r w:rsidRPr="00827B76">
        <w:rPr>
          <w:rFonts w:ascii="Times New Roman" w:eastAsia="Calibri" w:hAnsi="Times New Roman" w:hint="default"/>
          <w:szCs w:val="24"/>
        </w:rPr>
        <w:t>as prechodné</w:t>
      </w:r>
      <w:r w:rsidRPr="00827B76">
        <w:rPr>
          <w:rFonts w:ascii="Times New Roman" w:eastAsia="Calibri" w:hAnsi="Times New Roman" w:hint="default"/>
          <w:szCs w:val="24"/>
        </w:rPr>
        <w:t>ho obdobia v </w:t>
      </w:r>
      <w:r w:rsidRPr="00827B76">
        <w:rPr>
          <w:rFonts w:ascii="Times New Roman" w:eastAsia="Calibri" w:hAnsi="Times New Roman" w:hint="default"/>
          <w:szCs w:val="24"/>
        </w:rPr>
        <w:t>rokoch 2013  až</w:t>
      </w:r>
      <w:r w:rsidRPr="00827B76">
        <w:rPr>
          <w:rFonts w:ascii="Times New Roman" w:eastAsia="Calibri" w:hAnsi="Times New Roman" w:hint="default"/>
          <w:szCs w:val="24"/>
        </w:rPr>
        <w:t xml:space="preserve"> 2016 sa budú</w:t>
      </w:r>
      <w:r w:rsidRPr="00827B76">
        <w:rPr>
          <w:rFonts w:ascii="Times New Roman" w:eastAsia="Calibri" w:hAnsi="Times New Roman" w:hint="default"/>
          <w:szCs w:val="24"/>
        </w:rPr>
        <w:t xml:space="preserve"> dô</w:t>
      </w:r>
      <w:r w:rsidRPr="00827B76">
        <w:rPr>
          <w:rFonts w:ascii="Times New Roman" w:eastAsia="Calibri" w:hAnsi="Times New Roman" w:hint="default"/>
          <w:szCs w:val="24"/>
        </w:rPr>
        <w:t>chodkové</w:t>
      </w:r>
      <w:r w:rsidRPr="00827B76">
        <w:rPr>
          <w:rFonts w:ascii="Times New Roman" w:eastAsia="Calibri" w:hAnsi="Times New Roman" w:hint="default"/>
          <w:szCs w:val="24"/>
        </w:rPr>
        <w:t xml:space="preserve"> dá</w:t>
      </w:r>
      <w:r w:rsidRPr="00827B76">
        <w:rPr>
          <w:rFonts w:ascii="Times New Roman" w:eastAsia="Calibri" w:hAnsi="Times New Roman" w:hint="default"/>
          <w:szCs w:val="24"/>
        </w:rPr>
        <w:t>vky </w:t>
      </w:r>
      <w:r w:rsidRPr="00827B76">
        <w:rPr>
          <w:rFonts w:ascii="Times New Roman" w:eastAsia="Calibri" w:hAnsi="Times New Roman" w:hint="default"/>
          <w:szCs w:val="24"/>
        </w:rPr>
        <w:t xml:space="preserve"> zvyš</w:t>
      </w:r>
      <w:r w:rsidRPr="00827B76">
        <w:rPr>
          <w:rFonts w:ascii="Times New Roman" w:eastAsia="Calibri" w:hAnsi="Times New Roman" w:hint="default"/>
          <w:szCs w:val="24"/>
        </w:rPr>
        <w:t>ovať</w:t>
      </w:r>
      <w:r w:rsidRPr="00827B76">
        <w:rPr>
          <w:rFonts w:ascii="Times New Roman" w:eastAsia="Calibri" w:hAnsi="Times New Roman" w:hint="default"/>
          <w:szCs w:val="24"/>
        </w:rPr>
        <w:t xml:space="preserve"> o </w:t>
      </w:r>
      <w:r w:rsidRPr="00827B76">
        <w:rPr>
          <w:rFonts w:ascii="Times New Roman" w:eastAsia="Calibri" w:hAnsi="Times New Roman" w:hint="default"/>
          <w:szCs w:val="24"/>
        </w:rPr>
        <w:t>pevnú</w:t>
      </w:r>
      <w:r w:rsidRPr="00827B76">
        <w:rPr>
          <w:rFonts w:ascii="Times New Roman" w:eastAsia="Calibri" w:hAnsi="Times New Roman" w:hint="default"/>
          <w:szCs w:val="24"/>
        </w:rPr>
        <w:t xml:space="preserve"> sumu ustanovenú</w:t>
      </w:r>
      <w:r w:rsidRPr="00827B76">
        <w:rPr>
          <w:rFonts w:ascii="Times New Roman" w:eastAsia="Calibri" w:hAnsi="Times New Roman" w:hint="default"/>
          <w:szCs w:val="24"/>
        </w:rPr>
        <w:t xml:space="preserve"> v </w:t>
      </w:r>
      <w:r w:rsidRPr="00827B76">
        <w:rPr>
          <w:rFonts w:ascii="Times New Roman" w:eastAsia="Calibri" w:hAnsi="Times New Roman" w:hint="default"/>
          <w:szCs w:val="24"/>
        </w:rPr>
        <w:t>zá</w:t>
      </w:r>
      <w:r w:rsidRPr="00827B76">
        <w:rPr>
          <w:rFonts w:ascii="Times New Roman" w:eastAsia="Calibri" w:hAnsi="Times New Roman" w:hint="default"/>
          <w:szCs w:val="24"/>
        </w:rPr>
        <w:t>vislosti od priemerné</w:t>
      </w:r>
      <w:r w:rsidRPr="00827B76">
        <w:rPr>
          <w:rFonts w:ascii="Times New Roman" w:eastAsia="Calibri" w:hAnsi="Times New Roman" w:hint="default"/>
          <w:szCs w:val="24"/>
        </w:rPr>
        <w:t>ho medziroč</w:t>
      </w:r>
      <w:r w:rsidRPr="00827B76">
        <w:rPr>
          <w:rFonts w:ascii="Times New Roman" w:eastAsia="Calibri" w:hAnsi="Times New Roman" w:hint="default"/>
          <w:szCs w:val="24"/>
        </w:rPr>
        <w:t>né</w:t>
      </w:r>
      <w:r w:rsidRPr="00827B76">
        <w:rPr>
          <w:rFonts w:ascii="Times New Roman" w:eastAsia="Calibri" w:hAnsi="Times New Roman" w:hint="default"/>
          <w:szCs w:val="24"/>
        </w:rPr>
        <w:t>ho rastu dô</w:t>
      </w:r>
      <w:r w:rsidRPr="00827B76">
        <w:rPr>
          <w:rFonts w:ascii="Times New Roman" w:eastAsia="Calibri" w:hAnsi="Times New Roman" w:hint="default"/>
          <w:szCs w:val="24"/>
        </w:rPr>
        <w:t>chodcovskej inflá</w:t>
      </w:r>
      <w:r w:rsidRPr="00827B76">
        <w:rPr>
          <w:rFonts w:ascii="Times New Roman" w:eastAsia="Calibri" w:hAnsi="Times New Roman" w:hint="default"/>
          <w:szCs w:val="24"/>
        </w:rPr>
        <w:t>cie a </w:t>
      </w:r>
      <w:r w:rsidRPr="00827B76">
        <w:rPr>
          <w:rFonts w:ascii="Times New Roman" w:eastAsia="Calibri" w:hAnsi="Times New Roman" w:hint="default"/>
          <w:szCs w:val="24"/>
        </w:rPr>
        <w:t>priemernej mesač</w:t>
      </w:r>
      <w:r w:rsidRPr="00827B76">
        <w:rPr>
          <w:rFonts w:ascii="Times New Roman" w:eastAsia="Calibri" w:hAnsi="Times New Roman" w:hint="default"/>
          <w:szCs w:val="24"/>
        </w:rPr>
        <w:t>nej sumy</w:t>
      </w:r>
    </w:p>
    <w:p w:rsidR="004D1D61" w:rsidRPr="00827B76" w:rsidP="008173F1">
      <w:pPr>
        <w:numPr>
          <w:ilvl w:val="1"/>
          <w:numId w:val="21"/>
        </w:numPr>
        <w:bidi w:val="0"/>
        <w:ind w:left="1134" w:hanging="425"/>
        <w:jc w:val="both"/>
        <w:rPr>
          <w:rFonts w:ascii="Times New Roman" w:eastAsia="Calibri" w:hAnsi="Times New Roman" w:hint="default"/>
          <w:szCs w:val="24"/>
        </w:rPr>
      </w:pPr>
      <w:r w:rsidRPr="00827B76">
        <w:rPr>
          <w:rFonts w:ascii="Times New Roman" w:eastAsia="Calibri" w:hAnsi="Times New Roman" w:hint="default"/>
          <w:szCs w:val="24"/>
        </w:rPr>
        <w:t>starobné</w:t>
      </w:r>
      <w:r w:rsidRPr="00827B76">
        <w:rPr>
          <w:rFonts w:ascii="Times New Roman" w:eastAsia="Calibri" w:hAnsi="Times New Roman" w:hint="default"/>
          <w:szCs w:val="24"/>
        </w:rPr>
        <w:t>ho dô</w:t>
      </w:r>
      <w:r w:rsidRPr="00827B76">
        <w:rPr>
          <w:rFonts w:ascii="Times New Roman" w:eastAsia="Calibri" w:hAnsi="Times New Roman" w:hint="default"/>
          <w:szCs w:val="24"/>
        </w:rPr>
        <w:t>chodku a </w:t>
      </w:r>
      <w:r w:rsidRPr="00827B76">
        <w:rPr>
          <w:rFonts w:ascii="Times New Roman" w:eastAsia="Calibri" w:hAnsi="Times New Roman" w:hint="default"/>
          <w:szCs w:val="24"/>
        </w:rPr>
        <w:t>predč</w:t>
      </w:r>
      <w:r w:rsidRPr="00827B76">
        <w:rPr>
          <w:rFonts w:ascii="Times New Roman" w:eastAsia="Calibri" w:hAnsi="Times New Roman" w:hint="default"/>
          <w:szCs w:val="24"/>
        </w:rPr>
        <w:t>asné</w:t>
      </w:r>
      <w:r w:rsidRPr="00827B76">
        <w:rPr>
          <w:rFonts w:ascii="Times New Roman" w:eastAsia="Calibri" w:hAnsi="Times New Roman" w:hint="default"/>
          <w:szCs w:val="24"/>
        </w:rPr>
        <w:t>ho starobné</w:t>
      </w:r>
      <w:r w:rsidRPr="00827B76">
        <w:rPr>
          <w:rFonts w:ascii="Times New Roman" w:eastAsia="Calibri" w:hAnsi="Times New Roman" w:hint="default"/>
          <w:szCs w:val="24"/>
        </w:rPr>
        <w:t>ho dô</w:t>
      </w:r>
      <w:r w:rsidRPr="00827B76">
        <w:rPr>
          <w:rFonts w:ascii="Times New Roman" w:eastAsia="Calibri" w:hAnsi="Times New Roman" w:hint="default"/>
          <w:szCs w:val="24"/>
        </w:rPr>
        <w:t>chodku v </w:t>
      </w:r>
      <w:r w:rsidRPr="00827B76">
        <w:rPr>
          <w:rFonts w:ascii="Times New Roman" w:eastAsia="Calibri" w:hAnsi="Times New Roman" w:hint="default"/>
          <w:szCs w:val="24"/>
        </w:rPr>
        <w:t>prí</w:t>
      </w:r>
      <w:r w:rsidRPr="00827B76">
        <w:rPr>
          <w:rFonts w:ascii="Times New Roman" w:eastAsia="Calibri" w:hAnsi="Times New Roman" w:hint="default"/>
          <w:szCs w:val="24"/>
        </w:rPr>
        <w:t>pade starobný</w:t>
      </w:r>
      <w:r w:rsidRPr="00827B76">
        <w:rPr>
          <w:rFonts w:ascii="Times New Roman" w:eastAsia="Calibri" w:hAnsi="Times New Roman" w:hint="default"/>
          <w:szCs w:val="24"/>
        </w:rPr>
        <w:t>ch dô</w:t>
      </w:r>
      <w:r w:rsidRPr="00827B76">
        <w:rPr>
          <w:rFonts w:ascii="Times New Roman" w:eastAsia="Calibri" w:hAnsi="Times New Roman" w:hint="default"/>
          <w:szCs w:val="24"/>
        </w:rPr>
        <w:t>chodkov a </w:t>
      </w:r>
      <w:r w:rsidRPr="00827B76">
        <w:rPr>
          <w:rFonts w:ascii="Times New Roman" w:eastAsia="Calibri" w:hAnsi="Times New Roman" w:hint="default"/>
          <w:szCs w:val="24"/>
        </w:rPr>
        <w:t>predč</w:t>
      </w:r>
      <w:r w:rsidRPr="00827B76">
        <w:rPr>
          <w:rFonts w:ascii="Times New Roman" w:eastAsia="Calibri" w:hAnsi="Times New Roman" w:hint="default"/>
          <w:szCs w:val="24"/>
        </w:rPr>
        <w:t>asný</w:t>
      </w:r>
      <w:r w:rsidRPr="00827B76">
        <w:rPr>
          <w:rFonts w:ascii="Times New Roman" w:eastAsia="Calibri" w:hAnsi="Times New Roman" w:hint="default"/>
          <w:szCs w:val="24"/>
        </w:rPr>
        <w:t>ch starobný</w:t>
      </w:r>
      <w:r w:rsidRPr="00827B76">
        <w:rPr>
          <w:rFonts w:ascii="Times New Roman" w:eastAsia="Calibri" w:hAnsi="Times New Roman" w:hint="default"/>
          <w:szCs w:val="24"/>
        </w:rPr>
        <w:t>ch dô</w:t>
      </w:r>
      <w:r w:rsidRPr="00827B76">
        <w:rPr>
          <w:rFonts w:ascii="Times New Roman" w:eastAsia="Calibri" w:hAnsi="Times New Roman" w:hint="default"/>
          <w:szCs w:val="24"/>
        </w:rPr>
        <w:t xml:space="preserve">chodkov; </w:t>
      </w:r>
    </w:p>
    <w:p w:rsidR="004D1D61" w:rsidRPr="00827B76" w:rsidP="008173F1">
      <w:pPr>
        <w:numPr>
          <w:ilvl w:val="1"/>
          <w:numId w:val="21"/>
        </w:numPr>
        <w:bidi w:val="0"/>
        <w:ind w:left="1134" w:hanging="425"/>
        <w:jc w:val="both"/>
        <w:rPr>
          <w:rFonts w:ascii="Times New Roman" w:eastAsia="Calibri" w:hAnsi="Times New Roman" w:hint="default"/>
          <w:szCs w:val="24"/>
        </w:rPr>
      </w:pPr>
      <w:r w:rsidRPr="00827B76">
        <w:rPr>
          <w:rFonts w:ascii="Times New Roman" w:eastAsia="Calibri" w:hAnsi="Times New Roman" w:hint="default"/>
          <w:szCs w:val="24"/>
        </w:rPr>
        <w:t>inv</w:t>
      </w:r>
      <w:r w:rsidRPr="00827B76">
        <w:rPr>
          <w:rFonts w:ascii="Times New Roman" w:eastAsia="Calibri" w:hAnsi="Times New Roman" w:hint="default"/>
          <w:szCs w:val="24"/>
        </w:rPr>
        <w:t>alidné</w:t>
      </w:r>
      <w:r w:rsidRPr="00827B76">
        <w:rPr>
          <w:rFonts w:ascii="Times New Roman" w:eastAsia="Calibri" w:hAnsi="Times New Roman" w:hint="default"/>
          <w:szCs w:val="24"/>
        </w:rPr>
        <w:t>ho dô</w:t>
      </w:r>
      <w:r w:rsidRPr="00827B76">
        <w:rPr>
          <w:rFonts w:ascii="Times New Roman" w:eastAsia="Calibri" w:hAnsi="Times New Roman" w:hint="default"/>
          <w:szCs w:val="24"/>
        </w:rPr>
        <w:t>chodku do 70 % v </w:t>
      </w:r>
      <w:r w:rsidRPr="00827B76">
        <w:rPr>
          <w:rFonts w:ascii="Times New Roman" w:eastAsia="Calibri" w:hAnsi="Times New Roman" w:hint="default"/>
          <w:szCs w:val="24"/>
        </w:rPr>
        <w:t>prí</w:t>
      </w:r>
      <w:r w:rsidRPr="00827B76">
        <w:rPr>
          <w:rFonts w:ascii="Times New Roman" w:eastAsia="Calibri" w:hAnsi="Times New Roman" w:hint="default"/>
          <w:szCs w:val="24"/>
        </w:rPr>
        <w:t>pade tzv. č</w:t>
      </w:r>
      <w:r w:rsidRPr="00827B76">
        <w:rPr>
          <w:rFonts w:ascii="Times New Roman" w:eastAsia="Calibri" w:hAnsi="Times New Roman" w:hint="default"/>
          <w:szCs w:val="24"/>
        </w:rPr>
        <w:t>iastoč</w:t>
      </w:r>
      <w:r w:rsidRPr="00827B76">
        <w:rPr>
          <w:rFonts w:ascii="Times New Roman" w:eastAsia="Calibri" w:hAnsi="Times New Roman" w:hint="default"/>
          <w:szCs w:val="24"/>
        </w:rPr>
        <w:t>ný</w:t>
      </w:r>
      <w:r w:rsidRPr="00827B76">
        <w:rPr>
          <w:rFonts w:ascii="Times New Roman" w:eastAsia="Calibri" w:hAnsi="Times New Roman" w:hint="default"/>
          <w:szCs w:val="24"/>
        </w:rPr>
        <w:t>ch invalidný</w:t>
      </w:r>
      <w:r w:rsidRPr="00827B76">
        <w:rPr>
          <w:rFonts w:ascii="Times New Roman" w:eastAsia="Calibri" w:hAnsi="Times New Roman" w:hint="default"/>
          <w:szCs w:val="24"/>
        </w:rPr>
        <w:t>ch dô</w:t>
      </w:r>
      <w:r w:rsidRPr="00827B76">
        <w:rPr>
          <w:rFonts w:ascii="Times New Roman" w:eastAsia="Calibri" w:hAnsi="Times New Roman" w:hint="default"/>
          <w:szCs w:val="24"/>
        </w:rPr>
        <w:t>chodkov;</w:t>
      </w:r>
    </w:p>
    <w:p w:rsidR="004D1D61" w:rsidRPr="00827B76" w:rsidP="008173F1">
      <w:pPr>
        <w:numPr>
          <w:ilvl w:val="1"/>
          <w:numId w:val="21"/>
        </w:numPr>
        <w:bidi w:val="0"/>
        <w:ind w:left="1134" w:hanging="425"/>
        <w:jc w:val="both"/>
        <w:rPr>
          <w:rFonts w:ascii="Times New Roman" w:eastAsia="Calibri" w:hAnsi="Times New Roman" w:hint="default"/>
          <w:szCs w:val="24"/>
        </w:rPr>
      </w:pPr>
      <w:r w:rsidRPr="00827B76">
        <w:rPr>
          <w:rFonts w:ascii="Times New Roman" w:eastAsia="Calibri" w:hAnsi="Times New Roman" w:hint="default"/>
          <w:szCs w:val="24"/>
        </w:rPr>
        <w:t>invalidné</w:t>
      </w:r>
      <w:r w:rsidRPr="00827B76">
        <w:rPr>
          <w:rFonts w:ascii="Times New Roman" w:eastAsia="Calibri" w:hAnsi="Times New Roman" w:hint="default"/>
          <w:szCs w:val="24"/>
        </w:rPr>
        <w:t>ho dô</w:t>
      </w:r>
      <w:r w:rsidRPr="00827B76">
        <w:rPr>
          <w:rFonts w:ascii="Times New Roman" w:eastAsia="Calibri" w:hAnsi="Times New Roman" w:hint="default"/>
          <w:szCs w:val="24"/>
        </w:rPr>
        <w:t>chodku nad 70 % v </w:t>
      </w:r>
      <w:r w:rsidRPr="00827B76">
        <w:rPr>
          <w:rFonts w:ascii="Times New Roman" w:eastAsia="Calibri" w:hAnsi="Times New Roman" w:hint="default"/>
          <w:szCs w:val="24"/>
        </w:rPr>
        <w:t>prí</w:t>
      </w:r>
      <w:r w:rsidRPr="00827B76">
        <w:rPr>
          <w:rFonts w:ascii="Times New Roman" w:eastAsia="Calibri" w:hAnsi="Times New Roman" w:hint="default"/>
          <w:szCs w:val="24"/>
        </w:rPr>
        <w:t>pade tzv. plný</w:t>
      </w:r>
      <w:r w:rsidRPr="00827B76">
        <w:rPr>
          <w:rFonts w:ascii="Times New Roman" w:eastAsia="Calibri" w:hAnsi="Times New Roman" w:hint="default"/>
          <w:szCs w:val="24"/>
        </w:rPr>
        <w:t>ch invalidný</w:t>
      </w:r>
      <w:r w:rsidRPr="00827B76">
        <w:rPr>
          <w:rFonts w:ascii="Times New Roman" w:eastAsia="Calibri" w:hAnsi="Times New Roman" w:hint="default"/>
          <w:szCs w:val="24"/>
        </w:rPr>
        <w:t>ch dô</w:t>
      </w:r>
      <w:r w:rsidRPr="00827B76">
        <w:rPr>
          <w:rFonts w:ascii="Times New Roman" w:eastAsia="Calibri" w:hAnsi="Times New Roman" w:hint="default"/>
          <w:szCs w:val="24"/>
        </w:rPr>
        <w:t>chodkov.</w:t>
      </w:r>
    </w:p>
    <w:p w:rsidR="004D1D61" w:rsidRPr="00827B76" w:rsidP="004D1D61">
      <w:pPr>
        <w:bidi w:val="0"/>
        <w:ind w:left="709"/>
        <w:jc w:val="both"/>
        <w:rPr>
          <w:rFonts w:ascii="Times New Roman" w:eastAsia="Calibri" w:hAnsi="Times New Roman" w:hint="default"/>
          <w:szCs w:val="24"/>
        </w:rPr>
      </w:pPr>
      <w:r w:rsidRPr="00827B76">
        <w:rPr>
          <w:rFonts w:ascii="Times New Roman" w:eastAsia="Calibri" w:hAnsi="Times New Roman" w:hint="default"/>
          <w:szCs w:val="24"/>
        </w:rPr>
        <w:t>Na vdovské</w:t>
      </w:r>
      <w:r w:rsidRPr="00827B76">
        <w:rPr>
          <w:rFonts w:ascii="Times New Roman" w:eastAsia="Calibri" w:hAnsi="Times New Roman" w:hint="default"/>
          <w:szCs w:val="24"/>
        </w:rPr>
        <w:t xml:space="preserve"> dô</w:t>
      </w:r>
      <w:r w:rsidRPr="00827B76">
        <w:rPr>
          <w:rFonts w:ascii="Times New Roman" w:eastAsia="Calibri" w:hAnsi="Times New Roman" w:hint="default"/>
          <w:szCs w:val="24"/>
        </w:rPr>
        <w:t>chodky a </w:t>
      </w:r>
      <w:r w:rsidRPr="00827B76">
        <w:rPr>
          <w:rFonts w:ascii="Times New Roman" w:eastAsia="Calibri" w:hAnsi="Times New Roman" w:hint="default"/>
          <w:szCs w:val="24"/>
        </w:rPr>
        <w:t>vdovecké</w:t>
      </w:r>
      <w:r w:rsidRPr="00827B76">
        <w:rPr>
          <w:rFonts w:ascii="Times New Roman" w:eastAsia="Calibri" w:hAnsi="Times New Roman" w:hint="default"/>
          <w:szCs w:val="24"/>
        </w:rPr>
        <w:t xml:space="preserve"> dô</w:t>
      </w:r>
      <w:r w:rsidRPr="00827B76">
        <w:rPr>
          <w:rFonts w:ascii="Times New Roman" w:eastAsia="Calibri" w:hAnsi="Times New Roman" w:hint="default"/>
          <w:szCs w:val="24"/>
        </w:rPr>
        <w:t>chodky sa bude vzť</w:t>
      </w:r>
      <w:r w:rsidRPr="00827B76">
        <w:rPr>
          <w:rFonts w:ascii="Times New Roman" w:eastAsia="Calibri" w:hAnsi="Times New Roman" w:hint="default"/>
          <w:szCs w:val="24"/>
        </w:rPr>
        <w:t>ahovať</w:t>
      </w:r>
      <w:r w:rsidRPr="00827B76">
        <w:rPr>
          <w:rFonts w:ascii="Times New Roman" w:eastAsia="Calibri" w:hAnsi="Times New Roman" w:hint="default"/>
          <w:szCs w:val="24"/>
        </w:rPr>
        <w:t xml:space="preserve"> 60 % pevnej sumy pre poberateľ</w:t>
      </w:r>
      <w:r w:rsidRPr="00827B76">
        <w:rPr>
          <w:rFonts w:ascii="Times New Roman" w:eastAsia="Calibri" w:hAnsi="Times New Roman" w:hint="default"/>
          <w:szCs w:val="24"/>
        </w:rPr>
        <w:t>ov starobné</w:t>
      </w:r>
      <w:r w:rsidRPr="00827B76">
        <w:rPr>
          <w:rFonts w:ascii="Times New Roman" w:eastAsia="Calibri" w:hAnsi="Times New Roman" w:hint="default"/>
          <w:szCs w:val="24"/>
        </w:rPr>
        <w:t>ho dô</w:t>
      </w:r>
      <w:r w:rsidRPr="00827B76">
        <w:rPr>
          <w:rFonts w:ascii="Times New Roman" w:eastAsia="Calibri" w:hAnsi="Times New Roman" w:hint="default"/>
          <w:szCs w:val="24"/>
        </w:rPr>
        <w:t>c</w:t>
      </w:r>
      <w:r w:rsidRPr="00827B76">
        <w:rPr>
          <w:rFonts w:ascii="Times New Roman" w:eastAsia="Calibri" w:hAnsi="Times New Roman" w:hint="default"/>
          <w:szCs w:val="24"/>
        </w:rPr>
        <w:t>hodku a na </w:t>
      </w:r>
      <w:r w:rsidRPr="00827B76">
        <w:rPr>
          <w:rFonts w:ascii="Times New Roman" w:eastAsia="Calibri" w:hAnsi="Times New Roman" w:hint="default"/>
          <w:szCs w:val="24"/>
        </w:rPr>
        <w:t>sirotské</w:t>
      </w:r>
      <w:r w:rsidRPr="00827B76">
        <w:rPr>
          <w:rFonts w:ascii="Times New Roman" w:eastAsia="Calibri" w:hAnsi="Times New Roman" w:hint="default"/>
          <w:szCs w:val="24"/>
        </w:rPr>
        <w:t xml:space="preserve"> dô</w:t>
      </w:r>
      <w:r w:rsidRPr="00827B76">
        <w:rPr>
          <w:rFonts w:ascii="Times New Roman" w:eastAsia="Calibri" w:hAnsi="Times New Roman" w:hint="default"/>
          <w:szCs w:val="24"/>
        </w:rPr>
        <w:t>chodky 40 % pevnej sumy pre poberateľ</w:t>
      </w:r>
      <w:r w:rsidRPr="00827B76">
        <w:rPr>
          <w:rFonts w:ascii="Times New Roman" w:eastAsia="Calibri" w:hAnsi="Times New Roman" w:hint="default"/>
          <w:szCs w:val="24"/>
        </w:rPr>
        <w:t>ov starobné</w:t>
      </w:r>
      <w:r w:rsidRPr="00827B76">
        <w:rPr>
          <w:rFonts w:ascii="Times New Roman" w:eastAsia="Calibri" w:hAnsi="Times New Roman" w:hint="default"/>
          <w:szCs w:val="24"/>
        </w:rPr>
        <w:t>ho dô</w:t>
      </w:r>
      <w:r w:rsidRPr="00827B76">
        <w:rPr>
          <w:rFonts w:ascii="Times New Roman" w:eastAsia="Calibri" w:hAnsi="Times New Roman" w:hint="default"/>
          <w:szCs w:val="24"/>
        </w:rPr>
        <w:t xml:space="preserve">chodku. </w:t>
      </w:r>
    </w:p>
    <w:p w:rsidR="00DF2544" w:rsidP="008173F1">
      <w:pPr>
        <w:pStyle w:val="ListParagraph"/>
        <w:numPr>
          <w:numId w:val="10"/>
        </w:numPr>
        <w:tabs>
          <w:tab w:val="left" w:pos="993"/>
        </w:tabs>
        <w:bidi w:val="0"/>
        <w:ind w:hanging="720"/>
        <w:contextualSpacing w:val="0"/>
        <w:jc w:val="both"/>
        <w:rPr>
          <w:rFonts w:ascii="Times New Roman" w:hAnsi="Times New Roman"/>
          <w:color w:val="000000"/>
          <w:szCs w:val="24"/>
        </w:rPr>
      </w:pPr>
      <w:r w:rsidRPr="004D1D61" w:rsidR="004D1D61">
        <w:rPr>
          <w:rFonts w:ascii="Times New Roman" w:eastAsia="Calibri" w:hAnsi="Times New Roman" w:hint="default"/>
          <w:b/>
          <w:sz w:val="22"/>
          <w:szCs w:val="22"/>
        </w:rPr>
        <w:t>Ú</w:t>
      </w:r>
      <w:r w:rsidRPr="004D1D61" w:rsidR="004D1D61">
        <w:rPr>
          <w:rFonts w:ascii="Times New Roman" w:eastAsia="Calibri" w:hAnsi="Times New Roman" w:hint="default"/>
          <w:b/>
          <w:sz w:val="22"/>
          <w:szCs w:val="22"/>
        </w:rPr>
        <w:t>razové</w:t>
      </w:r>
      <w:r w:rsidRPr="004D1D61" w:rsidR="004D1D61">
        <w:rPr>
          <w:rFonts w:ascii="Times New Roman" w:eastAsia="Calibri" w:hAnsi="Times New Roman" w:hint="default"/>
          <w:b/>
          <w:sz w:val="22"/>
          <w:szCs w:val="22"/>
        </w:rPr>
        <w:t xml:space="preserve"> dá</w:t>
      </w:r>
      <w:r w:rsidRPr="004D1D61" w:rsidR="004D1D61">
        <w:rPr>
          <w:rFonts w:ascii="Times New Roman" w:eastAsia="Calibri" w:hAnsi="Times New Roman" w:hint="default"/>
          <w:b/>
          <w:sz w:val="22"/>
          <w:szCs w:val="22"/>
        </w:rPr>
        <w:t>vky sa navrhuje priamo valorizovať</w:t>
      </w:r>
      <w:r w:rsidRPr="004D1D61" w:rsidR="004D1D61">
        <w:rPr>
          <w:rFonts w:ascii="Times New Roman" w:eastAsia="Calibri" w:hAnsi="Times New Roman"/>
          <w:sz w:val="22"/>
          <w:szCs w:val="22"/>
        </w:rPr>
        <w:t xml:space="preserve"> v </w:t>
      </w:r>
      <w:r w:rsidRPr="004D1D61" w:rsidR="004D1D61">
        <w:rPr>
          <w:rFonts w:ascii="Times New Roman" w:eastAsia="Calibri" w:hAnsi="Times New Roman" w:hint="default"/>
          <w:sz w:val="22"/>
          <w:szCs w:val="22"/>
        </w:rPr>
        <w:t>zá</w:t>
      </w:r>
      <w:r w:rsidRPr="004D1D61" w:rsidR="004D1D61">
        <w:rPr>
          <w:rFonts w:ascii="Times New Roman" w:eastAsia="Calibri" w:hAnsi="Times New Roman" w:hint="default"/>
          <w:sz w:val="22"/>
          <w:szCs w:val="22"/>
        </w:rPr>
        <w:t>vislosti od percenta medziroč</w:t>
      </w:r>
      <w:r w:rsidRPr="004D1D61" w:rsidR="004D1D61">
        <w:rPr>
          <w:rFonts w:ascii="Times New Roman" w:eastAsia="Calibri" w:hAnsi="Times New Roman" w:hint="default"/>
          <w:sz w:val="22"/>
          <w:szCs w:val="22"/>
        </w:rPr>
        <w:t>né</w:t>
      </w:r>
      <w:r w:rsidRPr="004D1D61" w:rsidR="004D1D61">
        <w:rPr>
          <w:rFonts w:ascii="Times New Roman" w:eastAsia="Calibri" w:hAnsi="Times New Roman" w:hint="default"/>
          <w:sz w:val="22"/>
          <w:szCs w:val="22"/>
        </w:rPr>
        <w:t>ho rastu spotrebiteľ</w:t>
      </w:r>
      <w:r w:rsidRPr="004D1D61" w:rsidR="004D1D61">
        <w:rPr>
          <w:rFonts w:ascii="Times New Roman" w:eastAsia="Calibri" w:hAnsi="Times New Roman" w:hint="default"/>
          <w:sz w:val="22"/>
          <w:szCs w:val="22"/>
        </w:rPr>
        <w:t>ský</w:t>
      </w:r>
      <w:r w:rsidRPr="004D1D61" w:rsidR="004D1D61">
        <w:rPr>
          <w:rFonts w:ascii="Times New Roman" w:eastAsia="Calibri" w:hAnsi="Times New Roman" w:hint="default"/>
          <w:sz w:val="22"/>
          <w:szCs w:val="22"/>
        </w:rPr>
        <w:t>ch cien s </w:t>
      </w:r>
      <w:r w:rsidRPr="004D1D61" w:rsidR="004D1D61">
        <w:rPr>
          <w:rFonts w:ascii="Times New Roman" w:eastAsia="Calibri" w:hAnsi="Times New Roman" w:hint="default"/>
          <w:sz w:val="22"/>
          <w:szCs w:val="22"/>
        </w:rPr>
        <w:t>úč</w:t>
      </w:r>
      <w:r w:rsidRPr="004D1D61" w:rsidR="004D1D61">
        <w:rPr>
          <w:rFonts w:ascii="Times New Roman" w:eastAsia="Calibri" w:hAnsi="Times New Roman" w:hint="default"/>
          <w:sz w:val="22"/>
          <w:szCs w:val="22"/>
        </w:rPr>
        <w:t>innosť</w:t>
      </w:r>
      <w:r w:rsidRPr="004D1D61" w:rsidR="004D1D61">
        <w:rPr>
          <w:rFonts w:ascii="Times New Roman" w:eastAsia="Calibri" w:hAnsi="Times New Roman" w:hint="default"/>
          <w:sz w:val="22"/>
          <w:szCs w:val="22"/>
        </w:rPr>
        <w:t>ou od 1. januá</w:t>
      </w:r>
      <w:r w:rsidRPr="004D1D61" w:rsidR="004D1D61">
        <w:rPr>
          <w:rFonts w:ascii="Times New Roman" w:eastAsia="Calibri" w:hAnsi="Times New Roman" w:hint="default"/>
          <w:sz w:val="22"/>
          <w:szCs w:val="22"/>
        </w:rPr>
        <w:t>ra 2013.</w:t>
      </w:r>
    </w:p>
    <w:p w:rsidR="00DF2544" w:rsidP="008173F1">
      <w:pPr>
        <w:pStyle w:val="ListParagraph"/>
        <w:numPr>
          <w:numId w:val="10"/>
        </w:numPr>
        <w:tabs>
          <w:tab w:val="left" w:pos="993"/>
        </w:tabs>
        <w:bidi w:val="0"/>
        <w:ind w:hanging="720"/>
        <w:contextualSpacing w:val="0"/>
        <w:jc w:val="both"/>
        <w:rPr>
          <w:rFonts w:ascii="Times New Roman" w:hAnsi="Times New Roman"/>
          <w:color w:val="000000"/>
          <w:szCs w:val="24"/>
        </w:rPr>
      </w:pPr>
      <w:r w:rsidRPr="00F1580A">
        <w:rPr>
          <w:rFonts w:ascii="Times New Roman" w:hAnsi="Times New Roman"/>
          <w:b/>
          <w:bCs/>
          <w:color w:val="000000"/>
          <w:szCs w:val="24"/>
        </w:rPr>
        <w:t xml:space="preserve">Rozšírenie použitia </w:t>
      </w:r>
      <w:r>
        <w:rPr>
          <w:rFonts w:ascii="Times New Roman" w:hAnsi="Times New Roman"/>
          <w:b/>
          <w:bCs/>
          <w:color w:val="000000"/>
          <w:szCs w:val="24"/>
        </w:rPr>
        <w:t>osobného mzdového bodu (OMB)</w:t>
      </w:r>
      <w:r w:rsidRPr="00F1580A">
        <w:rPr>
          <w:rFonts w:ascii="Times New Roman" w:hAnsi="Times New Roman"/>
          <w:b/>
          <w:bCs/>
          <w:color w:val="000000"/>
          <w:szCs w:val="24"/>
        </w:rPr>
        <w:t xml:space="preserve"> v hodnote 0,67 na vybraných poistencov vo veku do 20 rokov</w:t>
      </w:r>
      <w:r w:rsidRPr="00F1580A">
        <w:rPr>
          <w:rFonts w:ascii="Times New Roman" w:hAnsi="Times New Roman"/>
          <w:b/>
          <w:color w:val="000000"/>
          <w:szCs w:val="24"/>
        </w:rPr>
        <w:t xml:space="preserve"> </w:t>
      </w:r>
      <w:r w:rsidRPr="00F1580A">
        <w:rPr>
          <w:rFonts w:ascii="Times New Roman" w:hAnsi="Times New Roman"/>
          <w:color w:val="000000"/>
          <w:szCs w:val="24"/>
        </w:rPr>
        <w:t xml:space="preserve">– navrhuje sa </w:t>
      </w:r>
      <w:r>
        <w:rPr>
          <w:rFonts w:ascii="Times New Roman" w:hAnsi="Times New Roman"/>
          <w:color w:val="000000"/>
          <w:szCs w:val="24"/>
        </w:rPr>
        <w:t>OMB</w:t>
      </w:r>
      <w:r w:rsidRPr="00F1580A">
        <w:rPr>
          <w:rFonts w:ascii="Times New Roman" w:hAnsi="Times New Roman"/>
          <w:color w:val="000000"/>
          <w:szCs w:val="24"/>
        </w:rPr>
        <w:t xml:space="preserve"> v hodnote 0,67 pre fyzické osoby do 20 rokov, ktoré získali obdobie dôchodkového poistenia len formou dobrovoľného dôchodkového poistenia alebo dodatočným doplatením.</w:t>
      </w:r>
    </w:p>
    <w:p w:rsidR="00AA586D" w:rsidP="008173F1">
      <w:pPr>
        <w:pStyle w:val="ListParagraph"/>
        <w:numPr>
          <w:numId w:val="10"/>
        </w:numPr>
        <w:tabs>
          <w:tab w:val="left" w:pos="993"/>
        </w:tabs>
        <w:bidi w:val="0"/>
        <w:spacing w:after="120"/>
        <w:ind w:hanging="720"/>
        <w:jc w:val="both"/>
        <w:rPr>
          <w:rFonts w:ascii="Times New Roman" w:hAnsi="Times New Roman"/>
          <w:color w:val="000000"/>
          <w:szCs w:val="24"/>
        </w:rPr>
      </w:pPr>
      <w:r w:rsidR="00D10EB7">
        <w:rPr>
          <w:rFonts w:ascii="Times New Roman" w:hAnsi="Times New Roman"/>
          <w:b/>
          <w:color w:val="000000"/>
          <w:szCs w:val="24"/>
        </w:rPr>
        <w:t>P</w:t>
      </w:r>
      <w:r w:rsidRPr="00F1580A">
        <w:rPr>
          <w:rFonts w:ascii="Times New Roman" w:hAnsi="Times New Roman"/>
          <w:b/>
          <w:color w:val="000000"/>
          <w:szCs w:val="24"/>
        </w:rPr>
        <w:t xml:space="preserve">oskytovanie garančnej dávky ako štátnej sociálnej dávky a úhrada neodvedených príspevkov zamestnávateľom na </w:t>
      </w:r>
      <w:r>
        <w:rPr>
          <w:rFonts w:ascii="Times New Roman" w:hAnsi="Times New Roman"/>
          <w:b/>
          <w:color w:val="000000"/>
          <w:szCs w:val="24"/>
        </w:rPr>
        <w:t>SDS</w:t>
      </w:r>
      <w:r w:rsidRPr="00F1580A">
        <w:rPr>
          <w:rFonts w:ascii="Times New Roman" w:hAnsi="Times New Roman"/>
          <w:b/>
          <w:color w:val="000000"/>
          <w:szCs w:val="24"/>
        </w:rPr>
        <w:t xml:space="preserve"> zo </w:t>
      </w:r>
      <w:r>
        <w:rPr>
          <w:rFonts w:ascii="Times New Roman" w:hAnsi="Times New Roman"/>
          <w:b/>
          <w:color w:val="000000"/>
          <w:szCs w:val="24"/>
        </w:rPr>
        <w:t>ŠR SR</w:t>
      </w:r>
      <w:r w:rsidRPr="00F1580A">
        <w:rPr>
          <w:rFonts w:ascii="Times New Roman" w:hAnsi="Times New Roman"/>
          <w:b/>
          <w:color w:val="000000"/>
          <w:szCs w:val="24"/>
        </w:rPr>
        <w:t>.</w:t>
      </w:r>
      <w:r w:rsidR="005969DF">
        <w:rPr>
          <w:rFonts w:ascii="Times New Roman" w:hAnsi="Times New Roman"/>
          <w:b/>
          <w:color w:val="000000"/>
          <w:szCs w:val="24"/>
        </w:rPr>
        <w:t xml:space="preserve"> </w:t>
      </w:r>
      <w:r w:rsidRPr="00F1580A" w:rsidR="005969DF">
        <w:rPr>
          <w:rFonts w:ascii="Times New Roman" w:hAnsi="Times New Roman"/>
          <w:color w:val="000000"/>
          <w:szCs w:val="24"/>
        </w:rPr>
        <w:t xml:space="preserve">Garančná dávka sa bude poskytovať naďalej v súčasnej podobe, pričom výdavky na predmetnú dávku budú uhrádzané zo štátneho rozpočtu prostredníctvom transferu kapitoly </w:t>
      </w:r>
      <w:r w:rsidR="00FF0368">
        <w:rPr>
          <w:rFonts w:ascii="Times New Roman" w:hAnsi="Times New Roman"/>
          <w:color w:val="000000"/>
          <w:szCs w:val="24"/>
        </w:rPr>
        <w:t xml:space="preserve">Ministerstva práce, sociálnych vecí a rodiny Slovenskej republiky </w:t>
      </w:r>
      <w:r w:rsidRPr="00F1580A" w:rsidR="005969DF">
        <w:rPr>
          <w:rFonts w:ascii="Times New Roman" w:hAnsi="Times New Roman"/>
          <w:color w:val="000000"/>
          <w:szCs w:val="24"/>
        </w:rPr>
        <w:t xml:space="preserve">Sociálnej poisťovni. Príspevky na </w:t>
      </w:r>
      <w:r w:rsidR="00FF0368">
        <w:rPr>
          <w:rFonts w:ascii="Times New Roman" w:hAnsi="Times New Roman"/>
          <w:color w:val="000000"/>
          <w:szCs w:val="24"/>
        </w:rPr>
        <w:t>SDS</w:t>
      </w:r>
      <w:r w:rsidRPr="00F1580A" w:rsidR="005969DF">
        <w:rPr>
          <w:rFonts w:ascii="Times New Roman" w:hAnsi="Times New Roman"/>
          <w:color w:val="000000"/>
          <w:szCs w:val="24"/>
        </w:rPr>
        <w:t>, ktoré neodvedie zamestnávateľ za svojich zamestnancov, budú hradené zo štátneho rozpočtu prostredníctvom transferu kapitoly MF SR Sociálnej poisťovni</w:t>
      </w:r>
      <w:r w:rsidR="005969DF">
        <w:rPr>
          <w:rFonts w:ascii="Times New Roman" w:hAnsi="Times New Roman"/>
          <w:color w:val="000000"/>
          <w:szCs w:val="24"/>
        </w:rPr>
        <w:t>.</w:t>
      </w:r>
    </w:p>
    <w:p w:rsidR="008E2C23" w:rsidRPr="00A95251" w:rsidP="008E2C23">
      <w:pPr>
        <w:tabs>
          <w:tab w:val="decimal" w:pos="8222"/>
        </w:tabs>
        <w:bidi w:val="0"/>
        <w:spacing w:before="240" w:after="120"/>
        <w:ind w:firstLine="709"/>
        <w:jc w:val="both"/>
        <w:rPr>
          <w:rFonts w:ascii="Times New Roman" w:hAnsi="Times New Roman"/>
          <w:b/>
          <w:szCs w:val="24"/>
        </w:rPr>
      </w:pPr>
      <w:r w:rsidRPr="00A95251">
        <w:rPr>
          <w:rFonts w:ascii="Times New Roman" w:hAnsi="Times New Roman"/>
          <w:b/>
          <w:szCs w:val="24"/>
        </w:rPr>
        <w:t>Kvantifikácia príjmov</w:t>
      </w:r>
    </w:p>
    <w:p w:rsidR="008E2C23" w:rsidRPr="00A95251" w:rsidP="008E2C23">
      <w:pPr>
        <w:autoSpaceDE w:val="0"/>
        <w:autoSpaceDN w:val="0"/>
        <w:bidi w:val="0"/>
        <w:adjustRightInd w:val="0"/>
        <w:ind w:firstLine="709"/>
        <w:jc w:val="both"/>
        <w:rPr>
          <w:rFonts w:ascii="Times New Roman" w:hAnsi="Times New Roman"/>
          <w:szCs w:val="22"/>
        </w:rPr>
      </w:pPr>
      <w:r w:rsidRPr="00A95251">
        <w:rPr>
          <w:rFonts w:ascii="Times New Roman" w:hAnsi="Times New Roman"/>
          <w:szCs w:val="22"/>
        </w:rPr>
        <w:t>Vplyvom navrhovaných zmien sa predpokladá pokles príjmov Sociálnej poisťovne z dôvodu zmeny spôsobu výpočtov vymeriavacích základov, stanovenia nových sadzieb poistného, zmeny prerozdelenia pomeru poistného pre dôchodkovú oblasť medzi I. a II. pilierom pri skupine povinných osôb (napr. pri SZČO). Kvantifikácia príjmov vychádza z predpokladu, že všetky navrhované opatrenia budú platiť súčasne.</w:t>
      </w:r>
    </w:p>
    <w:p w:rsidR="008E2C23" w:rsidRPr="008C2065" w:rsidP="008E2C23">
      <w:pPr>
        <w:tabs>
          <w:tab w:val="decimal" w:pos="8222"/>
        </w:tabs>
        <w:bidi w:val="0"/>
        <w:spacing w:before="240" w:after="120"/>
        <w:ind w:firstLine="720"/>
        <w:jc w:val="both"/>
        <w:rPr>
          <w:rFonts w:ascii="Times New Roman" w:hAnsi="Times New Roman"/>
          <w:szCs w:val="24"/>
        </w:rPr>
      </w:pPr>
      <w:r w:rsidRPr="008C2065">
        <w:rPr>
          <w:rFonts w:ascii="Times New Roman" w:hAnsi="Times New Roman"/>
          <w:szCs w:val="24"/>
        </w:rPr>
        <w:t xml:space="preserve">Predpokladá sa, že </w:t>
      </w:r>
      <w:r w:rsidRPr="008C2065">
        <w:rPr>
          <w:rFonts w:ascii="Times New Roman" w:hAnsi="Times New Roman"/>
          <w:b/>
          <w:szCs w:val="24"/>
        </w:rPr>
        <w:t>v roku 2012 príjmy Sociálnej poisťovne</w:t>
      </w:r>
      <w:r w:rsidRPr="008C2065">
        <w:rPr>
          <w:rFonts w:ascii="Times New Roman" w:hAnsi="Times New Roman"/>
          <w:szCs w:val="24"/>
        </w:rPr>
        <w:t xml:space="preserve"> v bežnom roku (vrátane ostatných príjmov) dosiahnu výšku </w:t>
      </w:r>
      <w:r w:rsidRPr="008C2065">
        <w:rPr>
          <w:rFonts w:ascii="Times New Roman" w:hAnsi="Times New Roman"/>
          <w:b/>
          <w:szCs w:val="24"/>
        </w:rPr>
        <w:t>6 480 829 tis. Eur.</w:t>
      </w:r>
      <w:r w:rsidRPr="008C2065">
        <w:rPr>
          <w:rFonts w:ascii="Times New Roman" w:hAnsi="Times New Roman"/>
          <w:szCs w:val="24"/>
        </w:rPr>
        <w:t xml:space="preserve"> Z tejto sumy pripadá na:</w:t>
      </w:r>
    </w:p>
    <w:p w:rsidR="008E2C23" w:rsidRPr="008C2065" w:rsidP="008173F1">
      <w:pPr>
        <w:numPr>
          <w:numId w:val="18"/>
        </w:numPr>
        <w:tabs>
          <w:tab w:val="left" w:pos="709"/>
          <w:tab w:val="decimal" w:pos="8222"/>
        </w:tabs>
        <w:bidi w:val="0"/>
        <w:ind w:left="709" w:hanging="709"/>
        <w:jc w:val="both"/>
        <w:rPr>
          <w:rFonts w:ascii="Times New Roman" w:hAnsi="Times New Roman"/>
          <w:szCs w:val="24"/>
        </w:rPr>
      </w:pPr>
      <w:r w:rsidRPr="008C2065">
        <w:rPr>
          <w:rFonts w:ascii="Times New Roman" w:hAnsi="Times New Roman"/>
          <w:szCs w:val="24"/>
        </w:rPr>
        <w:t xml:space="preserve">sociálne poistenie </w:t>
        <w:tab/>
        <w:t>6 34</w:t>
      </w:r>
      <w:r w:rsidRPr="008C2065" w:rsidR="008C2065">
        <w:rPr>
          <w:rFonts w:ascii="Times New Roman" w:hAnsi="Times New Roman"/>
          <w:szCs w:val="24"/>
        </w:rPr>
        <w:t>0</w:t>
      </w:r>
      <w:r w:rsidRPr="008C2065">
        <w:rPr>
          <w:rFonts w:ascii="Times New Roman" w:hAnsi="Times New Roman"/>
          <w:szCs w:val="24"/>
        </w:rPr>
        <w:t> </w:t>
      </w:r>
      <w:r w:rsidRPr="008C2065" w:rsidR="008C2065">
        <w:rPr>
          <w:rFonts w:ascii="Times New Roman" w:hAnsi="Times New Roman"/>
          <w:szCs w:val="24"/>
        </w:rPr>
        <w:t>969</w:t>
      </w:r>
      <w:r w:rsidRPr="008C2065">
        <w:rPr>
          <w:rFonts w:ascii="Times New Roman" w:hAnsi="Times New Roman"/>
          <w:szCs w:val="24"/>
        </w:rPr>
        <w:t> tis. Eur,</w:t>
      </w:r>
    </w:p>
    <w:p w:rsidR="008E2C23" w:rsidRPr="008C2065" w:rsidP="008173F1">
      <w:pPr>
        <w:numPr>
          <w:numId w:val="18"/>
        </w:numPr>
        <w:tabs>
          <w:tab w:val="left" w:pos="709"/>
          <w:tab w:val="decimal" w:pos="8222"/>
        </w:tabs>
        <w:bidi w:val="0"/>
        <w:ind w:left="709" w:hanging="709"/>
        <w:jc w:val="both"/>
        <w:rPr>
          <w:rFonts w:ascii="Times New Roman" w:hAnsi="Times New Roman"/>
          <w:szCs w:val="24"/>
        </w:rPr>
      </w:pPr>
      <w:r w:rsidRPr="008C2065">
        <w:rPr>
          <w:rFonts w:ascii="Times New Roman" w:hAnsi="Times New Roman"/>
          <w:szCs w:val="24"/>
        </w:rPr>
        <w:t xml:space="preserve">úrazové poistenie </w:t>
        <w:tab/>
        <w:t>13</w:t>
      </w:r>
      <w:r w:rsidRPr="008C2065" w:rsidR="008C2065">
        <w:rPr>
          <w:rFonts w:ascii="Times New Roman" w:hAnsi="Times New Roman"/>
          <w:szCs w:val="24"/>
        </w:rPr>
        <w:t>2</w:t>
      </w:r>
      <w:r w:rsidRPr="008C2065">
        <w:rPr>
          <w:rFonts w:ascii="Times New Roman" w:hAnsi="Times New Roman"/>
          <w:szCs w:val="24"/>
        </w:rPr>
        <w:t> </w:t>
      </w:r>
      <w:r w:rsidRPr="008C2065" w:rsidR="008C2065">
        <w:rPr>
          <w:rFonts w:ascii="Times New Roman" w:hAnsi="Times New Roman"/>
          <w:szCs w:val="24"/>
        </w:rPr>
        <w:t>919</w:t>
      </w:r>
      <w:r w:rsidRPr="008C2065">
        <w:rPr>
          <w:rFonts w:ascii="Times New Roman" w:hAnsi="Times New Roman"/>
          <w:szCs w:val="24"/>
        </w:rPr>
        <w:t> tis. Eur,</w:t>
      </w:r>
    </w:p>
    <w:p w:rsidR="008E2C23" w:rsidRPr="008C2065" w:rsidP="008173F1">
      <w:pPr>
        <w:numPr>
          <w:numId w:val="18"/>
        </w:numPr>
        <w:tabs>
          <w:tab w:val="left" w:pos="709"/>
          <w:tab w:val="decimal" w:pos="8222"/>
        </w:tabs>
        <w:bidi w:val="0"/>
        <w:ind w:left="709" w:hanging="709"/>
        <w:jc w:val="both"/>
        <w:rPr>
          <w:rFonts w:ascii="Times New Roman" w:hAnsi="Times New Roman"/>
          <w:szCs w:val="24"/>
        </w:rPr>
      </w:pPr>
      <w:r w:rsidRPr="008C2065">
        <w:rPr>
          <w:rFonts w:ascii="Times New Roman" w:hAnsi="Times New Roman"/>
          <w:szCs w:val="24"/>
        </w:rPr>
        <w:t>príjmy správneho fondu</w:t>
        <w:tab/>
        <w:t>6 941 tis. Eur.</w:t>
      </w:r>
    </w:p>
    <w:p w:rsidR="008E2C23" w:rsidRPr="008C2065" w:rsidP="008E2C23">
      <w:pPr>
        <w:tabs>
          <w:tab w:val="decimal" w:pos="8222"/>
        </w:tabs>
        <w:bidi w:val="0"/>
        <w:spacing w:before="240"/>
        <w:ind w:firstLine="720"/>
        <w:jc w:val="both"/>
        <w:rPr>
          <w:rFonts w:ascii="Times New Roman" w:hAnsi="Times New Roman"/>
          <w:szCs w:val="24"/>
        </w:rPr>
      </w:pPr>
      <w:r w:rsidRPr="008C2065">
        <w:rPr>
          <w:rFonts w:ascii="Times New Roman" w:hAnsi="Times New Roman"/>
          <w:szCs w:val="24"/>
        </w:rPr>
        <w:t>Vybraté príspevky na SDS sa v roku 2012 pri vyššie uvedených predpokladoch predikujú vo výške</w:t>
        <w:tab/>
        <w:t xml:space="preserve">915 254 tis. Eur, </w:t>
        <w:br/>
        <w:t>z toho: štát</w:t>
        <w:tab/>
        <w:t>53 066 tis. Eur,</w:t>
      </w:r>
    </w:p>
    <w:p w:rsidR="008E2C23" w:rsidRPr="008C2065" w:rsidP="008E2C23">
      <w:pPr>
        <w:tabs>
          <w:tab w:val="left" w:pos="709"/>
          <w:tab w:val="decimal" w:pos="8222"/>
        </w:tabs>
        <w:bidi w:val="0"/>
        <w:spacing w:after="120"/>
        <w:jc w:val="both"/>
        <w:rPr>
          <w:rFonts w:ascii="Times New Roman" w:hAnsi="Times New Roman"/>
          <w:szCs w:val="24"/>
        </w:rPr>
      </w:pPr>
      <w:r w:rsidRPr="008C2065">
        <w:rPr>
          <w:rFonts w:ascii="Times New Roman" w:hAnsi="Times New Roman"/>
          <w:szCs w:val="24"/>
        </w:rPr>
        <w:tab/>
        <w:t>Sociálna poisťovňa</w:t>
        <w:tab/>
        <w:t>235 tis. Eur.</w:t>
      </w:r>
    </w:p>
    <w:p w:rsidR="008E2C23" w:rsidRPr="00C574AC" w:rsidP="008E2C23">
      <w:pPr>
        <w:bidi w:val="0"/>
        <w:spacing w:before="240"/>
        <w:ind w:firstLine="720"/>
        <w:jc w:val="both"/>
        <w:rPr>
          <w:rFonts w:ascii="Times New Roman" w:hAnsi="Times New Roman"/>
          <w:szCs w:val="24"/>
        </w:rPr>
      </w:pPr>
      <w:r w:rsidRPr="00C574AC">
        <w:rPr>
          <w:rFonts w:ascii="Times New Roman" w:hAnsi="Times New Roman"/>
          <w:szCs w:val="24"/>
        </w:rPr>
        <w:t>Kvantifikácia príjmov Sociálnej poisťovne rešpektuje tieto sadzby pre platby poistného:</w:t>
      </w:r>
    </w:p>
    <w:p w:rsidR="008E2C23" w:rsidRPr="00C574AC" w:rsidP="008173F1">
      <w:pPr>
        <w:pStyle w:val="ListParagraph"/>
        <w:numPr>
          <w:numId w:val="7"/>
        </w:numPr>
        <w:tabs>
          <w:tab w:val="left" w:pos="709"/>
        </w:tabs>
        <w:bidi w:val="0"/>
        <w:ind w:left="709" w:hanging="709"/>
        <w:jc w:val="both"/>
        <w:rPr>
          <w:rFonts w:ascii="Times New Roman" w:hAnsi="Times New Roman"/>
          <w:szCs w:val="24"/>
        </w:rPr>
      </w:pPr>
      <w:r w:rsidRPr="00C574AC">
        <w:rPr>
          <w:rFonts w:ascii="Times New Roman" w:hAnsi="Times New Roman"/>
          <w:szCs w:val="24"/>
        </w:rPr>
        <w:t xml:space="preserve">Sadzba poistného na </w:t>
      </w:r>
      <w:r>
        <w:rPr>
          <w:rFonts w:ascii="Times New Roman" w:hAnsi="Times New Roman"/>
          <w:szCs w:val="24"/>
        </w:rPr>
        <w:t>sociálne poistenie pre:</w:t>
      </w:r>
    </w:p>
    <w:p w:rsidR="008E2C23" w:rsidRPr="00C574AC" w:rsidP="008E2C23">
      <w:pPr>
        <w:autoSpaceDE w:val="0"/>
        <w:autoSpaceDN w:val="0"/>
        <w:bidi w:val="0"/>
        <w:adjustRightInd w:val="0"/>
        <w:ind w:left="709"/>
        <w:rPr>
          <w:rFonts w:ascii="Times New Roman" w:hAnsi="Times New Roman"/>
          <w:color w:val="000000"/>
          <w:szCs w:val="24"/>
        </w:rPr>
      </w:pPr>
      <w:r w:rsidRPr="00C574AC">
        <w:rPr>
          <w:rFonts w:ascii="Times New Roman" w:hAnsi="Times New Roman"/>
          <w:color w:val="000000"/>
          <w:szCs w:val="24"/>
        </w:rPr>
        <w:t xml:space="preserve">a) zamestnanca podľa § 4 ods. 1 je 19 % z vymeriavacieho základu, </w:t>
      </w:r>
    </w:p>
    <w:p w:rsidR="008E2C23" w:rsidRPr="00C574AC" w:rsidP="008E2C23">
      <w:pPr>
        <w:autoSpaceDE w:val="0"/>
        <w:autoSpaceDN w:val="0"/>
        <w:bidi w:val="0"/>
        <w:adjustRightInd w:val="0"/>
        <w:ind w:left="709"/>
        <w:jc w:val="both"/>
        <w:rPr>
          <w:rFonts w:ascii="Times New Roman" w:hAnsi="Times New Roman"/>
          <w:color w:val="000000"/>
          <w:szCs w:val="24"/>
        </w:rPr>
      </w:pPr>
      <w:r w:rsidRPr="00C574AC">
        <w:rPr>
          <w:rFonts w:ascii="Times New Roman" w:hAnsi="Times New Roman"/>
          <w:color w:val="000000"/>
          <w:szCs w:val="24"/>
        </w:rPr>
        <w:t xml:space="preserve">b) zamestnanca podľa § 4 ods. 2, povinne dôchodkovo poistenú </w:t>
      </w:r>
      <w:r>
        <w:rPr>
          <w:rFonts w:ascii="Times New Roman" w:hAnsi="Times New Roman"/>
          <w:color w:val="000000"/>
          <w:szCs w:val="24"/>
        </w:rPr>
        <w:t>SZČO</w:t>
      </w:r>
      <w:r w:rsidRPr="00C574AC">
        <w:rPr>
          <w:rFonts w:ascii="Times New Roman" w:hAnsi="Times New Roman"/>
          <w:color w:val="000000"/>
          <w:szCs w:val="24"/>
        </w:rPr>
        <w:t xml:space="preserve"> a pre fyzickú osobu, ktorá dodatočne dopláca poistné na </w:t>
      </w:r>
      <w:r>
        <w:rPr>
          <w:rFonts w:ascii="Times New Roman" w:hAnsi="Times New Roman"/>
          <w:color w:val="000000"/>
          <w:szCs w:val="24"/>
        </w:rPr>
        <w:t>sociálne poistenie</w:t>
      </w:r>
      <w:r w:rsidRPr="00C574AC">
        <w:rPr>
          <w:rFonts w:ascii="Times New Roman" w:hAnsi="Times New Roman"/>
          <w:color w:val="000000"/>
          <w:szCs w:val="24"/>
        </w:rPr>
        <w:t xml:space="preserve"> podľa §</w:t>
      </w:r>
      <w:r>
        <w:rPr>
          <w:rFonts w:ascii="Times New Roman" w:hAnsi="Times New Roman"/>
          <w:color w:val="000000"/>
          <w:szCs w:val="24"/>
        </w:rPr>
        <w:t> </w:t>
      </w:r>
      <w:r w:rsidRPr="00C574AC">
        <w:rPr>
          <w:rFonts w:ascii="Times New Roman" w:hAnsi="Times New Roman"/>
          <w:color w:val="000000"/>
          <w:szCs w:val="24"/>
        </w:rPr>
        <w:t>142 ods.</w:t>
      </w:r>
      <w:r>
        <w:rPr>
          <w:rFonts w:ascii="Times New Roman" w:hAnsi="Times New Roman"/>
          <w:color w:val="000000"/>
          <w:szCs w:val="24"/>
        </w:rPr>
        <w:t> 3, je 13 </w:t>
      </w:r>
      <w:r w:rsidRPr="00C574AC">
        <w:rPr>
          <w:rFonts w:ascii="Times New Roman" w:hAnsi="Times New Roman"/>
          <w:color w:val="000000"/>
          <w:szCs w:val="24"/>
        </w:rPr>
        <w:t xml:space="preserve">% z vymeriavacieho základu, </w:t>
      </w:r>
    </w:p>
    <w:p w:rsidR="008E2C23" w:rsidRPr="00C574AC" w:rsidP="008E2C23">
      <w:pPr>
        <w:autoSpaceDE w:val="0"/>
        <w:autoSpaceDN w:val="0"/>
        <w:bidi w:val="0"/>
        <w:adjustRightInd w:val="0"/>
        <w:ind w:left="709"/>
        <w:rPr>
          <w:rFonts w:ascii="Times New Roman" w:hAnsi="Times New Roman"/>
          <w:color w:val="000000"/>
          <w:szCs w:val="24"/>
        </w:rPr>
      </w:pPr>
      <w:r w:rsidRPr="00C574AC">
        <w:rPr>
          <w:rFonts w:ascii="Times New Roman" w:hAnsi="Times New Roman"/>
          <w:color w:val="000000"/>
          <w:szCs w:val="24"/>
        </w:rPr>
        <w:t xml:space="preserve">c) zamestnanca podľa § 4 ods. 3 je 10 % z vymeriavacieho základu, </w:t>
      </w:r>
    </w:p>
    <w:p w:rsidR="008E2C23" w:rsidRPr="00C574AC" w:rsidP="008E2C23">
      <w:pPr>
        <w:autoSpaceDE w:val="0"/>
        <w:autoSpaceDN w:val="0"/>
        <w:bidi w:val="0"/>
        <w:adjustRightInd w:val="0"/>
        <w:ind w:left="709"/>
        <w:rPr>
          <w:rFonts w:ascii="Times New Roman" w:hAnsi="Times New Roman"/>
          <w:color w:val="000000"/>
          <w:szCs w:val="24"/>
        </w:rPr>
      </w:pPr>
      <w:r w:rsidRPr="00C574AC">
        <w:rPr>
          <w:rFonts w:ascii="Times New Roman" w:hAnsi="Times New Roman"/>
          <w:color w:val="000000"/>
          <w:szCs w:val="24"/>
        </w:rPr>
        <w:t xml:space="preserve">d) štát je 19 % z vymeriavacieho základu, </w:t>
      </w:r>
    </w:p>
    <w:p w:rsidR="008E2C23" w:rsidRPr="00C574AC" w:rsidP="008E2C23">
      <w:pPr>
        <w:autoSpaceDE w:val="0"/>
        <w:autoSpaceDN w:val="0"/>
        <w:bidi w:val="0"/>
        <w:adjustRightInd w:val="0"/>
        <w:ind w:left="709"/>
        <w:rPr>
          <w:rFonts w:ascii="Times New Roman" w:hAnsi="Times New Roman"/>
          <w:color w:val="000000"/>
          <w:szCs w:val="24"/>
        </w:rPr>
      </w:pPr>
      <w:r w:rsidRPr="00C574AC">
        <w:rPr>
          <w:rFonts w:ascii="Times New Roman" w:hAnsi="Times New Roman"/>
          <w:color w:val="000000"/>
          <w:szCs w:val="24"/>
        </w:rPr>
        <w:t xml:space="preserve">e) Sociálnu poisťovňu je 19 % z vymeriavacieho základu. </w:t>
      </w:r>
    </w:p>
    <w:p w:rsidR="008E2C23" w:rsidRPr="00C574AC" w:rsidP="008E2C23">
      <w:pPr>
        <w:autoSpaceDE w:val="0"/>
        <w:autoSpaceDN w:val="0"/>
        <w:bidi w:val="0"/>
        <w:adjustRightInd w:val="0"/>
        <w:ind w:left="709"/>
        <w:rPr>
          <w:rFonts w:ascii="Times New Roman" w:hAnsi="Times New Roman"/>
          <w:color w:val="000000"/>
          <w:szCs w:val="24"/>
        </w:rPr>
      </w:pPr>
      <w:r w:rsidRPr="00C574AC">
        <w:rPr>
          <w:rFonts w:ascii="Times New Roman" w:hAnsi="Times New Roman"/>
          <w:color w:val="000000"/>
          <w:szCs w:val="24"/>
        </w:rPr>
        <w:t>f) dobrovoľne sociálne poistenú osobu uvedenú:</w:t>
      </w:r>
    </w:p>
    <w:p w:rsidR="008E2C23" w:rsidRPr="00C574AC" w:rsidP="008E2C23">
      <w:pPr>
        <w:autoSpaceDE w:val="0"/>
        <w:autoSpaceDN w:val="0"/>
        <w:bidi w:val="0"/>
        <w:adjustRightInd w:val="0"/>
        <w:ind w:left="993"/>
        <w:rPr>
          <w:rFonts w:ascii="Times New Roman" w:hAnsi="Times New Roman"/>
          <w:color w:val="000000"/>
          <w:szCs w:val="24"/>
        </w:rPr>
      </w:pPr>
      <w:r w:rsidRPr="00C574AC">
        <w:rPr>
          <w:rFonts w:ascii="Times New Roman" w:hAnsi="Times New Roman"/>
          <w:color w:val="000000"/>
          <w:szCs w:val="24"/>
        </w:rPr>
        <w:t>1) v § 15b ods. 1 je 19 %</w:t>
      </w:r>
      <w:r w:rsidR="005B3348">
        <w:rPr>
          <w:rFonts w:ascii="Times New Roman" w:hAnsi="Times New Roman"/>
          <w:color w:val="000000"/>
          <w:szCs w:val="24"/>
        </w:rPr>
        <w:t>,</w:t>
      </w:r>
      <w:r w:rsidRPr="00C574AC">
        <w:rPr>
          <w:rFonts w:ascii="Times New Roman" w:hAnsi="Times New Roman"/>
          <w:color w:val="000000"/>
          <w:szCs w:val="24"/>
        </w:rPr>
        <w:t xml:space="preserve"> </w:t>
      </w:r>
      <w:r w:rsidR="00CE796E">
        <w:rPr>
          <w:rFonts w:ascii="Times New Roman" w:hAnsi="Times New Roman"/>
          <w:color w:val="000000"/>
          <w:szCs w:val="24"/>
        </w:rPr>
        <w:t xml:space="preserve">resp. 10 % </w:t>
      </w:r>
      <w:r w:rsidRPr="00C574AC">
        <w:rPr>
          <w:rFonts w:ascii="Times New Roman" w:hAnsi="Times New Roman"/>
          <w:color w:val="000000"/>
          <w:szCs w:val="24"/>
        </w:rPr>
        <w:t xml:space="preserve">z vymeriavacieho základu, </w:t>
      </w:r>
    </w:p>
    <w:p w:rsidR="008E2C23" w:rsidRPr="00C574AC" w:rsidP="008E2C23">
      <w:pPr>
        <w:autoSpaceDE w:val="0"/>
        <w:autoSpaceDN w:val="0"/>
        <w:bidi w:val="0"/>
        <w:adjustRightInd w:val="0"/>
        <w:ind w:left="993"/>
        <w:rPr>
          <w:rFonts w:ascii="Times New Roman" w:hAnsi="Times New Roman"/>
          <w:color w:val="000000"/>
          <w:szCs w:val="24"/>
        </w:rPr>
      </w:pPr>
      <w:r w:rsidRPr="00C574AC">
        <w:rPr>
          <w:rFonts w:ascii="Times New Roman" w:hAnsi="Times New Roman"/>
          <w:color w:val="000000"/>
          <w:szCs w:val="24"/>
        </w:rPr>
        <w:t xml:space="preserve">2) v § 15b ods. 2 je 10 % z vymeriavacieho základu, </w:t>
      </w:r>
    </w:p>
    <w:p w:rsidR="008E2C23" w:rsidRPr="00C574AC" w:rsidP="008E2C23">
      <w:pPr>
        <w:autoSpaceDE w:val="0"/>
        <w:autoSpaceDN w:val="0"/>
        <w:bidi w:val="0"/>
        <w:adjustRightInd w:val="0"/>
        <w:ind w:left="993"/>
        <w:rPr>
          <w:rFonts w:ascii="Times New Roman" w:hAnsi="Times New Roman"/>
          <w:color w:val="000000"/>
          <w:szCs w:val="24"/>
        </w:rPr>
      </w:pPr>
      <w:r w:rsidRPr="00C574AC">
        <w:rPr>
          <w:rFonts w:ascii="Times New Roman" w:hAnsi="Times New Roman"/>
          <w:color w:val="000000"/>
          <w:szCs w:val="24"/>
        </w:rPr>
        <w:t xml:space="preserve">3) v § 15b ods. 3 je 6 % z vymeriavacieho základu, </w:t>
      </w:r>
    </w:p>
    <w:p w:rsidR="008E2C23" w:rsidRPr="00C574AC" w:rsidP="008E2C23">
      <w:pPr>
        <w:autoSpaceDE w:val="0"/>
        <w:autoSpaceDN w:val="0"/>
        <w:bidi w:val="0"/>
        <w:adjustRightInd w:val="0"/>
        <w:ind w:left="993"/>
        <w:rPr>
          <w:rFonts w:ascii="Times New Roman" w:hAnsi="Times New Roman"/>
          <w:color w:val="000000"/>
          <w:szCs w:val="24"/>
        </w:rPr>
      </w:pPr>
      <w:r w:rsidRPr="00C574AC">
        <w:rPr>
          <w:rFonts w:ascii="Times New Roman" w:hAnsi="Times New Roman"/>
          <w:color w:val="000000"/>
          <w:szCs w:val="24"/>
        </w:rPr>
        <w:t xml:space="preserve">4) v § 15b ods. 4 je 9 % z vymeriavacieho základu. </w:t>
      </w:r>
    </w:p>
    <w:p w:rsidR="008E2C23" w:rsidRPr="00C574AC" w:rsidP="008E2C23">
      <w:pPr>
        <w:autoSpaceDE w:val="0"/>
        <w:autoSpaceDN w:val="0"/>
        <w:bidi w:val="0"/>
        <w:adjustRightInd w:val="0"/>
        <w:spacing w:before="120"/>
        <w:jc w:val="both"/>
        <w:rPr>
          <w:rFonts w:ascii="Times New Roman" w:hAnsi="Times New Roman"/>
          <w:color w:val="000000"/>
          <w:szCs w:val="24"/>
        </w:rPr>
      </w:pPr>
      <w:r w:rsidRPr="00C574AC">
        <w:rPr>
          <w:rFonts w:ascii="Times New Roman" w:hAnsi="Times New Roman"/>
          <w:color w:val="000000"/>
          <w:szCs w:val="24"/>
        </w:rPr>
        <w:t xml:space="preserve">Sadzba poistného na </w:t>
      </w:r>
      <w:r>
        <w:rPr>
          <w:rFonts w:ascii="Times New Roman" w:hAnsi="Times New Roman"/>
          <w:color w:val="000000"/>
          <w:szCs w:val="24"/>
        </w:rPr>
        <w:t>sociálne poistenie</w:t>
      </w:r>
      <w:r w:rsidRPr="00C574AC">
        <w:rPr>
          <w:rFonts w:ascii="Times New Roman" w:hAnsi="Times New Roman"/>
          <w:color w:val="000000"/>
          <w:szCs w:val="24"/>
        </w:rPr>
        <w:t xml:space="preserve"> sa znižuje o 6,7 %, ak ide o osobu, ktorá je sporiteľom </w:t>
      </w:r>
      <w:r>
        <w:rPr>
          <w:rFonts w:ascii="Times New Roman" w:hAnsi="Times New Roman"/>
          <w:color w:val="000000"/>
          <w:szCs w:val="24"/>
        </w:rPr>
        <w:t>a ak</w:t>
      </w:r>
      <w:r w:rsidRPr="00C574AC">
        <w:rPr>
          <w:rFonts w:ascii="Times New Roman" w:hAnsi="Times New Roman"/>
          <w:color w:val="000000"/>
          <w:szCs w:val="24"/>
        </w:rPr>
        <w:t xml:space="preserve"> štát alebo Sociálna poisťovňa platí poistné za fyzickú osobu, ktorá je sporiteľom. </w:t>
      </w:r>
    </w:p>
    <w:p w:rsidR="008E2C23" w:rsidRPr="00C574AC" w:rsidP="008173F1">
      <w:pPr>
        <w:numPr>
          <w:numId w:val="4"/>
        </w:numPr>
        <w:bidi w:val="0"/>
        <w:spacing w:before="120"/>
        <w:ind w:left="709" w:hanging="709"/>
        <w:jc w:val="both"/>
        <w:rPr>
          <w:rFonts w:ascii="Times New Roman" w:hAnsi="Times New Roman"/>
          <w:szCs w:val="24"/>
        </w:rPr>
      </w:pPr>
      <w:r w:rsidRPr="00C574AC">
        <w:rPr>
          <w:rFonts w:ascii="Times New Roman" w:hAnsi="Times New Roman"/>
          <w:szCs w:val="24"/>
        </w:rPr>
        <w:t xml:space="preserve">Sadzba poistného na </w:t>
      </w:r>
      <w:r>
        <w:rPr>
          <w:rFonts w:ascii="Times New Roman" w:hAnsi="Times New Roman"/>
          <w:szCs w:val="24"/>
        </w:rPr>
        <w:t>úrazové poistenie</w:t>
      </w:r>
      <w:r w:rsidRPr="00C574AC">
        <w:rPr>
          <w:rFonts w:ascii="Times New Roman" w:hAnsi="Times New Roman"/>
          <w:szCs w:val="24"/>
        </w:rPr>
        <w:t xml:space="preserve"> je 0,6 %,</w:t>
      </w:r>
    </w:p>
    <w:p w:rsidR="008E2C23" w:rsidRPr="00C574AC" w:rsidP="008E2C23">
      <w:pPr>
        <w:bidi w:val="0"/>
        <w:spacing w:before="240"/>
        <w:ind w:firstLine="720"/>
        <w:rPr>
          <w:rFonts w:ascii="Times New Roman" w:hAnsi="Times New Roman"/>
          <w:szCs w:val="24"/>
        </w:rPr>
      </w:pPr>
      <w:r w:rsidRPr="00C574AC">
        <w:rPr>
          <w:rFonts w:ascii="Times New Roman" w:hAnsi="Times New Roman"/>
          <w:szCs w:val="24"/>
        </w:rPr>
        <w:t>Ďalej sa pre rok 2012 vychádza z:</w:t>
      </w:r>
    </w:p>
    <w:p w:rsidR="008E2C23" w:rsidRPr="00C574AC" w:rsidP="008173F1">
      <w:pPr>
        <w:numPr>
          <w:numId w:val="19"/>
        </w:numPr>
        <w:tabs>
          <w:tab w:val="left" w:pos="709"/>
        </w:tabs>
        <w:bidi w:val="0"/>
        <w:ind w:left="709" w:hanging="709"/>
        <w:jc w:val="both"/>
        <w:rPr>
          <w:rFonts w:ascii="Times New Roman" w:hAnsi="Times New Roman"/>
          <w:szCs w:val="24"/>
        </w:rPr>
      </w:pPr>
      <w:r w:rsidRPr="00C574AC">
        <w:rPr>
          <w:rFonts w:ascii="Times New Roman" w:hAnsi="Times New Roman"/>
          <w:szCs w:val="24"/>
        </w:rPr>
        <w:t xml:space="preserve">priemernej miery evidovanej nezamestnanosti </w:t>
      </w:r>
      <w:r>
        <w:rPr>
          <w:rFonts w:ascii="Times New Roman" w:hAnsi="Times New Roman"/>
          <w:szCs w:val="24"/>
        </w:rPr>
        <w:t>12,5</w:t>
      </w:r>
      <w:r w:rsidRPr="00C574AC">
        <w:rPr>
          <w:rFonts w:ascii="Times New Roman" w:hAnsi="Times New Roman"/>
          <w:szCs w:val="24"/>
        </w:rPr>
        <w:t xml:space="preserve"> %,</w:t>
      </w:r>
    </w:p>
    <w:p w:rsidR="008E2C23" w:rsidRPr="00C574AC" w:rsidP="008173F1">
      <w:pPr>
        <w:numPr>
          <w:numId w:val="19"/>
        </w:numPr>
        <w:tabs>
          <w:tab w:val="left" w:pos="709"/>
        </w:tabs>
        <w:bidi w:val="0"/>
        <w:ind w:left="709" w:hanging="709"/>
        <w:jc w:val="both"/>
        <w:rPr>
          <w:rFonts w:ascii="Times New Roman" w:hAnsi="Times New Roman"/>
          <w:szCs w:val="24"/>
        </w:rPr>
      </w:pPr>
      <w:r w:rsidRPr="00C574AC">
        <w:rPr>
          <w:rFonts w:ascii="Times New Roman" w:hAnsi="Times New Roman"/>
          <w:szCs w:val="24"/>
        </w:rPr>
        <w:t xml:space="preserve">priemernej mzdy v  hospodárstve vo výške </w:t>
      </w:r>
      <w:r>
        <w:rPr>
          <w:rFonts w:ascii="Times New Roman" w:hAnsi="Times New Roman"/>
          <w:szCs w:val="24"/>
        </w:rPr>
        <w:t xml:space="preserve">839 </w:t>
      </w:r>
      <w:r w:rsidRPr="00C574AC">
        <w:rPr>
          <w:rFonts w:ascii="Times New Roman" w:hAnsi="Times New Roman"/>
          <w:szCs w:val="24"/>
        </w:rPr>
        <w:t>Eur,</w:t>
      </w:r>
    </w:p>
    <w:p w:rsidR="008E2C23" w:rsidRPr="00C574AC" w:rsidP="008173F1">
      <w:pPr>
        <w:numPr>
          <w:numId w:val="19"/>
        </w:numPr>
        <w:tabs>
          <w:tab w:val="left" w:pos="709"/>
        </w:tabs>
        <w:bidi w:val="0"/>
        <w:ind w:left="709" w:hanging="709"/>
        <w:jc w:val="both"/>
        <w:rPr>
          <w:rFonts w:ascii="Times New Roman" w:hAnsi="Times New Roman"/>
          <w:szCs w:val="24"/>
        </w:rPr>
      </w:pPr>
      <w:r w:rsidRPr="00C574AC">
        <w:rPr>
          <w:rFonts w:ascii="Times New Roman" w:hAnsi="Times New Roman"/>
          <w:szCs w:val="24"/>
        </w:rPr>
        <w:t xml:space="preserve">predpokladaného celkového priemerného počtu poistencov z registra Sociálnej poisťovne </w:t>
      </w:r>
      <w:r>
        <w:rPr>
          <w:rFonts w:ascii="Times New Roman" w:hAnsi="Times New Roman"/>
          <w:szCs w:val="24"/>
        </w:rPr>
        <w:t>1</w:t>
      </w:r>
      <w:r w:rsidRPr="00C574AC">
        <w:rPr>
          <w:rFonts w:ascii="Times New Roman" w:hAnsi="Times New Roman"/>
          <w:szCs w:val="24"/>
        </w:rPr>
        <w:t> </w:t>
      </w:r>
      <w:r>
        <w:rPr>
          <w:rFonts w:ascii="Times New Roman" w:hAnsi="Times New Roman"/>
          <w:szCs w:val="24"/>
        </w:rPr>
        <w:t>9</w:t>
      </w:r>
      <w:r w:rsidR="00D54F63">
        <w:rPr>
          <w:rFonts w:ascii="Times New Roman" w:hAnsi="Times New Roman"/>
          <w:szCs w:val="24"/>
        </w:rPr>
        <w:t>91</w:t>
      </w:r>
      <w:r w:rsidRPr="00C574AC">
        <w:rPr>
          <w:rFonts w:ascii="Times New Roman" w:hAnsi="Times New Roman"/>
          <w:szCs w:val="24"/>
        </w:rPr>
        <w:t> </w:t>
      </w:r>
      <w:r w:rsidR="00D54F63">
        <w:rPr>
          <w:rFonts w:ascii="Times New Roman" w:hAnsi="Times New Roman"/>
          <w:szCs w:val="24"/>
        </w:rPr>
        <w:t>994</w:t>
      </w:r>
      <w:r w:rsidRPr="00C574AC">
        <w:rPr>
          <w:rFonts w:ascii="Times New Roman" w:hAnsi="Times New Roman"/>
          <w:szCs w:val="24"/>
        </w:rPr>
        <w:t>. Predpokladá sa, že p</w:t>
      </w:r>
      <w:r>
        <w:rPr>
          <w:rFonts w:ascii="Times New Roman" w:hAnsi="Times New Roman"/>
          <w:szCs w:val="24"/>
        </w:rPr>
        <w:t xml:space="preserve">oistné by malo byť odvádzané za </w:t>
      </w:r>
    </w:p>
    <w:p w:rsidR="008E2C23" w:rsidP="008173F1">
      <w:pPr>
        <w:numPr>
          <w:numId w:val="13"/>
        </w:numPr>
        <w:tabs>
          <w:tab w:val="clear" w:pos="720"/>
          <w:tab w:val="num" w:pos="993"/>
        </w:tabs>
        <w:bidi w:val="0"/>
        <w:ind w:left="993" w:hanging="295"/>
        <w:jc w:val="both"/>
        <w:rPr>
          <w:rFonts w:ascii="Times New Roman" w:hAnsi="Times New Roman"/>
          <w:szCs w:val="24"/>
        </w:rPr>
      </w:pPr>
      <w:r w:rsidRPr="00C574AC">
        <w:rPr>
          <w:rFonts w:ascii="Times New Roman" w:hAnsi="Times New Roman"/>
          <w:szCs w:val="24"/>
        </w:rPr>
        <w:t>1 7</w:t>
      </w:r>
      <w:r w:rsidR="00D54F63">
        <w:rPr>
          <w:rFonts w:ascii="Times New Roman" w:hAnsi="Times New Roman"/>
          <w:szCs w:val="24"/>
        </w:rPr>
        <w:t>25</w:t>
      </w:r>
      <w:r w:rsidRPr="00C574AC">
        <w:rPr>
          <w:rFonts w:ascii="Times New Roman" w:hAnsi="Times New Roman"/>
          <w:szCs w:val="24"/>
        </w:rPr>
        <w:t> </w:t>
      </w:r>
      <w:r w:rsidR="00D54F63">
        <w:rPr>
          <w:rFonts w:ascii="Times New Roman" w:hAnsi="Times New Roman"/>
          <w:szCs w:val="24"/>
        </w:rPr>
        <w:t>123</w:t>
      </w:r>
      <w:r w:rsidRPr="00C574AC">
        <w:rPr>
          <w:rFonts w:ascii="Times New Roman" w:hAnsi="Times New Roman"/>
          <w:szCs w:val="24"/>
        </w:rPr>
        <w:t xml:space="preserve"> zamestnancov na </w:t>
      </w:r>
      <w:r>
        <w:rPr>
          <w:rFonts w:ascii="Times New Roman" w:hAnsi="Times New Roman"/>
          <w:szCs w:val="24"/>
        </w:rPr>
        <w:t xml:space="preserve">sociálne poistenie, </w:t>
      </w:r>
    </w:p>
    <w:p w:rsidR="008E2C23" w:rsidRPr="00B06211" w:rsidP="008173F1">
      <w:pPr>
        <w:numPr>
          <w:numId w:val="13"/>
        </w:numPr>
        <w:tabs>
          <w:tab w:val="clear" w:pos="720"/>
          <w:tab w:val="num" w:pos="993"/>
        </w:tabs>
        <w:bidi w:val="0"/>
        <w:ind w:left="993" w:hanging="295"/>
        <w:jc w:val="both"/>
        <w:rPr>
          <w:rFonts w:ascii="Times New Roman" w:hAnsi="Times New Roman"/>
          <w:szCs w:val="24"/>
        </w:rPr>
      </w:pPr>
      <w:r>
        <w:rPr>
          <w:rFonts w:ascii="Times New Roman" w:hAnsi="Times New Roman"/>
          <w:szCs w:val="24"/>
        </w:rPr>
        <w:t>307 621 </w:t>
      </w:r>
      <w:r w:rsidRPr="00F1580A">
        <w:rPr>
          <w:rFonts w:ascii="Times New Roman" w:hAnsi="Times New Roman"/>
          <w:color w:val="000000"/>
          <w:szCs w:val="24"/>
        </w:rPr>
        <w:t>fyzick</w:t>
      </w:r>
      <w:r>
        <w:rPr>
          <w:rFonts w:ascii="Times New Roman" w:hAnsi="Times New Roman"/>
          <w:color w:val="000000"/>
          <w:szCs w:val="24"/>
        </w:rPr>
        <w:t>ých osôb</w:t>
      </w:r>
      <w:r w:rsidRPr="00F1580A">
        <w:rPr>
          <w:rFonts w:ascii="Times New Roman" w:hAnsi="Times New Roman"/>
          <w:color w:val="000000"/>
          <w:szCs w:val="24"/>
        </w:rPr>
        <w:t xml:space="preserve"> v právnom vzťahu na základe dohôd o  prácach vykonávanýc</w:t>
      </w:r>
      <w:r>
        <w:rPr>
          <w:rFonts w:ascii="Times New Roman" w:hAnsi="Times New Roman"/>
          <w:color w:val="000000"/>
          <w:szCs w:val="24"/>
        </w:rPr>
        <w:t>h mimo pracovného pomeru, tzv. „dohodárov“,</w:t>
      </w:r>
    </w:p>
    <w:p w:rsidR="008E2C23" w:rsidP="008173F1">
      <w:pPr>
        <w:numPr>
          <w:numId w:val="13"/>
        </w:numPr>
        <w:tabs>
          <w:tab w:val="clear" w:pos="720"/>
          <w:tab w:val="num" w:pos="993"/>
        </w:tabs>
        <w:bidi w:val="0"/>
        <w:ind w:left="993" w:hanging="295"/>
        <w:jc w:val="both"/>
        <w:rPr>
          <w:rFonts w:ascii="Times New Roman" w:hAnsi="Times New Roman"/>
          <w:szCs w:val="24"/>
        </w:rPr>
      </w:pPr>
      <w:r w:rsidRPr="00C574AC">
        <w:rPr>
          <w:rFonts w:ascii="Times New Roman" w:hAnsi="Times New Roman"/>
          <w:szCs w:val="24"/>
        </w:rPr>
        <w:t>1 </w:t>
      </w:r>
      <w:r>
        <w:rPr>
          <w:rFonts w:ascii="Times New Roman" w:hAnsi="Times New Roman"/>
          <w:szCs w:val="24"/>
        </w:rPr>
        <w:t>8</w:t>
      </w:r>
      <w:r w:rsidR="00D54F63">
        <w:rPr>
          <w:rFonts w:ascii="Times New Roman" w:hAnsi="Times New Roman"/>
          <w:szCs w:val="24"/>
        </w:rPr>
        <w:t>60</w:t>
      </w:r>
      <w:r w:rsidRPr="00C574AC">
        <w:rPr>
          <w:rFonts w:ascii="Times New Roman" w:hAnsi="Times New Roman"/>
          <w:szCs w:val="24"/>
        </w:rPr>
        <w:t> </w:t>
      </w:r>
      <w:r w:rsidR="00D54F63">
        <w:rPr>
          <w:rFonts w:ascii="Times New Roman" w:hAnsi="Times New Roman"/>
          <w:szCs w:val="24"/>
        </w:rPr>
        <w:t>948</w:t>
      </w:r>
      <w:r w:rsidRPr="00C574AC">
        <w:rPr>
          <w:rFonts w:ascii="Times New Roman" w:hAnsi="Times New Roman"/>
          <w:szCs w:val="24"/>
        </w:rPr>
        <w:t xml:space="preserve"> poistencov na </w:t>
      </w:r>
      <w:r>
        <w:rPr>
          <w:rFonts w:ascii="Times New Roman" w:hAnsi="Times New Roman"/>
          <w:szCs w:val="24"/>
        </w:rPr>
        <w:t>úrazové poistenie,</w:t>
      </w:r>
    </w:p>
    <w:p w:rsidR="008E2C23" w:rsidRPr="00C574AC" w:rsidP="008173F1">
      <w:pPr>
        <w:numPr>
          <w:numId w:val="20"/>
        </w:numPr>
        <w:tabs>
          <w:tab w:val="left" w:pos="709"/>
        </w:tabs>
        <w:bidi w:val="0"/>
        <w:ind w:left="709" w:hanging="709"/>
        <w:jc w:val="both"/>
        <w:rPr>
          <w:rFonts w:ascii="Times New Roman" w:hAnsi="Times New Roman"/>
          <w:szCs w:val="24"/>
        </w:rPr>
      </w:pPr>
      <w:r w:rsidRPr="00C574AC">
        <w:rPr>
          <w:rFonts w:ascii="Times New Roman" w:hAnsi="Times New Roman"/>
          <w:szCs w:val="24"/>
        </w:rPr>
        <w:t>243 702 SZČO,</w:t>
      </w:r>
    </w:p>
    <w:p w:rsidR="008E2C23" w:rsidRPr="00C574AC" w:rsidP="008173F1">
      <w:pPr>
        <w:numPr>
          <w:numId w:val="20"/>
        </w:numPr>
        <w:tabs>
          <w:tab w:val="left" w:pos="709"/>
        </w:tabs>
        <w:bidi w:val="0"/>
        <w:ind w:left="709" w:hanging="709"/>
        <w:jc w:val="both"/>
        <w:rPr>
          <w:rFonts w:ascii="Times New Roman" w:hAnsi="Times New Roman"/>
          <w:szCs w:val="24"/>
        </w:rPr>
      </w:pPr>
      <w:r>
        <w:rPr>
          <w:rFonts w:ascii="Times New Roman" w:hAnsi="Times New Roman"/>
          <w:szCs w:val="24"/>
        </w:rPr>
        <w:t>2</w:t>
      </w:r>
      <w:r w:rsidRPr="00C574AC">
        <w:rPr>
          <w:rFonts w:ascii="Times New Roman" w:hAnsi="Times New Roman"/>
          <w:szCs w:val="24"/>
        </w:rPr>
        <w:t>3 </w:t>
      </w:r>
      <w:r>
        <w:rPr>
          <w:rFonts w:ascii="Times New Roman" w:hAnsi="Times New Roman"/>
          <w:szCs w:val="24"/>
        </w:rPr>
        <w:t>169</w:t>
      </w:r>
      <w:r w:rsidRPr="00C574AC">
        <w:rPr>
          <w:rFonts w:ascii="Times New Roman" w:hAnsi="Times New Roman"/>
          <w:szCs w:val="24"/>
        </w:rPr>
        <w:t xml:space="preserve"> DPO</w:t>
      </w:r>
      <w:r>
        <w:rPr>
          <w:rFonts w:ascii="Times New Roman" w:hAnsi="Times New Roman"/>
          <w:szCs w:val="24"/>
        </w:rPr>
        <w:t>,</w:t>
      </w:r>
    </w:p>
    <w:p w:rsidR="008E2C23" w:rsidRPr="00C574AC" w:rsidP="008173F1">
      <w:pPr>
        <w:numPr>
          <w:numId w:val="20"/>
        </w:numPr>
        <w:tabs>
          <w:tab w:val="left" w:pos="709"/>
        </w:tabs>
        <w:bidi w:val="0"/>
        <w:ind w:left="709" w:hanging="709"/>
        <w:jc w:val="both"/>
        <w:rPr>
          <w:rFonts w:ascii="Times New Roman" w:hAnsi="Times New Roman"/>
          <w:szCs w:val="24"/>
        </w:rPr>
      </w:pPr>
      <w:r w:rsidRPr="00C574AC">
        <w:rPr>
          <w:rFonts w:ascii="Times New Roman" w:hAnsi="Times New Roman"/>
          <w:szCs w:val="24"/>
        </w:rPr>
        <w:t xml:space="preserve">2 </w:t>
      </w:r>
      <w:r>
        <w:rPr>
          <w:rFonts w:ascii="Times New Roman" w:hAnsi="Times New Roman"/>
          <w:szCs w:val="24"/>
        </w:rPr>
        <w:t>205</w:t>
      </w:r>
      <w:r w:rsidRPr="00C574AC">
        <w:rPr>
          <w:rFonts w:ascii="Times New Roman" w:hAnsi="Times New Roman"/>
          <w:szCs w:val="24"/>
        </w:rPr>
        <w:t xml:space="preserve"> poberateľov úrazovej renty, za ktorých Sociálna poisťovňa </w:t>
      </w:r>
      <w:r>
        <w:rPr>
          <w:rFonts w:ascii="Times New Roman" w:hAnsi="Times New Roman"/>
          <w:szCs w:val="24"/>
        </w:rPr>
        <w:t>platí poistné z fondu úrazového poistenia (</w:t>
      </w:r>
      <w:r w:rsidRPr="00C574AC">
        <w:rPr>
          <w:rFonts w:ascii="Times New Roman" w:hAnsi="Times New Roman"/>
          <w:szCs w:val="24"/>
        </w:rPr>
        <w:t>FÚP</w:t>
      </w:r>
      <w:r>
        <w:rPr>
          <w:rFonts w:ascii="Times New Roman" w:hAnsi="Times New Roman"/>
          <w:szCs w:val="24"/>
        </w:rPr>
        <w:t>)</w:t>
      </w:r>
      <w:r w:rsidRPr="00C574AC">
        <w:rPr>
          <w:rFonts w:ascii="Times New Roman" w:hAnsi="Times New Roman"/>
          <w:szCs w:val="24"/>
        </w:rPr>
        <w:t xml:space="preserve"> do </w:t>
      </w:r>
      <w:r>
        <w:rPr>
          <w:rFonts w:ascii="Times New Roman" w:hAnsi="Times New Roman"/>
          <w:szCs w:val="24"/>
        </w:rPr>
        <w:t>fondu sociálneho poistenia (FSP)</w:t>
      </w:r>
      <w:r w:rsidRPr="00C574AC">
        <w:rPr>
          <w:rFonts w:ascii="Times New Roman" w:hAnsi="Times New Roman"/>
          <w:szCs w:val="24"/>
        </w:rPr>
        <w:t xml:space="preserve">, </w:t>
      </w:r>
    </w:p>
    <w:p w:rsidR="008E2C23" w:rsidRPr="00C574AC" w:rsidP="008173F1">
      <w:pPr>
        <w:numPr>
          <w:numId w:val="20"/>
        </w:numPr>
        <w:tabs>
          <w:tab w:val="left" w:pos="709"/>
        </w:tabs>
        <w:bidi w:val="0"/>
        <w:ind w:left="709" w:hanging="709"/>
        <w:jc w:val="both"/>
        <w:rPr>
          <w:rFonts w:ascii="Times New Roman" w:hAnsi="Times New Roman"/>
          <w:szCs w:val="24"/>
        </w:rPr>
      </w:pPr>
      <w:r w:rsidRPr="00C574AC">
        <w:rPr>
          <w:rFonts w:ascii="Times New Roman" w:hAnsi="Times New Roman"/>
          <w:szCs w:val="24"/>
        </w:rPr>
        <w:t>1</w:t>
      </w:r>
      <w:r>
        <w:rPr>
          <w:rFonts w:ascii="Times New Roman" w:hAnsi="Times New Roman"/>
          <w:szCs w:val="24"/>
        </w:rPr>
        <w:t>89</w:t>
      </w:r>
      <w:r w:rsidRPr="00C574AC">
        <w:rPr>
          <w:rFonts w:ascii="Times New Roman" w:hAnsi="Times New Roman"/>
          <w:szCs w:val="24"/>
        </w:rPr>
        <w:t xml:space="preserve"> </w:t>
      </w:r>
      <w:r>
        <w:rPr>
          <w:rFonts w:ascii="Times New Roman" w:hAnsi="Times New Roman"/>
          <w:szCs w:val="24"/>
        </w:rPr>
        <w:t>532</w:t>
      </w:r>
      <w:r w:rsidRPr="00C574AC">
        <w:rPr>
          <w:rFonts w:ascii="Times New Roman" w:hAnsi="Times New Roman"/>
          <w:szCs w:val="24"/>
        </w:rPr>
        <w:t xml:space="preserve"> poistencov štátu,</w:t>
      </w:r>
    </w:p>
    <w:p w:rsidR="008E2C23" w:rsidRPr="00F94912" w:rsidP="008173F1">
      <w:pPr>
        <w:numPr>
          <w:numId w:val="20"/>
        </w:numPr>
        <w:tabs>
          <w:tab w:val="left" w:pos="709"/>
        </w:tabs>
        <w:bidi w:val="0"/>
        <w:ind w:left="709" w:hanging="709"/>
        <w:jc w:val="both"/>
        <w:rPr>
          <w:rFonts w:ascii="Times New Roman" w:hAnsi="Times New Roman"/>
          <w:szCs w:val="24"/>
        </w:rPr>
      </w:pPr>
      <w:r w:rsidRPr="00F94912">
        <w:rPr>
          <w:rFonts w:ascii="Times New Roman" w:hAnsi="Times New Roman"/>
          <w:szCs w:val="24"/>
        </w:rPr>
        <w:t>vymeriavacieho základu, z ktorého sa platí poistné:</w:t>
      </w:r>
    </w:p>
    <w:p w:rsidR="008E2C23" w:rsidRPr="00F94912" w:rsidP="008173F1">
      <w:pPr>
        <w:numPr>
          <w:numId w:val="14"/>
        </w:numPr>
        <w:tabs>
          <w:tab w:val="left" w:pos="993"/>
        </w:tabs>
        <w:bidi w:val="0"/>
        <w:ind w:left="993" w:hanging="284"/>
        <w:jc w:val="both"/>
        <w:rPr>
          <w:rFonts w:ascii="Times New Roman" w:hAnsi="Times New Roman"/>
          <w:szCs w:val="24"/>
        </w:rPr>
      </w:pPr>
      <w:r w:rsidRPr="00F94912">
        <w:rPr>
          <w:rFonts w:ascii="Times New Roman" w:hAnsi="Times New Roman"/>
          <w:szCs w:val="24"/>
        </w:rPr>
        <w:t xml:space="preserve">na </w:t>
      </w:r>
      <w:r>
        <w:rPr>
          <w:rFonts w:ascii="Times New Roman" w:hAnsi="Times New Roman"/>
          <w:szCs w:val="24"/>
        </w:rPr>
        <w:t>sociálne poistenie</w:t>
      </w:r>
      <w:r w:rsidRPr="00F94912">
        <w:rPr>
          <w:rFonts w:ascii="Times New Roman" w:hAnsi="Times New Roman"/>
          <w:szCs w:val="24"/>
        </w:rPr>
        <w:t>:</w:t>
      </w:r>
    </w:p>
    <w:p w:rsidR="008E2C23" w:rsidRPr="00F94912" w:rsidP="008173F1">
      <w:pPr>
        <w:numPr>
          <w:numId w:val="2"/>
        </w:numPr>
        <w:tabs>
          <w:tab w:val="clear" w:pos="720"/>
          <w:tab w:val="left" w:pos="1276"/>
        </w:tabs>
        <w:bidi w:val="0"/>
        <w:ind w:left="1276" w:hanging="283"/>
        <w:jc w:val="both"/>
        <w:rPr>
          <w:rFonts w:ascii="Times New Roman" w:hAnsi="Times New Roman"/>
          <w:szCs w:val="24"/>
        </w:rPr>
      </w:pPr>
      <w:r w:rsidRPr="00F94912">
        <w:rPr>
          <w:rFonts w:ascii="Times New Roman" w:hAnsi="Times New Roman"/>
          <w:szCs w:val="24"/>
        </w:rPr>
        <w:t>za zamestnancov vo výške 1</w:t>
      </w:r>
      <w:r>
        <w:rPr>
          <w:rFonts w:ascii="Times New Roman" w:hAnsi="Times New Roman"/>
          <w:szCs w:val="24"/>
        </w:rPr>
        <w:t> </w:t>
      </w:r>
      <w:r w:rsidRPr="00F94912">
        <w:rPr>
          <w:rFonts w:ascii="Times New Roman" w:hAnsi="Times New Roman"/>
          <w:szCs w:val="24"/>
        </w:rPr>
        <w:t>0</w:t>
      </w:r>
      <w:r>
        <w:rPr>
          <w:rFonts w:ascii="Times New Roman" w:hAnsi="Times New Roman"/>
          <w:szCs w:val="24"/>
        </w:rPr>
        <w:t>24,30</w:t>
      </w:r>
      <w:r w:rsidRPr="00F94912">
        <w:rPr>
          <w:rFonts w:ascii="Times New Roman" w:hAnsi="Times New Roman"/>
          <w:szCs w:val="24"/>
        </w:rPr>
        <w:t xml:space="preserve"> Eur</w:t>
      </w:r>
      <w:r>
        <w:rPr>
          <w:rFonts w:ascii="Times New Roman" w:hAnsi="Times New Roman"/>
          <w:szCs w:val="24"/>
        </w:rPr>
        <w:t>,</w:t>
      </w:r>
    </w:p>
    <w:p w:rsidR="008E2C23" w:rsidRPr="00F94912" w:rsidP="008173F1">
      <w:pPr>
        <w:numPr>
          <w:numId w:val="2"/>
        </w:numPr>
        <w:tabs>
          <w:tab w:val="clear" w:pos="720"/>
          <w:tab w:val="left" w:pos="1276"/>
        </w:tabs>
        <w:bidi w:val="0"/>
        <w:ind w:left="1276" w:hanging="283"/>
        <w:jc w:val="both"/>
        <w:rPr>
          <w:rFonts w:ascii="Times New Roman" w:hAnsi="Times New Roman"/>
          <w:szCs w:val="24"/>
        </w:rPr>
      </w:pPr>
      <w:r w:rsidRPr="00F94912">
        <w:rPr>
          <w:rFonts w:ascii="Times New Roman" w:hAnsi="Times New Roman"/>
          <w:szCs w:val="24"/>
        </w:rPr>
        <w:t xml:space="preserve">za SZČO vo výške </w:t>
      </w:r>
      <w:r>
        <w:rPr>
          <w:rFonts w:ascii="Times New Roman" w:hAnsi="Times New Roman"/>
          <w:szCs w:val="24"/>
        </w:rPr>
        <w:t>725,30</w:t>
      </w:r>
      <w:r w:rsidRPr="00F94912">
        <w:rPr>
          <w:rFonts w:ascii="Times New Roman" w:hAnsi="Times New Roman"/>
          <w:szCs w:val="24"/>
        </w:rPr>
        <w:t xml:space="preserve"> Eur,</w:t>
      </w:r>
    </w:p>
    <w:p w:rsidR="008E2C23" w:rsidRPr="00F94912" w:rsidP="008173F1">
      <w:pPr>
        <w:numPr>
          <w:numId w:val="2"/>
        </w:numPr>
        <w:tabs>
          <w:tab w:val="clear" w:pos="720"/>
          <w:tab w:val="left" w:pos="1276"/>
        </w:tabs>
        <w:bidi w:val="0"/>
        <w:ind w:left="1276" w:hanging="283"/>
        <w:jc w:val="both"/>
        <w:rPr>
          <w:rFonts w:ascii="Times New Roman" w:hAnsi="Times New Roman"/>
          <w:szCs w:val="24"/>
        </w:rPr>
      </w:pPr>
      <w:r w:rsidRPr="00F94912">
        <w:rPr>
          <w:rFonts w:ascii="Times New Roman" w:hAnsi="Times New Roman"/>
          <w:szCs w:val="24"/>
        </w:rPr>
        <w:t xml:space="preserve">za DPO vo výške </w:t>
      </w:r>
      <w:r>
        <w:rPr>
          <w:rFonts w:ascii="Times New Roman" w:hAnsi="Times New Roman"/>
          <w:szCs w:val="24"/>
        </w:rPr>
        <w:t>620,58</w:t>
      </w:r>
      <w:r w:rsidRPr="00F94912">
        <w:rPr>
          <w:rFonts w:ascii="Times New Roman" w:hAnsi="Times New Roman"/>
          <w:szCs w:val="24"/>
        </w:rPr>
        <w:t xml:space="preserve"> Eur, </w:t>
      </w:r>
    </w:p>
    <w:p w:rsidR="008E2C23" w:rsidRPr="00DB0192" w:rsidP="008173F1">
      <w:pPr>
        <w:pStyle w:val="ListParagraph"/>
        <w:numPr>
          <w:numId w:val="14"/>
        </w:numPr>
        <w:bidi w:val="0"/>
        <w:ind w:left="993" w:hanging="284"/>
        <w:jc w:val="both"/>
        <w:rPr>
          <w:rFonts w:ascii="Times New Roman" w:hAnsi="Times New Roman"/>
          <w:szCs w:val="24"/>
        </w:rPr>
      </w:pPr>
      <w:r w:rsidRPr="006735AB">
        <w:rPr>
          <w:rFonts w:ascii="Times New Roman" w:hAnsi="Times New Roman"/>
          <w:szCs w:val="24"/>
        </w:rPr>
        <w:t>na úrazové poistenie za zamestnancov vo výške 1 0</w:t>
      </w:r>
      <w:r>
        <w:rPr>
          <w:rFonts w:ascii="Times New Roman" w:hAnsi="Times New Roman"/>
          <w:szCs w:val="24"/>
        </w:rPr>
        <w:t>35</w:t>
      </w:r>
      <w:r w:rsidRPr="006735AB">
        <w:rPr>
          <w:rFonts w:ascii="Times New Roman" w:hAnsi="Times New Roman"/>
          <w:szCs w:val="24"/>
        </w:rPr>
        <w:t>,</w:t>
      </w:r>
      <w:r>
        <w:rPr>
          <w:rFonts w:ascii="Times New Roman" w:hAnsi="Times New Roman"/>
          <w:szCs w:val="24"/>
        </w:rPr>
        <w:t>99</w:t>
      </w:r>
      <w:r w:rsidRPr="006735AB">
        <w:rPr>
          <w:rFonts w:ascii="Times New Roman" w:hAnsi="Times New Roman"/>
          <w:szCs w:val="24"/>
        </w:rPr>
        <w:t xml:space="preserve"> Eur,  </w:t>
      </w:r>
    </w:p>
    <w:p w:rsidR="008E2C23" w:rsidP="008173F1">
      <w:pPr>
        <w:numPr>
          <w:numId w:val="1"/>
        </w:numPr>
        <w:tabs>
          <w:tab w:val="left" w:pos="709"/>
        </w:tabs>
        <w:bidi w:val="0"/>
        <w:ind w:left="709" w:hanging="709"/>
        <w:jc w:val="both"/>
        <w:rPr>
          <w:rFonts w:ascii="Times New Roman" w:hAnsi="Times New Roman"/>
          <w:szCs w:val="24"/>
        </w:rPr>
      </w:pPr>
      <w:r w:rsidRPr="00F94912">
        <w:rPr>
          <w:rFonts w:ascii="Times New Roman" w:hAnsi="Times New Roman"/>
          <w:szCs w:val="24"/>
        </w:rPr>
        <w:t>predpokladu, že percento pracovnej neschopnosti pre chorobu a úraz bude na úrovni očakávanej skuto</w:t>
      </w:r>
      <w:r>
        <w:rPr>
          <w:rFonts w:ascii="Times New Roman" w:hAnsi="Times New Roman"/>
          <w:szCs w:val="24"/>
        </w:rPr>
        <w:t>čnosti v roku 2011, t. j. 3,5 %,</w:t>
      </w:r>
    </w:p>
    <w:p w:rsidR="008E2C23" w:rsidRPr="00F94912" w:rsidP="008173F1">
      <w:pPr>
        <w:numPr>
          <w:numId w:val="1"/>
        </w:numPr>
        <w:tabs>
          <w:tab w:val="left" w:pos="709"/>
        </w:tabs>
        <w:bidi w:val="0"/>
        <w:ind w:left="709" w:hanging="709"/>
        <w:jc w:val="both"/>
        <w:rPr>
          <w:rFonts w:ascii="Times New Roman" w:hAnsi="Times New Roman"/>
          <w:szCs w:val="24"/>
        </w:rPr>
      </w:pPr>
      <w:r>
        <w:rPr>
          <w:rFonts w:ascii="Times New Roman" w:hAnsi="Times New Roman"/>
          <w:szCs w:val="24"/>
        </w:rPr>
        <w:t>predikcie úspešnosti výberu bežného a dlžného poistného a príspevkov na SDS (ďalej len „úspešnosť výberu poistného“) vo výške 99</w:t>
      </w:r>
      <w:r w:rsidR="00C42AF3">
        <w:rPr>
          <w:rFonts w:ascii="Times New Roman" w:hAnsi="Times New Roman"/>
          <w:szCs w:val="24"/>
        </w:rPr>
        <w:t xml:space="preserve"> </w:t>
      </w:r>
      <w:r>
        <w:rPr>
          <w:rFonts w:ascii="Times New Roman" w:hAnsi="Times New Roman"/>
          <w:szCs w:val="24"/>
        </w:rPr>
        <w:t>%.</w:t>
      </w:r>
    </w:p>
    <w:p w:rsidR="008E2C23" w:rsidRPr="00310750" w:rsidP="008E2C23">
      <w:pPr>
        <w:bidi w:val="0"/>
        <w:spacing w:before="240" w:after="120"/>
        <w:ind w:left="6" w:firstLine="714"/>
        <w:jc w:val="both"/>
        <w:rPr>
          <w:rFonts w:ascii="Times New Roman" w:hAnsi="Times New Roman"/>
          <w:szCs w:val="24"/>
        </w:rPr>
      </w:pPr>
      <w:r w:rsidRPr="00F94912">
        <w:rPr>
          <w:rFonts w:ascii="Times New Roman" w:hAnsi="Times New Roman"/>
          <w:szCs w:val="24"/>
        </w:rPr>
        <w:t xml:space="preserve">Príjmy z poistného od EAO </w:t>
      </w:r>
      <w:r w:rsidRPr="00F94912">
        <w:rPr>
          <w:rFonts w:ascii="Times New Roman" w:hAnsi="Times New Roman"/>
          <w:b/>
          <w:szCs w:val="24"/>
        </w:rPr>
        <w:t>v rokoch 2013 a 2014</w:t>
      </w:r>
      <w:r w:rsidRPr="00F94912">
        <w:rPr>
          <w:rFonts w:ascii="Times New Roman" w:hAnsi="Times New Roman"/>
          <w:szCs w:val="24"/>
        </w:rPr>
        <w:t xml:space="preserve"> sú stanovené indexom, ktorý sa odvíja od medziročného rastu priemernej mzdy v hospodárstve SR predikovaného IFP MF SR. Rešpektujú sa všetky relevantné ukazovatele, ktoré boli použité pri rozpočtovaní príjmov v bežnom roku 2012</w:t>
      </w:r>
      <w:r>
        <w:rPr>
          <w:rFonts w:ascii="Times New Roman" w:hAnsi="Times New Roman"/>
          <w:szCs w:val="24"/>
        </w:rPr>
        <w:t>.</w:t>
      </w:r>
      <w:r w:rsidRPr="00F94912">
        <w:rPr>
          <w:rFonts w:ascii="Times New Roman" w:hAnsi="Times New Roman"/>
          <w:szCs w:val="24"/>
        </w:rPr>
        <w:t xml:space="preserve"> </w:t>
      </w:r>
      <w:r>
        <w:rPr>
          <w:rFonts w:ascii="Times New Roman" w:hAnsi="Times New Roman"/>
          <w:szCs w:val="24"/>
        </w:rPr>
        <w:t xml:space="preserve">Úspešnosť výberu poistného sa predpokladá na úrovni 99% a </w:t>
      </w:r>
      <w:r w:rsidRPr="00F94912">
        <w:rPr>
          <w:rFonts w:ascii="Times New Roman" w:hAnsi="Times New Roman"/>
          <w:szCs w:val="24"/>
        </w:rPr>
        <w:t>percento pracovnej neschopnosti pre chorobu a úraz bude na úrovni 3,5 %.</w:t>
      </w:r>
      <w:r w:rsidRPr="00310750">
        <w:rPr>
          <w:rFonts w:ascii="Times New Roman" w:hAnsi="Times New Roman"/>
          <w:szCs w:val="24"/>
        </w:rPr>
        <w:t xml:space="preserve"> </w:t>
      </w:r>
    </w:p>
    <w:p w:rsidR="006F3575" w:rsidRPr="004B38AE" w:rsidP="003A058C">
      <w:pPr>
        <w:bidi w:val="0"/>
        <w:spacing w:before="240" w:after="120"/>
        <w:ind w:firstLine="720"/>
        <w:jc w:val="both"/>
        <w:rPr>
          <w:rFonts w:ascii="Times New Roman" w:hAnsi="Times New Roman"/>
          <w:b/>
          <w:szCs w:val="24"/>
        </w:rPr>
      </w:pPr>
      <w:r w:rsidR="00BD7328">
        <w:rPr>
          <w:rFonts w:ascii="Times New Roman" w:hAnsi="Times New Roman"/>
          <w:b/>
          <w:szCs w:val="24"/>
        </w:rPr>
        <w:t>Kvantifikácia v</w:t>
      </w:r>
      <w:r w:rsidRPr="004B38AE" w:rsidR="004B38AE">
        <w:rPr>
          <w:rFonts w:ascii="Times New Roman" w:hAnsi="Times New Roman"/>
          <w:b/>
          <w:szCs w:val="24"/>
        </w:rPr>
        <w:t>ýdavk</w:t>
      </w:r>
      <w:r w:rsidR="00BD7328">
        <w:rPr>
          <w:rFonts w:ascii="Times New Roman" w:hAnsi="Times New Roman"/>
          <w:b/>
          <w:szCs w:val="24"/>
        </w:rPr>
        <w:t>ov</w:t>
      </w:r>
      <w:r w:rsidR="003E3545">
        <w:rPr>
          <w:rFonts w:ascii="Times New Roman" w:hAnsi="Times New Roman"/>
          <w:b/>
          <w:szCs w:val="24"/>
        </w:rPr>
        <w:t xml:space="preserve"> </w:t>
      </w:r>
    </w:p>
    <w:p w:rsidR="00847678" w:rsidP="00286C2F">
      <w:pPr>
        <w:bidi w:val="0"/>
        <w:spacing w:before="240" w:after="120"/>
        <w:ind w:firstLine="709"/>
        <w:jc w:val="both"/>
        <w:rPr>
          <w:rFonts w:ascii="Times New Roman" w:hAnsi="Times New Roman"/>
          <w:color w:val="000000"/>
          <w:szCs w:val="22"/>
        </w:rPr>
      </w:pPr>
      <w:r>
        <w:rPr>
          <w:rFonts w:ascii="Times New Roman" w:hAnsi="Times New Roman"/>
          <w:color w:val="000000"/>
          <w:szCs w:val="22"/>
        </w:rPr>
        <w:t>N</w:t>
      </w:r>
      <w:r w:rsidRPr="00FE1D8A">
        <w:rPr>
          <w:rFonts w:ascii="Times New Roman" w:hAnsi="Times New Roman"/>
          <w:color w:val="000000"/>
          <w:szCs w:val="22"/>
        </w:rPr>
        <w:t xml:space="preserve">iektoré opatrenia </w:t>
      </w:r>
      <w:r w:rsidRPr="00286C2F">
        <w:rPr>
          <w:rFonts w:ascii="Times New Roman" w:hAnsi="Times New Roman"/>
          <w:color w:val="000000"/>
          <w:szCs w:val="22"/>
        </w:rPr>
        <w:t>v</w:t>
      </w:r>
      <w:r>
        <w:rPr>
          <w:rFonts w:ascii="Times New Roman" w:hAnsi="Times New Roman"/>
          <w:color w:val="000000"/>
          <w:szCs w:val="22"/>
        </w:rPr>
        <w:t xml:space="preserve"> novele zákona </w:t>
      </w:r>
      <w:r w:rsidRPr="00286C2F">
        <w:rPr>
          <w:rFonts w:ascii="Times New Roman" w:hAnsi="Times New Roman"/>
          <w:color w:val="000000"/>
          <w:szCs w:val="22"/>
        </w:rPr>
        <w:t>o sociálnom poistení</w:t>
      </w:r>
      <w:r w:rsidRPr="00FE1D8A">
        <w:rPr>
          <w:rFonts w:ascii="Times New Roman" w:hAnsi="Times New Roman"/>
          <w:color w:val="000000"/>
          <w:szCs w:val="22"/>
        </w:rPr>
        <w:t xml:space="preserve"> budú mať vplyv na </w:t>
      </w:r>
      <w:r>
        <w:rPr>
          <w:rFonts w:ascii="Times New Roman" w:hAnsi="Times New Roman"/>
          <w:color w:val="000000"/>
          <w:szCs w:val="22"/>
        </w:rPr>
        <w:t xml:space="preserve">zníženie výdavkov (úhrada garančnej dávky a nezaplatené príspevky na starobné dôchodkové sporenie budú hradené zo štátneho rozpočtu). </w:t>
      </w:r>
    </w:p>
    <w:p w:rsidR="001D35F0" w:rsidP="003E3545">
      <w:pPr>
        <w:bidi w:val="0"/>
        <w:spacing w:before="240" w:after="120"/>
        <w:ind w:firstLine="709"/>
        <w:jc w:val="both"/>
        <w:rPr>
          <w:rFonts w:ascii="Times New Roman" w:hAnsi="Times New Roman"/>
          <w:szCs w:val="24"/>
        </w:rPr>
      </w:pPr>
      <w:r w:rsidR="007D63B0">
        <w:rPr>
          <w:rFonts w:ascii="Times New Roman" w:hAnsi="Times New Roman"/>
          <w:szCs w:val="24"/>
        </w:rPr>
        <w:t xml:space="preserve">Výdavky </w:t>
      </w:r>
      <w:r w:rsidR="00BD7328">
        <w:rPr>
          <w:rFonts w:ascii="Times New Roman" w:hAnsi="Times New Roman"/>
          <w:szCs w:val="24"/>
        </w:rPr>
        <w:t xml:space="preserve">Sociálnej poisťovne </w:t>
      </w:r>
      <w:r w:rsidR="007D63B0">
        <w:rPr>
          <w:rFonts w:ascii="Times New Roman" w:hAnsi="Times New Roman"/>
          <w:szCs w:val="24"/>
        </w:rPr>
        <w:t xml:space="preserve">vo </w:t>
      </w:r>
      <w:r w:rsidR="00571B87">
        <w:rPr>
          <w:rFonts w:ascii="Times New Roman" w:hAnsi="Times New Roman"/>
          <w:szCs w:val="24"/>
        </w:rPr>
        <w:t>FSP</w:t>
      </w:r>
      <w:r w:rsidR="004E3FFF">
        <w:rPr>
          <w:rFonts w:ascii="Times New Roman" w:hAnsi="Times New Roman"/>
          <w:szCs w:val="24"/>
        </w:rPr>
        <w:t xml:space="preserve">, vo </w:t>
      </w:r>
      <w:r w:rsidR="00571B87">
        <w:rPr>
          <w:rFonts w:ascii="Times New Roman" w:hAnsi="Times New Roman"/>
          <w:szCs w:val="24"/>
        </w:rPr>
        <w:t>FÚP</w:t>
      </w:r>
      <w:r w:rsidR="00795B33">
        <w:rPr>
          <w:rFonts w:ascii="Times New Roman" w:hAnsi="Times New Roman"/>
          <w:szCs w:val="24"/>
        </w:rPr>
        <w:t xml:space="preserve"> a v správnom fonde</w:t>
      </w:r>
      <w:r w:rsidR="004E3FFF">
        <w:rPr>
          <w:rFonts w:ascii="Times New Roman" w:hAnsi="Times New Roman"/>
          <w:szCs w:val="24"/>
        </w:rPr>
        <w:t xml:space="preserve"> </w:t>
      </w:r>
      <w:r w:rsidR="009E4B14">
        <w:rPr>
          <w:rFonts w:ascii="Times New Roman" w:hAnsi="Times New Roman"/>
          <w:szCs w:val="24"/>
        </w:rPr>
        <w:t>sa v rokoch 2012 až 2014 predpokladajú takéto:</w:t>
      </w:r>
    </w:p>
    <w:tbl>
      <w:tblPr>
        <w:tblStyle w:val="TableNormal"/>
        <w:tblW w:w="9100" w:type="dxa"/>
        <w:tblInd w:w="55" w:type="dxa"/>
        <w:tblCellMar>
          <w:left w:w="70" w:type="dxa"/>
          <w:right w:w="70" w:type="dxa"/>
        </w:tblCellMar>
        <w:tblLook w:val="04A0"/>
      </w:tblPr>
      <w:tblGrid>
        <w:gridCol w:w="4820"/>
        <w:gridCol w:w="1680"/>
        <w:gridCol w:w="1300"/>
        <w:gridCol w:w="1300"/>
      </w:tblGrid>
      <w:tr>
        <w:tblPrEx>
          <w:tblW w:w="9100" w:type="dxa"/>
          <w:tblInd w:w="55" w:type="dxa"/>
          <w:tblCellMar>
            <w:left w:w="70" w:type="dxa"/>
            <w:right w:w="70" w:type="dxa"/>
          </w:tblCellMar>
          <w:tblLook w:val="04A0"/>
        </w:tblPrEx>
        <w:trPr>
          <w:trHeight w:val="300"/>
        </w:trPr>
        <w:tc>
          <w:tcPr>
            <w:tcW w:w="4820" w:type="dxa"/>
            <w:tcBorders>
              <w:top w:val="nil"/>
              <w:left w:val="nil"/>
              <w:bottom w:val="nil"/>
              <w:right w:val="nil"/>
            </w:tcBorders>
            <w:noWrap/>
            <w:textDirection w:val="lrTb"/>
            <w:vAlign w:val="bottom"/>
            <w:hideMark/>
          </w:tcPr>
          <w:p w:rsidR="004C3926" w:rsidRPr="004C3926" w:rsidP="004C3926">
            <w:pPr>
              <w:bidi w:val="0"/>
              <w:rPr>
                <w:rFonts w:ascii="Times New Roman" w:hAnsi="Times New Roman"/>
                <w:sz w:val="22"/>
                <w:szCs w:val="22"/>
              </w:rPr>
            </w:pPr>
          </w:p>
        </w:tc>
        <w:tc>
          <w:tcPr>
            <w:tcW w:w="1680" w:type="dxa"/>
            <w:tcBorders>
              <w:top w:val="nil"/>
              <w:left w:val="nil"/>
              <w:bottom w:val="nil"/>
              <w:right w:val="nil"/>
            </w:tcBorders>
            <w:noWrap/>
            <w:textDirection w:val="lrTb"/>
            <w:vAlign w:val="bottom"/>
            <w:hideMark/>
          </w:tcPr>
          <w:p w:rsidR="004C3926" w:rsidRPr="004C3926" w:rsidP="004C3926">
            <w:pPr>
              <w:bidi w:val="0"/>
              <w:rPr>
                <w:rFonts w:ascii="Times New Roman" w:hAnsi="Times New Roman"/>
                <w:sz w:val="22"/>
                <w:szCs w:val="22"/>
              </w:rPr>
            </w:pPr>
          </w:p>
        </w:tc>
        <w:tc>
          <w:tcPr>
            <w:tcW w:w="1300" w:type="dxa"/>
            <w:tcBorders>
              <w:top w:val="nil"/>
              <w:left w:val="nil"/>
              <w:bottom w:val="nil"/>
              <w:right w:val="nil"/>
            </w:tcBorders>
            <w:noWrap/>
            <w:textDirection w:val="lrTb"/>
            <w:vAlign w:val="bottom"/>
            <w:hideMark/>
          </w:tcPr>
          <w:p w:rsidR="004C3926" w:rsidRPr="004C3926" w:rsidP="004C3926">
            <w:pPr>
              <w:bidi w:val="0"/>
              <w:rPr>
                <w:rFonts w:ascii="Times New Roman" w:hAnsi="Times New Roman"/>
                <w:sz w:val="22"/>
                <w:szCs w:val="22"/>
              </w:rPr>
            </w:pPr>
          </w:p>
        </w:tc>
        <w:tc>
          <w:tcPr>
            <w:tcW w:w="1300" w:type="dxa"/>
            <w:tcBorders>
              <w:top w:val="nil"/>
              <w:left w:val="nil"/>
              <w:bottom w:val="nil"/>
              <w:right w:val="nil"/>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v tis. Eur</w:t>
            </w:r>
          </w:p>
        </w:tc>
      </w:tr>
      <w:tr>
        <w:tblPrEx>
          <w:tblW w:w="9100" w:type="dxa"/>
          <w:tblInd w:w="55" w:type="dxa"/>
          <w:tblCellMar>
            <w:left w:w="70" w:type="dxa"/>
            <w:right w:w="70" w:type="dxa"/>
          </w:tblCellMar>
          <w:tblLook w:val="04A0"/>
        </w:tblPrEx>
        <w:trPr>
          <w:trHeight w:val="300"/>
        </w:trPr>
        <w:tc>
          <w:tcPr>
            <w:tcW w:w="4820" w:type="dxa"/>
            <w:tcBorders>
              <w:top w:val="single" w:sz="4" w:space="0" w:color="auto"/>
              <w:left w:val="single" w:sz="4" w:space="0" w:color="auto"/>
              <w:bottom w:val="single" w:sz="4" w:space="0" w:color="auto"/>
              <w:right w:val="single" w:sz="4" w:space="0" w:color="auto"/>
            </w:tcBorders>
            <w:noWrap/>
            <w:textDirection w:val="lrTb"/>
            <w:vAlign w:val="bottom"/>
            <w:hideMark/>
          </w:tcPr>
          <w:p w:rsidR="004C3926" w:rsidRPr="004C3926" w:rsidP="004C3926">
            <w:pPr>
              <w:bidi w:val="0"/>
              <w:jc w:val="center"/>
              <w:rPr>
                <w:rFonts w:ascii="Times New Roman" w:hAnsi="Times New Roman"/>
                <w:sz w:val="22"/>
                <w:szCs w:val="22"/>
              </w:rPr>
            </w:pPr>
            <w:r w:rsidRPr="004C3926">
              <w:rPr>
                <w:rFonts w:ascii="Times New Roman" w:hAnsi="Times New Roman"/>
                <w:sz w:val="22"/>
                <w:szCs w:val="22"/>
              </w:rPr>
              <w:t>Text</w:t>
            </w:r>
          </w:p>
        </w:tc>
        <w:tc>
          <w:tcPr>
            <w:tcW w:w="1680" w:type="dxa"/>
            <w:tcBorders>
              <w:top w:val="single" w:sz="4" w:space="0" w:color="auto"/>
              <w:left w:val="nil"/>
              <w:bottom w:val="single" w:sz="4" w:space="0" w:color="auto"/>
              <w:right w:val="single" w:sz="4" w:space="0" w:color="auto"/>
            </w:tcBorders>
            <w:noWrap/>
            <w:textDirection w:val="lrTb"/>
            <w:vAlign w:val="bottom"/>
            <w:hideMark/>
          </w:tcPr>
          <w:p w:rsidR="004C3926" w:rsidRPr="004C3926" w:rsidP="004C3926">
            <w:pPr>
              <w:bidi w:val="0"/>
              <w:jc w:val="center"/>
              <w:rPr>
                <w:rFonts w:ascii="Times New Roman" w:hAnsi="Times New Roman"/>
                <w:sz w:val="22"/>
                <w:szCs w:val="22"/>
              </w:rPr>
            </w:pPr>
            <w:r w:rsidRPr="004C3926">
              <w:rPr>
                <w:rFonts w:ascii="Times New Roman" w:hAnsi="Times New Roman"/>
                <w:sz w:val="22"/>
                <w:szCs w:val="22"/>
              </w:rPr>
              <w:t>Rok 2012</w:t>
            </w:r>
          </w:p>
        </w:tc>
        <w:tc>
          <w:tcPr>
            <w:tcW w:w="1300" w:type="dxa"/>
            <w:tcBorders>
              <w:top w:val="single" w:sz="4" w:space="0" w:color="auto"/>
              <w:left w:val="nil"/>
              <w:bottom w:val="single" w:sz="4" w:space="0" w:color="auto"/>
              <w:right w:val="single" w:sz="4" w:space="0" w:color="auto"/>
            </w:tcBorders>
            <w:noWrap/>
            <w:textDirection w:val="lrTb"/>
            <w:vAlign w:val="bottom"/>
            <w:hideMark/>
          </w:tcPr>
          <w:p w:rsidR="004C3926" w:rsidRPr="004C3926" w:rsidP="004C3926">
            <w:pPr>
              <w:bidi w:val="0"/>
              <w:jc w:val="center"/>
              <w:rPr>
                <w:rFonts w:ascii="Times New Roman" w:hAnsi="Times New Roman"/>
                <w:sz w:val="22"/>
                <w:szCs w:val="22"/>
              </w:rPr>
            </w:pPr>
            <w:r w:rsidRPr="004C3926">
              <w:rPr>
                <w:rFonts w:ascii="Times New Roman" w:hAnsi="Times New Roman"/>
                <w:sz w:val="22"/>
                <w:szCs w:val="22"/>
              </w:rPr>
              <w:t>Rok 2013</w:t>
            </w:r>
          </w:p>
        </w:tc>
        <w:tc>
          <w:tcPr>
            <w:tcW w:w="1300" w:type="dxa"/>
            <w:tcBorders>
              <w:top w:val="single" w:sz="4" w:space="0" w:color="auto"/>
              <w:left w:val="nil"/>
              <w:bottom w:val="single" w:sz="4" w:space="0" w:color="auto"/>
              <w:right w:val="single" w:sz="4" w:space="0" w:color="auto"/>
            </w:tcBorders>
            <w:noWrap/>
            <w:textDirection w:val="lrTb"/>
            <w:vAlign w:val="bottom"/>
            <w:hideMark/>
          </w:tcPr>
          <w:p w:rsidR="004C3926" w:rsidRPr="004C3926" w:rsidP="004C3926">
            <w:pPr>
              <w:bidi w:val="0"/>
              <w:jc w:val="center"/>
              <w:rPr>
                <w:rFonts w:ascii="Times New Roman" w:hAnsi="Times New Roman"/>
                <w:sz w:val="22"/>
                <w:szCs w:val="22"/>
              </w:rPr>
            </w:pPr>
            <w:r w:rsidRPr="004C3926">
              <w:rPr>
                <w:rFonts w:ascii="Times New Roman" w:hAnsi="Times New Roman"/>
                <w:sz w:val="22"/>
                <w:szCs w:val="22"/>
              </w:rPr>
              <w:t>Rok 2014</w:t>
            </w:r>
          </w:p>
        </w:tc>
      </w:tr>
      <w:tr>
        <w:tblPrEx>
          <w:tblW w:w="9100" w:type="dxa"/>
          <w:tblInd w:w="55" w:type="dxa"/>
          <w:tblCellMar>
            <w:left w:w="70" w:type="dxa"/>
            <w:right w:w="70" w:type="dxa"/>
          </w:tblCellMar>
          <w:tblLook w:val="04A0"/>
        </w:tblPrEx>
        <w:trPr>
          <w:trHeight w:val="300"/>
        </w:trPr>
        <w:tc>
          <w:tcPr>
            <w:tcW w:w="4820" w:type="dxa"/>
            <w:tcBorders>
              <w:top w:val="nil"/>
              <w:left w:val="single" w:sz="4" w:space="0" w:color="auto"/>
              <w:bottom w:val="nil"/>
              <w:right w:val="single" w:sz="4" w:space="0" w:color="auto"/>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Fond sociálneho poistenia, v tom:</w:t>
            </w:r>
          </w:p>
        </w:tc>
        <w:tc>
          <w:tcPr>
            <w:tcW w:w="168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6 292 827</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6 627 952</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6 961 882</w:t>
            </w:r>
          </w:p>
        </w:tc>
      </w:tr>
      <w:tr>
        <w:tblPrEx>
          <w:tblW w:w="9100" w:type="dxa"/>
          <w:tblInd w:w="55" w:type="dxa"/>
          <w:tblCellMar>
            <w:left w:w="70" w:type="dxa"/>
            <w:right w:w="70" w:type="dxa"/>
          </w:tblCellMar>
          <w:tblLook w:val="04A0"/>
        </w:tblPrEx>
        <w:trPr>
          <w:trHeight w:val="300"/>
        </w:trPr>
        <w:tc>
          <w:tcPr>
            <w:tcW w:w="4820" w:type="dxa"/>
            <w:tcBorders>
              <w:top w:val="nil"/>
              <w:left w:val="single" w:sz="4" w:space="0" w:color="auto"/>
              <w:bottom w:val="nil"/>
              <w:right w:val="single" w:sz="4" w:space="0" w:color="auto"/>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 xml:space="preserve">  nemocenské dávky</w:t>
            </w:r>
          </w:p>
        </w:tc>
        <w:tc>
          <w:tcPr>
            <w:tcW w:w="168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398 641</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419 806</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444 316</w:t>
            </w:r>
          </w:p>
        </w:tc>
      </w:tr>
      <w:tr>
        <w:tblPrEx>
          <w:tblW w:w="9100" w:type="dxa"/>
          <w:tblInd w:w="55" w:type="dxa"/>
          <w:tblCellMar>
            <w:left w:w="70" w:type="dxa"/>
            <w:right w:w="70" w:type="dxa"/>
          </w:tblCellMar>
          <w:tblLook w:val="04A0"/>
        </w:tblPrEx>
        <w:trPr>
          <w:trHeight w:val="300"/>
        </w:trPr>
        <w:tc>
          <w:tcPr>
            <w:tcW w:w="4820" w:type="dxa"/>
            <w:tcBorders>
              <w:top w:val="nil"/>
              <w:left w:val="single" w:sz="4" w:space="0" w:color="auto"/>
              <w:bottom w:val="nil"/>
              <w:right w:val="single" w:sz="4" w:space="0" w:color="auto"/>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 xml:space="preserve">  dôchodkové dávky zo starobného poistenia</w:t>
            </w:r>
          </w:p>
        </w:tc>
        <w:tc>
          <w:tcPr>
            <w:tcW w:w="168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4 842 596</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5 108 714</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5 370 948</w:t>
            </w:r>
          </w:p>
        </w:tc>
      </w:tr>
      <w:tr>
        <w:tblPrEx>
          <w:tblW w:w="9100" w:type="dxa"/>
          <w:tblInd w:w="55" w:type="dxa"/>
          <w:tblCellMar>
            <w:left w:w="70" w:type="dxa"/>
            <w:right w:w="70" w:type="dxa"/>
          </w:tblCellMar>
          <w:tblLook w:val="04A0"/>
        </w:tblPrEx>
        <w:trPr>
          <w:trHeight w:val="300"/>
        </w:trPr>
        <w:tc>
          <w:tcPr>
            <w:tcW w:w="4820" w:type="dxa"/>
            <w:tcBorders>
              <w:top w:val="nil"/>
              <w:left w:val="single" w:sz="4" w:space="0" w:color="auto"/>
              <w:bottom w:val="nil"/>
              <w:right w:val="single" w:sz="4" w:space="0" w:color="auto"/>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 xml:space="preserve">  dôchodkové dávky z  invalidného poistenia</w:t>
            </w:r>
          </w:p>
        </w:tc>
        <w:tc>
          <w:tcPr>
            <w:tcW w:w="168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887 447</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936 215</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984 272</w:t>
            </w:r>
          </w:p>
        </w:tc>
      </w:tr>
      <w:tr>
        <w:tblPrEx>
          <w:tblW w:w="9100" w:type="dxa"/>
          <w:tblInd w:w="55" w:type="dxa"/>
          <w:tblCellMar>
            <w:left w:w="70" w:type="dxa"/>
            <w:right w:w="70" w:type="dxa"/>
          </w:tblCellMar>
          <w:tblLook w:val="04A0"/>
        </w:tblPrEx>
        <w:trPr>
          <w:trHeight w:val="300"/>
        </w:trPr>
        <w:tc>
          <w:tcPr>
            <w:tcW w:w="4820" w:type="dxa"/>
            <w:tcBorders>
              <w:top w:val="nil"/>
              <w:left w:val="single" w:sz="4" w:space="0" w:color="auto"/>
              <w:bottom w:val="single" w:sz="4" w:space="0" w:color="auto"/>
              <w:right w:val="single" w:sz="4" w:space="0" w:color="auto"/>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 xml:space="preserve">  dávky  v nezamestnanosti</w:t>
            </w:r>
          </w:p>
        </w:tc>
        <w:tc>
          <w:tcPr>
            <w:tcW w:w="168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164 143</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163 217</w:t>
            </w:r>
          </w:p>
        </w:tc>
        <w:tc>
          <w:tcPr>
            <w:tcW w:w="1300" w:type="dxa"/>
            <w:tcBorders>
              <w:top w:val="nil"/>
              <w:left w:val="nil"/>
              <w:bottom w:val="nil"/>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162 346</w:t>
            </w:r>
          </w:p>
        </w:tc>
      </w:tr>
      <w:tr>
        <w:tblPrEx>
          <w:tblW w:w="9100" w:type="dxa"/>
          <w:tblInd w:w="55" w:type="dxa"/>
          <w:tblCellMar>
            <w:left w:w="70" w:type="dxa"/>
            <w:right w:w="70" w:type="dxa"/>
          </w:tblCellMar>
          <w:tblLook w:val="04A0"/>
        </w:tblPrEx>
        <w:trPr>
          <w:trHeight w:val="300"/>
        </w:trPr>
        <w:tc>
          <w:tcPr>
            <w:tcW w:w="4820" w:type="dxa"/>
            <w:tcBorders>
              <w:top w:val="nil"/>
              <w:left w:val="single" w:sz="4" w:space="0" w:color="auto"/>
              <w:bottom w:val="single" w:sz="4" w:space="0" w:color="auto"/>
              <w:right w:val="single" w:sz="4" w:space="0" w:color="auto"/>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Fond úrazového poistenia</w:t>
            </w:r>
          </w:p>
        </w:tc>
        <w:tc>
          <w:tcPr>
            <w:tcW w:w="1680" w:type="dxa"/>
            <w:tcBorders>
              <w:top w:val="single" w:sz="4" w:space="0" w:color="auto"/>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47 755</w:t>
            </w:r>
          </w:p>
        </w:tc>
        <w:tc>
          <w:tcPr>
            <w:tcW w:w="1300" w:type="dxa"/>
            <w:tcBorders>
              <w:top w:val="single" w:sz="4" w:space="0" w:color="auto"/>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52 338</w:t>
            </w:r>
          </w:p>
        </w:tc>
        <w:tc>
          <w:tcPr>
            <w:tcW w:w="1300" w:type="dxa"/>
            <w:tcBorders>
              <w:top w:val="single" w:sz="4" w:space="0" w:color="auto"/>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57 727</w:t>
            </w:r>
          </w:p>
        </w:tc>
      </w:tr>
      <w:tr>
        <w:tblPrEx>
          <w:tblW w:w="9100" w:type="dxa"/>
          <w:tblInd w:w="55" w:type="dxa"/>
          <w:tblCellMar>
            <w:left w:w="70" w:type="dxa"/>
            <w:right w:w="70" w:type="dxa"/>
          </w:tblCellMar>
          <w:tblLook w:val="04A0"/>
        </w:tblPrEx>
        <w:trPr>
          <w:trHeight w:val="300"/>
        </w:trPr>
        <w:tc>
          <w:tcPr>
            <w:tcW w:w="4820" w:type="dxa"/>
            <w:tcBorders>
              <w:top w:val="nil"/>
              <w:left w:val="single" w:sz="4" w:space="0" w:color="auto"/>
              <w:bottom w:val="single" w:sz="4" w:space="0" w:color="auto"/>
              <w:right w:val="single" w:sz="4" w:space="0" w:color="auto"/>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Správny fond</w:t>
            </w:r>
          </w:p>
        </w:tc>
        <w:tc>
          <w:tcPr>
            <w:tcW w:w="1680" w:type="dxa"/>
            <w:tcBorders>
              <w:top w:val="nil"/>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115 711</w:t>
            </w:r>
          </w:p>
        </w:tc>
        <w:tc>
          <w:tcPr>
            <w:tcW w:w="1300" w:type="dxa"/>
            <w:tcBorders>
              <w:top w:val="nil"/>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116 687</w:t>
            </w:r>
          </w:p>
        </w:tc>
        <w:tc>
          <w:tcPr>
            <w:tcW w:w="1300" w:type="dxa"/>
            <w:tcBorders>
              <w:top w:val="nil"/>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80 923</w:t>
            </w:r>
          </w:p>
        </w:tc>
      </w:tr>
      <w:tr>
        <w:tblPrEx>
          <w:tblW w:w="9100" w:type="dxa"/>
          <w:tblInd w:w="55" w:type="dxa"/>
          <w:tblCellMar>
            <w:left w:w="70" w:type="dxa"/>
            <w:right w:w="70" w:type="dxa"/>
          </w:tblCellMar>
          <w:tblLook w:val="04A0"/>
        </w:tblPrEx>
        <w:trPr>
          <w:trHeight w:val="300"/>
        </w:trPr>
        <w:tc>
          <w:tcPr>
            <w:tcW w:w="4820" w:type="dxa"/>
            <w:tcBorders>
              <w:top w:val="nil"/>
              <w:left w:val="single" w:sz="4" w:space="0" w:color="auto"/>
              <w:bottom w:val="single" w:sz="4" w:space="0" w:color="auto"/>
              <w:right w:val="single" w:sz="4" w:space="0" w:color="auto"/>
            </w:tcBorders>
            <w:noWrap/>
            <w:textDirection w:val="lrTb"/>
            <w:vAlign w:val="bottom"/>
            <w:hideMark/>
          </w:tcPr>
          <w:p w:rsidR="004C3926" w:rsidRPr="004C3926" w:rsidP="004C3926">
            <w:pPr>
              <w:bidi w:val="0"/>
              <w:rPr>
                <w:rFonts w:ascii="Times New Roman" w:hAnsi="Times New Roman"/>
                <w:sz w:val="22"/>
                <w:szCs w:val="22"/>
              </w:rPr>
            </w:pPr>
            <w:r w:rsidRPr="004C3926">
              <w:rPr>
                <w:rFonts w:ascii="Times New Roman" w:hAnsi="Times New Roman"/>
                <w:sz w:val="22"/>
                <w:szCs w:val="22"/>
              </w:rPr>
              <w:t>Celkom</w:t>
            </w:r>
          </w:p>
        </w:tc>
        <w:tc>
          <w:tcPr>
            <w:tcW w:w="1680" w:type="dxa"/>
            <w:tcBorders>
              <w:top w:val="nil"/>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6 456 293</w:t>
            </w:r>
          </w:p>
        </w:tc>
        <w:tc>
          <w:tcPr>
            <w:tcW w:w="1300" w:type="dxa"/>
            <w:tcBorders>
              <w:top w:val="nil"/>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6 796 977</w:t>
            </w:r>
          </w:p>
        </w:tc>
        <w:tc>
          <w:tcPr>
            <w:tcW w:w="1300" w:type="dxa"/>
            <w:tcBorders>
              <w:top w:val="nil"/>
              <w:left w:val="nil"/>
              <w:bottom w:val="single" w:sz="4" w:space="0" w:color="auto"/>
              <w:right w:val="single" w:sz="4" w:space="0" w:color="auto"/>
            </w:tcBorders>
            <w:noWrap/>
            <w:textDirection w:val="lrTb"/>
            <w:vAlign w:val="bottom"/>
            <w:hideMark/>
          </w:tcPr>
          <w:p w:rsidR="004C3926" w:rsidRPr="004C3926" w:rsidP="004C3926">
            <w:pPr>
              <w:bidi w:val="0"/>
              <w:jc w:val="right"/>
              <w:rPr>
                <w:rFonts w:ascii="Times New Roman" w:hAnsi="Times New Roman"/>
                <w:sz w:val="22"/>
                <w:szCs w:val="22"/>
              </w:rPr>
            </w:pPr>
            <w:r w:rsidRPr="004C3926">
              <w:rPr>
                <w:rFonts w:ascii="Times New Roman" w:hAnsi="Times New Roman"/>
                <w:sz w:val="22"/>
                <w:szCs w:val="22"/>
              </w:rPr>
              <w:t>7 100 532</w:t>
            </w:r>
          </w:p>
        </w:tc>
      </w:tr>
    </w:tbl>
    <w:p w:rsidR="004C3926" w:rsidP="00B965FC">
      <w:pPr>
        <w:bidi w:val="0"/>
        <w:ind w:firstLine="709"/>
        <w:jc w:val="both"/>
        <w:rPr>
          <w:rFonts w:ascii="Times New Roman" w:hAnsi="Times New Roman"/>
          <w:szCs w:val="24"/>
        </w:rPr>
      </w:pPr>
    </w:p>
    <w:p w:rsidR="003E3545" w:rsidRPr="003E3545" w:rsidP="003E3545">
      <w:pPr>
        <w:bidi w:val="0"/>
        <w:spacing w:before="240" w:after="120"/>
        <w:ind w:firstLine="709"/>
        <w:jc w:val="both"/>
        <w:rPr>
          <w:rFonts w:ascii="Times New Roman" w:hAnsi="Times New Roman"/>
          <w:szCs w:val="24"/>
        </w:rPr>
      </w:pPr>
      <w:r>
        <w:rPr>
          <w:rFonts w:ascii="Times New Roman" w:hAnsi="Times New Roman"/>
          <w:b/>
          <w:szCs w:val="24"/>
        </w:rPr>
        <w:t>Nemocenské dávky</w:t>
      </w:r>
      <w:r w:rsidRPr="003E3545">
        <w:rPr>
          <w:rFonts w:ascii="Times New Roman" w:hAnsi="Times New Roman"/>
          <w:szCs w:val="24"/>
        </w:rPr>
        <w:t xml:space="preserve"> sa v </w:t>
      </w:r>
      <w:r w:rsidRPr="003E3545">
        <w:rPr>
          <w:rFonts w:ascii="Times New Roman" w:hAnsi="Times New Roman"/>
          <w:b/>
          <w:szCs w:val="24"/>
        </w:rPr>
        <w:t xml:space="preserve">roku 2012 </w:t>
      </w:r>
      <w:r w:rsidRPr="003E3545">
        <w:rPr>
          <w:rFonts w:ascii="Times New Roman" w:hAnsi="Times New Roman"/>
          <w:szCs w:val="24"/>
        </w:rPr>
        <w:t xml:space="preserve">predpokladajú vo výške </w:t>
      </w:r>
      <w:r w:rsidR="004C3926">
        <w:rPr>
          <w:rFonts w:ascii="Times New Roman" w:hAnsi="Times New Roman"/>
          <w:b/>
          <w:szCs w:val="24"/>
        </w:rPr>
        <w:t>398</w:t>
      </w:r>
      <w:r w:rsidRPr="003E3545">
        <w:rPr>
          <w:rFonts w:ascii="Times New Roman" w:hAnsi="Times New Roman"/>
          <w:b/>
          <w:szCs w:val="24"/>
        </w:rPr>
        <w:t> </w:t>
      </w:r>
      <w:r w:rsidR="004C3926">
        <w:rPr>
          <w:rFonts w:ascii="Times New Roman" w:hAnsi="Times New Roman"/>
          <w:b/>
          <w:szCs w:val="24"/>
        </w:rPr>
        <w:t>641</w:t>
      </w:r>
      <w:r w:rsidRPr="003E3545">
        <w:rPr>
          <w:rFonts w:ascii="Times New Roman" w:hAnsi="Times New Roman"/>
          <w:b/>
          <w:szCs w:val="24"/>
        </w:rPr>
        <w:t> tis. Eur</w:t>
      </w:r>
      <w:r w:rsidRPr="003E3545">
        <w:rPr>
          <w:rFonts w:ascii="Times New Roman" w:hAnsi="Times New Roman"/>
          <w:szCs w:val="24"/>
        </w:rPr>
        <w:t>. Pri prepočte bol zohľadnený vývoj ukazovateľov ovplyvňujúcich výšku výdavkov na nemocenské dávky:</w:t>
      </w:r>
    </w:p>
    <w:tbl>
      <w:tblPr>
        <w:tblStyle w:val="TableNormal"/>
        <w:tblW w:w="7290" w:type="dxa"/>
        <w:tblInd w:w="779" w:type="dxa"/>
        <w:tblCellMar>
          <w:left w:w="70" w:type="dxa"/>
          <w:right w:w="70" w:type="dxa"/>
        </w:tblCellMar>
        <w:tblLook w:val="04A0"/>
      </w:tblPr>
      <w:tblGrid>
        <w:gridCol w:w="2410"/>
        <w:gridCol w:w="2440"/>
        <w:gridCol w:w="2440"/>
      </w:tblGrid>
      <w:tr>
        <w:tblPrEx>
          <w:tblW w:w="7290" w:type="dxa"/>
          <w:tblInd w:w="779" w:type="dxa"/>
          <w:tblCellMar>
            <w:left w:w="70" w:type="dxa"/>
            <w:right w:w="70" w:type="dxa"/>
          </w:tblCellMar>
          <w:tblLook w:val="04A0"/>
        </w:tblPrEx>
        <w:trPr>
          <w:trHeight w:val="555"/>
        </w:trPr>
        <w:tc>
          <w:tcPr>
            <w:tcW w:w="2410" w:type="dxa"/>
            <w:tcBorders>
              <w:top w:val="single" w:sz="4" w:space="0" w:color="auto"/>
              <w:left w:val="single" w:sz="4" w:space="0" w:color="auto"/>
              <w:bottom w:val="single" w:sz="4" w:space="0" w:color="auto"/>
              <w:right w:val="single" w:sz="4" w:space="0" w:color="auto"/>
            </w:tcBorders>
            <w:noWrap/>
            <w:textDirection w:val="lrTb"/>
            <w:vAlign w:val="bottom"/>
            <w:hideMark/>
          </w:tcPr>
          <w:p w:rsidR="003E3545" w:rsidRPr="006735AB" w:rsidP="003E3545">
            <w:pPr>
              <w:bidi w:val="0"/>
              <w:jc w:val="center"/>
              <w:rPr>
                <w:rFonts w:ascii="Times New Roman" w:hAnsi="Times New Roman"/>
                <w:sz w:val="22"/>
                <w:szCs w:val="22"/>
              </w:rPr>
            </w:pPr>
            <w:r w:rsidRPr="006735AB">
              <w:rPr>
                <w:rFonts w:ascii="Times New Roman" w:hAnsi="Times New Roman"/>
                <w:sz w:val="22"/>
                <w:szCs w:val="22"/>
              </w:rPr>
              <w:t>Dávka</w:t>
            </w:r>
          </w:p>
        </w:tc>
        <w:tc>
          <w:tcPr>
            <w:tcW w:w="2440" w:type="dxa"/>
            <w:tcBorders>
              <w:top w:val="single" w:sz="4" w:space="0" w:color="auto"/>
              <w:left w:val="nil"/>
              <w:bottom w:val="single" w:sz="4" w:space="0" w:color="auto"/>
              <w:right w:val="single" w:sz="4" w:space="0" w:color="auto"/>
            </w:tcBorders>
            <w:textDirection w:val="lrTb"/>
            <w:vAlign w:val="bottom"/>
            <w:hideMark/>
          </w:tcPr>
          <w:p w:rsidR="003E3545" w:rsidRPr="006735AB" w:rsidP="003E3545">
            <w:pPr>
              <w:bidi w:val="0"/>
              <w:jc w:val="center"/>
              <w:rPr>
                <w:rFonts w:ascii="Times New Roman" w:hAnsi="Times New Roman"/>
                <w:sz w:val="22"/>
                <w:szCs w:val="22"/>
              </w:rPr>
            </w:pPr>
            <w:r w:rsidRPr="006735AB">
              <w:rPr>
                <w:rFonts w:ascii="Times New Roman" w:hAnsi="Times New Roman"/>
                <w:sz w:val="22"/>
                <w:szCs w:val="22"/>
              </w:rPr>
              <w:t>Priemerná mesačná výška dávky v Eur</w:t>
            </w:r>
          </w:p>
        </w:tc>
        <w:tc>
          <w:tcPr>
            <w:tcW w:w="2440" w:type="dxa"/>
            <w:tcBorders>
              <w:top w:val="single" w:sz="4" w:space="0" w:color="auto"/>
              <w:left w:val="nil"/>
              <w:bottom w:val="single" w:sz="4" w:space="0" w:color="auto"/>
              <w:right w:val="single" w:sz="4" w:space="0" w:color="auto"/>
            </w:tcBorders>
            <w:textDirection w:val="lrTb"/>
            <w:vAlign w:val="bottom"/>
            <w:hideMark/>
          </w:tcPr>
          <w:p w:rsidR="003E3545" w:rsidRPr="006735AB" w:rsidP="003E3545">
            <w:pPr>
              <w:bidi w:val="0"/>
              <w:jc w:val="center"/>
              <w:rPr>
                <w:rFonts w:ascii="Times New Roman" w:hAnsi="Times New Roman"/>
                <w:sz w:val="22"/>
                <w:szCs w:val="22"/>
              </w:rPr>
            </w:pPr>
            <w:r w:rsidRPr="006735AB">
              <w:rPr>
                <w:rFonts w:ascii="Times New Roman" w:hAnsi="Times New Roman"/>
                <w:sz w:val="22"/>
                <w:szCs w:val="22"/>
              </w:rPr>
              <w:t>Priemerný mesačný počet poberateľov dávky</w:t>
            </w:r>
          </w:p>
        </w:tc>
      </w:tr>
      <w:tr>
        <w:tblPrEx>
          <w:tblW w:w="7290" w:type="dxa"/>
          <w:tblInd w:w="779" w:type="dxa"/>
          <w:tblCellMar>
            <w:left w:w="70" w:type="dxa"/>
            <w:right w:w="70" w:type="dxa"/>
          </w:tblCellMar>
          <w:tblLook w:val="04A0"/>
        </w:tblPrEx>
        <w:trPr>
          <w:trHeight w:val="232"/>
        </w:trPr>
        <w:tc>
          <w:tcPr>
            <w:tcW w:w="2410" w:type="dxa"/>
            <w:tcBorders>
              <w:top w:val="nil"/>
              <w:left w:val="single" w:sz="4" w:space="0" w:color="auto"/>
              <w:bottom w:val="single" w:sz="4" w:space="0" w:color="auto"/>
              <w:right w:val="single" w:sz="4" w:space="0" w:color="auto"/>
            </w:tcBorders>
            <w:noWrap/>
            <w:textDirection w:val="lrTb"/>
            <w:vAlign w:val="bottom"/>
            <w:hideMark/>
          </w:tcPr>
          <w:p w:rsidR="003E3545" w:rsidRPr="006735AB" w:rsidP="003E3545">
            <w:pPr>
              <w:bidi w:val="0"/>
              <w:rPr>
                <w:rFonts w:ascii="Times New Roman" w:hAnsi="Times New Roman"/>
                <w:sz w:val="22"/>
                <w:szCs w:val="22"/>
              </w:rPr>
            </w:pPr>
            <w:r w:rsidRPr="006735AB">
              <w:rPr>
                <w:rFonts w:ascii="Times New Roman" w:hAnsi="Times New Roman"/>
                <w:sz w:val="22"/>
                <w:szCs w:val="22"/>
              </w:rPr>
              <w:t>Nemocenské</w:t>
            </w:r>
          </w:p>
        </w:tc>
        <w:tc>
          <w:tcPr>
            <w:tcW w:w="2440" w:type="dxa"/>
            <w:tcBorders>
              <w:top w:val="nil"/>
              <w:left w:val="nil"/>
              <w:bottom w:val="single" w:sz="4" w:space="0" w:color="auto"/>
              <w:right w:val="single" w:sz="4" w:space="0" w:color="auto"/>
            </w:tcBorders>
            <w:noWrap/>
            <w:textDirection w:val="lrTb"/>
            <w:vAlign w:val="bottom"/>
          </w:tcPr>
          <w:p w:rsidR="003E3545" w:rsidRPr="006735AB" w:rsidP="003E3545">
            <w:pPr>
              <w:bidi w:val="0"/>
              <w:jc w:val="right"/>
              <w:rPr>
                <w:rFonts w:ascii="Times New Roman" w:hAnsi="Times New Roman"/>
                <w:sz w:val="22"/>
                <w:szCs w:val="22"/>
              </w:rPr>
            </w:pPr>
            <w:r w:rsidR="004C3926">
              <w:rPr>
                <w:rFonts w:ascii="Times New Roman" w:hAnsi="Times New Roman"/>
                <w:sz w:val="22"/>
                <w:szCs w:val="22"/>
              </w:rPr>
              <w:t>215</w:t>
            </w:r>
          </w:p>
        </w:tc>
        <w:tc>
          <w:tcPr>
            <w:tcW w:w="2440" w:type="dxa"/>
            <w:tcBorders>
              <w:top w:val="nil"/>
              <w:left w:val="nil"/>
              <w:bottom w:val="single" w:sz="4" w:space="0" w:color="auto"/>
              <w:right w:val="single" w:sz="4" w:space="0" w:color="auto"/>
            </w:tcBorders>
            <w:noWrap/>
            <w:textDirection w:val="lrTb"/>
            <w:vAlign w:val="bottom"/>
          </w:tcPr>
          <w:p w:rsidR="003E3545" w:rsidRPr="006735AB" w:rsidP="003E3545">
            <w:pPr>
              <w:bidi w:val="0"/>
              <w:jc w:val="right"/>
              <w:rPr>
                <w:rFonts w:ascii="Times New Roman" w:hAnsi="Times New Roman"/>
                <w:sz w:val="22"/>
                <w:szCs w:val="22"/>
              </w:rPr>
            </w:pPr>
            <w:r w:rsidR="004C3926">
              <w:rPr>
                <w:rFonts w:ascii="Times New Roman" w:hAnsi="Times New Roman"/>
                <w:sz w:val="22"/>
                <w:szCs w:val="22"/>
              </w:rPr>
              <w:t>113 680</w:t>
            </w:r>
          </w:p>
        </w:tc>
      </w:tr>
      <w:tr>
        <w:tblPrEx>
          <w:tblW w:w="7290" w:type="dxa"/>
          <w:tblInd w:w="779" w:type="dxa"/>
          <w:tblCellMar>
            <w:left w:w="70" w:type="dxa"/>
            <w:right w:w="70" w:type="dxa"/>
          </w:tblCellMar>
          <w:tblLook w:val="04A0"/>
        </w:tblPrEx>
        <w:trPr>
          <w:trHeight w:val="124"/>
        </w:trPr>
        <w:tc>
          <w:tcPr>
            <w:tcW w:w="2410" w:type="dxa"/>
            <w:tcBorders>
              <w:top w:val="nil"/>
              <w:left w:val="single" w:sz="4" w:space="0" w:color="auto"/>
              <w:bottom w:val="single" w:sz="4" w:space="0" w:color="auto"/>
              <w:right w:val="single" w:sz="4" w:space="0" w:color="auto"/>
            </w:tcBorders>
            <w:noWrap/>
            <w:textDirection w:val="lrTb"/>
            <w:vAlign w:val="bottom"/>
            <w:hideMark/>
          </w:tcPr>
          <w:p w:rsidR="003E3545" w:rsidRPr="006735AB" w:rsidP="003E3545">
            <w:pPr>
              <w:bidi w:val="0"/>
              <w:rPr>
                <w:rFonts w:ascii="Times New Roman" w:hAnsi="Times New Roman"/>
                <w:sz w:val="22"/>
                <w:szCs w:val="22"/>
              </w:rPr>
            </w:pPr>
            <w:r w:rsidRPr="006735AB">
              <w:rPr>
                <w:rFonts w:ascii="Times New Roman" w:hAnsi="Times New Roman"/>
                <w:sz w:val="22"/>
                <w:szCs w:val="22"/>
              </w:rPr>
              <w:t xml:space="preserve">Ošetrovné </w:t>
            </w:r>
          </w:p>
        </w:tc>
        <w:tc>
          <w:tcPr>
            <w:tcW w:w="2440" w:type="dxa"/>
            <w:tcBorders>
              <w:top w:val="nil"/>
              <w:left w:val="nil"/>
              <w:bottom w:val="single" w:sz="4" w:space="0" w:color="auto"/>
              <w:right w:val="single" w:sz="4" w:space="0" w:color="auto"/>
            </w:tcBorders>
            <w:noWrap/>
            <w:textDirection w:val="lrTb"/>
            <w:vAlign w:val="bottom"/>
          </w:tcPr>
          <w:p w:rsidR="003E3545" w:rsidRPr="006735AB" w:rsidP="003E3545">
            <w:pPr>
              <w:bidi w:val="0"/>
              <w:jc w:val="right"/>
              <w:rPr>
                <w:rFonts w:ascii="Times New Roman" w:hAnsi="Times New Roman"/>
                <w:sz w:val="22"/>
                <w:szCs w:val="22"/>
              </w:rPr>
            </w:pPr>
            <w:r w:rsidR="004C3926">
              <w:rPr>
                <w:rFonts w:ascii="Times New Roman" w:hAnsi="Times New Roman"/>
                <w:sz w:val="22"/>
                <w:szCs w:val="22"/>
              </w:rPr>
              <w:t>84</w:t>
            </w:r>
          </w:p>
        </w:tc>
        <w:tc>
          <w:tcPr>
            <w:tcW w:w="2440" w:type="dxa"/>
            <w:tcBorders>
              <w:top w:val="nil"/>
              <w:left w:val="nil"/>
              <w:bottom w:val="single" w:sz="4" w:space="0" w:color="auto"/>
              <w:right w:val="single" w:sz="4" w:space="0" w:color="auto"/>
            </w:tcBorders>
            <w:noWrap/>
            <w:textDirection w:val="lrTb"/>
            <w:vAlign w:val="bottom"/>
          </w:tcPr>
          <w:p w:rsidR="003E3545" w:rsidRPr="006735AB" w:rsidP="003E3545">
            <w:pPr>
              <w:bidi w:val="0"/>
              <w:jc w:val="right"/>
              <w:rPr>
                <w:rFonts w:ascii="Times New Roman" w:hAnsi="Times New Roman"/>
                <w:sz w:val="22"/>
                <w:szCs w:val="22"/>
              </w:rPr>
            </w:pPr>
            <w:r w:rsidR="004C3926">
              <w:rPr>
                <w:rFonts w:ascii="Times New Roman" w:hAnsi="Times New Roman"/>
                <w:sz w:val="22"/>
                <w:szCs w:val="22"/>
              </w:rPr>
              <w:t>12 688</w:t>
            </w:r>
          </w:p>
        </w:tc>
      </w:tr>
      <w:tr>
        <w:tblPrEx>
          <w:tblW w:w="7290" w:type="dxa"/>
          <w:tblInd w:w="779" w:type="dxa"/>
          <w:tblCellMar>
            <w:left w:w="70" w:type="dxa"/>
            <w:right w:w="70" w:type="dxa"/>
          </w:tblCellMar>
          <w:tblLook w:val="04A0"/>
        </w:tblPrEx>
        <w:trPr>
          <w:trHeight w:val="171"/>
        </w:trPr>
        <w:tc>
          <w:tcPr>
            <w:tcW w:w="2410" w:type="dxa"/>
            <w:tcBorders>
              <w:top w:val="nil"/>
              <w:left w:val="single" w:sz="4" w:space="0" w:color="auto"/>
              <w:bottom w:val="single" w:sz="4" w:space="0" w:color="auto"/>
              <w:right w:val="single" w:sz="4" w:space="0" w:color="auto"/>
            </w:tcBorders>
            <w:noWrap/>
            <w:textDirection w:val="lrTb"/>
            <w:vAlign w:val="bottom"/>
            <w:hideMark/>
          </w:tcPr>
          <w:p w:rsidR="003E3545" w:rsidRPr="006735AB" w:rsidP="003E3545">
            <w:pPr>
              <w:bidi w:val="0"/>
              <w:rPr>
                <w:rFonts w:ascii="Times New Roman" w:hAnsi="Times New Roman"/>
                <w:sz w:val="22"/>
                <w:szCs w:val="22"/>
              </w:rPr>
            </w:pPr>
            <w:r w:rsidRPr="006735AB">
              <w:rPr>
                <w:rFonts w:ascii="Times New Roman" w:hAnsi="Times New Roman"/>
                <w:sz w:val="22"/>
                <w:szCs w:val="22"/>
              </w:rPr>
              <w:t>Vyrovnávacia dávka</w:t>
            </w:r>
          </w:p>
        </w:tc>
        <w:tc>
          <w:tcPr>
            <w:tcW w:w="2440" w:type="dxa"/>
            <w:tcBorders>
              <w:top w:val="nil"/>
              <w:left w:val="nil"/>
              <w:bottom w:val="single" w:sz="4" w:space="0" w:color="auto"/>
              <w:right w:val="single" w:sz="4" w:space="0" w:color="auto"/>
            </w:tcBorders>
            <w:noWrap/>
            <w:textDirection w:val="lrTb"/>
            <w:vAlign w:val="bottom"/>
          </w:tcPr>
          <w:p w:rsidR="003E3545" w:rsidRPr="006735AB" w:rsidP="003E3545">
            <w:pPr>
              <w:bidi w:val="0"/>
              <w:jc w:val="right"/>
              <w:rPr>
                <w:rFonts w:ascii="Times New Roman" w:hAnsi="Times New Roman"/>
                <w:sz w:val="22"/>
                <w:szCs w:val="22"/>
              </w:rPr>
            </w:pPr>
            <w:r w:rsidR="004C3926">
              <w:rPr>
                <w:rFonts w:ascii="Times New Roman" w:hAnsi="Times New Roman"/>
                <w:sz w:val="22"/>
                <w:szCs w:val="22"/>
              </w:rPr>
              <w:t>54</w:t>
            </w:r>
          </w:p>
        </w:tc>
        <w:tc>
          <w:tcPr>
            <w:tcW w:w="2440" w:type="dxa"/>
            <w:tcBorders>
              <w:top w:val="nil"/>
              <w:left w:val="nil"/>
              <w:bottom w:val="single" w:sz="4" w:space="0" w:color="auto"/>
              <w:right w:val="single" w:sz="4" w:space="0" w:color="auto"/>
            </w:tcBorders>
            <w:noWrap/>
            <w:textDirection w:val="lrTb"/>
            <w:vAlign w:val="bottom"/>
          </w:tcPr>
          <w:p w:rsidR="003E3545" w:rsidRPr="006735AB" w:rsidP="003E3545">
            <w:pPr>
              <w:bidi w:val="0"/>
              <w:jc w:val="right"/>
              <w:rPr>
                <w:rFonts w:ascii="Times New Roman" w:hAnsi="Times New Roman"/>
                <w:sz w:val="22"/>
                <w:szCs w:val="22"/>
              </w:rPr>
            </w:pPr>
            <w:r w:rsidR="004C3926">
              <w:rPr>
                <w:rFonts w:ascii="Times New Roman" w:hAnsi="Times New Roman"/>
                <w:sz w:val="22"/>
                <w:szCs w:val="22"/>
              </w:rPr>
              <w:t>107</w:t>
            </w:r>
          </w:p>
        </w:tc>
      </w:tr>
      <w:tr>
        <w:tblPrEx>
          <w:tblW w:w="7290" w:type="dxa"/>
          <w:tblInd w:w="779" w:type="dxa"/>
          <w:tblCellMar>
            <w:left w:w="70" w:type="dxa"/>
            <w:right w:w="70" w:type="dxa"/>
          </w:tblCellMar>
          <w:tblLook w:val="04A0"/>
        </w:tblPrEx>
        <w:trPr>
          <w:trHeight w:val="206"/>
        </w:trPr>
        <w:tc>
          <w:tcPr>
            <w:tcW w:w="2410" w:type="dxa"/>
            <w:tcBorders>
              <w:top w:val="nil"/>
              <w:left w:val="single" w:sz="4" w:space="0" w:color="auto"/>
              <w:bottom w:val="single" w:sz="4" w:space="0" w:color="auto"/>
              <w:right w:val="single" w:sz="4" w:space="0" w:color="auto"/>
            </w:tcBorders>
            <w:noWrap/>
            <w:textDirection w:val="lrTb"/>
            <w:vAlign w:val="bottom"/>
            <w:hideMark/>
          </w:tcPr>
          <w:p w:rsidR="003E3545" w:rsidRPr="006735AB" w:rsidP="003E3545">
            <w:pPr>
              <w:bidi w:val="0"/>
              <w:rPr>
                <w:rFonts w:ascii="Times New Roman" w:hAnsi="Times New Roman"/>
                <w:sz w:val="22"/>
                <w:szCs w:val="22"/>
              </w:rPr>
            </w:pPr>
            <w:r w:rsidRPr="006735AB">
              <w:rPr>
                <w:rFonts w:ascii="Times New Roman" w:hAnsi="Times New Roman"/>
                <w:sz w:val="22"/>
                <w:szCs w:val="22"/>
              </w:rPr>
              <w:t>Materské</w:t>
            </w:r>
          </w:p>
        </w:tc>
        <w:tc>
          <w:tcPr>
            <w:tcW w:w="2440" w:type="dxa"/>
            <w:tcBorders>
              <w:top w:val="nil"/>
              <w:left w:val="nil"/>
              <w:bottom w:val="single" w:sz="4" w:space="0" w:color="auto"/>
              <w:right w:val="single" w:sz="4" w:space="0" w:color="auto"/>
            </w:tcBorders>
            <w:noWrap/>
            <w:textDirection w:val="lrTb"/>
            <w:vAlign w:val="bottom"/>
          </w:tcPr>
          <w:p w:rsidR="003E3545" w:rsidRPr="006735AB" w:rsidP="003E3545">
            <w:pPr>
              <w:bidi w:val="0"/>
              <w:jc w:val="right"/>
              <w:rPr>
                <w:rFonts w:ascii="Times New Roman" w:hAnsi="Times New Roman"/>
                <w:sz w:val="22"/>
                <w:szCs w:val="22"/>
              </w:rPr>
            </w:pPr>
            <w:r w:rsidR="004C3926">
              <w:rPr>
                <w:rFonts w:ascii="Times New Roman" w:hAnsi="Times New Roman"/>
                <w:sz w:val="22"/>
                <w:szCs w:val="22"/>
              </w:rPr>
              <w:t>406</w:t>
            </w:r>
          </w:p>
        </w:tc>
        <w:tc>
          <w:tcPr>
            <w:tcW w:w="2440" w:type="dxa"/>
            <w:tcBorders>
              <w:top w:val="nil"/>
              <w:left w:val="nil"/>
              <w:bottom w:val="single" w:sz="4" w:space="0" w:color="auto"/>
              <w:right w:val="single" w:sz="4" w:space="0" w:color="auto"/>
            </w:tcBorders>
            <w:noWrap/>
            <w:textDirection w:val="lrTb"/>
            <w:vAlign w:val="bottom"/>
          </w:tcPr>
          <w:p w:rsidR="003E3545" w:rsidRPr="006735AB" w:rsidP="003E3545">
            <w:pPr>
              <w:bidi w:val="0"/>
              <w:jc w:val="right"/>
              <w:rPr>
                <w:rFonts w:ascii="Times New Roman" w:hAnsi="Times New Roman"/>
                <w:sz w:val="22"/>
                <w:szCs w:val="22"/>
              </w:rPr>
            </w:pPr>
            <w:r w:rsidR="004C3926">
              <w:rPr>
                <w:rFonts w:ascii="Times New Roman" w:hAnsi="Times New Roman"/>
                <w:sz w:val="22"/>
                <w:szCs w:val="22"/>
              </w:rPr>
              <w:t>23 345</w:t>
            </w:r>
          </w:p>
        </w:tc>
      </w:tr>
    </w:tbl>
    <w:p w:rsidR="004463D5" w:rsidRPr="0097043D" w:rsidP="004463D5">
      <w:pPr>
        <w:pStyle w:val="BodyTextIndent2"/>
        <w:tabs>
          <w:tab w:val="decimal" w:pos="8222"/>
        </w:tabs>
        <w:bidi w:val="0"/>
        <w:spacing w:before="240" w:after="0" w:line="240" w:lineRule="auto"/>
        <w:ind w:left="0" w:firstLine="709"/>
        <w:rPr>
          <w:rFonts w:ascii="Times New Roman" w:hAnsi="Times New Roman"/>
          <w:szCs w:val="24"/>
        </w:rPr>
      </w:pPr>
      <w:r w:rsidRPr="0097043D">
        <w:rPr>
          <w:rFonts w:ascii="Times New Roman" w:hAnsi="Times New Roman"/>
          <w:b/>
          <w:szCs w:val="24"/>
        </w:rPr>
        <w:t xml:space="preserve">Výdavky </w:t>
      </w:r>
      <w:r>
        <w:rPr>
          <w:rFonts w:ascii="Times New Roman" w:hAnsi="Times New Roman"/>
          <w:b/>
          <w:szCs w:val="24"/>
        </w:rPr>
        <w:t>na dôchodkové dávky</w:t>
      </w:r>
      <w:r>
        <w:rPr>
          <w:rFonts w:ascii="Times New Roman" w:hAnsi="Times New Roman"/>
          <w:szCs w:val="24"/>
        </w:rPr>
        <w:t xml:space="preserve"> na rok 2012</w:t>
      </w:r>
      <w:r w:rsidRPr="0097043D">
        <w:rPr>
          <w:rFonts w:ascii="Times New Roman" w:hAnsi="Times New Roman"/>
          <w:szCs w:val="24"/>
        </w:rPr>
        <w:t xml:space="preserve"> sú stanovené </w:t>
      </w:r>
      <w:r>
        <w:rPr>
          <w:rFonts w:ascii="Times New Roman" w:hAnsi="Times New Roman"/>
          <w:szCs w:val="24"/>
        </w:rPr>
        <w:br/>
      </w:r>
      <w:r w:rsidRPr="0097043D">
        <w:rPr>
          <w:rFonts w:ascii="Times New Roman" w:hAnsi="Times New Roman"/>
          <w:szCs w:val="24"/>
        </w:rPr>
        <w:t xml:space="preserve">vo výške </w:t>
        <w:tab/>
      </w:r>
      <w:r w:rsidRPr="0097043D">
        <w:rPr>
          <w:rFonts w:ascii="Times New Roman" w:hAnsi="Times New Roman"/>
          <w:b/>
          <w:szCs w:val="24"/>
        </w:rPr>
        <w:t>5 </w:t>
      </w:r>
      <w:r>
        <w:rPr>
          <w:rFonts w:ascii="Times New Roman" w:hAnsi="Times New Roman"/>
          <w:b/>
          <w:szCs w:val="24"/>
        </w:rPr>
        <w:t>730 043</w:t>
      </w:r>
      <w:r w:rsidRPr="0097043D">
        <w:rPr>
          <w:rFonts w:ascii="Times New Roman" w:hAnsi="Times New Roman"/>
          <w:b/>
          <w:szCs w:val="24"/>
        </w:rPr>
        <w:t> tis. Eur</w:t>
      </w:r>
      <w:r w:rsidRPr="0097043D">
        <w:rPr>
          <w:rFonts w:ascii="Times New Roman" w:hAnsi="Times New Roman"/>
          <w:szCs w:val="24"/>
        </w:rPr>
        <w:t>,</w:t>
        <w:br/>
        <w:t xml:space="preserve">v tom výdavky </w:t>
      </w:r>
      <w:r>
        <w:rPr>
          <w:rFonts w:ascii="Times New Roman" w:hAnsi="Times New Roman"/>
          <w:szCs w:val="24"/>
        </w:rPr>
        <w:t>zo:</w:t>
      </w:r>
    </w:p>
    <w:p w:rsidR="004463D5" w:rsidRPr="0097043D" w:rsidP="008173F1">
      <w:pPr>
        <w:pStyle w:val="BodyTextIndent2"/>
        <w:numPr>
          <w:numId w:val="3"/>
        </w:numPr>
        <w:tabs>
          <w:tab w:val="decimal" w:pos="8222"/>
        </w:tabs>
        <w:bidi w:val="0"/>
        <w:spacing w:after="0" w:line="240" w:lineRule="auto"/>
        <w:jc w:val="both"/>
        <w:rPr>
          <w:rFonts w:ascii="Times New Roman" w:hAnsi="Times New Roman"/>
          <w:szCs w:val="24"/>
        </w:rPr>
      </w:pPr>
      <w:r>
        <w:rPr>
          <w:rFonts w:ascii="Times New Roman" w:hAnsi="Times New Roman"/>
          <w:szCs w:val="24"/>
        </w:rPr>
        <w:t>starobného poistenia</w:t>
      </w:r>
      <w:r w:rsidRPr="0097043D">
        <w:rPr>
          <w:rFonts w:ascii="Times New Roman" w:hAnsi="Times New Roman"/>
          <w:szCs w:val="24"/>
        </w:rPr>
        <w:tab/>
        <w:t>4 </w:t>
      </w:r>
      <w:r>
        <w:rPr>
          <w:rFonts w:ascii="Times New Roman" w:hAnsi="Times New Roman"/>
          <w:szCs w:val="24"/>
        </w:rPr>
        <w:t>842 596</w:t>
      </w:r>
      <w:r w:rsidRPr="0097043D">
        <w:rPr>
          <w:rFonts w:ascii="Times New Roman" w:hAnsi="Times New Roman"/>
          <w:szCs w:val="24"/>
        </w:rPr>
        <w:t> tis. Eur,</w:t>
      </w:r>
    </w:p>
    <w:p w:rsidR="004463D5" w:rsidRPr="0097043D" w:rsidP="008173F1">
      <w:pPr>
        <w:pStyle w:val="BodyTextIndent2"/>
        <w:numPr>
          <w:numId w:val="3"/>
        </w:numPr>
        <w:tabs>
          <w:tab w:val="decimal" w:pos="8222"/>
        </w:tabs>
        <w:bidi w:val="0"/>
        <w:spacing w:after="0" w:line="240" w:lineRule="auto"/>
        <w:jc w:val="both"/>
        <w:rPr>
          <w:rFonts w:ascii="Times New Roman" w:hAnsi="Times New Roman"/>
          <w:szCs w:val="24"/>
        </w:rPr>
      </w:pPr>
      <w:r>
        <w:rPr>
          <w:rFonts w:ascii="Times New Roman" w:hAnsi="Times New Roman"/>
          <w:szCs w:val="24"/>
        </w:rPr>
        <w:t>invalidného poistenia</w:t>
        <w:tab/>
        <w:t>887 447</w:t>
      </w:r>
      <w:r w:rsidRPr="0097043D">
        <w:rPr>
          <w:rFonts w:ascii="Times New Roman" w:hAnsi="Times New Roman"/>
          <w:szCs w:val="24"/>
        </w:rPr>
        <w:t> tis. Eur.</w:t>
      </w:r>
    </w:p>
    <w:p w:rsidR="004463D5" w:rsidP="004463D5">
      <w:pPr>
        <w:pStyle w:val="BodyTextIndent2"/>
        <w:bidi w:val="0"/>
        <w:spacing w:before="240" w:after="0" w:line="240" w:lineRule="auto"/>
        <w:ind w:left="0" w:firstLine="709"/>
        <w:jc w:val="both"/>
        <w:rPr>
          <w:rFonts w:ascii="Times New Roman" w:hAnsi="Times New Roman"/>
          <w:szCs w:val="24"/>
        </w:rPr>
      </w:pPr>
      <w:r w:rsidRPr="0097043D">
        <w:rPr>
          <w:rFonts w:ascii="Times New Roman" w:hAnsi="Times New Roman"/>
          <w:color w:val="000000"/>
          <w:szCs w:val="24"/>
        </w:rPr>
        <w:t xml:space="preserve">Pri novopriznávaných dôchodkoch sa vychádzalo z predpokladu, že starobných dôchodkov bude priznaných celkom </w:t>
      </w:r>
      <w:r>
        <w:rPr>
          <w:rFonts w:ascii="Times New Roman" w:hAnsi="Times New Roman"/>
          <w:color w:val="000000"/>
          <w:szCs w:val="24"/>
        </w:rPr>
        <w:t>29 500</w:t>
      </w:r>
      <w:r w:rsidRPr="0097043D">
        <w:rPr>
          <w:rFonts w:ascii="Times New Roman" w:hAnsi="Times New Roman"/>
          <w:color w:val="000000"/>
          <w:szCs w:val="24"/>
        </w:rPr>
        <w:t xml:space="preserve"> </w:t>
      </w:r>
      <w:r>
        <w:rPr>
          <w:rFonts w:ascii="Times New Roman" w:hAnsi="Times New Roman"/>
          <w:color w:val="000000"/>
          <w:szCs w:val="24"/>
        </w:rPr>
        <w:t>s priemernou výškou dôchodku 409,95</w:t>
      </w:r>
      <w:r w:rsidRPr="0097043D">
        <w:rPr>
          <w:rFonts w:ascii="Times New Roman" w:hAnsi="Times New Roman"/>
          <w:color w:val="000000"/>
          <w:szCs w:val="24"/>
        </w:rPr>
        <w:t xml:space="preserve"> Eur, predčasných starobných dôchodkov bude priznaných </w:t>
      </w:r>
      <w:r>
        <w:rPr>
          <w:rFonts w:ascii="Times New Roman" w:hAnsi="Times New Roman"/>
          <w:color w:val="000000"/>
          <w:szCs w:val="24"/>
        </w:rPr>
        <w:t>18 800</w:t>
      </w:r>
      <w:r w:rsidRPr="0097043D">
        <w:rPr>
          <w:rFonts w:ascii="Times New Roman" w:hAnsi="Times New Roman"/>
          <w:color w:val="000000"/>
          <w:szCs w:val="24"/>
        </w:rPr>
        <w:t xml:space="preserve"> s priemernou výškou dôchodku </w:t>
      </w:r>
      <w:r>
        <w:rPr>
          <w:rFonts w:ascii="Times New Roman" w:hAnsi="Times New Roman"/>
          <w:color w:val="000000"/>
          <w:szCs w:val="24"/>
        </w:rPr>
        <w:t>398,91</w:t>
      </w:r>
      <w:r w:rsidRPr="0097043D">
        <w:rPr>
          <w:rFonts w:ascii="Times New Roman" w:hAnsi="Times New Roman"/>
          <w:color w:val="000000"/>
          <w:szCs w:val="24"/>
        </w:rPr>
        <w:t> Eur a invalidn</w:t>
      </w:r>
      <w:r>
        <w:rPr>
          <w:rFonts w:ascii="Times New Roman" w:hAnsi="Times New Roman"/>
          <w:color w:val="000000"/>
          <w:szCs w:val="24"/>
        </w:rPr>
        <w:t>ých dôchodkov bude priznaných 26 000</w:t>
      </w:r>
      <w:r w:rsidRPr="0097043D">
        <w:rPr>
          <w:rFonts w:ascii="Times New Roman" w:hAnsi="Times New Roman"/>
          <w:color w:val="000000"/>
          <w:szCs w:val="24"/>
        </w:rPr>
        <w:t xml:space="preserve"> s priemernou výškou dôchodku </w:t>
      </w:r>
      <w:r>
        <w:rPr>
          <w:rFonts w:ascii="Times New Roman" w:hAnsi="Times New Roman"/>
          <w:color w:val="000000"/>
          <w:szCs w:val="24"/>
        </w:rPr>
        <w:t>239,90</w:t>
      </w:r>
      <w:r w:rsidRPr="0097043D">
        <w:rPr>
          <w:rFonts w:ascii="Times New Roman" w:hAnsi="Times New Roman"/>
          <w:color w:val="000000"/>
          <w:szCs w:val="24"/>
        </w:rPr>
        <w:t> Eur. Aktuálna dôchodková hodnota sa predpokladá takáto</w:t>
      </w:r>
      <w:r w:rsidRPr="0097043D">
        <w:rPr>
          <w:rFonts w:ascii="Times New Roman" w:hAnsi="Times New Roman"/>
          <w:szCs w:val="24"/>
        </w:rPr>
        <w:t>:</w:t>
      </w:r>
    </w:p>
    <w:p w:rsidR="004463D5" w:rsidRPr="00E717DF" w:rsidP="004463D5">
      <w:pPr>
        <w:pStyle w:val="BodyTextIndent2"/>
        <w:bidi w:val="0"/>
        <w:spacing w:before="240" w:after="0" w:line="240" w:lineRule="auto"/>
        <w:ind w:left="0" w:firstLine="6237"/>
        <w:jc w:val="both"/>
        <w:rPr>
          <w:rFonts w:ascii="Times New Roman" w:hAnsi="Times New Roman"/>
          <w:szCs w:val="24"/>
        </w:rPr>
      </w:pPr>
      <w:r w:rsidRPr="00E717DF">
        <w:rPr>
          <w:rFonts w:ascii="Times New Roman" w:hAnsi="Times New Roman"/>
          <w:sz w:val="20"/>
        </w:rPr>
        <w:t>v Eur</w:t>
      </w:r>
    </w:p>
    <w:tbl>
      <w:tblPr>
        <w:tblStyle w:val="TableNormal"/>
        <w:tblW w:w="6083" w:type="dxa"/>
        <w:tblInd w:w="728" w:type="dxa"/>
        <w:tblCellMar>
          <w:left w:w="70" w:type="dxa"/>
          <w:right w:w="70" w:type="dxa"/>
        </w:tblCellMar>
      </w:tblPr>
      <w:tblGrid>
        <w:gridCol w:w="2824"/>
        <w:gridCol w:w="1069"/>
        <w:gridCol w:w="1095"/>
        <w:gridCol w:w="1095"/>
      </w:tblGrid>
      <w:tr>
        <w:tblPrEx>
          <w:tblW w:w="6083" w:type="dxa"/>
          <w:tblInd w:w="728" w:type="dxa"/>
          <w:tblCellMar>
            <w:left w:w="70" w:type="dxa"/>
            <w:right w:w="70" w:type="dxa"/>
          </w:tblCellMar>
        </w:tblPrEx>
        <w:trPr>
          <w:trHeight w:val="225"/>
        </w:trPr>
        <w:tc>
          <w:tcPr>
            <w:tcW w:w="2824" w:type="dxa"/>
            <w:tcBorders>
              <w:top w:val="single" w:sz="4" w:space="0" w:color="auto"/>
              <w:left w:val="single" w:sz="4" w:space="0" w:color="auto"/>
              <w:bottom w:val="single" w:sz="4" w:space="0" w:color="auto"/>
              <w:right w:val="single" w:sz="4" w:space="0" w:color="auto"/>
            </w:tcBorders>
            <w:noWrap/>
            <w:textDirection w:val="lrTb"/>
            <w:vAlign w:val="bottom"/>
          </w:tcPr>
          <w:p w:rsidR="004463D5" w:rsidRPr="00E717DF" w:rsidP="004463D5">
            <w:pPr>
              <w:bidi w:val="0"/>
              <w:jc w:val="center"/>
              <w:rPr>
                <w:rFonts w:ascii="Times New Roman" w:hAnsi="Times New Roman"/>
                <w:sz w:val="20"/>
              </w:rPr>
            </w:pPr>
            <w:r w:rsidRPr="00E717DF">
              <w:rPr>
                <w:rFonts w:ascii="Times New Roman" w:hAnsi="Times New Roman"/>
                <w:sz w:val="20"/>
              </w:rPr>
              <w:t>Text</w:t>
            </w:r>
          </w:p>
        </w:tc>
        <w:tc>
          <w:tcPr>
            <w:tcW w:w="1069" w:type="dxa"/>
            <w:tcBorders>
              <w:top w:val="single" w:sz="4" w:space="0" w:color="auto"/>
              <w:left w:val="nil"/>
              <w:bottom w:val="single" w:sz="4" w:space="0" w:color="auto"/>
              <w:right w:val="single" w:sz="4" w:space="0" w:color="auto"/>
            </w:tcBorders>
            <w:textDirection w:val="lrTb"/>
            <w:vAlign w:val="bottom"/>
          </w:tcPr>
          <w:p w:rsidR="004463D5" w:rsidRPr="00E717DF" w:rsidP="004463D5">
            <w:pPr>
              <w:bidi w:val="0"/>
              <w:jc w:val="center"/>
              <w:rPr>
                <w:rFonts w:ascii="Times New Roman" w:hAnsi="Times New Roman"/>
                <w:bCs/>
                <w:sz w:val="20"/>
              </w:rPr>
            </w:pPr>
            <w:r w:rsidRPr="00E717DF">
              <w:rPr>
                <w:rFonts w:ascii="Times New Roman" w:hAnsi="Times New Roman"/>
                <w:bCs/>
                <w:sz w:val="20"/>
              </w:rPr>
              <w:t>Rok 2012</w:t>
            </w:r>
          </w:p>
        </w:tc>
        <w:tc>
          <w:tcPr>
            <w:tcW w:w="1095" w:type="dxa"/>
            <w:tcBorders>
              <w:top w:val="single" w:sz="4" w:space="0" w:color="auto"/>
              <w:left w:val="single" w:sz="4" w:space="0" w:color="auto"/>
              <w:bottom w:val="single" w:sz="4" w:space="0" w:color="auto"/>
              <w:right w:val="single" w:sz="4" w:space="0" w:color="auto"/>
            </w:tcBorders>
            <w:textDirection w:val="lrTb"/>
            <w:vAlign w:val="bottom"/>
          </w:tcPr>
          <w:p w:rsidR="004463D5" w:rsidRPr="00E717DF" w:rsidP="004463D5">
            <w:pPr>
              <w:bidi w:val="0"/>
              <w:jc w:val="center"/>
              <w:rPr>
                <w:rFonts w:ascii="Times New Roman" w:hAnsi="Times New Roman"/>
                <w:bCs/>
                <w:sz w:val="20"/>
              </w:rPr>
            </w:pPr>
            <w:r w:rsidRPr="00E717DF">
              <w:rPr>
                <w:rFonts w:ascii="Times New Roman" w:hAnsi="Times New Roman"/>
                <w:bCs/>
                <w:sz w:val="20"/>
              </w:rPr>
              <w:t>Rok 2013</w:t>
            </w:r>
          </w:p>
        </w:tc>
        <w:tc>
          <w:tcPr>
            <w:tcW w:w="1095" w:type="dxa"/>
            <w:tcBorders>
              <w:top w:val="single" w:sz="4" w:space="0" w:color="auto"/>
              <w:left w:val="single" w:sz="4" w:space="0" w:color="auto"/>
              <w:bottom w:val="single" w:sz="4" w:space="0" w:color="auto"/>
              <w:right w:val="single" w:sz="4" w:space="0" w:color="auto"/>
            </w:tcBorders>
            <w:textDirection w:val="lrTb"/>
            <w:vAlign w:val="bottom"/>
          </w:tcPr>
          <w:p w:rsidR="004463D5" w:rsidRPr="00E717DF" w:rsidP="004463D5">
            <w:pPr>
              <w:bidi w:val="0"/>
              <w:jc w:val="right"/>
              <w:rPr>
                <w:rFonts w:ascii="Times New Roman" w:hAnsi="Times New Roman"/>
                <w:bCs/>
                <w:sz w:val="20"/>
              </w:rPr>
            </w:pPr>
            <w:r w:rsidRPr="00E717DF">
              <w:rPr>
                <w:rFonts w:ascii="Times New Roman" w:hAnsi="Times New Roman"/>
                <w:bCs/>
                <w:sz w:val="20"/>
              </w:rPr>
              <w:t>Rok 2014</w:t>
            </w:r>
          </w:p>
        </w:tc>
      </w:tr>
      <w:tr>
        <w:tblPrEx>
          <w:tblW w:w="6083" w:type="dxa"/>
          <w:tblInd w:w="728" w:type="dxa"/>
          <w:tblCellMar>
            <w:left w:w="70" w:type="dxa"/>
            <w:right w:w="70" w:type="dxa"/>
          </w:tblCellMar>
        </w:tblPrEx>
        <w:trPr>
          <w:trHeight w:val="225"/>
        </w:trPr>
        <w:tc>
          <w:tcPr>
            <w:tcW w:w="2824" w:type="dxa"/>
            <w:tcBorders>
              <w:top w:val="single" w:sz="4" w:space="0" w:color="auto"/>
              <w:left w:val="single" w:sz="4" w:space="0" w:color="auto"/>
              <w:bottom w:val="single" w:sz="4" w:space="0" w:color="auto"/>
              <w:right w:val="single" w:sz="4" w:space="0" w:color="auto"/>
            </w:tcBorders>
            <w:noWrap/>
            <w:textDirection w:val="lrTb"/>
            <w:vAlign w:val="bottom"/>
          </w:tcPr>
          <w:p w:rsidR="004463D5" w:rsidRPr="00E717DF" w:rsidP="004463D5">
            <w:pPr>
              <w:bidi w:val="0"/>
              <w:jc w:val="center"/>
              <w:rPr>
                <w:rFonts w:ascii="Times New Roman" w:hAnsi="Times New Roman"/>
                <w:bCs/>
                <w:sz w:val="20"/>
              </w:rPr>
            </w:pPr>
            <w:r w:rsidRPr="00E717DF">
              <w:rPr>
                <w:rFonts w:ascii="Times New Roman" w:hAnsi="Times New Roman"/>
                <w:bCs/>
                <w:sz w:val="20"/>
              </w:rPr>
              <w:t>a</w:t>
            </w:r>
          </w:p>
        </w:tc>
        <w:tc>
          <w:tcPr>
            <w:tcW w:w="1069" w:type="dxa"/>
            <w:tcBorders>
              <w:top w:val="single" w:sz="4" w:space="0" w:color="auto"/>
              <w:left w:val="nil"/>
              <w:bottom w:val="single" w:sz="4" w:space="0" w:color="auto"/>
              <w:right w:val="single" w:sz="4" w:space="0" w:color="auto"/>
            </w:tcBorders>
            <w:textDirection w:val="lrTb"/>
            <w:vAlign w:val="bottom"/>
          </w:tcPr>
          <w:p w:rsidR="004463D5" w:rsidRPr="00E717DF" w:rsidP="004463D5">
            <w:pPr>
              <w:bidi w:val="0"/>
              <w:jc w:val="center"/>
              <w:rPr>
                <w:rFonts w:ascii="Times New Roman" w:hAnsi="Times New Roman"/>
                <w:sz w:val="20"/>
              </w:rPr>
            </w:pPr>
            <w:r w:rsidRPr="00E717DF">
              <w:rPr>
                <w:rFonts w:ascii="Times New Roman" w:hAnsi="Times New Roman"/>
                <w:sz w:val="20"/>
              </w:rPr>
              <w:t>1</w:t>
            </w:r>
          </w:p>
        </w:tc>
        <w:tc>
          <w:tcPr>
            <w:tcW w:w="1095" w:type="dxa"/>
            <w:tcBorders>
              <w:top w:val="single" w:sz="4" w:space="0" w:color="auto"/>
              <w:left w:val="single" w:sz="4" w:space="0" w:color="auto"/>
              <w:bottom w:val="single" w:sz="4" w:space="0" w:color="auto"/>
              <w:right w:val="single" w:sz="4" w:space="0" w:color="auto"/>
            </w:tcBorders>
            <w:textDirection w:val="lrTb"/>
            <w:vAlign w:val="bottom"/>
          </w:tcPr>
          <w:p w:rsidR="004463D5" w:rsidRPr="00E717DF" w:rsidP="004463D5">
            <w:pPr>
              <w:bidi w:val="0"/>
              <w:jc w:val="center"/>
              <w:rPr>
                <w:rFonts w:ascii="Times New Roman" w:hAnsi="Times New Roman"/>
                <w:sz w:val="20"/>
              </w:rPr>
            </w:pPr>
            <w:r w:rsidRPr="00E717DF">
              <w:rPr>
                <w:rFonts w:ascii="Times New Roman" w:hAnsi="Times New Roman"/>
                <w:sz w:val="20"/>
              </w:rPr>
              <w:t>2</w:t>
            </w:r>
          </w:p>
        </w:tc>
        <w:tc>
          <w:tcPr>
            <w:tcW w:w="1095" w:type="dxa"/>
            <w:tcBorders>
              <w:top w:val="single" w:sz="4" w:space="0" w:color="auto"/>
              <w:left w:val="single" w:sz="4" w:space="0" w:color="auto"/>
              <w:bottom w:val="single" w:sz="4" w:space="0" w:color="auto"/>
              <w:right w:val="single" w:sz="4" w:space="0" w:color="auto"/>
            </w:tcBorders>
            <w:textDirection w:val="lrTb"/>
            <w:vAlign w:val="bottom"/>
          </w:tcPr>
          <w:p w:rsidR="004463D5" w:rsidRPr="00E717DF" w:rsidP="004463D5">
            <w:pPr>
              <w:bidi w:val="0"/>
              <w:jc w:val="center"/>
              <w:rPr>
                <w:rFonts w:ascii="Times New Roman" w:hAnsi="Times New Roman"/>
                <w:sz w:val="20"/>
              </w:rPr>
            </w:pPr>
            <w:r w:rsidRPr="00E717DF">
              <w:rPr>
                <w:rFonts w:ascii="Times New Roman" w:hAnsi="Times New Roman"/>
                <w:sz w:val="20"/>
              </w:rPr>
              <w:t>3</w:t>
            </w:r>
          </w:p>
        </w:tc>
      </w:tr>
      <w:tr>
        <w:tblPrEx>
          <w:tblW w:w="6083" w:type="dxa"/>
          <w:tblInd w:w="728" w:type="dxa"/>
          <w:tblCellMar>
            <w:left w:w="70" w:type="dxa"/>
            <w:right w:w="70" w:type="dxa"/>
          </w:tblCellMar>
        </w:tblPrEx>
        <w:trPr>
          <w:trHeight w:val="70"/>
        </w:trPr>
        <w:tc>
          <w:tcPr>
            <w:tcW w:w="2824" w:type="dxa"/>
            <w:tcBorders>
              <w:top w:val="single" w:sz="4" w:space="0" w:color="auto"/>
              <w:left w:val="single" w:sz="4" w:space="0" w:color="auto"/>
              <w:bottom w:val="single" w:sz="4" w:space="0" w:color="auto"/>
              <w:right w:val="single" w:sz="4" w:space="0" w:color="auto"/>
            </w:tcBorders>
            <w:noWrap/>
            <w:textDirection w:val="lrTb"/>
            <w:vAlign w:val="bottom"/>
          </w:tcPr>
          <w:p w:rsidR="004463D5" w:rsidRPr="00E717DF" w:rsidP="004463D5">
            <w:pPr>
              <w:bidi w:val="0"/>
              <w:rPr>
                <w:rFonts w:ascii="Times New Roman" w:hAnsi="Times New Roman"/>
                <w:bCs/>
                <w:sz w:val="20"/>
              </w:rPr>
            </w:pPr>
            <w:r w:rsidRPr="00E717DF">
              <w:rPr>
                <w:rFonts w:ascii="Times New Roman" w:hAnsi="Times New Roman"/>
                <w:bCs/>
                <w:sz w:val="20"/>
              </w:rPr>
              <w:t>Aktuálna dôchodková hodnota</w:t>
            </w:r>
            <w:r w:rsidRPr="00E717DF">
              <w:rPr>
                <w:rFonts w:ascii="Times New Roman" w:hAnsi="Times New Roman"/>
                <w:sz w:val="20"/>
              </w:rPr>
              <w:t xml:space="preserve"> </w:t>
            </w:r>
          </w:p>
        </w:tc>
        <w:tc>
          <w:tcPr>
            <w:tcW w:w="1069" w:type="dxa"/>
            <w:tcBorders>
              <w:top w:val="single" w:sz="4" w:space="0" w:color="auto"/>
              <w:left w:val="nil"/>
              <w:bottom w:val="single" w:sz="4" w:space="0" w:color="auto"/>
              <w:right w:val="single" w:sz="4" w:space="0" w:color="auto"/>
            </w:tcBorders>
            <w:textDirection w:val="lrTb"/>
            <w:vAlign w:val="bottom"/>
          </w:tcPr>
          <w:p w:rsidR="004463D5" w:rsidRPr="00E717DF" w:rsidP="004463D5">
            <w:pPr>
              <w:bidi w:val="0"/>
              <w:jc w:val="right"/>
              <w:rPr>
                <w:rFonts w:ascii="Times New Roman" w:hAnsi="Times New Roman"/>
                <w:sz w:val="20"/>
              </w:rPr>
            </w:pPr>
            <w:r w:rsidRPr="00E717DF">
              <w:rPr>
                <w:rFonts w:ascii="Times New Roman" w:hAnsi="Times New Roman"/>
                <w:sz w:val="20"/>
              </w:rPr>
              <w:t>10,0059</w:t>
            </w:r>
          </w:p>
        </w:tc>
        <w:tc>
          <w:tcPr>
            <w:tcW w:w="1095" w:type="dxa"/>
            <w:tcBorders>
              <w:top w:val="single" w:sz="4" w:space="0" w:color="auto"/>
              <w:left w:val="single" w:sz="4" w:space="0" w:color="auto"/>
              <w:bottom w:val="single" w:sz="4" w:space="0" w:color="auto"/>
              <w:right w:val="single" w:sz="4" w:space="0" w:color="auto"/>
            </w:tcBorders>
            <w:textDirection w:val="lrTb"/>
            <w:vAlign w:val="bottom"/>
          </w:tcPr>
          <w:p w:rsidR="004463D5" w:rsidRPr="00E717DF" w:rsidP="004463D5">
            <w:pPr>
              <w:bidi w:val="0"/>
              <w:jc w:val="right"/>
              <w:rPr>
                <w:rFonts w:ascii="Times New Roman" w:hAnsi="Times New Roman"/>
                <w:sz w:val="20"/>
              </w:rPr>
            </w:pPr>
            <w:r w:rsidRPr="00E717DF">
              <w:rPr>
                <w:rFonts w:ascii="Times New Roman" w:hAnsi="Times New Roman"/>
                <w:sz w:val="20"/>
              </w:rPr>
              <w:t>10,5715</w:t>
            </w:r>
          </w:p>
        </w:tc>
        <w:tc>
          <w:tcPr>
            <w:tcW w:w="1095" w:type="dxa"/>
            <w:tcBorders>
              <w:top w:val="single" w:sz="4" w:space="0" w:color="auto"/>
              <w:left w:val="single" w:sz="4" w:space="0" w:color="auto"/>
              <w:bottom w:val="single" w:sz="4" w:space="0" w:color="auto"/>
              <w:right w:val="single" w:sz="4" w:space="0" w:color="auto"/>
            </w:tcBorders>
            <w:textDirection w:val="lrTb"/>
            <w:vAlign w:val="bottom"/>
          </w:tcPr>
          <w:p w:rsidR="004463D5" w:rsidRPr="00E717DF" w:rsidP="004463D5">
            <w:pPr>
              <w:bidi w:val="0"/>
              <w:jc w:val="right"/>
              <w:rPr>
                <w:rFonts w:ascii="Times New Roman" w:hAnsi="Times New Roman"/>
                <w:sz w:val="20"/>
              </w:rPr>
            </w:pPr>
            <w:r w:rsidRPr="00E717DF">
              <w:rPr>
                <w:rFonts w:ascii="Times New Roman" w:hAnsi="Times New Roman"/>
                <w:sz w:val="20"/>
              </w:rPr>
              <w:t>11,2377</w:t>
            </w:r>
          </w:p>
        </w:tc>
      </w:tr>
    </w:tbl>
    <w:p w:rsidR="004463D5" w:rsidRPr="0097043D" w:rsidP="004463D5">
      <w:pPr>
        <w:pStyle w:val="BodyTextIndent2"/>
        <w:bidi w:val="0"/>
        <w:spacing w:before="240" w:line="240" w:lineRule="auto"/>
        <w:ind w:left="284" w:firstLine="425"/>
        <w:rPr>
          <w:rFonts w:ascii="Times New Roman" w:hAnsi="Times New Roman"/>
          <w:color w:val="000000"/>
          <w:szCs w:val="24"/>
        </w:rPr>
      </w:pPr>
      <w:r w:rsidRPr="0097043D">
        <w:rPr>
          <w:rFonts w:ascii="Times New Roman" w:hAnsi="Times New Roman"/>
          <w:szCs w:val="24"/>
        </w:rPr>
        <w:t xml:space="preserve">Výška výdavkov na dôchodkové dávky je vykvantifikovaná najmä na </w:t>
      </w:r>
      <w:r w:rsidRPr="0097043D">
        <w:rPr>
          <w:rFonts w:ascii="Times New Roman" w:hAnsi="Times New Roman"/>
          <w:color w:val="000000"/>
          <w:szCs w:val="24"/>
        </w:rPr>
        <w:t xml:space="preserve">základe </w:t>
      </w:r>
    </w:p>
    <w:p w:rsidR="004463D5" w:rsidRPr="0097043D" w:rsidP="008173F1">
      <w:pPr>
        <w:pStyle w:val="BodyTextIndent2"/>
        <w:numPr>
          <w:numId w:val="17"/>
        </w:numPr>
        <w:tabs>
          <w:tab w:val="clear" w:pos="360"/>
          <w:tab w:val="left" w:pos="709"/>
          <w:tab w:val="decimal" w:pos="8222"/>
        </w:tabs>
        <w:bidi w:val="0"/>
        <w:spacing w:after="0" w:line="240" w:lineRule="auto"/>
        <w:ind w:left="709" w:hanging="709"/>
        <w:jc w:val="both"/>
        <w:rPr>
          <w:rFonts w:ascii="Times New Roman" w:hAnsi="Times New Roman"/>
          <w:szCs w:val="24"/>
        </w:rPr>
      </w:pPr>
      <w:r>
        <w:rPr>
          <w:rFonts w:ascii="Times New Roman" w:hAnsi="Times New Roman"/>
          <w:szCs w:val="24"/>
        </w:rPr>
        <w:t>očakávaných výdavkov v roku 2011</w:t>
      </w:r>
      <w:r w:rsidRPr="0097043D">
        <w:rPr>
          <w:rFonts w:ascii="Times New Roman" w:hAnsi="Times New Roman"/>
          <w:szCs w:val="24"/>
        </w:rPr>
        <w:t xml:space="preserve"> vo výške 5 </w:t>
      </w:r>
      <w:r>
        <w:rPr>
          <w:rFonts w:ascii="Times New Roman" w:hAnsi="Times New Roman"/>
          <w:szCs w:val="24"/>
        </w:rPr>
        <w:t>412</w:t>
      </w:r>
      <w:r w:rsidRPr="0097043D">
        <w:rPr>
          <w:rFonts w:ascii="Times New Roman" w:hAnsi="Times New Roman"/>
          <w:szCs w:val="24"/>
        </w:rPr>
        <w:t> </w:t>
      </w:r>
      <w:r>
        <w:rPr>
          <w:rFonts w:ascii="Times New Roman" w:hAnsi="Times New Roman"/>
          <w:szCs w:val="24"/>
        </w:rPr>
        <w:t>493</w:t>
      </w:r>
      <w:r w:rsidRPr="0097043D">
        <w:rPr>
          <w:rFonts w:ascii="Times New Roman" w:hAnsi="Times New Roman"/>
          <w:szCs w:val="24"/>
        </w:rPr>
        <w:t> tis. Eur,</w:t>
      </w:r>
    </w:p>
    <w:p w:rsidR="004463D5" w:rsidRPr="0097043D" w:rsidP="008173F1">
      <w:pPr>
        <w:pStyle w:val="BodyTextIndent2"/>
        <w:numPr>
          <w:numId w:val="17"/>
        </w:numPr>
        <w:tabs>
          <w:tab w:val="clear" w:pos="360"/>
          <w:tab w:val="left" w:pos="709"/>
          <w:tab w:val="decimal" w:pos="8222"/>
        </w:tabs>
        <w:bidi w:val="0"/>
        <w:spacing w:after="0" w:line="240" w:lineRule="auto"/>
        <w:ind w:left="709" w:hanging="709"/>
        <w:jc w:val="both"/>
        <w:rPr>
          <w:rFonts w:ascii="Times New Roman" w:hAnsi="Times New Roman"/>
          <w:color w:val="000000"/>
          <w:szCs w:val="24"/>
        </w:rPr>
      </w:pPr>
      <w:r w:rsidRPr="0097043D">
        <w:rPr>
          <w:rFonts w:ascii="Times New Roman" w:hAnsi="Times New Roman"/>
          <w:szCs w:val="24"/>
        </w:rPr>
        <w:t>val</w:t>
      </w:r>
      <w:r>
        <w:rPr>
          <w:rFonts w:ascii="Times New Roman" w:hAnsi="Times New Roman"/>
          <w:szCs w:val="24"/>
        </w:rPr>
        <w:t>orizácie dôchodkov od 1. 1. 2012</w:t>
      </w:r>
      <w:r w:rsidRPr="0097043D">
        <w:rPr>
          <w:rFonts w:ascii="Times New Roman" w:hAnsi="Times New Roman"/>
          <w:szCs w:val="24"/>
        </w:rPr>
        <w:t xml:space="preserve"> o </w:t>
      </w:r>
      <w:r>
        <w:rPr>
          <w:rFonts w:ascii="Times New Roman" w:hAnsi="Times New Roman"/>
          <w:szCs w:val="24"/>
        </w:rPr>
        <w:t>3,3</w:t>
      </w:r>
      <w:r w:rsidRPr="0097043D">
        <w:rPr>
          <w:rFonts w:ascii="Times New Roman" w:hAnsi="Times New Roman"/>
          <w:szCs w:val="24"/>
        </w:rPr>
        <w:t xml:space="preserve"> % vo výške </w:t>
      </w:r>
      <w:r>
        <w:rPr>
          <w:rFonts w:ascii="Times New Roman" w:hAnsi="Times New Roman"/>
          <w:szCs w:val="24"/>
        </w:rPr>
        <w:t>186 810</w:t>
      </w:r>
      <w:r w:rsidRPr="0097043D">
        <w:rPr>
          <w:rFonts w:ascii="Times New Roman" w:hAnsi="Times New Roman"/>
          <w:szCs w:val="24"/>
        </w:rPr>
        <w:t> tis. Eur,</w:t>
      </w:r>
    </w:p>
    <w:p w:rsidR="004463D5" w:rsidP="008173F1">
      <w:pPr>
        <w:pStyle w:val="BodyTextIndent2"/>
        <w:numPr>
          <w:numId w:val="17"/>
        </w:numPr>
        <w:tabs>
          <w:tab w:val="clear" w:pos="360"/>
          <w:tab w:val="left" w:pos="709"/>
          <w:tab w:val="decimal" w:pos="8222"/>
        </w:tabs>
        <w:bidi w:val="0"/>
        <w:spacing w:after="0" w:line="240" w:lineRule="auto"/>
        <w:ind w:left="709" w:hanging="709"/>
        <w:jc w:val="both"/>
        <w:rPr>
          <w:rFonts w:ascii="Times New Roman" w:hAnsi="Times New Roman"/>
          <w:szCs w:val="24"/>
        </w:rPr>
      </w:pPr>
      <w:r w:rsidRPr="0097043D">
        <w:rPr>
          <w:rFonts w:ascii="Times New Roman" w:hAnsi="Times New Roman"/>
          <w:szCs w:val="24"/>
        </w:rPr>
        <w:t>bežného medziročného nárastu, ktorý súvisí s priznávaním nových dô</w:t>
      </w:r>
      <w:r>
        <w:rPr>
          <w:rFonts w:ascii="Times New Roman" w:hAnsi="Times New Roman"/>
          <w:szCs w:val="24"/>
        </w:rPr>
        <w:t>chodkov v sume 130 922 tis. Eur,</w:t>
      </w:r>
    </w:p>
    <w:p w:rsidR="004463D5" w:rsidRPr="00167D4B" w:rsidP="008173F1">
      <w:pPr>
        <w:pStyle w:val="BodyTextIndent2"/>
        <w:numPr>
          <w:numId w:val="17"/>
        </w:numPr>
        <w:tabs>
          <w:tab w:val="clear" w:pos="360"/>
          <w:tab w:val="left" w:pos="709"/>
          <w:tab w:val="decimal" w:pos="8222"/>
        </w:tabs>
        <w:bidi w:val="0"/>
        <w:spacing w:after="0" w:line="240" w:lineRule="auto"/>
        <w:ind w:left="709" w:hanging="709"/>
        <w:jc w:val="both"/>
        <w:rPr>
          <w:rFonts w:ascii="Times New Roman" w:hAnsi="Times New Roman"/>
          <w:szCs w:val="24"/>
        </w:rPr>
      </w:pPr>
      <w:r>
        <w:rPr>
          <w:rFonts w:ascii="Times New Roman" w:hAnsi="Times New Roman"/>
          <w:szCs w:val="24"/>
        </w:rPr>
        <w:t xml:space="preserve">zníženia výdavkov v zmysle </w:t>
      </w:r>
      <w:r w:rsidRPr="00242EAE">
        <w:rPr>
          <w:rFonts w:ascii="Times New Roman" w:hAnsi="Times New Roman"/>
          <w:szCs w:val="24"/>
        </w:rPr>
        <w:t xml:space="preserve">navrhovanej novely zákona o sociálnom poistení s účinnosťou od 1. 1. </w:t>
      </w:r>
      <w:r>
        <w:rPr>
          <w:rFonts w:ascii="Times New Roman" w:hAnsi="Times New Roman"/>
          <w:szCs w:val="24"/>
        </w:rPr>
        <w:t xml:space="preserve">2012 - </w:t>
      </w:r>
      <w:r>
        <w:rPr>
          <w:rFonts w:ascii="Times New Roman" w:hAnsi="Times New Roman"/>
          <w:color w:val="000000"/>
        </w:rPr>
        <w:t>nový spôsob výpočtu invalidného dôchodku na vybraných poistencov vo veku do 20 rokov vo výške 182 tis. Eur</w:t>
      </w:r>
      <w:r w:rsidRPr="00242EAE">
        <w:rPr>
          <w:rFonts w:ascii="Times New Roman" w:hAnsi="Times New Roman"/>
          <w:szCs w:val="24"/>
        </w:rPr>
        <w:t>.</w:t>
      </w:r>
    </w:p>
    <w:p w:rsidR="004463D5" w:rsidRPr="0097043D" w:rsidP="004463D5">
      <w:pPr>
        <w:pStyle w:val="BodyTextIndent2"/>
        <w:tabs>
          <w:tab w:val="left" w:pos="709"/>
          <w:tab w:val="decimal" w:pos="8222"/>
        </w:tabs>
        <w:bidi w:val="0"/>
        <w:spacing w:before="240" w:line="240" w:lineRule="auto"/>
        <w:ind w:left="0" w:firstLine="720"/>
        <w:jc w:val="both"/>
        <w:outlineLvl w:val="0"/>
        <w:rPr>
          <w:rFonts w:ascii="Times New Roman" w:hAnsi="Times New Roman"/>
        </w:rPr>
      </w:pPr>
      <w:r>
        <w:rPr>
          <w:rFonts w:ascii="Times New Roman" w:hAnsi="Times New Roman"/>
          <w:b/>
        </w:rPr>
        <w:t>Výdavky na dôchodkové dávky v rokoch 2013</w:t>
      </w:r>
      <w:r w:rsidRPr="0097043D">
        <w:rPr>
          <w:rFonts w:ascii="Times New Roman" w:hAnsi="Times New Roman"/>
          <w:b/>
        </w:rPr>
        <w:t xml:space="preserve"> až 201</w:t>
      </w:r>
      <w:r>
        <w:rPr>
          <w:rFonts w:ascii="Times New Roman" w:hAnsi="Times New Roman"/>
          <w:b/>
        </w:rPr>
        <w:t>4</w:t>
      </w:r>
      <w:r w:rsidRPr="0097043D">
        <w:rPr>
          <w:rFonts w:ascii="Times New Roman" w:hAnsi="Times New Roman"/>
        </w:rPr>
        <w:t xml:space="preserve"> sa predpokladajú takéto</w:t>
      </w:r>
      <w:r>
        <w:rPr>
          <w:rFonts w:ascii="Times New Roman" w:hAnsi="Times New Roman"/>
        </w:rPr>
        <w:t xml:space="preserve"> (v tis. Eur)</w:t>
      </w:r>
      <w:r w:rsidRPr="0097043D">
        <w:rPr>
          <w:rFonts w:ascii="Times New Roman" w:hAnsi="Times New Roman"/>
        </w:rPr>
        <w:t>:</w:t>
      </w:r>
    </w:p>
    <w:tbl>
      <w:tblPr>
        <w:tblStyle w:val="TableNormal"/>
        <w:tblW w:w="5896" w:type="dxa"/>
        <w:tblInd w:w="709" w:type="dxa"/>
        <w:tblCellMar>
          <w:left w:w="70" w:type="dxa"/>
          <w:right w:w="70" w:type="dxa"/>
        </w:tblCellMar>
      </w:tblPr>
      <w:tblGrid>
        <w:gridCol w:w="2976"/>
        <w:gridCol w:w="1460"/>
        <w:gridCol w:w="1460"/>
      </w:tblGrid>
      <w:tr>
        <w:tblPrEx>
          <w:tblW w:w="5896" w:type="dxa"/>
          <w:tblInd w:w="709" w:type="dxa"/>
          <w:tblCellMar>
            <w:left w:w="70" w:type="dxa"/>
            <w:right w:w="70" w:type="dxa"/>
          </w:tblCellMar>
        </w:tblPrEx>
        <w:trPr>
          <w:trHeight w:val="255"/>
        </w:trPr>
        <w:tc>
          <w:tcPr>
            <w:tcW w:w="2976" w:type="dxa"/>
            <w:tcBorders>
              <w:top w:val="nil"/>
              <w:left w:val="nil"/>
              <w:bottom w:val="nil"/>
              <w:right w:val="nil"/>
            </w:tcBorders>
            <w:noWrap/>
            <w:tcMar>
              <w:top w:w="0" w:type="dxa"/>
              <w:left w:w="0" w:type="dxa"/>
              <w:bottom w:w="0" w:type="dxa"/>
              <w:right w:w="0" w:type="dxa"/>
            </w:tcMar>
            <w:textDirection w:val="lrTb"/>
            <w:vAlign w:val="bottom"/>
          </w:tcPr>
          <w:p w:rsidR="004463D5" w:rsidRPr="00D55385" w:rsidP="004463D5">
            <w:pPr>
              <w:bidi w:val="0"/>
              <w:rPr>
                <w:rFonts w:ascii="Times New Roman" w:hAnsi="Times New Roman"/>
                <w:sz w:val="20"/>
              </w:rPr>
            </w:pPr>
          </w:p>
        </w:tc>
        <w:tc>
          <w:tcPr>
            <w:tcW w:w="1460" w:type="dxa"/>
            <w:tcBorders>
              <w:top w:val="nil"/>
              <w:left w:val="nil"/>
              <w:bottom w:val="nil"/>
              <w:right w:val="nil"/>
            </w:tcBorders>
            <w:tcMar>
              <w:top w:w="0" w:type="dxa"/>
              <w:left w:w="0" w:type="dxa"/>
              <w:bottom w:w="0" w:type="dxa"/>
              <w:right w:w="0" w:type="dxa"/>
            </w:tcMar>
            <w:textDirection w:val="lrTb"/>
            <w:vAlign w:val="bottom"/>
          </w:tcPr>
          <w:p w:rsidR="004463D5" w:rsidRPr="00D55385" w:rsidP="004463D5">
            <w:pPr>
              <w:bidi w:val="0"/>
              <w:rPr>
                <w:rFonts w:ascii="Times New Roman" w:hAnsi="Times New Roman"/>
                <w:sz w:val="20"/>
              </w:rPr>
            </w:pPr>
          </w:p>
        </w:tc>
        <w:tc>
          <w:tcPr>
            <w:tcW w:w="1460" w:type="dxa"/>
            <w:tcBorders>
              <w:top w:val="nil"/>
              <w:left w:val="nil"/>
              <w:bottom w:val="nil"/>
              <w:right w:val="nil"/>
            </w:tcBorders>
            <w:tcMar>
              <w:top w:w="0" w:type="dxa"/>
              <w:left w:w="0" w:type="dxa"/>
              <w:bottom w:w="0" w:type="dxa"/>
              <w:right w:w="0" w:type="dxa"/>
            </w:tcMar>
            <w:textDirection w:val="lrTb"/>
            <w:vAlign w:val="bottom"/>
          </w:tcPr>
          <w:p w:rsidR="004463D5" w:rsidRPr="00D55385" w:rsidP="004463D5">
            <w:pPr>
              <w:bidi w:val="0"/>
              <w:jc w:val="right"/>
              <w:rPr>
                <w:rFonts w:ascii="Times New Roman" w:hAnsi="Times New Roman"/>
                <w:sz w:val="20"/>
              </w:rPr>
            </w:pPr>
          </w:p>
        </w:tc>
      </w:tr>
      <w:tr>
        <w:tblPrEx>
          <w:tblW w:w="5896" w:type="dxa"/>
          <w:tblInd w:w="709" w:type="dxa"/>
          <w:tblCellMar>
            <w:left w:w="70" w:type="dxa"/>
            <w:right w:w="70" w:type="dxa"/>
          </w:tblCellMar>
        </w:tblPrEx>
        <w:trPr>
          <w:trHeight w:val="255"/>
        </w:trPr>
        <w:tc>
          <w:tcPr>
            <w:tcW w:w="297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lrTb"/>
            <w:vAlign w:val="bottom"/>
          </w:tcPr>
          <w:p w:rsidR="004463D5" w:rsidRPr="00D55385" w:rsidP="004463D5">
            <w:pPr>
              <w:bidi w:val="0"/>
              <w:jc w:val="center"/>
              <w:rPr>
                <w:rFonts w:ascii="Times New Roman" w:hAnsi="Times New Roman"/>
                <w:sz w:val="20"/>
              </w:rPr>
            </w:pPr>
            <w:r w:rsidRPr="00D55385">
              <w:rPr>
                <w:rFonts w:ascii="Times New Roman" w:hAnsi="Times New Roman"/>
                <w:sz w:val="20"/>
              </w:rPr>
              <w:t>Text</w:t>
            </w:r>
          </w:p>
        </w:tc>
        <w:tc>
          <w:tcPr>
            <w:tcW w:w="1460" w:type="dxa"/>
            <w:tcBorders>
              <w:top w:val="single" w:sz="4" w:space="0" w:color="auto"/>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center"/>
              <w:rPr>
                <w:rFonts w:ascii="Times New Roman" w:hAnsi="Times New Roman"/>
                <w:sz w:val="20"/>
              </w:rPr>
            </w:pPr>
            <w:r w:rsidRPr="00D55385">
              <w:rPr>
                <w:rFonts w:ascii="Times New Roman" w:hAnsi="Times New Roman"/>
                <w:sz w:val="20"/>
              </w:rPr>
              <w:t>Rok 201</w:t>
            </w:r>
            <w:r>
              <w:rPr>
                <w:rFonts w:ascii="Times New Roman" w:hAnsi="Times New Roman"/>
                <w:sz w:val="20"/>
              </w:rPr>
              <w:t>3</w:t>
            </w:r>
          </w:p>
        </w:tc>
        <w:tc>
          <w:tcPr>
            <w:tcW w:w="1460" w:type="dxa"/>
            <w:tcBorders>
              <w:top w:val="single" w:sz="4" w:space="0" w:color="auto"/>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center"/>
              <w:rPr>
                <w:rFonts w:ascii="Times New Roman" w:hAnsi="Times New Roman"/>
                <w:sz w:val="20"/>
              </w:rPr>
            </w:pPr>
            <w:r w:rsidRPr="00D55385">
              <w:rPr>
                <w:rFonts w:ascii="Times New Roman" w:hAnsi="Times New Roman"/>
                <w:sz w:val="20"/>
              </w:rPr>
              <w:t>Rok 201</w:t>
            </w:r>
            <w:r>
              <w:rPr>
                <w:rFonts w:ascii="Times New Roman" w:hAnsi="Times New Roman"/>
                <w:sz w:val="20"/>
              </w:rPr>
              <w:t>4</w:t>
            </w:r>
          </w:p>
        </w:tc>
      </w:tr>
      <w:tr>
        <w:tblPrEx>
          <w:tblW w:w="5896" w:type="dxa"/>
          <w:tblInd w:w="709" w:type="dxa"/>
          <w:tblCellMar>
            <w:left w:w="70" w:type="dxa"/>
            <w:right w:w="70" w:type="dxa"/>
          </w:tblCellMar>
        </w:tblPrEx>
        <w:trPr>
          <w:trHeight w:val="255"/>
        </w:trPr>
        <w:tc>
          <w:tcPr>
            <w:tcW w:w="2976" w:type="dxa"/>
            <w:tcBorders>
              <w:top w:val="nil"/>
              <w:left w:val="single" w:sz="4" w:space="0" w:color="auto"/>
              <w:bottom w:val="single" w:sz="4" w:space="0" w:color="auto"/>
              <w:right w:val="single" w:sz="4" w:space="0" w:color="auto"/>
            </w:tcBorders>
            <w:noWrap/>
            <w:tcMar>
              <w:top w:w="0" w:type="dxa"/>
              <w:left w:w="0" w:type="dxa"/>
              <w:bottom w:w="0" w:type="dxa"/>
              <w:right w:w="0" w:type="dxa"/>
            </w:tcMar>
            <w:textDirection w:val="lrTb"/>
            <w:vAlign w:val="bottom"/>
          </w:tcPr>
          <w:p w:rsidR="004463D5" w:rsidRPr="00D55385" w:rsidP="004463D5">
            <w:pPr>
              <w:bidi w:val="0"/>
              <w:jc w:val="center"/>
              <w:rPr>
                <w:rFonts w:ascii="Times New Roman" w:hAnsi="Times New Roman"/>
                <w:sz w:val="20"/>
              </w:rPr>
            </w:pPr>
            <w:r w:rsidRPr="00D55385">
              <w:rPr>
                <w:rFonts w:ascii="Times New Roman" w:hAnsi="Times New Roman"/>
                <w:sz w:val="20"/>
              </w:rPr>
              <w:t>a</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center"/>
              <w:rPr>
                <w:rFonts w:ascii="Times New Roman" w:hAnsi="Times New Roman"/>
                <w:sz w:val="20"/>
              </w:rPr>
            </w:pPr>
            <w:r w:rsidRPr="00D55385">
              <w:rPr>
                <w:rFonts w:ascii="Times New Roman" w:hAnsi="Times New Roman"/>
                <w:sz w:val="20"/>
              </w:rPr>
              <w:t>1</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center"/>
              <w:rPr>
                <w:rFonts w:ascii="Times New Roman" w:hAnsi="Times New Roman"/>
                <w:sz w:val="20"/>
              </w:rPr>
            </w:pPr>
            <w:r w:rsidRPr="00D55385">
              <w:rPr>
                <w:rFonts w:ascii="Times New Roman" w:hAnsi="Times New Roman"/>
                <w:sz w:val="20"/>
              </w:rPr>
              <w:t>2</w:t>
            </w:r>
          </w:p>
        </w:tc>
      </w:tr>
      <w:tr>
        <w:tblPrEx>
          <w:tblW w:w="5896" w:type="dxa"/>
          <w:tblInd w:w="709" w:type="dxa"/>
          <w:tblCellMar>
            <w:left w:w="70" w:type="dxa"/>
            <w:right w:w="70" w:type="dxa"/>
          </w:tblCellMar>
        </w:tblPrEx>
        <w:trPr>
          <w:trHeight w:val="255"/>
        </w:trPr>
        <w:tc>
          <w:tcPr>
            <w:tcW w:w="2976" w:type="dxa"/>
            <w:tcBorders>
              <w:top w:val="nil"/>
              <w:left w:val="single" w:sz="4" w:space="0" w:color="auto"/>
              <w:bottom w:val="single" w:sz="4" w:space="0" w:color="auto"/>
              <w:right w:val="single" w:sz="4" w:space="0" w:color="auto"/>
            </w:tcBorders>
            <w:noWrap/>
            <w:tcMar>
              <w:top w:w="0" w:type="dxa"/>
              <w:left w:w="0" w:type="dxa"/>
              <w:bottom w:w="0" w:type="dxa"/>
              <w:right w:w="0" w:type="dxa"/>
            </w:tcMar>
            <w:textDirection w:val="lrTb"/>
            <w:vAlign w:val="bottom"/>
          </w:tcPr>
          <w:p w:rsidR="004463D5" w:rsidRPr="00D55385" w:rsidP="004463D5">
            <w:pPr>
              <w:bidi w:val="0"/>
              <w:rPr>
                <w:rFonts w:ascii="Times New Roman" w:hAnsi="Times New Roman"/>
                <w:sz w:val="20"/>
              </w:rPr>
            </w:pPr>
            <w:r w:rsidRPr="00D55385">
              <w:rPr>
                <w:rFonts w:ascii="Times New Roman" w:hAnsi="Times New Roman"/>
                <w:sz w:val="20"/>
              </w:rPr>
              <w:t xml:space="preserve">Výdavky </w:t>
            </w:r>
            <w:r>
              <w:rPr>
                <w:rFonts w:ascii="Times New Roman" w:hAnsi="Times New Roman"/>
                <w:sz w:val="20"/>
              </w:rPr>
              <w:t>na dôchodkové dávky</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right"/>
              <w:rPr>
                <w:rFonts w:ascii="Times New Roman" w:hAnsi="Times New Roman"/>
                <w:color w:val="000000"/>
                <w:sz w:val="20"/>
              </w:rPr>
            </w:pPr>
            <w:r>
              <w:rPr>
                <w:rFonts w:ascii="Times New Roman" w:hAnsi="Times New Roman"/>
                <w:color w:val="000000"/>
                <w:sz w:val="20"/>
              </w:rPr>
              <w:t>6 044 929</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right"/>
              <w:rPr>
                <w:rFonts w:ascii="Times New Roman" w:hAnsi="Times New Roman"/>
                <w:color w:val="000000"/>
                <w:sz w:val="20"/>
              </w:rPr>
            </w:pPr>
            <w:r>
              <w:rPr>
                <w:rFonts w:ascii="Times New Roman" w:hAnsi="Times New Roman"/>
                <w:color w:val="000000"/>
                <w:sz w:val="20"/>
              </w:rPr>
              <w:t>6 355 220</w:t>
            </w:r>
          </w:p>
        </w:tc>
      </w:tr>
      <w:tr>
        <w:tblPrEx>
          <w:tblW w:w="5896" w:type="dxa"/>
          <w:tblInd w:w="709" w:type="dxa"/>
          <w:tblCellMar>
            <w:left w:w="70" w:type="dxa"/>
            <w:right w:w="70" w:type="dxa"/>
          </w:tblCellMar>
        </w:tblPrEx>
        <w:trPr>
          <w:trHeight w:val="255"/>
        </w:trPr>
        <w:tc>
          <w:tcPr>
            <w:tcW w:w="2976" w:type="dxa"/>
            <w:tcBorders>
              <w:top w:val="nil"/>
              <w:left w:val="single" w:sz="4" w:space="0" w:color="auto"/>
              <w:bottom w:val="single" w:sz="4" w:space="0" w:color="auto"/>
              <w:right w:val="single" w:sz="4" w:space="0" w:color="auto"/>
            </w:tcBorders>
            <w:noWrap/>
            <w:tcMar>
              <w:top w:w="0" w:type="dxa"/>
              <w:left w:w="0" w:type="dxa"/>
              <w:bottom w:w="0" w:type="dxa"/>
              <w:right w:w="0" w:type="dxa"/>
            </w:tcMar>
            <w:textDirection w:val="lrTb"/>
            <w:vAlign w:val="bottom"/>
          </w:tcPr>
          <w:p w:rsidR="004463D5" w:rsidRPr="00D55385" w:rsidP="004463D5">
            <w:pPr>
              <w:bidi w:val="0"/>
              <w:rPr>
                <w:rFonts w:ascii="Times New Roman" w:hAnsi="Times New Roman"/>
                <w:sz w:val="20"/>
              </w:rPr>
            </w:pPr>
            <w:r w:rsidRPr="00D55385">
              <w:rPr>
                <w:rFonts w:ascii="Times New Roman" w:hAnsi="Times New Roman"/>
                <w:sz w:val="20"/>
              </w:rPr>
              <w:t>v tom:</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rPr>
                <w:rFonts w:ascii="Times New Roman" w:hAnsi="Times New Roman"/>
                <w:color w:val="000000"/>
                <w:sz w:val="20"/>
              </w:rPr>
            </w:pPr>
            <w:r w:rsidRPr="00D55385">
              <w:rPr>
                <w:rFonts w:ascii="Times New Roman" w:hAnsi="Times New Roman"/>
                <w:color w:val="000000"/>
                <w:sz w:val="20"/>
              </w:rPr>
              <w:t> </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rPr>
                <w:rFonts w:ascii="Times New Roman" w:hAnsi="Times New Roman"/>
                <w:color w:val="000000"/>
                <w:sz w:val="20"/>
              </w:rPr>
            </w:pPr>
            <w:r w:rsidRPr="00D55385">
              <w:rPr>
                <w:rFonts w:ascii="Times New Roman" w:hAnsi="Times New Roman"/>
                <w:color w:val="000000"/>
                <w:sz w:val="20"/>
              </w:rPr>
              <w:t> </w:t>
            </w:r>
          </w:p>
        </w:tc>
      </w:tr>
      <w:tr>
        <w:tblPrEx>
          <w:tblW w:w="5896" w:type="dxa"/>
          <w:tblInd w:w="709" w:type="dxa"/>
          <w:tblCellMar>
            <w:left w:w="70" w:type="dxa"/>
            <w:right w:w="70" w:type="dxa"/>
          </w:tblCellMar>
        </w:tblPrEx>
        <w:trPr>
          <w:trHeight w:val="255"/>
        </w:trPr>
        <w:tc>
          <w:tcPr>
            <w:tcW w:w="2976" w:type="dxa"/>
            <w:tcBorders>
              <w:top w:val="nil"/>
              <w:left w:val="single" w:sz="4" w:space="0" w:color="auto"/>
              <w:bottom w:val="single" w:sz="4" w:space="0" w:color="auto"/>
              <w:right w:val="single" w:sz="4" w:space="0" w:color="auto"/>
            </w:tcBorders>
            <w:noWrap/>
            <w:tcMar>
              <w:top w:w="0" w:type="dxa"/>
              <w:left w:w="0" w:type="dxa"/>
              <w:bottom w:w="0" w:type="dxa"/>
              <w:right w:w="0" w:type="dxa"/>
            </w:tcMar>
            <w:textDirection w:val="lrTb"/>
            <w:vAlign w:val="bottom"/>
          </w:tcPr>
          <w:p w:rsidR="004463D5" w:rsidRPr="00D55385" w:rsidP="004463D5">
            <w:pPr>
              <w:bidi w:val="0"/>
              <w:rPr>
                <w:rFonts w:ascii="Times New Roman" w:hAnsi="Times New Roman"/>
                <w:sz w:val="20"/>
              </w:rPr>
            </w:pPr>
            <w:r>
              <w:rPr>
                <w:rFonts w:ascii="Times New Roman" w:hAnsi="Times New Roman"/>
                <w:sz w:val="20"/>
              </w:rPr>
              <w:t>zo starobného poistenia</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right"/>
              <w:rPr>
                <w:rFonts w:ascii="Times New Roman" w:hAnsi="Times New Roman"/>
                <w:color w:val="000000"/>
                <w:sz w:val="20"/>
              </w:rPr>
            </w:pPr>
            <w:r>
              <w:rPr>
                <w:rFonts w:ascii="Times New Roman" w:hAnsi="Times New Roman"/>
                <w:color w:val="000000"/>
                <w:sz w:val="20"/>
              </w:rPr>
              <w:t>5 108 714</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right"/>
              <w:rPr>
                <w:rFonts w:ascii="Times New Roman" w:hAnsi="Times New Roman"/>
                <w:color w:val="000000"/>
                <w:sz w:val="20"/>
              </w:rPr>
            </w:pPr>
            <w:r>
              <w:rPr>
                <w:rFonts w:ascii="Times New Roman" w:hAnsi="Times New Roman"/>
                <w:color w:val="000000"/>
                <w:sz w:val="20"/>
              </w:rPr>
              <w:t>5 370 948</w:t>
            </w:r>
          </w:p>
        </w:tc>
      </w:tr>
      <w:tr>
        <w:tblPrEx>
          <w:tblW w:w="5896" w:type="dxa"/>
          <w:tblInd w:w="709" w:type="dxa"/>
          <w:tblCellMar>
            <w:left w:w="70" w:type="dxa"/>
            <w:right w:w="70" w:type="dxa"/>
          </w:tblCellMar>
        </w:tblPrEx>
        <w:trPr>
          <w:trHeight w:val="255"/>
        </w:trPr>
        <w:tc>
          <w:tcPr>
            <w:tcW w:w="2976" w:type="dxa"/>
            <w:tcBorders>
              <w:top w:val="nil"/>
              <w:left w:val="single" w:sz="4" w:space="0" w:color="auto"/>
              <w:bottom w:val="single" w:sz="4" w:space="0" w:color="auto"/>
              <w:right w:val="single" w:sz="4" w:space="0" w:color="auto"/>
            </w:tcBorders>
            <w:noWrap/>
            <w:tcMar>
              <w:top w:w="0" w:type="dxa"/>
              <w:left w:w="0" w:type="dxa"/>
              <w:bottom w:w="0" w:type="dxa"/>
              <w:right w:w="0" w:type="dxa"/>
            </w:tcMar>
            <w:textDirection w:val="lrTb"/>
            <w:vAlign w:val="bottom"/>
          </w:tcPr>
          <w:p w:rsidR="004463D5" w:rsidRPr="00D55385" w:rsidP="004463D5">
            <w:pPr>
              <w:bidi w:val="0"/>
              <w:rPr>
                <w:rFonts w:ascii="Times New Roman" w:hAnsi="Times New Roman"/>
                <w:sz w:val="20"/>
              </w:rPr>
            </w:pPr>
            <w:r>
              <w:rPr>
                <w:rFonts w:ascii="Times New Roman" w:hAnsi="Times New Roman"/>
                <w:sz w:val="20"/>
              </w:rPr>
              <w:t>z invalidného poistenia</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right"/>
              <w:rPr>
                <w:rFonts w:ascii="Times New Roman" w:hAnsi="Times New Roman"/>
                <w:color w:val="000000"/>
                <w:sz w:val="20"/>
              </w:rPr>
            </w:pPr>
            <w:r>
              <w:rPr>
                <w:rFonts w:ascii="Times New Roman" w:hAnsi="Times New Roman"/>
                <w:color w:val="000000"/>
                <w:sz w:val="20"/>
              </w:rPr>
              <w:t>936 215</w:t>
            </w:r>
          </w:p>
        </w:tc>
        <w:tc>
          <w:tcPr>
            <w:tcW w:w="1460" w:type="dxa"/>
            <w:tcBorders>
              <w:top w:val="nil"/>
              <w:left w:val="nil"/>
              <w:bottom w:val="single" w:sz="4" w:space="0" w:color="auto"/>
              <w:right w:val="single" w:sz="4" w:space="0" w:color="auto"/>
            </w:tcBorders>
            <w:tcMar>
              <w:top w:w="0" w:type="dxa"/>
              <w:left w:w="0" w:type="dxa"/>
              <w:bottom w:w="0" w:type="dxa"/>
              <w:right w:w="0" w:type="dxa"/>
            </w:tcMar>
            <w:textDirection w:val="lrTb"/>
            <w:vAlign w:val="bottom"/>
          </w:tcPr>
          <w:p w:rsidR="004463D5" w:rsidRPr="00D55385" w:rsidP="004463D5">
            <w:pPr>
              <w:bidi w:val="0"/>
              <w:jc w:val="right"/>
              <w:rPr>
                <w:rFonts w:ascii="Times New Roman" w:hAnsi="Times New Roman"/>
                <w:color w:val="000000"/>
                <w:sz w:val="20"/>
              </w:rPr>
            </w:pPr>
            <w:r>
              <w:rPr>
                <w:rFonts w:ascii="Times New Roman" w:hAnsi="Times New Roman"/>
                <w:color w:val="000000"/>
                <w:sz w:val="20"/>
              </w:rPr>
              <w:t>984 272</w:t>
            </w:r>
          </w:p>
        </w:tc>
      </w:tr>
    </w:tbl>
    <w:p w:rsidR="004463D5" w:rsidRPr="009921DB" w:rsidP="004463D5">
      <w:pPr>
        <w:pStyle w:val="BodyTextIndent2"/>
        <w:tabs>
          <w:tab w:val="left" w:pos="709"/>
          <w:tab w:val="decimal" w:pos="8222"/>
        </w:tabs>
        <w:bidi w:val="0"/>
        <w:spacing w:before="240" w:line="240" w:lineRule="auto"/>
        <w:ind w:left="0" w:firstLine="720"/>
        <w:jc w:val="both"/>
        <w:rPr>
          <w:rFonts w:ascii="Times New Roman" w:hAnsi="Times New Roman"/>
          <w:color w:val="000000"/>
        </w:rPr>
      </w:pPr>
      <w:r w:rsidRPr="0097043D">
        <w:rPr>
          <w:rFonts w:ascii="Times New Roman" w:hAnsi="Times New Roman"/>
          <w:color w:val="000000"/>
        </w:rPr>
        <w:t>Vo výdavkoch na d</w:t>
      </w:r>
      <w:r>
        <w:rPr>
          <w:rFonts w:ascii="Times New Roman" w:hAnsi="Times New Roman"/>
          <w:color w:val="000000"/>
        </w:rPr>
        <w:t>ôchodkové dávky v rokoch 2013</w:t>
      </w:r>
      <w:r w:rsidRPr="0097043D">
        <w:rPr>
          <w:rFonts w:ascii="Times New Roman" w:hAnsi="Times New Roman"/>
          <w:color w:val="000000"/>
        </w:rPr>
        <w:t xml:space="preserve"> a</w:t>
      </w:r>
      <w:r>
        <w:rPr>
          <w:rFonts w:ascii="Times New Roman" w:hAnsi="Times New Roman"/>
          <w:color w:val="000000"/>
        </w:rPr>
        <w:t> 2014 sa premieta</w:t>
      </w:r>
      <w:r w:rsidRPr="0097043D">
        <w:rPr>
          <w:rFonts w:ascii="Times New Roman" w:hAnsi="Times New Roman"/>
          <w:color w:val="000000"/>
        </w:rPr>
        <w:t xml:space="preserve"> posun veku pre odc</w:t>
      </w:r>
      <w:r>
        <w:rPr>
          <w:rFonts w:ascii="Times New Roman" w:hAnsi="Times New Roman"/>
          <w:color w:val="000000"/>
        </w:rPr>
        <w:t xml:space="preserve">hod do starobného dôchodku žien a aj  navrhovaná novela zákona od 1. 1. 2012. </w:t>
      </w:r>
    </w:p>
    <w:p w:rsidR="004463D5" w:rsidRPr="00D54EA4" w:rsidP="004463D5">
      <w:pPr>
        <w:pStyle w:val="BodyTextIndent2"/>
        <w:bidi w:val="0"/>
        <w:spacing w:before="240" w:line="240" w:lineRule="auto"/>
        <w:ind w:left="0" w:firstLine="709"/>
        <w:jc w:val="both"/>
        <w:rPr>
          <w:rFonts w:ascii="Times New Roman" w:hAnsi="Times New Roman"/>
          <w:szCs w:val="24"/>
        </w:rPr>
      </w:pPr>
      <w:r w:rsidRPr="00D54EA4">
        <w:rPr>
          <w:rFonts w:ascii="Times New Roman" w:hAnsi="Times New Roman"/>
          <w:szCs w:val="24"/>
        </w:rPr>
        <w:t xml:space="preserve">Pre výpočet </w:t>
      </w:r>
      <w:r>
        <w:rPr>
          <w:rFonts w:ascii="Times New Roman" w:hAnsi="Times New Roman"/>
          <w:szCs w:val="24"/>
        </w:rPr>
        <w:t xml:space="preserve">výdavkov na valorizáciu dôchodkových dávok v rokoch 2013 a 2014 bol použitý index rastu spotrebiteľských cien pre domácnosti dôchodcov. </w:t>
      </w:r>
      <w:r w:rsidRPr="00D54EA4">
        <w:rPr>
          <w:rFonts w:ascii="Times New Roman" w:hAnsi="Times New Roman"/>
          <w:color w:val="000000"/>
          <w:szCs w:val="24"/>
        </w:rPr>
        <w:t>Výdavky na valorizáciu dôchodkových dávok sa v jednotlivých rokoch očakávajú a rozpočtujú takto:</w:t>
      </w:r>
    </w:p>
    <w:p w:rsidR="004463D5" w:rsidRPr="0097043D" w:rsidP="004463D5">
      <w:pPr>
        <w:pStyle w:val="BodyTextIndent2"/>
        <w:tabs>
          <w:tab w:val="left" w:pos="709"/>
          <w:tab w:val="right" w:pos="7088"/>
        </w:tabs>
        <w:bidi w:val="0"/>
        <w:spacing w:after="0" w:line="240" w:lineRule="auto"/>
        <w:ind w:left="0" w:firstLine="720"/>
        <w:rPr>
          <w:rFonts w:ascii="Times New Roman" w:hAnsi="Times New Roman"/>
          <w:color w:val="000000"/>
          <w:sz w:val="18"/>
          <w:szCs w:val="18"/>
        </w:rPr>
      </w:pPr>
      <w:r w:rsidRPr="0097043D">
        <w:rPr>
          <w:rFonts w:ascii="Times New Roman" w:hAnsi="Times New Roman"/>
          <w:color w:val="000000"/>
          <w:sz w:val="18"/>
          <w:szCs w:val="18"/>
        </w:rPr>
        <w:tab/>
        <w:t>v tis. Eur</w:t>
      </w:r>
    </w:p>
    <w:tbl>
      <w:tblPr>
        <w:tblStyle w:val="TableNormal"/>
        <w:tblW w:w="6379" w:type="dxa"/>
        <w:tblInd w:w="921" w:type="dxa"/>
        <w:tblCellMar>
          <w:left w:w="70" w:type="dxa"/>
          <w:right w:w="70" w:type="dxa"/>
        </w:tblCellMar>
      </w:tblPr>
      <w:tblGrid>
        <w:gridCol w:w="3260"/>
        <w:gridCol w:w="1560"/>
        <w:gridCol w:w="1559"/>
      </w:tblGrid>
      <w:tr>
        <w:tblPrEx>
          <w:tblW w:w="6379" w:type="dxa"/>
          <w:tblInd w:w="921" w:type="dxa"/>
          <w:tblCellMar>
            <w:left w:w="70" w:type="dxa"/>
            <w:right w:w="70" w:type="dxa"/>
          </w:tblCellMar>
        </w:tblPrEx>
        <w:trPr>
          <w:trHeight w:val="230"/>
        </w:trPr>
        <w:tc>
          <w:tcPr>
            <w:tcW w:w="3260" w:type="dxa"/>
            <w:tcBorders>
              <w:top w:val="single" w:sz="4" w:space="0" w:color="auto"/>
              <w:left w:val="single" w:sz="4" w:space="0" w:color="auto"/>
              <w:bottom w:val="single" w:sz="4" w:space="0" w:color="auto"/>
              <w:right w:val="single" w:sz="4" w:space="0" w:color="auto"/>
            </w:tcBorders>
            <w:noWrap/>
            <w:textDirection w:val="lrTb"/>
            <w:vAlign w:val="bottom"/>
          </w:tcPr>
          <w:p w:rsidR="004463D5" w:rsidRPr="0097043D" w:rsidP="004463D5">
            <w:pPr>
              <w:bidi w:val="0"/>
              <w:jc w:val="center"/>
              <w:rPr>
                <w:rFonts w:ascii="Times New Roman" w:hAnsi="Times New Roman"/>
                <w:sz w:val="20"/>
              </w:rPr>
            </w:pPr>
            <w:r w:rsidRPr="0097043D">
              <w:rPr>
                <w:rFonts w:ascii="Times New Roman" w:hAnsi="Times New Roman"/>
                <w:sz w:val="20"/>
              </w:rPr>
              <w:t>Text</w:t>
            </w:r>
          </w:p>
        </w:tc>
        <w:tc>
          <w:tcPr>
            <w:tcW w:w="1560" w:type="dxa"/>
            <w:tcBorders>
              <w:top w:val="single" w:sz="4" w:space="0" w:color="auto"/>
              <w:left w:val="nil"/>
              <w:bottom w:val="single" w:sz="4" w:space="0" w:color="auto"/>
              <w:right w:val="single" w:sz="4" w:space="0" w:color="auto"/>
            </w:tcBorders>
            <w:noWrap/>
            <w:textDirection w:val="lrTb"/>
            <w:vAlign w:val="bottom"/>
          </w:tcPr>
          <w:p w:rsidR="004463D5" w:rsidRPr="0097043D" w:rsidP="004463D5">
            <w:pPr>
              <w:bidi w:val="0"/>
              <w:jc w:val="center"/>
              <w:rPr>
                <w:rFonts w:ascii="Times New Roman" w:hAnsi="Times New Roman"/>
                <w:sz w:val="20"/>
              </w:rPr>
            </w:pPr>
            <w:r w:rsidRPr="0097043D">
              <w:rPr>
                <w:rFonts w:ascii="Times New Roman" w:hAnsi="Times New Roman"/>
                <w:sz w:val="20"/>
              </w:rPr>
              <w:t>Rok 20</w:t>
            </w:r>
            <w:r>
              <w:rPr>
                <w:rFonts w:ascii="Times New Roman" w:hAnsi="Times New Roman"/>
                <w:sz w:val="20"/>
              </w:rPr>
              <w:t>13</w:t>
            </w:r>
          </w:p>
        </w:tc>
        <w:tc>
          <w:tcPr>
            <w:tcW w:w="1559" w:type="dxa"/>
            <w:tcBorders>
              <w:top w:val="single" w:sz="4" w:space="0" w:color="auto"/>
              <w:left w:val="nil"/>
              <w:bottom w:val="single" w:sz="4" w:space="0" w:color="auto"/>
              <w:right w:val="single" w:sz="4" w:space="0" w:color="auto"/>
            </w:tcBorders>
            <w:noWrap/>
            <w:textDirection w:val="lrTb"/>
            <w:vAlign w:val="bottom"/>
          </w:tcPr>
          <w:p w:rsidR="004463D5" w:rsidRPr="0097043D" w:rsidP="004463D5">
            <w:pPr>
              <w:bidi w:val="0"/>
              <w:jc w:val="center"/>
              <w:rPr>
                <w:rFonts w:ascii="Times New Roman" w:hAnsi="Times New Roman"/>
                <w:sz w:val="20"/>
              </w:rPr>
            </w:pPr>
            <w:r w:rsidRPr="0097043D">
              <w:rPr>
                <w:rFonts w:ascii="Times New Roman" w:hAnsi="Times New Roman"/>
                <w:sz w:val="20"/>
              </w:rPr>
              <w:t>Rok 20</w:t>
            </w:r>
            <w:r>
              <w:rPr>
                <w:rFonts w:ascii="Times New Roman" w:hAnsi="Times New Roman"/>
                <w:sz w:val="20"/>
              </w:rPr>
              <w:t>14</w:t>
            </w:r>
          </w:p>
        </w:tc>
      </w:tr>
      <w:tr>
        <w:tblPrEx>
          <w:tblW w:w="6379" w:type="dxa"/>
          <w:tblInd w:w="921" w:type="dxa"/>
          <w:tblCellMar>
            <w:left w:w="70" w:type="dxa"/>
            <w:right w:w="70" w:type="dxa"/>
          </w:tblCellMar>
        </w:tblPrEx>
        <w:trPr>
          <w:trHeight w:val="230"/>
        </w:trPr>
        <w:tc>
          <w:tcPr>
            <w:tcW w:w="3260" w:type="dxa"/>
            <w:tcBorders>
              <w:top w:val="nil"/>
              <w:left w:val="single" w:sz="4" w:space="0" w:color="auto"/>
              <w:bottom w:val="single" w:sz="4" w:space="0" w:color="auto"/>
              <w:right w:val="single" w:sz="4" w:space="0" w:color="auto"/>
            </w:tcBorders>
            <w:noWrap/>
            <w:textDirection w:val="lrTb"/>
            <w:vAlign w:val="bottom"/>
          </w:tcPr>
          <w:p w:rsidR="004463D5" w:rsidRPr="0097043D" w:rsidP="004463D5">
            <w:pPr>
              <w:bidi w:val="0"/>
              <w:jc w:val="center"/>
              <w:rPr>
                <w:rFonts w:ascii="Times New Roman" w:hAnsi="Times New Roman"/>
                <w:sz w:val="20"/>
              </w:rPr>
            </w:pPr>
            <w:r w:rsidRPr="0097043D">
              <w:rPr>
                <w:rFonts w:ascii="Times New Roman" w:hAnsi="Times New Roman"/>
                <w:sz w:val="20"/>
              </w:rPr>
              <w:t>a</w:t>
            </w:r>
          </w:p>
        </w:tc>
        <w:tc>
          <w:tcPr>
            <w:tcW w:w="1560" w:type="dxa"/>
            <w:tcBorders>
              <w:top w:val="nil"/>
              <w:left w:val="nil"/>
              <w:bottom w:val="single" w:sz="4" w:space="0" w:color="auto"/>
              <w:right w:val="single" w:sz="4" w:space="0" w:color="auto"/>
            </w:tcBorders>
            <w:noWrap/>
            <w:textDirection w:val="lrTb"/>
            <w:vAlign w:val="bottom"/>
          </w:tcPr>
          <w:p w:rsidR="004463D5" w:rsidRPr="0097043D" w:rsidP="004463D5">
            <w:pPr>
              <w:bidi w:val="0"/>
              <w:jc w:val="center"/>
              <w:rPr>
                <w:rFonts w:ascii="Times New Roman" w:hAnsi="Times New Roman"/>
                <w:sz w:val="20"/>
              </w:rPr>
            </w:pPr>
            <w:r w:rsidRPr="0097043D">
              <w:rPr>
                <w:rFonts w:ascii="Times New Roman" w:hAnsi="Times New Roman"/>
                <w:sz w:val="20"/>
              </w:rPr>
              <w:t>2</w:t>
            </w:r>
          </w:p>
        </w:tc>
        <w:tc>
          <w:tcPr>
            <w:tcW w:w="1559" w:type="dxa"/>
            <w:tcBorders>
              <w:top w:val="nil"/>
              <w:left w:val="nil"/>
              <w:bottom w:val="single" w:sz="4" w:space="0" w:color="auto"/>
              <w:right w:val="single" w:sz="4" w:space="0" w:color="auto"/>
            </w:tcBorders>
            <w:noWrap/>
            <w:textDirection w:val="lrTb"/>
            <w:vAlign w:val="bottom"/>
          </w:tcPr>
          <w:p w:rsidR="004463D5" w:rsidRPr="0097043D" w:rsidP="004463D5">
            <w:pPr>
              <w:bidi w:val="0"/>
              <w:jc w:val="center"/>
              <w:rPr>
                <w:rFonts w:ascii="Times New Roman" w:hAnsi="Times New Roman"/>
                <w:sz w:val="20"/>
              </w:rPr>
            </w:pPr>
            <w:r w:rsidRPr="0097043D">
              <w:rPr>
                <w:rFonts w:ascii="Times New Roman" w:hAnsi="Times New Roman"/>
                <w:sz w:val="20"/>
              </w:rPr>
              <w:t>3</w:t>
            </w:r>
          </w:p>
        </w:tc>
      </w:tr>
      <w:tr>
        <w:tblPrEx>
          <w:tblW w:w="6379" w:type="dxa"/>
          <w:tblInd w:w="921" w:type="dxa"/>
          <w:tblCellMar>
            <w:left w:w="70" w:type="dxa"/>
            <w:right w:w="70" w:type="dxa"/>
          </w:tblCellMar>
        </w:tblPrEx>
        <w:trPr>
          <w:trHeight w:val="462"/>
        </w:trPr>
        <w:tc>
          <w:tcPr>
            <w:tcW w:w="3260" w:type="dxa"/>
            <w:tcBorders>
              <w:top w:val="nil"/>
              <w:left w:val="single" w:sz="4" w:space="0" w:color="auto"/>
              <w:bottom w:val="single" w:sz="4" w:space="0" w:color="auto"/>
              <w:right w:val="single" w:sz="4" w:space="0" w:color="auto"/>
            </w:tcBorders>
            <w:textDirection w:val="lrTb"/>
            <w:vAlign w:val="bottom"/>
          </w:tcPr>
          <w:p w:rsidR="004463D5" w:rsidRPr="0097043D" w:rsidP="004463D5">
            <w:pPr>
              <w:bidi w:val="0"/>
              <w:rPr>
                <w:rFonts w:ascii="Times New Roman" w:hAnsi="Times New Roman"/>
                <w:sz w:val="20"/>
              </w:rPr>
            </w:pPr>
            <w:r w:rsidRPr="0097043D">
              <w:rPr>
                <w:rFonts w:ascii="Times New Roman" w:hAnsi="Times New Roman"/>
                <w:sz w:val="20"/>
              </w:rPr>
              <w:t xml:space="preserve">Výdavky na zvýšenie dôchodkov </w:t>
            </w:r>
          </w:p>
        </w:tc>
        <w:tc>
          <w:tcPr>
            <w:tcW w:w="1560" w:type="dxa"/>
            <w:tcBorders>
              <w:top w:val="nil"/>
              <w:left w:val="nil"/>
              <w:bottom w:val="single" w:sz="4" w:space="0" w:color="auto"/>
              <w:right w:val="single" w:sz="4" w:space="0" w:color="auto"/>
            </w:tcBorders>
            <w:noWrap/>
            <w:textDirection w:val="lrTb"/>
            <w:vAlign w:val="bottom"/>
          </w:tcPr>
          <w:p w:rsidR="004463D5" w:rsidRPr="0097043D" w:rsidP="004463D5">
            <w:pPr>
              <w:bidi w:val="0"/>
              <w:jc w:val="right"/>
              <w:rPr>
                <w:rFonts w:ascii="Times New Roman" w:hAnsi="Times New Roman"/>
                <w:sz w:val="20"/>
              </w:rPr>
            </w:pPr>
            <w:r>
              <w:rPr>
                <w:rFonts w:ascii="Times New Roman" w:hAnsi="Times New Roman"/>
                <w:sz w:val="20"/>
              </w:rPr>
              <w:t>206 509</w:t>
            </w:r>
          </w:p>
        </w:tc>
        <w:tc>
          <w:tcPr>
            <w:tcW w:w="1559" w:type="dxa"/>
            <w:tcBorders>
              <w:top w:val="nil"/>
              <w:left w:val="nil"/>
              <w:bottom w:val="single" w:sz="4" w:space="0" w:color="auto"/>
              <w:right w:val="single" w:sz="4" w:space="0" w:color="auto"/>
            </w:tcBorders>
            <w:noWrap/>
            <w:textDirection w:val="lrTb"/>
            <w:vAlign w:val="bottom"/>
          </w:tcPr>
          <w:p w:rsidR="004463D5" w:rsidRPr="00D12E36" w:rsidP="004463D5">
            <w:pPr>
              <w:bidi w:val="0"/>
              <w:jc w:val="right"/>
              <w:rPr>
                <w:rFonts w:ascii="Times New Roman" w:hAnsi="Times New Roman"/>
                <w:sz w:val="20"/>
              </w:rPr>
            </w:pPr>
            <w:r>
              <w:rPr>
                <w:rFonts w:ascii="Times New Roman" w:hAnsi="Times New Roman"/>
                <w:sz w:val="20"/>
              </w:rPr>
              <w:t>212 409</w:t>
            </w:r>
          </w:p>
        </w:tc>
      </w:tr>
    </w:tbl>
    <w:p w:rsidR="00AF6247" w:rsidP="00454EA0">
      <w:pPr>
        <w:bidi w:val="0"/>
        <w:spacing w:after="120"/>
        <w:ind w:firstLine="709"/>
        <w:jc w:val="both"/>
        <w:rPr>
          <w:rFonts w:ascii="Times New Roman" w:hAnsi="Times New Roman"/>
          <w:b/>
          <w:szCs w:val="24"/>
        </w:rPr>
      </w:pPr>
    </w:p>
    <w:p w:rsidR="00F54670" w:rsidRPr="00454EA0" w:rsidP="00454EA0">
      <w:pPr>
        <w:bidi w:val="0"/>
        <w:spacing w:after="120"/>
        <w:ind w:firstLine="709"/>
        <w:jc w:val="both"/>
        <w:rPr>
          <w:rFonts w:ascii="Times New Roman" w:hAnsi="Times New Roman"/>
          <w:szCs w:val="24"/>
        </w:rPr>
      </w:pPr>
      <w:r w:rsidRPr="003E3545" w:rsidR="003E3545">
        <w:rPr>
          <w:rFonts w:ascii="Times New Roman" w:hAnsi="Times New Roman"/>
          <w:b/>
          <w:szCs w:val="24"/>
        </w:rPr>
        <w:t xml:space="preserve">Výdavky </w:t>
      </w:r>
      <w:r w:rsidR="004E3FFF">
        <w:rPr>
          <w:rFonts w:ascii="Times New Roman" w:hAnsi="Times New Roman"/>
          <w:b/>
          <w:szCs w:val="24"/>
        </w:rPr>
        <w:t>FÚP</w:t>
      </w:r>
      <w:r w:rsidRPr="003E3545" w:rsidR="003E3545">
        <w:rPr>
          <w:rFonts w:ascii="Times New Roman" w:hAnsi="Times New Roman"/>
          <w:szCs w:val="24"/>
        </w:rPr>
        <w:t xml:space="preserve"> v </w:t>
      </w:r>
      <w:r w:rsidRPr="003E3545" w:rsidR="003E3545">
        <w:rPr>
          <w:rFonts w:ascii="Times New Roman" w:hAnsi="Times New Roman"/>
          <w:b/>
          <w:szCs w:val="24"/>
        </w:rPr>
        <w:t xml:space="preserve">roku 2012 </w:t>
      </w:r>
      <w:r w:rsidRPr="003E3545" w:rsidR="003E3545">
        <w:rPr>
          <w:rFonts w:ascii="Times New Roman" w:hAnsi="Times New Roman"/>
          <w:szCs w:val="24"/>
        </w:rPr>
        <w:t xml:space="preserve">sa predpokladajú vo výške </w:t>
      </w:r>
      <w:r w:rsidR="00446BCA">
        <w:rPr>
          <w:rFonts w:ascii="Times New Roman" w:hAnsi="Times New Roman"/>
          <w:b/>
          <w:szCs w:val="24"/>
        </w:rPr>
        <w:t>47</w:t>
      </w:r>
      <w:r w:rsidRPr="003E3545" w:rsidR="003E3545">
        <w:rPr>
          <w:rFonts w:ascii="Times New Roman" w:hAnsi="Times New Roman"/>
          <w:b/>
          <w:szCs w:val="24"/>
        </w:rPr>
        <w:t> </w:t>
      </w:r>
      <w:r w:rsidR="00446BCA">
        <w:rPr>
          <w:rFonts w:ascii="Times New Roman" w:hAnsi="Times New Roman"/>
          <w:b/>
          <w:szCs w:val="24"/>
        </w:rPr>
        <w:t>755</w:t>
      </w:r>
      <w:r w:rsidRPr="003E3545" w:rsidR="003E3545">
        <w:rPr>
          <w:rFonts w:ascii="Times New Roman" w:hAnsi="Times New Roman"/>
          <w:b/>
          <w:szCs w:val="24"/>
        </w:rPr>
        <w:t> tis. Eur</w:t>
      </w:r>
      <w:r w:rsidRPr="003E3545" w:rsidR="003E3545">
        <w:rPr>
          <w:rFonts w:ascii="Times New Roman" w:hAnsi="Times New Roman"/>
          <w:szCs w:val="24"/>
        </w:rPr>
        <w:t xml:space="preserve"> (v tom výdavky na úrazové dávky 4</w:t>
      </w:r>
      <w:r w:rsidR="00446BCA">
        <w:rPr>
          <w:rFonts w:ascii="Times New Roman" w:hAnsi="Times New Roman"/>
          <w:szCs w:val="24"/>
        </w:rPr>
        <w:t>5</w:t>
      </w:r>
      <w:r w:rsidRPr="003E3545" w:rsidR="003E3545">
        <w:rPr>
          <w:rFonts w:ascii="Times New Roman" w:hAnsi="Times New Roman"/>
          <w:szCs w:val="24"/>
        </w:rPr>
        <w:t> </w:t>
      </w:r>
      <w:r w:rsidR="00446BCA">
        <w:rPr>
          <w:rFonts w:ascii="Times New Roman" w:hAnsi="Times New Roman"/>
          <w:szCs w:val="24"/>
        </w:rPr>
        <w:t>430</w:t>
      </w:r>
      <w:r w:rsidRPr="003E3545" w:rsidR="003E3545">
        <w:rPr>
          <w:rFonts w:ascii="Times New Roman" w:hAnsi="Times New Roman"/>
          <w:szCs w:val="24"/>
        </w:rPr>
        <w:t xml:space="preserve"> tis. Eur a úhrada </w:t>
      </w:r>
      <w:r w:rsidRPr="003E3545" w:rsidR="003E3545">
        <w:rPr>
          <w:rFonts w:ascii="Times New Roman" w:hAnsi="Times New Roman"/>
        </w:rPr>
        <w:t xml:space="preserve">poistného na </w:t>
      </w:r>
      <w:r w:rsidR="00927335">
        <w:rPr>
          <w:rFonts w:ascii="Times New Roman" w:hAnsi="Times New Roman"/>
        </w:rPr>
        <w:t>sociálne poistenie</w:t>
      </w:r>
      <w:r w:rsidRPr="003E3545" w:rsidR="003E3545">
        <w:rPr>
          <w:rFonts w:ascii="Times New Roman" w:hAnsi="Times New Roman"/>
        </w:rPr>
        <w:t xml:space="preserve"> a príspevkov na SDS za poberateľov úrazovej renty 2 325 tis. Eur)</w:t>
      </w:r>
      <w:r w:rsidRPr="003E3545" w:rsidR="003E3545">
        <w:rPr>
          <w:rFonts w:ascii="Times New Roman" w:hAnsi="Times New Roman"/>
          <w:szCs w:val="24"/>
        </w:rPr>
        <w:t xml:space="preserve">. </w:t>
      </w:r>
      <w:r w:rsidR="004E3FFF">
        <w:rPr>
          <w:rFonts w:ascii="Times New Roman" w:hAnsi="Times New Roman"/>
          <w:szCs w:val="24"/>
        </w:rPr>
        <w:t>Výdavky na valorizáciu úrazových dávok</w:t>
      </w:r>
      <w:r w:rsidR="0094262B">
        <w:rPr>
          <w:rFonts w:ascii="Times New Roman" w:hAnsi="Times New Roman"/>
          <w:szCs w:val="24"/>
        </w:rPr>
        <w:t xml:space="preserve"> </w:t>
      </w:r>
      <w:r w:rsidRPr="003E3545" w:rsidR="0094262B">
        <w:rPr>
          <w:rFonts w:ascii="Times New Roman" w:hAnsi="Times New Roman"/>
          <w:szCs w:val="24"/>
        </w:rPr>
        <w:t>s účinnosťou od 1. </w:t>
      </w:r>
      <w:r w:rsidR="0094262B">
        <w:rPr>
          <w:rFonts w:ascii="Times New Roman" w:hAnsi="Times New Roman"/>
          <w:szCs w:val="24"/>
        </w:rPr>
        <w:t>januára</w:t>
      </w:r>
      <w:r w:rsidRPr="003E3545" w:rsidR="0094262B">
        <w:rPr>
          <w:rFonts w:ascii="Times New Roman" w:hAnsi="Times New Roman"/>
          <w:szCs w:val="24"/>
        </w:rPr>
        <w:t xml:space="preserve"> 2012</w:t>
      </w:r>
      <w:r w:rsidR="0094262B">
        <w:rPr>
          <w:rFonts w:ascii="Times New Roman" w:hAnsi="Times New Roman"/>
          <w:szCs w:val="24"/>
        </w:rPr>
        <w:t xml:space="preserve"> </w:t>
      </w:r>
      <w:r w:rsidR="004E3FFF">
        <w:rPr>
          <w:rFonts w:ascii="Times New Roman" w:hAnsi="Times New Roman"/>
          <w:szCs w:val="24"/>
        </w:rPr>
        <w:t xml:space="preserve">boli </w:t>
      </w:r>
      <w:r w:rsidR="007B3719">
        <w:rPr>
          <w:rFonts w:ascii="Times New Roman" w:hAnsi="Times New Roman"/>
          <w:szCs w:val="24"/>
        </w:rPr>
        <w:t>vypočítané</w:t>
      </w:r>
      <w:r w:rsidR="004E3FFF">
        <w:rPr>
          <w:rFonts w:ascii="Times New Roman" w:hAnsi="Times New Roman"/>
          <w:szCs w:val="24"/>
        </w:rPr>
        <w:t xml:space="preserve"> vo výške 8</w:t>
      </w:r>
      <w:r w:rsidR="00446BCA">
        <w:rPr>
          <w:rFonts w:ascii="Times New Roman" w:hAnsi="Times New Roman"/>
          <w:szCs w:val="24"/>
        </w:rPr>
        <w:t>16</w:t>
      </w:r>
      <w:r w:rsidR="004E3FFF">
        <w:rPr>
          <w:rFonts w:ascii="Times New Roman" w:hAnsi="Times New Roman"/>
          <w:szCs w:val="24"/>
        </w:rPr>
        <w:t> tis. Eur</w:t>
      </w:r>
      <w:r w:rsidR="0094262B">
        <w:rPr>
          <w:rFonts w:ascii="Times New Roman" w:hAnsi="Times New Roman"/>
          <w:szCs w:val="24"/>
        </w:rPr>
        <w:t xml:space="preserve"> (v</w:t>
      </w:r>
      <w:r w:rsidR="004E3FFF">
        <w:rPr>
          <w:rFonts w:ascii="Times New Roman" w:hAnsi="Times New Roman"/>
          <w:szCs w:val="24"/>
        </w:rPr>
        <w:t>alorizácia</w:t>
      </w:r>
      <w:r w:rsidRPr="003E3545" w:rsidR="003E3545">
        <w:rPr>
          <w:rFonts w:ascii="Times New Roman" w:hAnsi="Times New Roman"/>
          <w:szCs w:val="24"/>
        </w:rPr>
        <w:t xml:space="preserve"> 3,3 %</w:t>
      </w:r>
      <w:r w:rsidR="0094262B">
        <w:rPr>
          <w:rFonts w:ascii="Times New Roman" w:hAnsi="Times New Roman"/>
          <w:szCs w:val="24"/>
        </w:rPr>
        <w:t>)</w:t>
      </w:r>
      <w:r w:rsidRPr="003E3545" w:rsidR="003E3545">
        <w:rPr>
          <w:rFonts w:ascii="Times New Roman" w:hAnsi="Times New Roman"/>
          <w:szCs w:val="24"/>
        </w:rPr>
        <w:t xml:space="preserve">. </w:t>
      </w:r>
    </w:p>
    <w:p w:rsidR="003E3545" w:rsidP="0094262B">
      <w:pPr>
        <w:bidi w:val="0"/>
        <w:spacing w:after="120"/>
        <w:ind w:firstLine="709"/>
        <w:jc w:val="both"/>
        <w:rPr>
          <w:rFonts w:ascii="Times New Roman" w:hAnsi="Times New Roman"/>
          <w:szCs w:val="24"/>
        </w:rPr>
      </w:pPr>
      <w:r w:rsidRPr="003E3545">
        <w:rPr>
          <w:rFonts w:ascii="Times New Roman" w:hAnsi="Times New Roman"/>
          <w:b/>
          <w:szCs w:val="24"/>
        </w:rPr>
        <w:t>V rokoch 2013 a 2014</w:t>
      </w:r>
      <w:r w:rsidRPr="003E3545">
        <w:rPr>
          <w:rFonts w:ascii="Times New Roman" w:hAnsi="Times New Roman"/>
          <w:szCs w:val="24"/>
        </w:rPr>
        <w:t xml:space="preserve"> </w:t>
      </w:r>
      <w:r w:rsidR="0094262B">
        <w:rPr>
          <w:rFonts w:ascii="Times New Roman" w:hAnsi="Times New Roman"/>
          <w:szCs w:val="24"/>
        </w:rPr>
        <w:t xml:space="preserve">sa </w:t>
      </w:r>
      <w:r w:rsidRPr="003E3545">
        <w:rPr>
          <w:rFonts w:ascii="Times New Roman" w:hAnsi="Times New Roman"/>
          <w:b/>
          <w:szCs w:val="24"/>
        </w:rPr>
        <w:t xml:space="preserve">výdavky </w:t>
      </w:r>
      <w:r w:rsidR="004E3FFF">
        <w:rPr>
          <w:rFonts w:ascii="Times New Roman" w:hAnsi="Times New Roman"/>
          <w:b/>
          <w:szCs w:val="24"/>
        </w:rPr>
        <w:t>FÚP</w:t>
      </w:r>
      <w:r w:rsidR="0094262B">
        <w:rPr>
          <w:rFonts w:ascii="Times New Roman" w:hAnsi="Times New Roman"/>
          <w:b/>
          <w:szCs w:val="24"/>
        </w:rPr>
        <w:t xml:space="preserve"> rozpočtujú takto</w:t>
      </w:r>
      <w:r w:rsidRPr="003E3545">
        <w:rPr>
          <w:rFonts w:ascii="Times New Roman" w:hAnsi="Times New Roman"/>
          <w:szCs w:val="24"/>
        </w:rPr>
        <w:t>:</w:t>
      </w:r>
    </w:p>
    <w:p w:rsidR="003E3545" w:rsidRPr="003E3545" w:rsidP="003E3545">
      <w:pPr>
        <w:tabs>
          <w:tab w:val="left" w:pos="6840"/>
        </w:tabs>
        <w:bidi w:val="0"/>
        <w:ind w:firstLine="709"/>
        <w:jc w:val="both"/>
        <w:rPr>
          <w:rFonts w:ascii="Times New Roman" w:hAnsi="Times New Roman"/>
          <w:sz w:val="18"/>
          <w:szCs w:val="18"/>
        </w:rPr>
      </w:pPr>
      <w:r w:rsidRPr="003E3545">
        <w:rPr>
          <w:rFonts w:ascii="Times New Roman" w:hAnsi="Times New Roman"/>
          <w:bCs/>
          <w:sz w:val="18"/>
          <w:szCs w:val="18"/>
        </w:rPr>
        <w:tab/>
        <w:t>v tis. Eur</w:t>
      </w:r>
    </w:p>
    <w:tbl>
      <w:tblPr>
        <w:tblStyle w:val="TableNormal"/>
        <w:tblW w:w="7644" w:type="dxa"/>
        <w:tblInd w:w="790" w:type="dxa"/>
        <w:tblCellMar>
          <w:left w:w="70" w:type="dxa"/>
          <w:right w:w="70" w:type="dxa"/>
        </w:tblCellMar>
      </w:tblPr>
      <w:tblGrid>
        <w:gridCol w:w="5376"/>
        <w:gridCol w:w="1134"/>
        <w:gridCol w:w="1134"/>
      </w:tblGrid>
      <w:tr>
        <w:tblPrEx>
          <w:tblW w:w="7644" w:type="dxa"/>
          <w:tblInd w:w="790" w:type="dxa"/>
          <w:tblCellMar>
            <w:left w:w="70" w:type="dxa"/>
            <w:right w:w="70" w:type="dxa"/>
          </w:tblCellMar>
        </w:tblPrEx>
        <w:trPr>
          <w:trHeight w:val="311"/>
        </w:trPr>
        <w:tc>
          <w:tcPr>
            <w:tcW w:w="5376" w:type="dxa"/>
            <w:tcBorders>
              <w:top w:val="single" w:sz="4" w:space="0" w:color="auto"/>
              <w:left w:val="single" w:sz="4" w:space="0" w:color="auto"/>
              <w:bottom w:val="single" w:sz="4" w:space="0" w:color="auto"/>
              <w:right w:val="single" w:sz="4" w:space="0" w:color="auto"/>
            </w:tcBorders>
            <w:noWrap/>
            <w:textDirection w:val="lrTb"/>
            <w:vAlign w:val="bottom"/>
          </w:tcPr>
          <w:p w:rsidR="003E3545" w:rsidRPr="003E3545" w:rsidP="003E3545">
            <w:pPr>
              <w:bidi w:val="0"/>
              <w:jc w:val="center"/>
              <w:rPr>
                <w:rFonts w:ascii="Times New Roman" w:hAnsi="Times New Roman"/>
                <w:sz w:val="20"/>
              </w:rPr>
            </w:pPr>
            <w:r w:rsidRPr="003E3545">
              <w:rPr>
                <w:rFonts w:ascii="Times New Roman" w:hAnsi="Times New Roman"/>
                <w:sz w:val="20"/>
              </w:rPr>
              <w:t>Text</w:t>
            </w:r>
          </w:p>
        </w:tc>
        <w:tc>
          <w:tcPr>
            <w:tcW w:w="1134" w:type="dxa"/>
            <w:tcBorders>
              <w:top w:val="single" w:sz="4" w:space="0" w:color="auto"/>
              <w:left w:val="nil"/>
              <w:bottom w:val="single" w:sz="4" w:space="0" w:color="auto"/>
              <w:right w:val="single" w:sz="4" w:space="0" w:color="auto"/>
            </w:tcBorders>
            <w:textDirection w:val="lrTb"/>
            <w:vAlign w:val="bottom"/>
          </w:tcPr>
          <w:p w:rsidR="003E3545" w:rsidRPr="003E3545" w:rsidP="003E3545">
            <w:pPr>
              <w:bidi w:val="0"/>
              <w:jc w:val="right"/>
              <w:rPr>
                <w:rFonts w:ascii="Times New Roman" w:hAnsi="Times New Roman"/>
                <w:bCs/>
                <w:sz w:val="20"/>
              </w:rPr>
            </w:pPr>
            <w:r w:rsidRPr="003E3545">
              <w:rPr>
                <w:rFonts w:ascii="Times New Roman" w:hAnsi="Times New Roman"/>
                <w:bCs/>
                <w:sz w:val="20"/>
              </w:rPr>
              <w:t>Rok 2013</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3E3545" w:rsidRPr="003E3545" w:rsidP="003E3545">
            <w:pPr>
              <w:bidi w:val="0"/>
              <w:jc w:val="right"/>
              <w:rPr>
                <w:rFonts w:ascii="Times New Roman" w:hAnsi="Times New Roman"/>
                <w:bCs/>
                <w:sz w:val="20"/>
              </w:rPr>
            </w:pPr>
            <w:r w:rsidRPr="003E3545">
              <w:rPr>
                <w:rFonts w:ascii="Times New Roman" w:hAnsi="Times New Roman"/>
                <w:bCs/>
                <w:sz w:val="20"/>
              </w:rPr>
              <w:t>Rok 2014</w:t>
            </w:r>
          </w:p>
        </w:tc>
      </w:tr>
      <w:tr>
        <w:tblPrEx>
          <w:tblW w:w="7644" w:type="dxa"/>
          <w:tblInd w:w="790" w:type="dxa"/>
          <w:tblCellMar>
            <w:left w:w="70" w:type="dxa"/>
            <w:right w:w="70" w:type="dxa"/>
          </w:tblCellMar>
        </w:tblPrEx>
        <w:trPr>
          <w:trHeight w:val="270"/>
        </w:trPr>
        <w:tc>
          <w:tcPr>
            <w:tcW w:w="5376" w:type="dxa"/>
            <w:tcBorders>
              <w:top w:val="single" w:sz="4" w:space="0" w:color="auto"/>
              <w:left w:val="single" w:sz="4" w:space="0" w:color="auto"/>
              <w:bottom w:val="single" w:sz="4" w:space="0" w:color="auto"/>
              <w:right w:val="single" w:sz="4" w:space="0" w:color="auto"/>
            </w:tcBorders>
            <w:noWrap/>
            <w:textDirection w:val="lrTb"/>
            <w:vAlign w:val="bottom"/>
          </w:tcPr>
          <w:p w:rsidR="003E3545" w:rsidRPr="003E3545" w:rsidP="003E3545">
            <w:pPr>
              <w:bidi w:val="0"/>
              <w:rPr>
                <w:rFonts w:ascii="Times New Roman" w:hAnsi="Times New Roman"/>
                <w:sz w:val="20"/>
              </w:rPr>
            </w:pPr>
            <w:r w:rsidRPr="003E3545">
              <w:rPr>
                <w:rFonts w:ascii="Times New Roman" w:hAnsi="Times New Roman"/>
                <w:sz w:val="20"/>
              </w:rPr>
              <w:t>Výdavky na úrazové dávky</w:t>
            </w:r>
          </w:p>
        </w:tc>
        <w:tc>
          <w:tcPr>
            <w:tcW w:w="1134" w:type="dxa"/>
            <w:tcBorders>
              <w:top w:val="single" w:sz="4" w:space="0" w:color="auto"/>
              <w:left w:val="nil"/>
              <w:bottom w:val="single" w:sz="4" w:space="0" w:color="auto"/>
              <w:right w:val="single" w:sz="4" w:space="0" w:color="auto"/>
            </w:tcBorders>
            <w:textDirection w:val="lrTb"/>
            <w:vAlign w:val="bottom"/>
          </w:tcPr>
          <w:p w:rsidR="003E3545" w:rsidRPr="003E3545" w:rsidP="00BC7C84">
            <w:pPr>
              <w:bidi w:val="0"/>
              <w:jc w:val="right"/>
              <w:rPr>
                <w:rFonts w:ascii="Times New Roman" w:hAnsi="Times New Roman"/>
                <w:sz w:val="20"/>
              </w:rPr>
            </w:pPr>
            <w:r w:rsidR="00446BCA">
              <w:rPr>
                <w:rFonts w:ascii="Times New Roman" w:hAnsi="Times New Roman"/>
                <w:sz w:val="20"/>
              </w:rPr>
              <w:t>49 755</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3E3545" w:rsidRPr="003E3545" w:rsidP="00BC7C84">
            <w:pPr>
              <w:bidi w:val="0"/>
              <w:jc w:val="right"/>
              <w:rPr>
                <w:rFonts w:ascii="Times New Roman" w:hAnsi="Times New Roman"/>
                <w:sz w:val="20"/>
              </w:rPr>
            </w:pPr>
            <w:r w:rsidR="00446BCA">
              <w:rPr>
                <w:rFonts w:ascii="Times New Roman" w:hAnsi="Times New Roman"/>
                <w:sz w:val="20"/>
              </w:rPr>
              <w:t>54 913</w:t>
            </w:r>
          </w:p>
        </w:tc>
      </w:tr>
      <w:tr>
        <w:tblPrEx>
          <w:tblW w:w="7644" w:type="dxa"/>
          <w:tblInd w:w="790" w:type="dxa"/>
          <w:tblCellMar>
            <w:left w:w="70" w:type="dxa"/>
            <w:right w:w="70" w:type="dxa"/>
          </w:tblCellMar>
        </w:tblPrEx>
        <w:trPr>
          <w:trHeight w:val="270"/>
        </w:trPr>
        <w:tc>
          <w:tcPr>
            <w:tcW w:w="5376" w:type="dxa"/>
            <w:tcBorders>
              <w:top w:val="single" w:sz="4" w:space="0" w:color="auto"/>
              <w:left w:val="single" w:sz="4" w:space="0" w:color="auto"/>
              <w:bottom w:val="single" w:sz="4" w:space="0" w:color="auto"/>
              <w:right w:val="single" w:sz="4" w:space="0" w:color="auto"/>
            </w:tcBorders>
            <w:noWrap/>
            <w:textDirection w:val="lrTb"/>
            <w:vAlign w:val="bottom"/>
          </w:tcPr>
          <w:p w:rsidR="003E3545" w:rsidRPr="003E3545" w:rsidP="00927335">
            <w:pPr>
              <w:bidi w:val="0"/>
              <w:rPr>
                <w:rFonts w:ascii="Times New Roman" w:hAnsi="Times New Roman"/>
                <w:sz w:val="20"/>
              </w:rPr>
            </w:pPr>
            <w:r w:rsidRPr="003E3545">
              <w:rPr>
                <w:rFonts w:ascii="Times New Roman" w:hAnsi="Times New Roman"/>
                <w:sz w:val="20"/>
              </w:rPr>
              <w:t xml:space="preserve">Úhrada poistného na </w:t>
            </w:r>
            <w:r w:rsidR="00927335">
              <w:rPr>
                <w:rFonts w:ascii="Times New Roman" w:hAnsi="Times New Roman"/>
                <w:sz w:val="20"/>
              </w:rPr>
              <w:t>sociálne poistenie</w:t>
            </w:r>
            <w:r w:rsidRPr="003E3545">
              <w:rPr>
                <w:rFonts w:ascii="Times New Roman" w:hAnsi="Times New Roman"/>
                <w:sz w:val="20"/>
              </w:rPr>
              <w:t xml:space="preserve"> a príspevkov na SDS</w:t>
            </w:r>
          </w:p>
        </w:tc>
        <w:tc>
          <w:tcPr>
            <w:tcW w:w="1134" w:type="dxa"/>
            <w:tcBorders>
              <w:top w:val="single" w:sz="4" w:space="0" w:color="auto"/>
              <w:left w:val="nil"/>
              <w:bottom w:val="single" w:sz="4" w:space="0" w:color="auto"/>
              <w:right w:val="single" w:sz="4" w:space="0" w:color="auto"/>
            </w:tcBorders>
            <w:textDirection w:val="lrTb"/>
            <w:vAlign w:val="bottom"/>
          </w:tcPr>
          <w:p w:rsidR="003E3545" w:rsidRPr="003E3545" w:rsidP="003E3545">
            <w:pPr>
              <w:bidi w:val="0"/>
              <w:jc w:val="right"/>
              <w:rPr>
                <w:rFonts w:ascii="Times New Roman" w:hAnsi="Times New Roman"/>
                <w:sz w:val="20"/>
              </w:rPr>
            </w:pPr>
            <w:r w:rsidRPr="003E3545">
              <w:rPr>
                <w:rFonts w:ascii="Times New Roman" w:hAnsi="Times New Roman"/>
                <w:sz w:val="20"/>
              </w:rPr>
              <w:t>2 583</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3E3545" w:rsidRPr="003E3545" w:rsidP="003E3545">
            <w:pPr>
              <w:bidi w:val="0"/>
              <w:jc w:val="right"/>
              <w:rPr>
                <w:rFonts w:ascii="Times New Roman" w:hAnsi="Times New Roman"/>
                <w:sz w:val="20"/>
              </w:rPr>
            </w:pPr>
            <w:r w:rsidRPr="003E3545">
              <w:rPr>
                <w:rFonts w:ascii="Times New Roman" w:hAnsi="Times New Roman"/>
                <w:sz w:val="20"/>
              </w:rPr>
              <w:t>2 814</w:t>
            </w:r>
          </w:p>
        </w:tc>
      </w:tr>
      <w:tr>
        <w:tblPrEx>
          <w:tblW w:w="7644" w:type="dxa"/>
          <w:tblInd w:w="790" w:type="dxa"/>
          <w:tblCellMar>
            <w:left w:w="70" w:type="dxa"/>
            <w:right w:w="70" w:type="dxa"/>
          </w:tblCellMar>
        </w:tblPrEx>
        <w:trPr>
          <w:trHeight w:val="270"/>
        </w:trPr>
        <w:tc>
          <w:tcPr>
            <w:tcW w:w="5376" w:type="dxa"/>
            <w:tcBorders>
              <w:top w:val="single" w:sz="4" w:space="0" w:color="auto"/>
              <w:left w:val="single" w:sz="4" w:space="0" w:color="auto"/>
              <w:bottom w:val="single" w:sz="4" w:space="0" w:color="auto"/>
              <w:right w:val="single" w:sz="4" w:space="0" w:color="auto"/>
            </w:tcBorders>
            <w:noWrap/>
            <w:textDirection w:val="lrTb"/>
            <w:vAlign w:val="bottom"/>
          </w:tcPr>
          <w:p w:rsidR="003E3545" w:rsidRPr="003E3545" w:rsidP="004E3FFF">
            <w:pPr>
              <w:bidi w:val="0"/>
              <w:rPr>
                <w:rFonts w:ascii="Times New Roman" w:hAnsi="Times New Roman"/>
                <w:sz w:val="20"/>
              </w:rPr>
            </w:pPr>
            <w:r w:rsidRPr="003E3545">
              <w:rPr>
                <w:rFonts w:ascii="Times New Roman" w:hAnsi="Times New Roman"/>
                <w:sz w:val="20"/>
              </w:rPr>
              <w:t xml:space="preserve">Výdavky </w:t>
            </w:r>
            <w:r w:rsidR="004E3FFF">
              <w:rPr>
                <w:rFonts w:ascii="Times New Roman" w:hAnsi="Times New Roman"/>
                <w:sz w:val="20"/>
              </w:rPr>
              <w:t>FÚP</w:t>
            </w:r>
          </w:p>
        </w:tc>
        <w:tc>
          <w:tcPr>
            <w:tcW w:w="1134" w:type="dxa"/>
            <w:tcBorders>
              <w:top w:val="single" w:sz="4" w:space="0" w:color="auto"/>
              <w:left w:val="nil"/>
              <w:bottom w:val="single" w:sz="4" w:space="0" w:color="auto"/>
              <w:right w:val="single" w:sz="4" w:space="0" w:color="auto"/>
            </w:tcBorders>
            <w:textDirection w:val="lrTb"/>
            <w:vAlign w:val="bottom"/>
          </w:tcPr>
          <w:p w:rsidR="003E3545" w:rsidRPr="003E3545" w:rsidP="00BC7C84">
            <w:pPr>
              <w:bidi w:val="0"/>
              <w:jc w:val="right"/>
              <w:rPr>
                <w:rFonts w:ascii="Times New Roman" w:hAnsi="Times New Roman"/>
                <w:sz w:val="20"/>
              </w:rPr>
            </w:pPr>
            <w:r w:rsidR="00446BCA">
              <w:rPr>
                <w:rFonts w:ascii="Times New Roman" w:hAnsi="Times New Roman"/>
                <w:sz w:val="20"/>
              </w:rPr>
              <w:t>52 338</w:t>
            </w:r>
          </w:p>
        </w:tc>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3E3545" w:rsidRPr="003E3545" w:rsidP="00BC7C84">
            <w:pPr>
              <w:bidi w:val="0"/>
              <w:jc w:val="right"/>
              <w:rPr>
                <w:rFonts w:ascii="Times New Roman" w:hAnsi="Times New Roman"/>
                <w:sz w:val="20"/>
              </w:rPr>
            </w:pPr>
            <w:r w:rsidR="00446BCA">
              <w:rPr>
                <w:rFonts w:ascii="Times New Roman" w:hAnsi="Times New Roman"/>
                <w:sz w:val="20"/>
              </w:rPr>
              <w:t>57 727</w:t>
            </w:r>
          </w:p>
        </w:tc>
      </w:tr>
    </w:tbl>
    <w:p w:rsidR="003E3545" w:rsidRPr="003E3545" w:rsidP="0094262B">
      <w:pPr>
        <w:bidi w:val="0"/>
        <w:spacing w:before="360" w:after="120"/>
        <w:ind w:left="709"/>
        <w:jc w:val="both"/>
        <w:rPr>
          <w:rFonts w:ascii="Times New Roman" w:hAnsi="Times New Roman"/>
          <w:szCs w:val="24"/>
        </w:rPr>
      </w:pPr>
      <w:r w:rsidR="0094262B">
        <w:rPr>
          <w:rFonts w:ascii="Times New Roman" w:hAnsi="Times New Roman"/>
          <w:szCs w:val="24"/>
        </w:rPr>
        <w:t xml:space="preserve">Na účely </w:t>
      </w:r>
      <w:r w:rsidRPr="003E3545">
        <w:rPr>
          <w:rFonts w:ascii="Times New Roman" w:hAnsi="Times New Roman"/>
          <w:szCs w:val="24"/>
        </w:rPr>
        <w:t>valorizáci</w:t>
      </w:r>
      <w:r w:rsidR="0094262B">
        <w:rPr>
          <w:rFonts w:ascii="Times New Roman" w:hAnsi="Times New Roman"/>
          <w:szCs w:val="24"/>
        </w:rPr>
        <w:t>e</w:t>
      </w:r>
      <w:r w:rsidRPr="003E3545">
        <w:rPr>
          <w:rFonts w:ascii="Times New Roman" w:hAnsi="Times New Roman"/>
          <w:szCs w:val="24"/>
        </w:rPr>
        <w:t xml:space="preserve"> úrazových dávok </w:t>
      </w:r>
      <w:r w:rsidR="0094262B">
        <w:rPr>
          <w:rFonts w:ascii="Times New Roman" w:hAnsi="Times New Roman"/>
          <w:szCs w:val="24"/>
        </w:rPr>
        <w:t xml:space="preserve">bol použitý index rastu spotrebiteľských cien: </w:t>
      </w:r>
    </w:p>
    <w:tbl>
      <w:tblPr>
        <w:tblStyle w:val="TableNormal"/>
        <w:tblW w:w="6315" w:type="dxa"/>
        <w:tblInd w:w="790" w:type="dxa"/>
        <w:tblCellMar>
          <w:left w:w="70" w:type="dxa"/>
          <w:right w:w="70" w:type="dxa"/>
        </w:tblCellMar>
      </w:tblPr>
      <w:tblGrid>
        <w:gridCol w:w="4155"/>
        <w:gridCol w:w="1080"/>
        <w:gridCol w:w="1080"/>
      </w:tblGrid>
      <w:tr>
        <w:tblPrEx>
          <w:tblW w:w="6315" w:type="dxa"/>
          <w:tblInd w:w="790" w:type="dxa"/>
          <w:tblCellMar>
            <w:left w:w="70" w:type="dxa"/>
            <w:right w:w="70" w:type="dxa"/>
          </w:tblCellMar>
        </w:tblPrEx>
        <w:trPr>
          <w:trHeight w:val="336"/>
        </w:trPr>
        <w:tc>
          <w:tcPr>
            <w:tcW w:w="4155" w:type="dxa"/>
            <w:tcBorders>
              <w:top w:val="single" w:sz="4" w:space="0" w:color="auto"/>
              <w:left w:val="single" w:sz="4" w:space="0" w:color="auto"/>
              <w:bottom w:val="single" w:sz="4" w:space="0" w:color="auto"/>
              <w:right w:val="single" w:sz="4" w:space="0" w:color="auto"/>
            </w:tcBorders>
            <w:noWrap/>
            <w:textDirection w:val="lrTb"/>
            <w:vAlign w:val="bottom"/>
          </w:tcPr>
          <w:p w:rsidR="0094262B" w:rsidRPr="003E3545" w:rsidP="003E3545">
            <w:pPr>
              <w:bidi w:val="0"/>
              <w:jc w:val="center"/>
              <w:rPr>
                <w:rFonts w:ascii="Times New Roman" w:hAnsi="Times New Roman"/>
                <w:sz w:val="20"/>
              </w:rPr>
            </w:pPr>
            <w:r w:rsidRPr="003E3545">
              <w:rPr>
                <w:rFonts w:ascii="Times New Roman" w:hAnsi="Times New Roman"/>
                <w:sz w:val="20"/>
              </w:rPr>
              <w:t>Text</w:t>
            </w:r>
          </w:p>
        </w:tc>
        <w:tc>
          <w:tcPr>
            <w:tcW w:w="1080" w:type="dxa"/>
            <w:tcBorders>
              <w:top w:val="single" w:sz="4" w:space="0" w:color="auto"/>
              <w:left w:val="nil"/>
              <w:bottom w:val="single" w:sz="4" w:space="0" w:color="auto"/>
              <w:right w:val="single" w:sz="4" w:space="0" w:color="auto"/>
            </w:tcBorders>
            <w:noWrap/>
            <w:textDirection w:val="lrTb"/>
            <w:vAlign w:val="bottom"/>
          </w:tcPr>
          <w:p w:rsidR="0094262B" w:rsidRPr="003E3545" w:rsidP="003E3545">
            <w:pPr>
              <w:bidi w:val="0"/>
              <w:jc w:val="center"/>
              <w:rPr>
                <w:rFonts w:ascii="Times New Roman" w:hAnsi="Times New Roman"/>
                <w:sz w:val="20"/>
              </w:rPr>
            </w:pPr>
            <w:r w:rsidRPr="003E3545">
              <w:rPr>
                <w:rFonts w:ascii="Times New Roman" w:hAnsi="Times New Roman"/>
                <w:sz w:val="20"/>
              </w:rPr>
              <w:t>Rok 2013</w:t>
            </w:r>
          </w:p>
        </w:tc>
        <w:tc>
          <w:tcPr>
            <w:tcW w:w="1080" w:type="dxa"/>
            <w:tcBorders>
              <w:top w:val="single" w:sz="4" w:space="0" w:color="auto"/>
              <w:left w:val="nil"/>
              <w:bottom w:val="single" w:sz="4" w:space="0" w:color="auto"/>
              <w:right w:val="single" w:sz="4" w:space="0" w:color="auto"/>
            </w:tcBorders>
            <w:noWrap/>
            <w:textDirection w:val="lrTb"/>
            <w:vAlign w:val="bottom"/>
          </w:tcPr>
          <w:p w:rsidR="0094262B" w:rsidRPr="003E3545" w:rsidP="003E3545">
            <w:pPr>
              <w:bidi w:val="0"/>
              <w:jc w:val="center"/>
              <w:rPr>
                <w:rFonts w:ascii="Times New Roman" w:hAnsi="Times New Roman"/>
                <w:sz w:val="20"/>
              </w:rPr>
            </w:pPr>
            <w:r w:rsidRPr="003E3545">
              <w:rPr>
                <w:rFonts w:ascii="Times New Roman" w:hAnsi="Times New Roman"/>
                <w:sz w:val="20"/>
              </w:rPr>
              <w:t>Rok 2014</w:t>
            </w:r>
          </w:p>
        </w:tc>
      </w:tr>
      <w:tr>
        <w:tblPrEx>
          <w:tblW w:w="6315" w:type="dxa"/>
          <w:tblInd w:w="790" w:type="dxa"/>
          <w:tblCellMar>
            <w:left w:w="70" w:type="dxa"/>
            <w:right w:w="70" w:type="dxa"/>
          </w:tblCellMar>
        </w:tblPrEx>
        <w:trPr>
          <w:trHeight w:val="330"/>
        </w:trPr>
        <w:tc>
          <w:tcPr>
            <w:tcW w:w="4155" w:type="dxa"/>
            <w:tcBorders>
              <w:top w:val="nil"/>
              <w:left w:val="single" w:sz="4" w:space="0" w:color="auto"/>
              <w:bottom w:val="single" w:sz="4" w:space="0" w:color="auto"/>
              <w:right w:val="single" w:sz="4" w:space="0" w:color="auto"/>
            </w:tcBorders>
            <w:noWrap/>
            <w:textDirection w:val="lrTb"/>
            <w:vAlign w:val="bottom"/>
          </w:tcPr>
          <w:p w:rsidR="0094262B" w:rsidRPr="003E3545" w:rsidP="003E3545">
            <w:pPr>
              <w:bidi w:val="0"/>
              <w:rPr>
                <w:rFonts w:ascii="Times New Roman" w:hAnsi="Times New Roman"/>
                <w:sz w:val="20"/>
              </w:rPr>
            </w:pPr>
            <w:r w:rsidRPr="003E3545">
              <w:rPr>
                <w:rFonts w:ascii="Times New Roman" w:hAnsi="Times New Roman"/>
                <w:sz w:val="20"/>
              </w:rPr>
              <w:t>Zvýšenie od 1.1. o (v %)</w:t>
            </w:r>
          </w:p>
        </w:tc>
        <w:tc>
          <w:tcPr>
            <w:tcW w:w="1080" w:type="dxa"/>
            <w:tcBorders>
              <w:top w:val="nil"/>
              <w:left w:val="nil"/>
              <w:bottom w:val="single" w:sz="4" w:space="0" w:color="auto"/>
              <w:right w:val="single" w:sz="4" w:space="0" w:color="auto"/>
            </w:tcBorders>
            <w:noWrap/>
            <w:textDirection w:val="lrTb"/>
            <w:vAlign w:val="bottom"/>
          </w:tcPr>
          <w:p w:rsidR="0094262B" w:rsidRPr="003E3545" w:rsidP="00B965FC">
            <w:pPr>
              <w:bidi w:val="0"/>
              <w:jc w:val="right"/>
              <w:rPr>
                <w:rFonts w:ascii="Times New Roman" w:hAnsi="Times New Roman"/>
                <w:sz w:val="20"/>
              </w:rPr>
            </w:pPr>
            <w:r>
              <w:rPr>
                <w:rFonts w:ascii="Times New Roman" w:hAnsi="Times New Roman"/>
                <w:sz w:val="20"/>
              </w:rPr>
              <w:t>3,</w:t>
            </w:r>
            <w:r w:rsidR="00B965FC">
              <w:rPr>
                <w:rFonts w:ascii="Times New Roman" w:hAnsi="Times New Roman"/>
                <w:sz w:val="20"/>
              </w:rPr>
              <w:t>4</w:t>
            </w:r>
          </w:p>
        </w:tc>
        <w:tc>
          <w:tcPr>
            <w:tcW w:w="1080" w:type="dxa"/>
            <w:tcBorders>
              <w:top w:val="nil"/>
              <w:left w:val="nil"/>
              <w:bottom w:val="single" w:sz="4" w:space="0" w:color="auto"/>
              <w:right w:val="single" w:sz="4" w:space="0" w:color="auto"/>
            </w:tcBorders>
            <w:noWrap/>
            <w:textDirection w:val="lrTb"/>
            <w:vAlign w:val="bottom"/>
          </w:tcPr>
          <w:p w:rsidR="0094262B" w:rsidRPr="003E3545" w:rsidP="003E3545">
            <w:pPr>
              <w:bidi w:val="0"/>
              <w:jc w:val="right"/>
              <w:rPr>
                <w:rFonts w:ascii="Times New Roman" w:hAnsi="Times New Roman"/>
                <w:sz w:val="20"/>
              </w:rPr>
            </w:pPr>
            <w:r>
              <w:rPr>
                <w:rFonts w:ascii="Times New Roman" w:hAnsi="Times New Roman"/>
                <w:sz w:val="20"/>
              </w:rPr>
              <w:t>3,5</w:t>
            </w:r>
          </w:p>
        </w:tc>
      </w:tr>
      <w:tr>
        <w:tblPrEx>
          <w:tblW w:w="6315" w:type="dxa"/>
          <w:tblInd w:w="790" w:type="dxa"/>
          <w:tblCellMar>
            <w:left w:w="70" w:type="dxa"/>
            <w:right w:w="70" w:type="dxa"/>
          </w:tblCellMar>
        </w:tblPrEx>
        <w:trPr>
          <w:trHeight w:val="438"/>
        </w:trPr>
        <w:tc>
          <w:tcPr>
            <w:tcW w:w="4155" w:type="dxa"/>
            <w:tcBorders>
              <w:top w:val="single" w:sz="4" w:space="0" w:color="auto"/>
              <w:left w:val="single" w:sz="4" w:space="0" w:color="auto"/>
              <w:bottom w:val="single" w:sz="4" w:space="0" w:color="auto"/>
              <w:right w:val="single" w:sz="4" w:space="0" w:color="auto"/>
            </w:tcBorders>
            <w:textDirection w:val="lrTb"/>
            <w:vAlign w:val="bottom"/>
          </w:tcPr>
          <w:p w:rsidR="0094262B" w:rsidRPr="003E3545" w:rsidP="0094262B">
            <w:pPr>
              <w:bidi w:val="0"/>
              <w:rPr>
                <w:rFonts w:ascii="Times New Roman" w:hAnsi="Times New Roman"/>
                <w:sz w:val="20"/>
              </w:rPr>
            </w:pPr>
            <w:r w:rsidRPr="003E3545">
              <w:rPr>
                <w:rFonts w:ascii="Times New Roman" w:hAnsi="Times New Roman"/>
                <w:sz w:val="20"/>
              </w:rPr>
              <w:t xml:space="preserve">Výdavky na </w:t>
            </w:r>
            <w:r>
              <w:rPr>
                <w:rFonts w:ascii="Times New Roman" w:hAnsi="Times New Roman"/>
                <w:sz w:val="20"/>
              </w:rPr>
              <w:t>valorizáciu</w:t>
            </w:r>
            <w:r w:rsidRPr="003E3545">
              <w:rPr>
                <w:rFonts w:ascii="Times New Roman" w:hAnsi="Times New Roman"/>
                <w:sz w:val="20"/>
              </w:rPr>
              <w:t xml:space="preserve"> úrazových dávok podľa </w:t>
            </w:r>
            <w:r>
              <w:rPr>
                <w:rFonts w:ascii="Times New Roman" w:hAnsi="Times New Roman"/>
                <w:sz w:val="20"/>
              </w:rPr>
              <w:t xml:space="preserve">novely </w:t>
            </w:r>
            <w:r w:rsidRPr="003E3545">
              <w:rPr>
                <w:rFonts w:ascii="Times New Roman" w:hAnsi="Times New Roman"/>
                <w:sz w:val="20"/>
              </w:rPr>
              <w:t>zákona o sociálnom poistení (v tis. Eur)</w:t>
            </w:r>
          </w:p>
        </w:tc>
        <w:tc>
          <w:tcPr>
            <w:tcW w:w="1080" w:type="dxa"/>
            <w:tcBorders>
              <w:top w:val="single" w:sz="4" w:space="0" w:color="auto"/>
              <w:left w:val="nil"/>
              <w:bottom w:val="single" w:sz="4" w:space="0" w:color="auto"/>
              <w:right w:val="single" w:sz="4" w:space="0" w:color="auto"/>
            </w:tcBorders>
            <w:noWrap/>
            <w:textDirection w:val="lrTb"/>
            <w:vAlign w:val="bottom"/>
          </w:tcPr>
          <w:p w:rsidR="0094262B" w:rsidRPr="003E3545" w:rsidP="00B965FC">
            <w:pPr>
              <w:bidi w:val="0"/>
              <w:jc w:val="right"/>
              <w:rPr>
                <w:rFonts w:ascii="Times New Roman" w:hAnsi="Times New Roman"/>
                <w:sz w:val="20"/>
              </w:rPr>
            </w:pPr>
            <w:r>
              <w:rPr>
                <w:rFonts w:ascii="Times New Roman" w:hAnsi="Times New Roman"/>
                <w:sz w:val="20"/>
              </w:rPr>
              <w:t>9</w:t>
            </w:r>
            <w:r w:rsidR="00B965FC">
              <w:rPr>
                <w:rFonts w:ascii="Times New Roman" w:hAnsi="Times New Roman"/>
                <w:sz w:val="20"/>
              </w:rPr>
              <w:t>32</w:t>
            </w:r>
          </w:p>
        </w:tc>
        <w:tc>
          <w:tcPr>
            <w:tcW w:w="1080" w:type="dxa"/>
            <w:tcBorders>
              <w:top w:val="single" w:sz="4" w:space="0" w:color="auto"/>
              <w:left w:val="nil"/>
              <w:bottom w:val="single" w:sz="4" w:space="0" w:color="auto"/>
              <w:right w:val="single" w:sz="4" w:space="0" w:color="auto"/>
            </w:tcBorders>
            <w:noWrap/>
            <w:textDirection w:val="lrTb"/>
            <w:vAlign w:val="bottom"/>
          </w:tcPr>
          <w:p w:rsidR="0094262B" w:rsidRPr="003E3545" w:rsidP="00446BCA">
            <w:pPr>
              <w:bidi w:val="0"/>
              <w:jc w:val="right"/>
              <w:rPr>
                <w:rFonts w:ascii="Times New Roman" w:hAnsi="Times New Roman"/>
                <w:sz w:val="20"/>
              </w:rPr>
            </w:pPr>
            <w:r w:rsidRPr="003E3545">
              <w:rPr>
                <w:rFonts w:ascii="Times New Roman" w:hAnsi="Times New Roman"/>
                <w:sz w:val="20"/>
              </w:rPr>
              <w:t xml:space="preserve">1 </w:t>
            </w:r>
            <w:r>
              <w:rPr>
                <w:rFonts w:ascii="Times New Roman" w:hAnsi="Times New Roman"/>
                <w:sz w:val="20"/>
              </w:rPr>
              <w:t>0</w:t>
            </w:r>
            <w:r w:rsidR="00446BCA">
              <w:rPr>
                <w:rFonts w:ascii="Times New Roman" w:hAnsi="Times New Roman"/>
                <w:sz w:val="20"/>
              </w:rPr>
              <w:t>75</w:t>
            </w:r>
          </w:p>
        </w:tc>
      </w:tr>
    </w:tbl>
    <w:p w:rsidR="003E3545" w:rsidRPr="003E3545" w:rsidP="00F07105">
      <w:pPr>
        <w:tabs>
          <w:tab w:val="left" w:pos="709"/>
          <w:tab w:val="decimal" w:pos="8222"/>
        </w:tabs>
        <w:bidi w:val="0"/>
        <w:jc w:val="both"/>
        <w:rPr>
          <w:rFonts w:ascii="Times New Roman" w:hAnsi="Times New Roman"/>
        </w:rPr>
      </w:pPr>
    </w:p>
    <w:p w:rsidR="003E3545" w:rsidRPr="003E3545" w:rsidP="00F07105">
      <w:pPr>
        <w:bidi w:val="0"/>
        <w:spacing w:before="120" w:after="120"/>
        <w:ind w:firstLine="720"/>
        <w:jc w:val="both"/>
        <w:rPr>
          <w:rFonts w:ascii="Times New Roman" w:hAnsi="Times New Roman"/>
          <w:szCs w:val="24"/>
        </w:rPr>
      </w:pPr>
      <w:r w:rsidRPr="003E3545">
        <w:rPr>
          <w:rFonts w:ascii="Times New Roman" w:hAnsi="Times New Roman"/>
          <w:b/>
          <w:szCs w:val="24"/>
        </w:rPr>
        <w:t xml:space="preserve">Výdavky </w:t>
      </w:r>
      <w:r w:rsidR="00326B3E">
        <w:rPr>
          <w:rFonts w:ascii="Times New Roman" w:hAnsi="Times New Roman"/>
          <w:b/>
          <w:szCs w:val="24"/>
        </w:rPr>
        <w:t>na dávku v nezamestnanosti</w:t>
      </w:r>
      <w:r w:rsidRPr="003E3545">
        <w:rPr>
          <w:rFonts w:ascii="Times New Roman" w:hAnsi="Times New Roman"/>
          <w:szCs w:val="24"/>
        </w:rPr>
        <w:t xml:space="preserve"> sa v </w:t>
      </w:r>
      <w:r w:rsidRPr="003E3545">
        <w:rPr>
          <w:rFonts w:ascii="Times New Roman" w:hAnsi="Times New Roman"/>
          <w:b/>
          <w:szCs w:val="24"/>
        </w:rPr>
        <w:t>roku</w:t>
      </w:r>
      <w:r w:rsidRPr="003E3545">
        <w:rPr>
          <w:rFonts w:ascii="Times New Roman" w:hAnsi="Times New Roman"/>
          <w:szCs w:val="24"/>
        </w:rPr>
        <w:t xml:space="preserve"> </w:t>
      </w:r>
      <w:r w:rsidRPr="003E3545">
        <w:rPr>
          <w:rFonts w:ascii="Times New Roman" w:hAnsi="Times New Roman"/>
          <w:b/>
          <w:szCs w:val="24"/>
        </w:rPr>
        <w:t xml:space="preserve">2012 </w:t>
      </w:r>
      <w:r w:rsidRPr="003E3545">
        <w:rPr>
          <w:rFonts w:ascii="Times New Roman" w:hAnsi="Times New Roman"/>
          <w:szCs w:val="24"/>
        </w:rPr>
        <w:t xml:space="preserve">predpokladajú vo výške </w:t>
      </w:r>
      <w:r w:rsidR="00326B3E">
        <w:rPr>
          <w:rFonts w:ascii="Times New Roman" w:hAnsi="Times New Roman"/>
          <w:b/>
          <w:szCs w:val="24"/>
        </w:rPr>
        <w:t>16</w:t>
      </w:r>
      <w:r w:rsidR="003B6AB4">
        <w:rPr>
          <w:rFonts w:ascii="Times New Roman" w:hAnsi="Times New Roman"/>
          <w:b/>
          <w:szCs w:val="24"/>
        </w:rPr>
        <w:t>4</w:t>
      </w:r>
      <w:r w:rsidRPr="003E3545">
        <w:rPr>
          <w:rFonts w:ascii="Times New Roman" w:hAnsi="Times New Roman"/>
          <w:b/>
          <w:szCs w:val="24"/>
        </w:rPr>
        <w:t> </w:t>
      </w:r>
      <w:r w:rsidR="00326B3E">
        <w:rPr>
          <w:rFonts w:ascii="Times New Roman" w:hAnsi="Times New Roman"/>
          <w:b/>
          <w:szCs w:val="24"/>
        </w:rPr>
        <w:t>1</w:t>
      </w:r>
      <w:r w:rsidR="003B6AB4">
        <w:rPr>
          <w:rFonts w:ascii="Times New Roman" w:hAnsi="Times New Roman"/>
          <w:b/>
          <w:szCs w:val="24"/>
        </w:rPr>
        <w:t>43</w:t>
      </w:r>
      <w:r w:rsidRPr="003E3545">
        <w:rPr>
          <w:rFonts w:ascii="Times New Roman" w:hAnsi="Times New Roman"/>
          <w:b/>
          <w:szCs w:val="24"/>
        </w:rPr>
        <w:t> tis. Eur</w:t>
      </w:r>
      <w:r w:rsidRPr="003E3545">
        <w:rPr>
          <w:rFonts w:ascii="Times New Roman" w:hAnsi="Times New Roman"/>
          <w:szCs w:val="24"/>
        </w:rPr>
        <w:t>, pri priemernom mesačnom počte poberateľov dávky 4</w:t>
      </w:r>
      <w:r w:rsidR="003B6AB4">
        <w:rPr>
          <w:rFonts w:ascii="Times New Roman" w:hAnsi="Times New Roman"/>
          <w:szCs w:val="24"/>
        </w:rPr>
        <w:t>1</w:t>
      </w:r>
      <w:r w:rsidRPr="003E3545">
        <w:rPr>
          <w:rFonts w:ascii="Times New Roman" w:hAnsi="Times New Roman"/>
          <w:szCs w:val="24"/>
        </w:rPr>
        <w:t> </w:t>
      </w:r>
      <w:r w:rsidR="003B6AB4">
        <w:rPr>
          <w:rFonts w:ascii="Times New Roman" w:hAnsi="Times New Roman"/>
          <w:szCs w:val="24"/>
        </w:rPr>
        <w:t>3</w:t>
      </w:r>
      <w:r w:rsidRPr="003E3545">
        <w:rPr>
          <w:rFonts w:ascii="Times New Roman" w:hAnsi="Times New Roman"/>
          <w:szCs w:val="24"/>
        </w:rPr>
        <w:t xml:space="preserve">00 a priemernej mesačnej výške dávky v nezamestnanosti na poberateľa </w:t>
      </w:r>
      <w:r w:rsidR="003B6AB4">
        <w:rPr>
          <w:rFonts w:ascii="Times New Roman" w:hAnsi="Times New Roman"/>
          <w:szCs w:val="24"/>
        </w:rPr>
        <w:t>331</w:t>
      </w:r>
      <w:r w:rsidRPr="003E3545">
        <w:rPr>
          <w:rFonts w:ascii="Times New Roman" w:hAnsi="Times New Roman"/>
          <w:szCs w:val="24"/>
        </w:rPr>
        <w:t xml:space="preserve"> Eur. </w:t>
      </w:r>
    </w:p>
    <w:p w:rsidR="003A475B" w:rsidRPr="002D37D3" w:rsidP="0002230E">
      <w:pPr>
        <w:bidi w:val="0"/>
        <w:spacing w:before="240"/>
        <w:ind w:firstLine="709"/>
        <w:rPr>
          <w:rFonts w:ascii="Times New Roman" w:hAnsi="Times New Roman"/>
          <w:szCs w:val="24"/>
        </w:rPr>
      </w:pPr>
      <w:r w:rsidRPr="002D37D3" w:rsidR="003E3545">
        <w:rPr>
          <w:rFonts w:ascii="Times New Roman" w:hAnsi="Times New Roman"/>
          <w:b/>
          <w:szCs w:val="24"/>
        </w:rPr>
        <w:t>Výdavky (náklady) správneho fondu</w:t>
      </w:r>
      <w:r w:rsidRPr="002D37D3" w:rsidR="0002230E">
        <w:rPr>
          <w:rFonts w:ascii="Times New Roman" w:hAnsi="Times New Roman"/>
          <w:b/>
          <w:szCs w:val="24"/>
        </w:rPr>
        <w:br/>
      </w:r>
      <w:r w:rsidRPr="002D37D3">
        <w:rPr>
          <w:rFonts w:ascii="Times New Roman" w:hAnsi="Times New Roman"/>
          <w:szCs w:val="24"/>
        </w:rPr>
        <w:t>sa v jednotlivých rokoch predpokladajú takto:</w:t>
      </w:r>
    </w:p>
    <w:p w:rsidR="003A475B" w:rsidRPr="002D37D3" w:rsidP="003A475B">
      <w:pPr>
        <w:tabs>
          <w:tab w:val="left" w:pos="709"/>
          <w:tab w:val="right" w:pos="6840"/>
        </w:tabs>
        <w:bidi w:val="0"/>
        <w:jc w:val="both"/>
        <w:outlineLvl w:val="0"/>
        <w:rPr>
          <w:rFonts w:ascii="Times New Roman" w:hAnsi="Times New Roman"/>
          <w:szCs w:val="24"/>
        </w:rPr>
      </w:pPr>
      <w:r w:rsidRPr="002D37D3">
        <w:rPr>
          <w:rFonts w:ascii="Times New Roman" w:hAnsi="Times New Roman"/>
          <w:szCs w:val="24"/>
        </w:rPr>
        <w:t>rok 2012</w:t>
        <w:tab/>
        <w:t>115 711 tis. Eur,</w:t>
      </w:r>
    </w:p>
    <w:p w:rsidR="003A475B" w:rsidRPr="002D37D3" w:rsidP="003A475B">
      <w:pPr>
        <w:tabs>
          <w:tab w:val="left" w:pos="709"/>
          <w:tab w:val="right" w:pos="6840"/>
        </w:tabs>
        <w:bidi w:val="0"/>
        <w:jc w:val="both"/>
        <w:outlineLvl w:val="0"/>
        <w:rPr>
          <w:rFonts w:ascii="Times New Roman" w:hAnsi="Times New Roman"/>
          <w:szCs w:val="24"/>
        </w:rPr>
      </w:pPr>
      <w:r w:rsidRPr="002D37D3">
        <w:rPr>
          <w:rFonts w:ascii="Times New Roman" w:hAnsi="Times New Roman"/>
          <w:szCs w:val="24"/>
        </w:rPr>
        <w:t>rok 2013</w:t>
        <w:tab/>
        <w:t>116 687 tis. Eur,</w:t>
      </w:r>
    </w:p>
    <w:p w:rsidR="003A475B" w:rsidRPr="002D37D3" w:rsidP="003A475B">
      <w:pPr>
        <w:tabs>
          <w:tab w:val="left" w:pos="709"/>
          <w:tab w:val="right" w:pos="6840"/>
        </w:tabs>
        <w:bidi w:val="0"/>
        <w:jc w:val="both"/>
        <w:outlineLvl w:val="0"/>
        <w:rPr>
          <w:rFonts w:ascii="Times New Roman" w:hAnsi="Times New Roman"/>
          <w:szCs w:val="24"/>
        </w:rPr>
      </w:pPr>
      <w:r w:rsidRPr="002D37D3">
        <w:rPr>
          <w:rFonts w:ascii="Times New Roman" w:hAnsi="Times New Roman"/>
          <w:szCs w:val="24"/>
        </w:rPr>
        <w:t>rok 2014</w:t>
        <w:tab/>
        <w:t>80 923 tis. Eur.</w:t>
      </w:r>
    </w:p>
    <w:p w:rsidR="003A475B" w:rsidRPr="002D37D3" w:rsidP="000C1FAF">
      <w:pPr>
        <w:tabs>
          <w:tab w:val="left" w:pos="709"/>
          <w:tab w:val="right" w:pos="6840"/>
        </w:tabs>
        <w:bidi w:val="0"/>
        <w:spacing w:before="240"/>
        <w:ind w:firstLine="709"/>
        <w:jc w:val="both"/>
        <w:outlineLvl w:val="0"/>
        <w:rPr>
          <w:rFonts w:ascii="Times New Roman" w:hAnsi="Times New Roman"/>
          <w:szCs w:val="24"/>
        </w:rPr>
      </w:pPr>
      <w:r w:rsidRPr="002D37D3">
        <w:rPr>
          <w:rFonts w:ascii="Times New Roman" w:hAnsi="Times New Roman"/>
          <w:szCs w:val="24"/>
        </w:rPr>
        <w:t>Zabezpečenie základných úloh Sociálnej poisťovne z hľadiska rozpočtu znamená krytie nákladov súvisiacich s činnosťou orgánov Sociálnej poisťovne a jej organizačných zložiek pri vykonávaní sociálneho poistenia, výbere, registrácii, postúpení príspevkov na starobné dôchodkové sporenie a ďalších nákladov spojených s výplatou dávok sociálneho poistenia a je obsiahnuté v nasledujúcich prioritných oblastiach:</w:t>
      </w:r>
    </w:p>
    <w:p w:rsidR="003A475B" w:rsidRPr="002D37D3" w:rsidP="008173F1">
      <w:pPr>
        <w:numPr>
          <w:ilvl w:val="1"/>
          <w:numId w:val="15"/>
        </w:numPr>
        <w:tabs>
          <w:tab w:val="left" w:pos="709"/>
          <w:tab w:val="clear" w:pos="1210"/>
          <w:tab w:val="right" w:pos="6840"/>
        </w:tabs>
        <w:bidi w:val="0"/>
        <w:ind w:left="709" w:hanging="709"/>
        <w:jc w:val="both"/>
        <w:outlineLvl w:val="0"/>
        <w:rPr>
          <w:rFonts w:ascii="Times New Roman" w:hAnsi="Times New Roman"/>
          <w:szCs w:val="24"/>
        </w:rPr>
      </w:pPr>
      <w:r w:rsidRPr="002D37D3">
        <w:rPr>
          <w:rFonts w:ascii="Times New Roman" w:hAnsi="Times New Roman"/>
          <w:szCs w:val="24"/>
        </w:rPr>
        <w:t xml:space="preserve">plnenie záväzkov voči zamestnancom v rozsahu Zákonníka práce a schválených </w:t>
      </w:r>
      <w:r w:rsidR="000672D4">
        <w:rPr>
          <w:rFonts w:ascii="Times New Roman" w:hAnsi="Times New Roman"/>
          <w:szCs w:val="24"/>
        </w:rPr>
        <w:t>k</w:t>
      </w:r>
      <w:r w:rsidRPr="002D37D3">
        <w:rPr>
          <w:rFonts w:ascii="Times New Roman" w:hAnsi="Times New Roman"/>
          <w:szCs w:val="24"/>
        </w:rPr>
        <w:t>olektívnych zmlúv,</w:t>
      </w:r>
    </w:p>
    <w:p w:rsidR="003A475B" w:rsidRPr="002D37D3" w:rsidP="008173F1">
      <w:pPr>
        <w:numPr>
          <w:ilvl w:val="1"/>
          <w:numId w:val="15"/>
        </w:numPr>
        <w:tabs>
          <w:tab w:val="left" w:pos="709"/>
          <w:tab w:val="clear" w:pos="1210"/>
          <w:tab w:val="right" w:pos="6840"/>
        </w:tabs>
        <w:bidi w:val="0"/>
        <w:ind w:left="709" w:hanging="709"/>
        <w:jc w:val="both"/>
        <w:outlineLvl w:val="0"/>
        <w:rPr>
          <w:rFonts w:ascii="Times New Roman" w:hAnsi="Times New Roman"/>
          <w:szCs w:val="24"/>
        </w:rPr>
      </w:pPr>
      <w:r w:rsidRPr="002D37D3">
        <w:rPr>
          <w:rFonts w:ascii="Times New Roman" w:hAnsi="Times New Roman"/>
          <w:szCs w:val="24"/>
        </w:rPr>
        <w:t xml:space="preserve">úhrady za poukazovanie a doručovanie dávok sociálneho poistenia, </w:t>
      </w:r>
    </w:p>
    <w:p w:rsidR="003A475B" w:rsidRPr="002D37D3" w:rsidP="008173F1">
      <w:pPr>
        <w:numPr>
          <w:ilvl w:val="1"/>
          <w:numId w:val="15"/>
        </w:numPr>
        <w:tabs>
          <w:tab w:val="left" w:pos="709"/>
          <w:tab w:val="clear" w:pos="1210"/>
          <w:tab w:val="right" w:pos="6840"/>
        </w:tabs>
        <w:bidi w:val="0"/>
        <w:ind w:left="709" w:hanging="709"/>
        <w:jc w:val="both"/>
        <w:outlineLvl w:val="0"/>
        <w:rPr>
          <w:rFonts w:ascii="Times New Roman" w:hAnsi="Times New Roman"/>
          <w:szCs w:val="24"/>
        </w:rPr>
      </w:pPr>
      <w:r w:rsidRPr="002D37D3">
        <w:rPr>
          <w:rFonts w:ascii="Times New Roman" w:hAnsi="Times New Roman"/>
          <w:szCs w:val="24"/>
        </w:rPr>
        <w:t>prevádzka informačných systémov,</w:t>
      </w:r>
    </w:p>
    <w:p w:rsidR="003A475B" w:rsidRPr="002D37D3" w:rsidP="008173F1">
      <w:pPr>
        <w:numPr>
          <w:ilvl w:val="1"/>
          <w:numId w:val="15"/>
        </w:numPr>
        <w:tabs>
          <w:tab w:val="left" w:pos="709"/>
          <w:tab w:val="clear" w:pos="1210"/>
          <w:tab w:val="right" w:pos="6840"/>
        </w:tabs>
        <w:bidi w:val="0"/>
        <w:ind w:left="709" w:hanging="709"/>
        <w:jc w:val="both"/>
        <w:outlineLvl w:val="0"/>
        <w:rPr>
          <w:rFonts w:ascii="Times New Roman" w:hAnsi="Times New Roman"/>
          <w:szCs w:val="24"/>
        </w:rPr>
      </w:pPr>
      <w:r w:rsidRPr="002D37D3">
        <w:rPr>
          <w:rFonts w:ascii="Times New Roman" w:hAnsi="Times New Roman"/>
          <w:szCs w:val="24"/>
        </w:rPr>
        <w:t>úhrady nájmov a ostatných súvisiacich služieb,</w:t>
      </w:r>
    </w:p>
    <w:p w:rsidR="003A475B" w:rsidRPr="002D37D3" w:rsidP="008173F1">
      <w:pPr>
        <w:numPr>
          <w:ilvl w:val="1"/>
          <w:numId w:val="15"/>
        </w:numPr>
        <w:tabs>
          <w:tab w:val="left" w:pos="709"/>
          <w:tab w:val="clear" w:pos="1210"/>
          <w:tab w:val="right" w:pos="6840"/>
        </w:tabs>
        <w:bidi w:val="0"/>
        <w:ind w:left="709" w:hanging="709"/>
        <w:jc w:val="both"/>
        <w:outlineLvl w:val="0"/>
        <w:rPr>
          <w:rFonts w:ascii="Times New Roman" w:hAnsi="Times New Roman"/>
          <w:szCs w:val="24"/>
        </w:rPr>
      </w:pPr>
      <w:r w:rsidRPr="002D37D3">
        <w:rPr>
          <w:rFonts w:ascii="Times New Roman" w:hAnsi="Times New Roman"/>
          <w:szCs w:val="24"/>
        </w:rPr>
        <w:t>zabezpečenie prevádzkyschopnosti objektov vrátane nákladov vynaložených na energie.</w:t>
      </w:r>
    </w:p>
    <w:p w:rsidR="003A475B" w:rsidRPr="002D37D3" w:rsidP="003A475B">
      <w:pPr>
        <w:tabs>
          <w:tab w:val="left" w:pos="0"/>
          <w:tab w:val="right" w:pos="6840"/>
        </w:tabs>
        <w:bidi w:val="0"/>
        <w:spacing w:before="240"/>
        <w:ind w:firstLine="720"/>
        <w:jc w:val="both"/>
        <w:outlineLvl w:val="0"/>
        <w:rPr>
          <w:rFonts w:ascii="Times New Roman" w:hAnsi="Times New Roman"/>
          <w:szCs w:val="24"/>
        </w:rPr>
      </w:pPr>
      <w:r w:rsidRPr="002D37D3" w:rsidR="008E4C41">
        <w:rPr>
          <w:rFonts w:ascii="Times New Roman" w:hAnsi="Times New Roman"/>
          <w:szCs w:val="24"/>
        </w:rPr>
        <w:t>V rozpočte sú zapracované nasledujúce skutočnosti:</w:t>
      </w:r>
    </w:p>
    <w:p w:rsidR="003A475B" w:rsidRPr="002D37D3" w:rsidP="008173F1">
      <w:pPr>
        <w:numPr>
          <w:numId w:val="16"/>
        </w:numPr>
        <w:tabs>
          <w:tab w:val="clear" w:pos="567"/>
          <w:tab w:val="left" w:pos="709"/>
          <w:tab w:val="right" w:pos="6840"/>
        </w:tabs>
        <w:bidi w:val="0"/>
        <w:ind w:left="709" w:hanging="709"/>
        <w:jc w:val="both"/>
        <w:outlineLvl w:val="0"/>
        <w:rPr>
          <w:rFonts w:ascii="Times New Roman" w:hAnsi="Times New Roman"/>
          <w:szCs w:val="24"/>
        </w:rPr>
      </w:pPr>
      <w:r w:rsidRPr="002D37D3">
        <w:rPr>
          <w:rFonts w:ascii="Times New Roman" w:hAnsi="Times New Roman"/>
          <w:szCs w:val="24"/>
        </w:rPr>
        <w:t>v oblasti odmeňovania a počtu zamestnancov sa pre rok 2012 predpokladá zníženie počtu zamestnancov oproti očakávanej skutočnosti 2011 a primerané zníženie objemu prostriedkov na mzdy a</w:t>
      </w:r>
      <w:r w:rsidRPr="002D37D3" w:rsidR="008E4C41">
        <w:rPr>
          <w:rFonts w:ascii="Times New Roman" w:hAnsi="Times New Roman"/>
          <w:szCs w:val="24"/>
        </w:rPr>
        <w:t> </w:t>
      </w:r>
      <w:r w:rsidRPr="002D37D3">
        <w:rPr>
          <w:rFonts w:ascii="Times New Roman" w:hAnsi="Times New Roman"/>
          <w:szCs w:val="24"/>
        </w:rPr>
        <w:t>s</w:t>
      </w:r>
      <w:r w:rsidRPr="002D37D3" w:rsidR="008E4C41">
        <w:rPr>
          <w:rFonts w:ascii="Times New Roman" w:hAnsi="Times New Roman"/>
          <w:szCs w:val="24"/>
        </w:rPr>
        <w:t xml:space="preserve"> </w:t>
      </w:r>
      <w:r w:rsidRPr="002D37D3">
        <w:rPr>
          <w:rFonts w:ascii="Times New Roman" w:hAnsi="Times New Roman"/>
          <w:szCs w:val="24"/>
        </w:rPr>
        <w:t>tým súvisiace plnenia,</w:t>
      </w:r>
    </w:p>
    <w:p w:rsidR="003A475B" w:rsidRPr="002D37D3" w:rsidP="008173F1">
      <w:pPr>
        <w:numPr>
          <w:numId w:val="16"/>
        </w:numPr>
        <w:tabs>
          <w:tab w:val="clear" w:pos="567"/>
          <w:tab w:val="left" w:pos="709"/>
          <w:tab w:val="right" w:pos="6840"/>
        </w:tabs>
        <w:bidi w:val="0"/>
        <w:ind w:left="709" w:hanging="709"/>
        <w:jc w:val="both"/>
        <w:outlineLvl w:val="0"/>
        <w:rPr>
          <w:rFonts w:ascii="Times New Roman" w:hAnsi="Times New Roman"/>
          <w:szCs w:val="24"/>
        </w:rPr>
      </w:pPr>
      <w:r w:rsidRPr="002D37D3">
        <w:rPr>
          <w:rFonts w:ascii="Times New Roman" w:hAnsi="Times New Roman"/>
          <w:szCs w:val="24"/>
        </w:rPr>
        <w:t xml:space="preserve">v základnej prevádzke sa minimalizujú náklady v súvislosti s obnovou a starostlivosťou o majetok, </w:t>
      </w:r>
    </w:p>
    <w:p w:rsidR="003A475B" w:rsidRPr="002D37D3" w:rsidP="008173F1">
      <w:pPr>
        <w:numPr>
          <w:numId w:val="16"/>
        </w:numPr>
        <w:tabs>
          <w:tab w:val="clear" w:pos="567"/>
          <w:tab w:val="left" w:pos="709"/>
          <w:tab w:val="right" w:pos="6840"/>
        </w:tabs>
        <w:bidi w:val="0"/>
        <w:ind w:left="709" w:hanging="709"/>
        <w:jc w:val="both"/>
        <w:outlineLvl w:val="0"/>
        <w:rPr>
          <w:rFonts w:ascii="Times New Roman" w:hAnsi="Times New Roman"/>
          <w:szCs w:val="24"/>
        </w:rPr>
      </w:pPr>
      <w:r w:rsidRPr="002D37D3">
        <w:rPr>
          <w:rFonts w:ascii="Times New Roman" w:hAnsi="Times New Roman"/>
          <w:szCs w:val="24"/>
        </w:rPr>
        <w:t>úsporné opatrenia sa musia  uplatniť vo všetkých oblastiach výkonu,</w:t>
      </w:r>
    </w:p>
    <w:p w:rsidR="003A475B" w:rsidP="008173F1">
      <w:pPr>
        <w:numPr>
          <w:numId w:val="16"/>
        </w:numPr>
        <w:tabs>
          <w:tab w:val="clear" w:pos="567"/>
          <w:tab w:val="left" w:pos="709"/>
          <w:tab w:val="right" w:pos="6840"/>
        </w:tabs>
        <w:bidi w:val="0"/>
        <w:ind w:left="709" w:hanging="709"/>
        <w:jc w:val="both"/>
        <w:outlineLvl w:val="0"/>
        <w:rPr>
          <w:rFonts w:ascii="Times New Roman" w:hAnsi="Times New Roman"/>
          <w:szCs w:val="24"/>
        </w:rPr>
      </w:pPr>
      <w:r w:rsidRPr="002D37D3">
        <w:rPr>
          <w:rFonts w:ascii="Times New Roman" w:hAnsi="Times New Roman"/>
          <w:szCs w:val="24"/>
        </w:rPr>
        <w:t xml:space="preserve">navrhované legislatívne zmeny v oblasti sociálneho poistenia si vyžiadajú zmeny informačného systému. Objem výdavkov na </w:t>
      </w:r>
      <w:r w:rsidRPr="002D37D3" w:rsidR="008E4C41">
        <w:rPr>
          <w:rFonts w:ascii="Times New Roman" w:hAnsi="Times New Roman"/>
          <w:szCs w:val="24"/>
        </w:rPr>
        <w:t xml:space="preserve">jeho </w:t>
      </w:r>
      <w:r w:rsidRPr="002D37D3">
        <w:rPr>
          <w:rFonts w:ascii="Times New Roman" w:hAnsi="Times New Roman"/>
          <w:szCs w:val="24"/>
        </w:rPr>
        <w:t xml:space="preserve">úpravu </w:t>
      </w:r>
      <w:r w:rsidRPr="002D37D3" w:rsidR="008E4C41">
        <w:rPr>
          <w:rFonts w:ascii="Times New Roman" w:hAnsi="Times New Roman"/>
          <w:szCs w:val="24"/>
        </w:rPr>
        <w:t>sa predpokladá v sume cca 4 </w:t>
      </w:r>
      <w:r w:rsidRPr="002D37D3">
        <w:rPr>
          <w:rFonts w:ascii="Times New Roman" w:hAnsi="Times New Roman"/>
          <w:szCs w:val="24"/>
        </w:rPr>
        <w:t xml:space="preserve">mil. </w:t>
      </w:r>
      <w:r w:rsidRPr="002D37D3" w:rsidR="008E4C41">
        <w:rPr>
          <w:rFonts w:ascii="Times New Roman" w:hAnsi="Times New Roman"/>
          <w:szCs w:val="24"/>
        </w:rPr>
        <w:t>E</w:t>
      </w:r>
      <w:r w:rsidRPr="002D37D3">
        <w:rPr>
          <w:rFonts w:ascii="Times New Roman" w:hAnsi="Times New Roman"/>
          <w:szCs w:val="24"/>
        </w:rPr>
        <w:t>ur. Predmetné výdavky budú finančne kryté aj zo zostatku minulých rokov z dôvodu, že sa predpokladá nižšia tvorba správneho fondu v bežnom roku ako použitie.</w:t>
      </w:r>
    </w:p>
    <w:p w:rsidR="001155CB" w:rsidRPr="002D37D3" w:rsidP="00D558C3">
      <w:pPr>
        <w:tabs>
          <w:tab w:val="right" w:pos="6840"/>
        </w:tabs>
        <w:bidi w:val="0"/>
        <w:spacing w:before="240" w:after="120"/>
        <w:ind w:firstLine="709"/>
        <w:jc w:val="both"/>
        <w:outlineLvl w:val="0"/>
        <w:rPr>
          <w:rFonts w:ascii="Times New Roman" w:hAnsi="Times New Roman"/>
          <w:szCs w:val="24"/>
        </w:rPr>
      </w:pPr>
      <w:r>
        <w:rPr>
          <w:rFonts w:ascii="Times New Roman" w:hAnsi="Times New Roman"/>
          <w:szCs w:val="24"/>
        </w:rPr>
        <w:t>Finančné prostriedky na zmenu informačného systému z titulu pripravovanej novely v sume 4 mil. Eur, sú v návrhu rozpočtu na rok 2012</w:t>
      </w:r>
      <w:r w:rsidR="000A311A">
        <w:rPr>
          <w:rFonts w:ascii="Times New Roman" w:hAnsi="Times New Roman"/>
          <w:szCs w:val="24"/>
        </w:rPr>
        <w:t xml:space="preserve"> </w:t>
      </w:r>
      <w:r w:rsidR="003E4F09">
        <w:rPr>
          <w:rFonts w:ascii="Times New Roman" w:hAnsi="Times New Roman"/>
          <w:szCs w:val="24"/>
        </w:rPr>
        <w:t>zapracované čiastočne v bežných výdavkoch a čiastočne v kapitálových výdavkoch. V tejto etape nie je možné presne špecifikovať predpokladané výdavky na jednotlivé rozpočtové položky.</w:t>
      </w:r>
    </w:p>
    <w:p w:rsidR="003A475B" w:rsidP="00666FBB">
      <w:pPr>
        <w:pStyle w:val="BodyTextIndent"/>
        <w:bidi w:val="0"/>
        <w:spacing w:after="0" w:line="240" w:lineRule="auto"/>
        <w:ind w:firstLine="720"/>
        <w:rPr>
          <w:rFonts w:ascii="Times New Roman" w:hAnsi="Times New Roman"/>
        </w:rPr>
      </w:pPr>
      <w:r w:rsidRPr="002D37D3">
        <w:rPr>
          <w:rFonts w:ascii="Times New Roman" w:hAnsi="Times New Roman"/>
        </w:rPr>
        <w:t>Návrh rozpočtu v základnej štruktúre je spracovaný v nasledujúcej tabuľke:</w:t>
      </w:r>
    </w:p>
    <w:p w:rsidR="00A514AB" w:rsidP="00666FBB">
      <w:pPr>
        <w:pStyle w:val="BodyTextIndent"/>
        <w:bidi w:val="0"/>
        <w:spacing w:after="0" w:line="240" w:lineRule="auto"/>
        <w:ind w:firstLine="720"/>
        <w:rPr>
          <w:rFonts w:ascii="Times New Roman" w:hAnsi="Times New Roman"/>
        </w:rPr>
      </w:pPr>
    </w:p>
    <w:p w:rsidR="00A514AB" w:rsidP="00666FBB">
      <w:pPr>
        <w:pStyle w:val="BodyTextIndent"/>
        <w:bidi w:val="0"/>
        <w:spacing w:after="0" w:line="240" w:lineRule="auto"/>
        <w:ind w:firstLine="720"/>
        <w:rPr>
          <w:rFonts w:ascii="Times New Roman" w:hAnsi="Times New Roman"/>
        </w:rPr>
      </w:pPr>
    </w:p>
    <w:p w:rsidR="003A475B" w:rsidRPr="002D37D3" w:rsidP="00666FBB">
      <w:pPr>
        <w:pStyle w:val="BodyTextIndent"/>
        <w:bidi w:val="0"/>
        <w:spacing w:before="120" w:after="0" w:line="240" w:lineRule="auto"/>
        <w:ind w:firstLine="720"/>
        <w:rPr>
          <w:rFonts w:ascii="Times New Roman" w:hAnsi="Times New Roman"/>
          <w:szCs w:val="24"/>
        </w:rPr>
      </w:pPr>
      <w:r w:rsidRPr="002D37D3">
        <w:rPr>
          <w:rFonts w:ascii="Times New Roman" w:hAnsi="Times New Roman"/>
          <w:sz w:val="16"/>
          <w:szCs w:val="16"/>
        </w:rPr>
        <w:tab/>
        <w:tab/>
        <w:tab/>
        <w:tab/>
        <w:tab/>
        <w:tab/>
        <w:tab/>
        <w:tab/>
        <w:tab/>
        <w:tab/>
      </w:r>
      <w:r w:rsidRPr="002D37D3">
        <w:rPr>
          <w:rFonts w:ascii="Times New Roman" w:hAnsi="Times New Roman"/>
          <w:szCs w:val="24"/>
        </w:rPr>
        <w:t>v tis. Eur</w:t>
      </w:r>
    </w:p>
    <w:tbl>
      <w:tblPr>
        <w:tblStyle w:val="TableNormal"/>
        <w:tblW w:w="9072" w:type="dxa"/>
        <w:tblInd w:w="70" w:type="dxa"/>
        <w:tblCellMar>
          <w:left w:w="70" w:type="dxa"/>
          <w:right w:w="70" w:type="dxa"/>
        </w:tblCellMar>
      </w:tblPr>
      <w:tblGrid>
        <w:gridCol w:w="4678"/>
        <w:gridCol w:w="1559"/>
        <w:gridCol w:w="1418"/>
        <w:gridCol w:w="1417"/>
      </w:tblGrid>
      <w:tr>
        <w:tblPrEx>
          <w:tblW w:w="9072" w:type="dxa"/>
          <w:tblInd w:w="70" w:type="dxa"/>
          <w:tblCellMar>
            <w:left w:w="70" w:type="dxa"/>
            <w:right w:w="70" w:type="dxa"/>
          </w:tblCellMar>
        </w:tblPrEx>
        <w:trPr>
          <w:trHeight w:val="255"/>
        </w:trPr>
        <w:tc>
          <w:tcPr>
            <w:tcW w:w="4678" w:type="dxa"/>
            <w:tcBorders>
              <w:top w:val="single" w:sz="8" w:space="0" w:color="auto"/>
              <w:left w:val="single" w:sz="8" w:space="0" w:color="auto"/>
              <w:bottom w:val="single" w:sz="8" w:space="0" w:color="auto"/>
              <w:right w:val="single" w:sz="8" w:space="0" w:color="auto"/>
            </w:tcBorders>
            <w:noWrap/>
            <w:textDirection w:val="lrTb"/>
            <w:vAlign w:val="bottom"/>
          </w:tcPr>
          <w:p w:rsidR="003A475B" w:rsidRPr="002D37D3" w:rsidP="0002230E">
            <w:pPr>
              <w:bidi w:val="0"/>
              <w:jc w:val="center"/>
              <w:rPr>
                <w:rFonts w:ascii="Times New Roman" w:hAnsi="Times New Roman"/>
                <w:b/>
                <w:sz w:val="18"/>
                <w:szCs w:val="18"/>
              </w:rPr>
            </w:pPr>
            <w:r w:rsidRPr="002D37D3">
              <w:rPr>
                <w:rFonts w:ascii="Times New Roman" w:hAnsi="Times New Roman"/>
                <w:b/>
                <w:sz w:val="18"/>
                <w:szCs w:val="18"/>
              </w:rPr>
              <w:t>Ukazovateľ</w:t>
            </w:r>
          </w:p>
        </w:tc>
        <w:tc>
          <w:tcPr>
            <w:tcW w:w="1559"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center"/>
              <w:rPr>
                <w:rFonts w:ascii="Times New Roman" w:hAnsi="Times New Roman"/>
                <w:b/>
                <w:sz w:val="18"/>
                <w:szCs w:val="18"/>
              </w:rPr>
            </w:pPr>
            <w:r w:rsidRPr="002D37D3">
              <w:rPr>
                <w:rFonts w:ascii="Times New Roman" w:hAnsi="Times New Roman"/>
                <w:b/>
                <w:sz w:val="18"/>
                <w:szCs w:val="18"/>
              </w:rPr>
              <w:t>Rok 2012</w:t>
            </w:r>
          </w:p>
        </w:tc>
        <w:tc>
          <w:tcPr>
            <w:tcW w:w="1418"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center"/>
              <w:rPr>
                <w:rFonts w:ascii="Times New Roman" w:hAnsi="Times New Roman"/>
                <w:b/>
                <w:sz w:val="18"/>
                <w:szCs w:val="18"/>
              </w:rPr>
            </w:pPr>
            <w:r w:rsidRPr="002D37D3">
              <w:rPr>
                <w:rFonts w:ascii="Times New Roman" w:hAnsi="Times New Roman"/>
                <w:b/>
                <w:sz w:val="18"/>
                <w:szCs w:val="18"/>
              </w:rPr>
              <w:t>Rok 2013</w:t>
            </w:r>
          </w:p>
        </w:tc>
        <w:tc>
          <w:tcPr>
            <w:tcW w:w="1417"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center"/>
              <w:rPr>
                <w:rFonts w:ascii="Times New Roman" w:hAnsi="Times New Roman"/>
                <w:b/>
                <w:sz w:val="18"/>
                <w:szCs w:val="18"/>
              </w:rPr>
            </w:pPr>
            <w:r w:rsidRPr="002D37D3">
              <w:rPr>
                <w:rFonts w:ascii="Times New Roman" w:hAnsi="Times New Roman"/>
                <w:b/>
                <w:sz w:val="18"/>
                <w:szCs w:val="18"/>
              </w:rPr>
              <w:t>Rok 2014</w:t>
            </w:r>
          </w:p>
        </w:tc>
      </w:tr>
      <w:tr>
        <w:tblPrEx>
          <w:tblW w:w="9072" w:type="dxa"/>
          <w:tblInd w:w="70" w:type="dxa"/>
          <w:tblCellMar>
            <w:left w:w="70" w:type="dxa"/>
            <w:right w:w="70" w:type="dxa"/>
          </w:tblCellMar>
        </w:tblPrEx>
        <w:trPr>
          <w:trHeight w:val="255"/>
        </w:trPr>
        <w:tc>
          <w:tcPr>
            <w:tcW w:w="4678" w:type="dxa"/>
            <w:tcBorders>
              <w:top w:val="single" w:sz="8" w:space="0" w:color="auto"/>
              <w:left w:val="single" w:sz="8" w:space="0" w:color="auto"/>
              <w:bottom w:val="nil"/>
              <w:right w:val="single" w:sz="8" w:space="0" w:color="auto"/>
            </w:tcBorders>
            <w:noWrap/>
            <w:textDirection w:val="lrTb"/>
            <w:vAlign w:val="bottom"/>
          </w:tcPr>
          <w:p w:rsidR="003A475B" w:rsidRPr="002D37D3" w:rsidP="0002230E">
            <w:pPr>
              <w:bidi w:val="0"/>
              <w:jc w:val="center"/>
              <w:rPr>
                <w:rFonts w:ascii="Times New Roman" w:hAnsi="Times New Roman"/>
                <w:bCs/>
                <w:sz w:val="18"/>
                <w:szCs w:val="18"/>
              </w:rPr>
            </w:pPr>
            <w:r w:rsidRPr="002D37D3">
              <w:rPr>
                <w:rFonts w:ascii="Times New Roman" w:hAnsi="Times New Roman"/>
                <w:bCs/>
                <w:sz w:val="18"/>
                <w:szCs w:val="18"/>
              </w:rPr>
              <w:t>a</w:t>
            </w:r>
          </w:p>
        </w:tc>
        <w:tc>
          <w:tcPr>
            <w:tcW w:w="1559" w:type="dxa"/>
            <w:tcBorders>
              <w:top w:val="single" w:sz="8" w:space="0" w:color="auto"/>
              <w:left w:val="single" w:sz="8" w:space="0" w:color="auto"/>
              <w:bottom w:val="nil"/>
              <w:right w:val="single" w:sz="8" w:space="0" w:color="auto"/>
            </w:tcBorders>
            <w:textDirection w:val="lrTb"/>
            <w:vAlign w:val="bottom"/>
          </w:tcPr>
          <w:p w:rsidR="003A475B" w:rsidRPr="002D37D3" w:rsidP="0002230E">
            <w:pPr>
              <w:bidi w:val="0"/>
              <w:jc w:val="center"/>
              <w:rPr>
                <w:rFonts w:ascii="Times New Roman" w:hAnsi="Times New Roman"/>
                <w:bCs/>
                <w:sz w:val="18"/>
                <w:szCs w:val="18"/>
              </w:rPr>
            </w:pPr>
            <w:r w:rsidRPr="002D37D3">
              <w:rPr>
                <w:rFonts w:ascii="Times New Roman" w:hAnsi="Times New Roman"/>
                <w:bCs/>
                <w:sz w:val="18"/>
                <w:szCs w:val="18"/>
              </w:rPr>
              <w:t>1</w:t>
            </w:r>
          </w:p>
        </w:tc>
        <w:tc>
          <w:tcPr>
            <w:tcW w:w="1418" w:type="dxa"/>
            <w:tcBorders>
              <w:top w:val="single" w:sz="8" w:space="0" w:color="auto"/>
              <w:left w:val="single" w:sz="8" w:space="0" w:color="auto"/>
              <w:bottom w:val="nil"/>
              <w:right w:val="single" w:sz="8" w:space="0" w:color="auto"/>
            </w:tcBorders>
            <w:textDirection w:val="lrTb"/>
            <w:vAlign w:val="bottom"/>
          </w:tcPr>
          <w:p w:rsidR="003A475B" w:rsidRPr="002D37D3" w:rsidP="0002230E">
            <w:pPr>
              <w:bidi w:val="0"/>
              <w:jc w:val="center"/>
              <w:rPr>
                <w:rFonts w:ascii="Times New Roman" w:hAnsi="Times New Roman"/>
                <w:bCs/>
                <w:sz w:val="18"/>
                <w:szCs w:val="18"/>
              </w:rPr>
            </w:pPr>
            <w:r w:rsidRPr="002D37D3">
              <w:rPr>
                <w:rFonts w:ascii="Times New Roman" w:hAnsi="Times New Roman"/>
                <w:bCs/>
                <w:sz w:val="18"/>
                <w:szCs w:val="18"/>
              </w:rPr>
              <w:t>2</w:t>
            </w:r>
          </w:p>
        </w:tc>
        <w:tc>
          <w:tcPr>
            <w:tcW w:w="1417" w:type="dxa"/>
            <w:tcBorders>
              <w:top w:val="single" w:sz="8" w:space="0" w:color="auto"/>
              <w:left w:val="single" w:sz="8" w:space="0" w:color="auto"/>
              <w:bottom w:val="nil"/>
              <w:right w:val="single" w:sz="8" w:space="0" w:color="auto"/>
            </w:tcBorders>
            <w:textDirection w:val="lrTb"/>
            <w:vAlign w:val="bottom"/>
          </w:tcPr>
          <w:p w:rsidR="003A475B" w:rsidRPr="002D37D3" w:rsidP="0002230E">
            <w:pPr>
              <w:bidi w:val="0"/>
              <w:jc w:val="center"/>
              <w:rPr>
                <w:rFonts w:ascii="Times New Roman" w:hAnsi="Times New Roman"/>
                <w:bCs/>
                <w:sz w:val="18"/>
                <w:szCs w:val="18"/>
              </w:rPr>
            </w:pPr>
            <w:r w:rsidRPr="002D37D3">
              <w:rPr>
                <w:rFonts w:ascii="Times New Roman" w:hAnsi="Times New Roman"/>
                <w:bCs/>
                <w:sz w:val="18"/>
                <w:szCs w:val="18"/>
              </w:rPr>
              <w:t>3</w:t>
            </w:r>
          </w:p>
        </w:tc>
      </w:tr>
      <w:tr>
        <w:tblPrEx>
          <w:tblW w:w="9072" w:type="dxa"/>
          <w:tblInd w:w="70" w:type="dxa"/>
          <w:tblCellMar>
            <w:left w:w="70" w:type="dxa"/>
            <w:right w:w="70" w:type="dxa"/>
          </w:tblCellMar>
        </w:tblPrEx>
        <w:trPr>
          <w:trHeight w:val="255"/>
        </w:trPr>
        <w:tc>
          <w:tcPr>
            <w:tcW w:w="4678" w:type="dxa"/>
            <w:tcBorders>
              <w:top w:val="single" w:sz="8" w:space="0" w:color="auto"/>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b/>
                <w:bCs/>
                <w:sz w:val="18"/>
                <w:szCs w:val="18"/>
              </w:rPr>
            </w:pPr>
            <w:r w:rsidRPr="002D37D3">
              <w:rPr>
                <w:rFonts w:ascii="Times New Roman" w:hAnsi="Times New Roman"/>
                <w:b/>
                <w:bCs/>
                <w:sz w:val="18"/>
                <w:szCs w:val="18"/>
              </w:rPr>
              <w:t xml:space="preserve"> Bežné výdavky (náklady) </w:t>
            </w:r>
            <w:r w:rsidRPr="002D37D3">
              <w:rPr>
                <w:rFonts w:ascii="Times New Roman" w:hAnsi="Times New Roman"/>
                <w:sz w:val="18"/>
                <w:szCs w:val="18"/>
              </w:rPr>
              <w:t>v tom:</w:t>
            </w:r>
          </w:p>
        </w:tc>
        <w:tc>
          <w:tcPr>
            <w:tcW w:w="1559" w:type="dxa"/>
            <w:tcBorders>
              <w:top w:val="single" w:sz="8" w:space="0" w:color="auto"/>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112 307</w:t>
            </w:r>
          </w:p>
        </w:tc>
        <w:tc>
          <w:tcPr>
            <w:tcW w:w="1418" w:type="dxa"/>
            <w:tcBorders>
              <w:top w:val="single" w:sz="8" w:space="0" w:color="auto"/>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113 153</w:t>
            </w:r>
          </w:p>
        </w:tc>
        <w:tc>
          <w:tcPr>
            <w:tcW w:w="1417" w:type="dxa"/>
            <w:tcBorders>
              <w:top w:val="single" w:sz="8" w:space="0" w:color="auto"/>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78 319</w:t>
            </w:r>
          </w:p>
        </w:tc>
      </w:tr>
      <w:tr>
        <w:tblPrEx>
          <w:tblW w:w="9072" w:type="dxa"/>
          <w:tblInd w:w="70" w:type="dxa"/>
          <w:tblCellMar>
            <w:left w:w="70" w:type="dxa"/>
            <w:right w:w="70" w:type="dxa"/>
          </w:tblCellMar>
        </w:tblPrEx>
        <w:trPr>
          <w:trHeight w:val="255"/>
        </w:trPr>
        <w:tc>
          <w:tcPr>
            <w:tcW w:w="4678" w:type="dxa"/>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 mzdy</w:t>
            </w:r>
          </w:p>
        </w:tc>
        <w:tc>
          <w:tcPr>
            <w:tcW w:w="1559"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52 358</w:t>
            </w:r>
          </w:p>
        </w:tc>
        <w:tc>
          <w:tcPr>
            <w:tcW w:w="1418"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50 812</w:t>
            </w:r>
          </w:p>
        </w:tc>
        <w:tc>
          <w:tcPr>
            <w:tcW w:w="1417"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36 626</w:t>
            </w:r>
          </w:p>
        </w:tc>
      </w:tr>
      <w:tr>
        <w:tblPrEx>
          <w:tblW w:w="9072" w:type="dxa"/>
          <w:tblInd w:w="70" w:type="dxa"/>
          <w:tblCellMar>
            <w:left w:w="70" w:type="dxa"/>
            <w:right w:w="70" w:type="dxa"/>
          </w:tblCellMar>
        </w:tblPrEx>
        <w:trPr>
          <w:trHeight w:val="255"/>
        </w:trPr>
        <w:tc>
          <w:tcPr>
            <w:tcW w:w="4678" w:type="dxa"/>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 poistné a príspevok do poisťovní.</w:t>
            </w:r>
          </w:p>
        </w:tc>
        <w:tc>
          <w:tcPr>
            <w:tcW w:w="1559" w:type="dxa"/>
            <w:tcBorders>
              <w:top w:val="nil"/>
              <w:left w:val="single" w:sz="8" w:space="0" w:color="auto"/>
              <w:bottom w:val="nil"/>
              <w:right w:val="single" w:sz="8" w:space="0" w:color="auto"/>
            </w:tcBorders>
            <w:textDirection w:val="lrTb"/>
            <w:vAlign w:val="bottom"/>
          </w:tcPr>
          <w:p w:rsidR="003A475B" w:rsidRPr="002D37D3" w:rsidP="0002230E">
            <w:pPr>
              <w:bidi w:val="0"/>
              <w:jc w:val="center"/>
              <w:rPr>
                <w:rFonts w:ascii="Times New Roman" w:hAnsi="Times New Roman"/>
                <w:sz w:val="18"/>
                <w:szCs w:val="18"/>
              </w:rPr>
            </w:pPr>
            <w:r w:rsidRPr="002D37D3">
              <w:rPr>
                <w:rFonts w:ascii="Times New Roman" w:hAnsi="Times New Roman"/>
                <w:sz w:val="18"/>
                <w:szCs w:val="18"/>
              </w:rPr>
              <w:t xml:space="preserve">                   20 242</w:t>
            </w:r>
          </w:p>
        </w:tc>
        <w:tc>
          <w:tcPr>
            <w:tcW w:w="1418"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18 793</w:t>
            </w:r>
          </w:p>
        </w:tc>
        <w:tc>
          <w:tcPr>
            <w:tcW w:w="1417"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13 546</w:t>
            </w:r>
          </w:p>
        </w:tc>
      </w:tr>
      <w:tr>
        <w:tblPrEx>
          <w:tblW w:w="9072" w:type="dxa"/>
          <w:tblInd w:w="70" w:type="dxa"/>
          <w:tblCellMar>
            <w:left w:w="70" w:type="dxa"/>
            <w:right w:w="70" w:type="dxa"/>
          </w:tblCellMar>
        </w:tblPrEx>
        <w:trPr>
          <w:trHeight w:val="255"/>
        </w:trPr>
        <w:tc>
          <w:tcPr>
            <w:tcW w:w="4678" w:type="dxa"/>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 tovary a služby</w:t>
            </w:r>
          </w:p>
        </w:tc>
        <w:tc>
          <w:tcPr>
            <w:tcW w:w="1559"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38 194</w:t>
            </w:r>
          </w:p>
        </w:tc>
        <w:tc>
          <w:tcPr>
            <w:tcW w:w="1418"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36 933</w:t>
            </w:r>
          </w:p>
        </w:tc>
        <w:tc>
          <w:tcPr>
            <w:tcW w:w="1417"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28 059</w:t>
            </w:r>
          </w:p>
        </w:tc>
      </w:tr>
      <w:tr>
        <w:tblPrEx>
          <w:tblW w:w="9072" w:type="dxa"/>
          <w:tblInd w:w="70" w:type="dxa"/>
          <w:tblCellMar>
            <w:left w:w="70" w:type="dxa"/>
            <w:right w:w="70" w:type="dxa"/>
          </w:tblCellMar>
        </w:tblPrEx>
        <w:trPr>
          <w:trHeight w:val="255"/>
        </w:trPr>
        <w:tc>
          <w:tcPr>
            <w:tcW w:w="4678" w:type="dxa"/>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 bežné transfery </w:t>
            </w:r>
          </w:p>
        </w:tc>
        <w:tc>
          <w:tcPr>
            <w:tcW w:w="1559"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1 513</w:t>
            </w:r>
          </w:p>
        </w:tc>
        <w:tc>
          <w:tcPr>
            <w:tcW w:w="1418"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6 615</w:t>
            </w:r>
          </w:p>
        </w:tc>
        <w:tc>
          <w:tcPr>
            <w:tcW w:w="1417"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88</w:t>
            </w:r>
          </w:p>
        </w:tc>
      </w:tr>
      <w:tr>
        <w:tblPrEx>
          <w:tblW w:w="9072" w:type="dxa"/>
          <w:tblInd w:w="70" w:type="dxa"/>
          <w:tblCellMar>
            <w:left w:w="70" w:type="dxa"/>
            <w:right w:w="70" w:type="dxa"/>
          </w:tblCellMar>
        </w:tblPrEx>
        <w:trPr>
          <w:trHeight w:val="255"/>
        </w:trPr>
        <w:tc>
          <w:tcPr>
            <w:tcW w:w="4678" w:type="dxa"/>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w:t>
            </w:r>
          </w:p>
        </w:tc>
        <w:tc>
          <w:tcPr>
            <w:tcW w:w="1559"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p>
        </w:tc>
        <w:tc>
          <w:tcPr>
            <w:tcW w:w="1418"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p>
        </w:tc>
        <w:tc>
          <w:tcPr>
            <w:tcW w:w="1417"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sz w:val="18"/>
                <w:szCs w:val="18"/>
              </w:rPr>
            </w:pPr>
          </w:p>
        </w:tc>
      </w:tr>
      <w:tr>
        <w:tblPrEx>
          <w:tblW w:w="9072" w:type="dxa"/>
          <w:tblInd w:w="70" w:type="dxa"/>
          <w:tblCellMar>
            <w:left w:w="70" w:type="dxa"/>
            <w:right w:w="70" w:type="dxa"/>
          </w:tblCellMar>
        </w:tblPrEx>
        <w:trPr>
          <w:trHeight w:val="255"/>
        </w:trPr>
        <w:tc>
          <w:tcPr>
            <w:tcW w:w="4678" w:type="dxa"/>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b/>
                <w:bCs/>
                <w:sz w:val="18"/>
                <w:szCs w:val="18"/>
              </w:rPr>
            </w:pPr>
            <w:r w:rsidRPr="002D37D3">
              <w:rPr>
                <w:rFonts w:ascii="Times New Roman" w:hAnsi="Times New Roman"/>
                <w:b/>
                <w:bCs/>
                <w:sz w:val="18"/>
                <w:szCs w:val="18"/>
              </w:rPr>
              <w:t xml:space="preserve"> Kapitálové výdavky </w:t>
            </w:r>
            <w:r w:rsidRPr="002D37D3">
              <w:rPr>
                <w:rFonts w:ascii="Times New Roman" w:hAnsi="Times New Roman"/>
                <w:sz w:val="18"/>
                <w:szCs w:val="18"/>
              </w:rPr>
              <w:t>v tom:</w:t>
            </w:r>
          </w:p>
        </w:tc>
        <w:tc>
          <w:tcPr>
            <w:tcW w:w="1559"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3 404</w:t>
            </w:r>
          </w:p>
        </w:tc>
        <w:tc>
          <w:tcPr>
            <w:tcW w:w="1418"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3 534</w:t>
            </w:r>
          </w:p>
        </w:tc>
        <w:tc>
          <w:tcPr>
            <w:tcW w:w="1417" w:type="dxa"/>
            <w:tcBorders>
              <w:top w:val="nil"/>
              <w:left w:val="single" w:sz="8" w:space="0" w:color="auto"/>
              <w:bottom w:val="nil"/>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2 604</w:t>
            </w:r>
          </w:p>
        </w:tc>
      </w:tr>
      <w:tr>
        <w:tblPrEx>
          <w:tblW w:w="9072" w:type="dxa"/>
          <w:tblInd w:w="70" w:type="dxa"/>
          <w:tblCellMar>
            <w:left w:w="70" w:type="dxa"/>
            <w:right w:w="70" w:type="dxa"/>
          </w:tblCellMar>
        </w:tblPrEx>
        <w:trPr>
          <w:trHeight w:val="255"/>
        </w:trPr>
        <w:tc>
          <w:tcPr>
            <w:tcW w:w="4678" w:type="dxa"/>
            <w:tcBorders>
              <w:top w:val="nil"/>
              <w:left w:val="single" w:sz="8" w:space="0" w:color="auto"/>
              <w:bottom w:val="none" w:sz="0" w:space="0" w:color="auto"/>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 všeobecné investície</w:t>
            </w:r>
          </w:p>
        </w:tc>
        <w:tc>
          <w:tcPr>
            <w:tcW w:w="1559" w:type="dxa"/>
            <w:tcBorders>
              <w:top w:val="nil"/>
              <w:left w:val="single" w:sz="8" w:space="0" w:color="auto"/>
              <w:bottom w:val="none" w:sz="0" w:space="0" w:color="auto"/>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1 429</w:t>
            </w:r>
          </w:p>
        </w:tc>
        <w:tc>
          <w:tcPr>
            <w:tcW w:w="1418" w:type="dxa"/>
            <w:tcBorders>
              <w:top w:val="nil"/>
              <w:left w:val="single" w:sz="8" w:space="0" w:color="auto"/>
              <w:bottom w:val="none" w:sz="0" w:space="0" w:color="auto"/>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1 640</w:t>
            </w:r>
          </w:p>
        </w:tc>
        <w:tc>
          <w:tcPr>
            <w:tcW w:w="1417" w:type="dxa"/>
            <w:tcBorders>
              <w:top w:val="nil"/>
              <w:left w:val="single" w:sz="8" w:space="0" w:color="auto"/>
              <w:bottom w:val="none" w:sz="0" w:space="0" w:color="auto"/>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1 204</w:t>
            </w:r>
          </w:p>
        </w:tc>
      </w:tr>
      <w:tr>
        <w:tblPrEx>
          <w:tblW w:w="9072" w:type="dxa"/>
          <w:tblInd w:w="70" w:type="dxa"/>
          <w:tblCellMar>
            <w:left w:w="70" w:type="dxa"/>
            <w:right w:w="70" w:type="dxa"/>
          </w:tblCellMar>
        </w:tblPrEx>
        <w:trPr>
          <w:trHeight w:val="255"/>
        </w:trPr>
        <w:tc>
          <w:tcPr>
            <w:tcW w:w="4678" w:type="dxa"/>
            <w:tcBorders>
              <w:top w:val="nil"/>
              <w:left w:val="single" w:sz="8" w:space="0" w:color="auto"/>
              <w:bottom w:val="single" w:sz="8" w:space="0" w:color="auto"/>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 výdavky na informačno-komunikačné technológie</w:t>
            </w:r>
          </w:p>
        </w:tc>
        <w:tc>
          <w:tcPr>
            <w:tcW w:w="1559" w:type="dxa"/>
            <w:tcBorders>
              <w:top w:val="nil"/>
              <w:left w:val="single" w:sz="8" w:space="0" w:color="auto"/>
              <w:bottom w:val="single" w:sz="8" w:space="0" w:color="auto"/>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1 975</w:t>
            </w:r>
          </w:p>
        </w:tc>
        <w:tc>
          <w:tcPr>
            <w:tcW w:w="1418" w:type="dxa"/>
            <w:tcBorders>
              <w:top w:val="nil"/>
              <w:left w:val="single" w:sz="8" w:space="0" w:color="auto"/>
              <w:bottom w:val="single" w:sz="8" w:space="0" w:color="auto"/>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1 894</w:t>
            </w:r>
          </w:p>
        </w:tc>
        <w:tc>
          <w:tcPr>
            <w:tcW w:w="1417" w:type="dxa"/>
            <w:tcBorders>
              <w:top w:val="nil"/>
              <w:left w:val="single" w:sz="8" w:space="0" w:color="auto"/>
              <w:bottom w:val="single" w:sz="8" w:space="0" w:color="auto"/>
              <w:right w:val="single" w:sz="8" w:space="0" w:color="auto"/>
            </w:tcBorders>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1 400</w:t>
            </w:r>
          </w:p>
        </w:tc>
      </w:tr>
      <w:tr>
        <w:tblPrEx>
          <w:tblW w:w="9072" w:type="dxa"/>
          <w:tblInd w:w="70" w:type="dxa"/>
          <w:tblCellMar>
            <w:left w:w="70" w:type="dxa"/>
            <w:right w:w="70" w:type="dxa"/>
          </w:tblCellMar>
        </w:tblPrEx>
        <w:trPr>
          <w:trHeight w:val="267"/>
        </w:trPr>
        <w:tc>
          <w:tcPr>
            <w:tcW w:w="4678"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rPr>
                <w:rFonts w:ascii="Times New Roman" w:hAnsi="Times New Roman"/>
                <w:b/>
                <w:bCs/>
                <w:sz w:val="18"/>
                <w:szCs w:val="18"/>
              </w:rPr>
            </w:pPr>
            <w:r w:rsidRPr="002D37D3">
              <w:rPr>
                <w:rFonts w:ascii="Times New Roman" w:hAnsi="Times New Roman"/>
                <w:b/>
                <w:bCs/>
                <w:sz w:val="18"/>
                <w:szCs w:val="18"/>
              </w:rPr>
              <w:t>Spolu výdavky (náklady) správneho fondu</w:t>
            </w:r>
          </w:p>
        </w:tc>
        <w:tc>
          <w:tcPr>
            <w:tcW w:w="1559"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115 711</w:t>
            </w:r>
          </w:p>
        </w:tc>
        <w:tc>
          <w:tcPr>
            <w:tcW w:w="1418"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116 687</w:t>
            </w:r>
          </w:p>
        </w:tc>
        <w:tc>
          <w:tcPr>
            <w:tcW w:w="1417"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80 923</w:t>
            </w:r>
          </w:p>
        </w:tc>
      </w:tr>
    </w:tbl>
    <w:p w:rsidR="003A475B" w:rsidRPr="002D37D3" w:rsidP="005F26C8">
      <w:pPr>
        <w:pStyle w:val="BodyTextIndent"/>
        <w:tabs>
          <w:tab w:val="right" w:pos="8931"/>
        </w:tabs>
        <w:bidi w:val="0"/>
        <w:spacing w:line="240" w:lineRule="auto"/>
        <w:ind w:firstLine="720"/>
        <w:rPr>
          <w:rFonts w:ascii="Times New Roman" w:hAnsi="Times New Roman"/>
        </w:rPr>
      </w:pPr>
      <w:r w:rsidRPr="002D37D3">
        <w:rPr>
          <w:rFonts w:ascii="Times New Roman" w:hAnsi="Times New Roman"/>
        </w:rPr>
        <w:t>V návrhu rozpočtu na rok 2012 sa na celkových výdavkoch (nákladoch) správneho fondu najväčšou mierou podieľajú prostriedky na mzdy v objeme 45,2 %.  S tým súvisiace plnenia (poistné a príspevok do poisťovní) predstavujú 17,5 %. Ostatné prevádzkové náklady tvoria 34,3 % podiel. Zostávajúcich 3,0 % je určených na  kapitálové výdavky.</w:t>
      </w:r>
    </w:p>
    <w:p w:rsidR="003A475B" w:rsidRPr="002D37D3" w:rsidP="005F26C8">
      <w:pPr>
        <w:pStyle w:val="BodyTextIndent"/>
        <w:tabs>
          <w:tab w:val="left" w:pos="709"/>
          <w:tab w:val="right" w:pos="8931"/>
        </w:tabs>
        <w:bidi w:val="0"/>
        <w:spacing w:line="240" w:lineRule="auto"/>
        <w:rPr>
          <w:rFonts w:ascii="Times New Roman" w:hAnsi="Times New Roman"/>
          <w:b/>
        </w:rPr>
      </w:pPr>
      <w:r w:rsidRPr="002D37D3">
        <w:rPr>
          <w:rFonts w:ascii="Times New Roman" w:hAnsi="Times New Roman"/>
          <w:b/>
        </w:rPr>
        <w:t>Bežné výdavky</w:t>
      </w:r>
    </w:p>
    <w:p w:rsidR="003A475B" w:rsidRPr="002D37D3" w:rsidP="005F26C8">
      <w:pPr>
        <w:pStyle w:val="BodyTextIndent"/>
        <w:tabs>
          <w:tab w:val="right" w:pos="8931"/>
        </w:tabs>
        <w:bidi w:val="0"/>
        <w:spacing w:line="240" w:lineRule="auto"/>
        <w:rPr>
          <w:rFonts w:ascii="Times New Roman" w:hAnsi="Times New Roman"/>
          <w:szCs w:val="24"/>
        </w:rPr>
      </w:pPr>
      <w:r w:rsidRPr="002D37D3">
        <w:rPr>
          <w:rFonts w:ascii="Times New Roman" w:hAnsi="Times New Roman"/>
          <w:szCs w:val="24"/>
        </w:rPr>
        <w:tab/>
        <w:t>V oblasti ľudských zdrojov rozpočtované finančné prostriedky určujú nasledujúci vývoj:</w:t>
      </w:r>
    </w:p>
    <w:tbl>
      <w:tblPr>
        <w:tblStyle w:val="TableNormal"/>
        <w:tblW w:w="9072" w:type="dxa"/>
        <w:tblInd w:w="108"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Look w:val="01E0"/>
      </w:tblPr>
      <w:tblGrid>
        <w:gridCol w:w="3261"/>
        <w:gridCol w:w="850"/>
        <w:gridCol w:w="1276"/>
        <w:gridCol w:w="1134"/>
        <w:gridCol w:w="1276"/>
        <w:gridCol w:w="1275"/>
      </w:tblGrid>
      <w:tr>
        <w:tblPrEx>
          <w:tblW w:w="9072" w:type="dxa"/>
          <w:tblInd w:w="108"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Look w:val="01E0"/>
        </w:tblPrEx>
        <w:trPr>
          <w:trHeight w:val="520"/>
        </w:trPr>
        <w:tc>
          <w:tcPr>
            <w:tcW w:w="3261" w:type="dxa"/>
            <w:tcBorders>
              <w:top w:val="single" w:sz="8" w:space="0" w:color="auto"/>
              <w:left w:val="single" w:sz="8" w:space="0" w:color="auto"/>
              <w:bottom w:val="single" w:sz="8" w:space="0" w:color="auto"/>
              <w:right w:val="single" w:sz="8" w:space="0" w:color="auto"/>
            </w:tcBorders>
            <w:textDirection w:val="lrTb"/>
            <w:vAlign w:val="center"/>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Ukazovateľ</w:t>
            </w:r>
          </w:p>
        </w:tc>
        <w:tc>
          <w:tcPr>
            <w:tcW w:w="850" w:type="dxa"/>
            <w:tcBorders>
              <w:top w:val="single" w:sz="8" w:space="0" w:color="auto"/>
              <w:left w:val="single" w:sz="8" w:space="0" w:color="auto"/>
              <w:bottom w:val="single" w:sz="8" w:space="0" w:color="auto"/>
              <w:right w:val="single" w:sz="8" w:space="0" w:color="auto"/>
            </w:tcBorders>
            <w:textDirection w:val="lrTb"/>
            <w:vAlign w:val="center"/>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Merná jednotka</w:t>
            </w:r>
          </w:p>
        </w:tc>
        <w:tc>
          <w:tcPr>
            <w:tcW w:w="1276" w:type="dxa"/>
            <w:tcBorders>
              <w:top w:val="single" w:sz="8" w:space="0" w:color="auto"/>
              <w:left w:val="single" w:sz="8" w:space="0" w:color="auto"/>
              <w:bottom w:val="single" w:sz="8" w:space="0" w:color="auto"/>
              <w:right w:val="single" w:sz="8" w:space="0" w:color="auto"/>
            </w:tcBorders>
            <w:textDirection w:val="lrTb"/>
            <w:vAlign w:val="center"/>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Očakávaná skutočnosť 2011</w:t>
            </w:r>
          </w:p>
        </w:tc>
        <w:tc>
          <w:tcPr>
            <w:tcW w:w="1134" w:type="dxa"/>
            <w:tcBorders>
              <w:top w:val="single" w:sz="8" w:space="0" w:color="auto"/>
              <w:left w:val="single" w:sz="8" w:space="0" w:color="auto"/>
              <w:bottom w:val="single" w:sz="8" w:space="0" w:color="auto"/>
              <w:right w:val="single" w:sz="8" w:space="0" w:color="auto"/>
            </w:tcBorders>
            <w:textDirection w:val="lrTb"/>
            <w:vAlign w:val="center"/>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sidR="0002230E">
              <w:rPr>
                <w:rFonts w:ascii="Times New Roman" w:hAnsi="Times New Roman"/>
                <w:sz w:val="18"/>
                <w:szCs w:val="18"/>
              </w:rPr>
              <w:t>R</w:t>
            </w:r>
            <w:r w:rsidRPr="002D37D3">
              <w:rPr>
                <w:rFonts w:ascii="Times New Roman" w:hAnsi="Times New Roman"/>
                <w:sz w:val="18"/>
                <w:szCs w:val="18"/>
              </w:rPr>
              <w:t>ok 2012</w:t>
            </w:r>
          </w:p>
        </w:tc>
        <w:tc>
          <w:tcPr>
            <w:tcW w:w="1276" w:type="dxa"/>
            <w:tcBorders>
              <w:top w:val="single" w:sz="8" w:space="0" w:color="auto"/>
              <w:left w:val="single" w:sz="8" w:space="0" w:color="auto"/>
              <w:bottom w:val="single" w:sz="8" w:space="0" w:color="auto"/>
              <w:right w:val="single" w:sz="8" w:space="0" w:color="auto"/>
            </w:tcBorders>
            <w:textDirection w:val="lrTb"/>
            <w:vAlign w:val="center"/>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sidR="0002230E">
              <w:rPr>
                <w:rFonts w:ascii="Times New Roman" w:hAnsi="Times New Roman"/>
                <w:sz w:val="18"/>
                <w:szCs w:val="18"/>
              </w:rPr>
              <w:t>R</w:t>
            </w:r>
            <w:r w:rsidRPr="002D37D3">
              <w:rPr>
                <w:rFonts w:ascii="Times New Roman" w:hAnsi="Times New Roman"/>
                <w:sz w:val="18"/>
                <w:szCs w:val="18"/>
              </w:rPr>
              <w:t>ok 2013</w:t>
            </w:r>
          </w:p>
        </w:tc>
        <w:tc>
          <w:tcPr>
            <w:tcW w:w="1275" w:type="dxa"/>
            <w:tcBorders>
              <w:top w:val="single" w:sz="8" w:space="0" w:color="auto"/>
              <w:left w:val="single" w:sz="8" w:space="0" w:color="auto"/>
              <w:bottom w:val="single" w:sz="8" w:space="0" w:color="auto"/>
              <w:right w:val="single" w:sz="8" w:space="0" w:color="auto"/>
            </w:tcBorders>
            <w:textDirection w:val="lrTb"/>
            <w:vAlign w:val="center"/>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sidR="0002230E">
              <w:rPr>
                <w:rFonts w:ascii="Times New Roman" w:hAnsi="Times New Roman"/>
                <w:sz w:val="18"/>
                <w:szCs w:val="18"/>
              </w:rPr>
              <w:t>R</w:t>
            </w:r>
            <w:r w:rsidRPr="002D37D3">
              <w:rPr>
                <w:rFonts w:ascii="Times New Roman" w:hAnsi="Times New Roman"/>
                <w:sz w:val="18"/>
                <w:szCs w:val="18"/>
              </w:rPr>
              <w:t>ok 2014</w:t>
            </w:r>
          </w:p>
        </w:tc>
      </w:tr>
      <w:tr>
        <w:tblPrEx>
          <w:tblW w:w="9072" w:type="dxa"/>
          <w:tblInd w:w="108" w:type="dxa"/>
          <w:tblLayout w:type="fixed"/>
          <w:tblLook w:val="01E0"/>
        </w:tblPrEx>
        <w:tc>
          <w:tcPr>
            <w:tcW w:w="4111" w:type="dxa"/>
            <w:gridSpan w:val="2"/>
            <w:tcBorders>
              <w:top w:val="single" w:sz="8" w:space="0" w:color="auto"/>
              <w:left w:val="single" w:sz="8" w:space="0" w:color="auto"/>
              <w:bottom w:val="single" w:sz="8" w:space="0" w:color="auto"/>
              <w:right w:val="single" w:sz="8" w:space="0" w:color="auto"/>
            </w:tcBorders>
            <w:textDirection w:val="lrTb"/>
            <w:vAlign w:val="top"/>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a</w:t>
            </w:r>
          </w:p>
        </w:tc>
        <w:tc>
          <w:tcPr>
            <w:tcW w:w="1276" w:type="dxa"/>
            <w:tcBorders>
              <w:top w:val="single" w:sz="8" w:space="0" w:color="auto"/>
              <w:left w:val="single" w:sz="8" w:space="0" w:color="auto"/>
              <w:bottom w:val="single" w:sz="8" w:space="0" w:color="auto"/>
              <w:right w:val="single" w:sz="8" w:space="0" w:color="auto"/>
            </w:tcBorders>
            <w:textDirection w:val="lrTb"/>
            <w:vAlign w:val="top"/>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1</w:t>
            </w:r>
          </w:p>
        </w:tc>
        <w:tc>
          <w:tcPr>
            <w:tcW w:w="1134" w:type="dxa"/>
            <w:tcBorders>
              <w:top w:val="single" w:sz="8" w:space="0" w:color="auto"/>
              <w:left w:val="single" w:sz="8" w:space="0" w:color="auto"/>
              <w:bottom w:val="single" w:sz="8" w:space="0" w:color="auto"/>
              <w:right w:val="single" w:sz="8" w:space="0" w:color="auto"/>
            </w:tcBorders>
            <w:textDirection w:val="lrTb"/>
            <w:vAlign w:val="top"/>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2</w:t>
            </w:r>
          </w:p>
        </w:tc>
        <w:tc>
          <w:tcPr>
            <w:tcW w:w="1276" w:type="dxa"/>
            <w:tcBorders>
              <w:top w:val="single" w:sz="8" w:space="0" w:color="auto"/>
              <w:left w:val="single" w:sz="8" w:space="0" w:color="auto"/>
              <w:bottom w:val="single" w:sz="8" w:space="0" w:color="auto"/>
              <w:right w:val="single" w:sz="8" w:space="0" w:color="auto"/>
            </w:tcBorders>
            <w:textDirection w:val="lrTb"/>
            <w:vAlign w:val="top"/>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3</w:t>
            </w:r>
          </w:p>
        </w:tc>
        <w:tc>
          <w:tcPr>
            <w:tcW w:w="1275" w:type="dxa"/>
            <w:tcBorders>
              <w:top w:val="single" w:sz="8" w:space="0" w:color="auto"/>
              <w:left w:val="single" w:sz="8" w:space="0" w:color="auto"/>
              <w:bottom w:val="single" w:sz="8" w:space="0" w:color="auto"/>
              <w:right w:val="single" w:sz="4" w:space="0" w:color="auto"/>
            </w:tcBorders>
            <w:textDirection w:val="lrTb"/>
            <w:vAlign w:val="top"/>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4</w:t>
            </w:r>
          </w:p>
        </w:tc>
      </w:tr>
      <w:tr>
        <w:tblPrEx>
          <w:tblW w:w="9072" w:type="dxa"/>
          <w:tblInd w:w="108" w:type="dxa"/>
          <w:tblLayout w:type="fixed"/>
          <w:tblLook w:val="01E0"/>
        </w:tblPrEx>
        <w:tc>
          <w:tcPr>
            <w:tcW w:w="3261" w:type="dxa"/>
            <w:tcBorders>
              <w:top w:val="single" w:sz="8" w:space="0" w:color="auto"/>
              <w:left w:val="single" w:sz="8" w:space="0" w:color="auto"/>
              <w:bottom w:val="single" w:sz="8" w:space="0" w:color="auto"/>
              <w:right w:val="single" w:sz="8" w:space="0" w:color="auto"/>
            </w:tcBorders>
            <w:textDirection w:val="lrTb"/>
            <w:vAlign w:val="top"/>
          </w:tcPr>
          <w:p w:rsidR="003A475B" w:rsidRPr="002D37D3" w:rsidP="0002230E">
            <w:pPr>
              <w:pStyle w:val="BodyTextIndent"/>
              <w:tabs>
                <w:tab w:val="right" w:pos="8931"/>
              </w:tabs>
              <w:bidi w:val="0"/>
              <w:spacing w:before="0" w:after="0" w:line="240" w:lineRule="auto"/>
              <w:ind w:firstLine="0"/>
              <w:rPr>
                <w:rFonts w:ascii="Times New Roman" w:hAnsi="Times New Roman"/>
                <w:sz w:val="18"/>
                <w:szCs w:val="18"/>
              </w:rPr>
            </w:pPr>
            <w:r w:rsidR="00AF257F">
              <w:rPr>
                <w:rFonts w:ascii="Times New Roman" w:hAnsi="Times New Roman"/>
                <w:sz w:val="18"/>
                <w:szCs w:val="18"/>
              </w:rPr>
              <w:t>P</w:t>
            </w:r>
            <w:r w:rsidRPr="002D37D3">
              <w:rPr>
                <w:rFonts w:ascii="Times New Roman" w:hAnsi="Times New Roman"/>
                <w:sz w:val="18"/>
                <w:szCs w:val="18"/>
              </w:rPr>
              <w:t>očet zamestnancov</w:t>
            </w:r>
            <w:r w:rsidR="00AF257F">
              <w:rPr>
                <w:rFonts w:ascii="Times New Roman" w:hAnsi="Times New Roman"/>
                <w:sz w:val="18"/>
                <w:szCs w:val="18"/>
              </w:rPr>
              <w:t xml:space="preserve"> k 31.12.</w:t>
            </w:r>
          </w:p>
        </w:tc>
        <w:tc>
          <w:tcPr>
            <w:tcW w:w="850" w:type="dxa"/>
            <w:tcBorders>
              <w:top w:val="single" w:sz="8" w:space="0" w:color="auto"/>
              <w:left w:val="single" w:sz="8" w:space="0" w:color="auto"/>
              <w:bottom w:val="single" w:sz="8" w:space="0" w:color="auto"/>
              <w:right w:val="single" w:sz="8" w:space="0" w:color="auto"/>
            </w:tcBorders>
            <w:textDirection w:val="lrTb"/>
            <w:vAlign w:val="top"/>
          </w:tcPr>
          <w:p w:rsidR="003A475B" w:rsidRPr="002D37D3" w:rsidP="0002230E">
            <w:pPr>
              <w:pStyle w:val="BodyTextIndent"/>
              <w:tabs>
                <w:tab w:val="right" w:pos="8931"/>
              </w:tabs>
              <w:bidi w:val="0"/>
              <w:spacing w:before="0" w:after="0" w:line="240" w:lineRule="auto"/>
              <w:ind w:firstLine="0"/>
              <w:jc w:val="center"/>
              <w:rPr>
                <w:rFonts w:ascii="Times New Roman" w:hAnsi="Times New Roman"/>
                <w:sz w:val="18"/>
                <w:szCs w:val="18"/>
              </w:rPr>
            </w:pPr>
            <w:r w:rsidRPr="002D37D3">
              <w:rPr>
                <w:rFonts w:ascii="Times New Roman" w:hAnsi="Times New Roman"/>
                <w:sz w:val="18"/>
                <w:szCs w:val="18"/>
              </w:rPr>
              <w:t>osoby</w:t>
            </w:r>
          </w:p>
        </w:tc>
        <w:tc>
          <w:tcPr>
            <w:tcW w:w="1276" w:type="dxa"/>
            <w:tcBorders>
              <w:top w:val="single" w:sz="8" w:space="0" w:color="auto"/>
              <w:left w:val="single" w:sz="8" w:space="0" w:color="auto"/>
              <w:bottom w:val="single" w:sz="8" w:space="0" w:color="auto"/>
              <w:right w:val="single" w:sz="8" w:space="0" w:color="auto"/>
            </w:tcBorders>
            <w:textDirection w:val="lrTb"/>
            <w:vAlign w:val="top"/>
          </w:tcPr>
          <w:p w:rsidR="003A475B" w:rsidRPr="002D37D3" w:rsidP="005F26C8">
            <w:pPr>
              <w:pStyle w:val="BodyTextIndent"/>
              <w:tabs>
                <w:tab w:val="right" w:pos="8931"/>
              </w:tabs>
              <w:bidi w:val="0"/>
              <w:spacing w:before="0" w:after="0" w:line="240" w:lineRule="auto"/>
              <w:ind w:firstLine="0"/>
              <w:jc w:val="center"/>
              <w:rPr>
                <w:rFonts w:ascii="Times New Roman" w:hAnsi="Times New Roman"/>
                <w:sz w:val="18"/>
                <w:szCs w:val="18"/>
              </w:rPr>
            </w:pPr>
            <w:r w:rsidR="00A028FD">
              <w:rPr>
                <w:rFonts w:ascii="Times New Roman" w:hAnsi="Times New Roman"/>
                <w:sz w:val="18"/>
                <w:szCs w:val="18"/>
              </w:rPr>
              <w:t>5 226</w:t>
            </w:r>
          </w:p>
        </w:tc>
        <w:tc>
          <w:tcPr>
            <w:tcW w:w="1134" w:type="dxa"/>
            <w:tcBorders>
              <w:top w:val="single" w:sz="8" w:space="0" w:color="auto"/>
              <w:left w:val="single" w:sz="8" w:space="0" w:color="auto"/>
              <w:bottom w:val="single" w:sz="8" w:space="0" w:color="auto"/>
              <w:right w:val="single" w:sz="8" w:space="0" w:color="auto"/>
            </w:tcBorders>
            <w:textDirection w:val="lrTb"/>
            <w:vAlign w:val="top"/>
          </w:tcPr>
          <w:p w:rsidR="003A475B" w:rsidRPr="002D37D3" w:rsidP="005F26C8">
            <w:pPr>
              <w:pStyle w:val="BodyTextIndent"/>
              <w:tabs>
                <w:tab w:val="right" w:pos="8931"/>
              </w:tabs>
              <w:bidi w:val="0"/>
              <w:spacing w:before="0" w:after="0" w:line="240" w:lineRule="auto"/>
              <w:ind w:firstLine="0"/>
              <w:jc w:val="center"/>
              <w:rPr>
                <w:rFonts w:ascii="Times New Roman" w:hAnsi="Times New Roman"/>
                <w:sz w:val="18"/>
                <w:szCs w:val="18"/>
              </w:rPr>
            </w:pPr>
            <w:r w:rsidR="00A028FD">
              <w:rPr>
                <w:rFonts w:ascii="Times New Roman" w:hAnsi="Times New Roman"/>
                <w:sz w:val="18"/>
                <w:szCs w:val="18"/>
              </w:rPr>
              <w:t>4 920</w:t>
            </w:r>
          </w:p>
        </w:tc>
        <w:tc>
          <w:tcPr>
            <w:tcW w:w="1276" w:type="dxa"/>
            <w:tcBorders>
              <w:top w:val="single" w:sz="8" w:space="0" w:color="auto"/>
              <w:left w:val="single" w:sz="8" w:space="0" w:color="auto"/>
              <w:bottom w:val="single" w:sz="8" w:space="0" w:color="auto"/>
              <w:right w:val="single" w:sz="8" w:space="0" w:color="auto"/>
            </w:tcBorders>
            <w:textDirection w:val="lrTb"/>
            <w:vAlign w:val="top"/>
          </w:tcPr>
          <w:p w:rsidR="003A475B" w:rsidRPr="002D37D3" w:rsidP="0002230E">
            <w:pPr>
              <w:pStyle w:val="BodyTextIndent"/>
              <w:tabs>
                <w:tab w:val="right" w:pos="8931"/>
              </w:tabs>
              <w:bidi w:val="0"/>
              <w:spacing w:before="0" w:after="0" w:line="240" w:lineRule="auto"/>
              <w:ind w:firstLine="0"/>
              <w:jc w:val="right"/>
              <w:rPr>
                <w:rFonts w:ascii="Times New Roman" w:hAnsi="Times New Roman"/>
                <w:sz w:val="18"/>
                <w:szCs w:val="18"/>
              </w:rPr>
            </w:pPr>
            <w:r w:rsidRPr="00A028FD" w:rsidR="00A028FD">
              <w:rPr>
                <w:rFonts w:ascii="Times" w:hAnsi="Times"/>
                <w:sz w:val="18"/>
                <w:szCs w:val="18"/>
              </w:rPr>
              <w:t>3 420</w:t>
            </w:r>
            <w:r w:rsidRPr="002D37D3">
              <w:rPr>
                <w:rFonts w:ascii="Times" w:hAnsi="Times"/>
                <w:sz w:val="18"/>
                <w:szCs w:val="18"/>
                <w:vertAlign w:val="superscript"/>
              </w:rPr>
              <w:t>*)</w:t>
            </w:r>
          </w:p>
        </w:tc>
        <w:tc>
          <w:tcPr>
            <w:tcW w:w="1275" w:type="dxa"/>
            <w:tcBorders>
              <w:top w:val="single" w:sz="8" w:space="0" w:color="auto"/>
              <w:left w:val="single" w:sz="8" w:space="0" w:color="auto"/>
              <w:bottom w:val="single" w:sz="8" w:space="0" w:color="auto"/>
              <w:right w:val="single" w:sz="4" w:space="0" w:color="auto"/>
            </w:tcBorders>
            <w:textDirection w:val="lrTb"/>
            <w:vAlign w:val="top"/>
          </w:tcPr>
          <w:p w:rsidR="003A475B" w:rsidRPr="002D37D3" w:rsidP="0002230E">
            <w:pPr>
              <w:pStyle w:val="BodyTextIndent"/>
              <w:tabs>
                <w:tab w:val="right" w:pos="8931"/>
              </w:tabs>
              <w:bidi w:val="0"/>
              <w:spacing w:before="0" w:after="0" w:line="240" w:lineRule="auto"/>
              <w:ind w:firstLine="0"/>
              <w:jc w:val="right"/>
              <w:rPr>
                <w:rFonts w:ascii="Times New Roman" w:hAnsi="Times New Roman"/>
                <w:sz w:val="18"/>
                <w:szCs w:val="18"/>
              </w:rPr>
            </w:pPr>
            <w:r w:rsidR="00A028FD">
              <w:rPr>
                <w:rFonts w:ascii="Times" w:hAnsi="Times"/>
                <w:sz w:val="18"/>
                <w:szCs w:val="18"/>
              </w:rPr>
              <w:t>3 400</w:t>
            </w:r>
            <w:r w:rsidRPr="002D37D3">
              <w:rPr>
                <w:rFonts w:ascii="Times" w:hAnsi="Times"/>
                <w:sz w:val="18"/>
                <w:szCs w:val="18"/>
                <w:vertAlign w:val="superscript"/>
              </w:rPr>
              <w:t>*)</w:t>
            </w:r>
          </w:p>
        </w:tc>
      </w:tr>
    </w:tbl>
    <w:p w:rsidR="003A475B" w:rsidRPr="005F26C8" w:rsidP="00666FBB">
      <w:pPr>
        <w:pStyle w:val="BodyTextIndent"/>
        <w:tabs>
          <w:tab w:val="left" w:pos="709"/>
          <w:tab w:val="right" w:pos="8931"/>
        </w:tabs>
        <w:bidi w:val="0"/>
        <w:spacing w:before="120" w:line="240" w:lineRule="auto"/>
        <w:ind w:firstLine="0"/>
        <w:rPr>
          <w:rFonts w:ascii="Times New Roman" w:hAnsi="Times New Roman"/>
          <w:sz w:val="18"/>
          <w:szCs w:val="18"/>
        </w:rPr>
      </w:pPr>
      <w:r w:rsidRPr="005F26C8">
        <w:rPr>
          <w:rFonts w:ascii="Times New Roman" w:hAnsi="Times New Roman"/>
          <w:sz w:val="18"/>
          <w:szCs w:val="18"/>
        </w:rPr>
        <w:t>*) predpoklad zníženia počtu zamestnancov je zapracovaný v súlade s pripravovaným projektom elektronizácie služieb Sociálnej poisťovne a projektom zjednotenia daní, ciel a odvodov</w:t>
      </w:r>
    </w:p>
    <w:p w:rsidR="003A475B" w:rsidP="005F26C8">
      <w:pPr>
        <w:pStyle w:val="BodyTextIndent"/>
        <w:tabs>
          <w:tab w:val="right" w:pos="8931"/>
        </w:tabs>
        <w:bidi w:val="0"/>
        <w:spacing w:line="240" w:lineRule="auto"/>
        <w:ind w:firstLine="720"/>
        <w:rPr>
          <w:rFonts w:ascii="Times New Roman" w:hAnsi="Times New Roman"/>
        </w:rPr>
      </w:pPr>
      <w:r w:rsidRPr="002D37D3">
        <w:rPr>
          <w:rFonts w:ascii="Times New Roman" w:hAnsi="Times New Roman"/>
        </w:rPr>
        <w:t>Kvantifikácia návrhu rozpočtu kategórie tovarov a služieb na jednotlivé roky podľa rozpočtových položiek je uvedená v nasledujúcej tabuľke:</w:t>
      </w:r>
    </w:p>
    <w:p w:rsidR="003A475B" w:rsidRPr="002D37D3" w:rsidP="003A475B">
      <w:pPr>
        <w:pStyle w:val="BodyTextIndent"/>
        <w:tabs>
          <w:tab w:val="right" w:pos="8931"/>
        </w:tabs>
        <w:bidi w:val="0"/>
        <w:spacing w:before="120" w:line="240" w:lineRule="auto"/>
        <w:ind w:firstLine="720"/>
        <w:rPr>
          <w:rFonts w:ascii="Times New Roman" w:hAnsi="Times New Roman"/>
        </w:rPr>
      </w:pPr>
      <w:r w:rsidRPr="002D37D3">
        <w:rPr>
          <w:rFonts w:ascii="Times New Roman" w:hAnsi="Times New Roman"/>
        </w:rPr>
        <w:t xml:space="preserve">                                                                                                                    v tis. Eur</w:t>
      </w:r>
    </w:p>
    <w:tbl>
      <w:tblPr>
        <w:tblStyle w:val="TableNormal"/>
        <w:tblW w:w="8941" w:type="dxa"/>
        <w:tblInd w:w="60" w:type="dxa"/>
        <w:tblCellMar>
          <w:left w:w="70" w:type="dxa"/>
          <w:right w:w="70" w:type="dxa"/>
        </w:tblCellMar>
      </w:tblPr>
      <w:tblGrid>
        <w:gridCol w:w="10"/>
        <w:gridCol w:w="4680"/>
        <w:gridCol w:w="1416"/>
        <w:gridCol w:w="1417"/>
        <w:gridCol w:w="1418"/>
      </w:tblGrid>
      <w:tr>
        <w:tblPrEx>
          <w:tblW w:w="8941" w:type="dxa"/>
          <w:tblInd w:w="60" w:type="dxa"/>
          <w:tblCellMar>
            <w:left w:w="70" w:type="dxa"/>
            <w:right w:w="70" w:type="dxa"/>
          </w:tblCellMar>
        </w:tblPrEx>
        <w:trPr>
          <w:gridBefore w:val="1"/>
          <w:wBefore w:w="10" w:type="dxa"/>
          <w:trHeight w:val="255"/>
        </w:trPr>
        <w:tc>
          <w:tcPr>
            <w:tcW w:w="4680" w:type="dxa"/>
            <w:tcBorders>
              <w:top w:val="single" w:sz="8" w:space="0" w:color="auto"/>
              <w:left w:val="single" w:sz="8" w:space="0" w:color="auto"/>
              <w:bottom w:val="single" w:sz="8" w:space="0" w:color="auto"/>
              <w:right w:val="single" w:sz="8" w:space="0" w:color="auto"/>
            </w:tcBorders>
            <w:noWrap/>
            <w:textDirection w:val="lrTb"/>
            <w:vAlign w:val="bottom"/>
          </w:tcPr>
          <w:p w:rsidR="003A475B" w:rsidRPr="002D37D3" w:rsidP="0002230E">
            <w:pPr>
              <w:bidi w:val="0"/>
              <w:jc w:val="center"/>
              <w:rPr>
                <w:rFonts w:ascii="Times New Roman" w:hAnsi="Times New Roman"/>
                <w:b/>
                <w:sz w:val="18"/>
                <w:szCs w:val="18"/>
              </w:rPr>
            </w:pPr>
            <w:r w:rsidRPr="002D37D3">
              <w:rPr>
                <w:rFonts w:ascii="Times New Roman" w:hAnsi="Times New Roman"/>
              </w:rPr>
              <w:tab/>
              <w:tab/>
            </w:r>
            <w:r w:rsidRPr="002D37D3">
              <w:rPr>
                <w:rFonts w:ascii="Times New Roman" w:hAnsi="Times New Roman"/>
                <w:b/>
                <w:sz w:val="18"/>
                <w:szCs w:val="18"/>
              </w:rPr>
              <w:t>Ukazovateľ</w:t>
            </w:r>
          </w:p>
        </w:tc>
        <w:tc>
          <w:tcPr>
            <w:tcW w:w="1416"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center"/>
              <w:rPr>
                <w:rFonts w:ascii="Times New Roman" w:hAnsi="Times New Roman"/>
                <w:b/>
                <w:sz w:val="18"/>
                <w:szCs w:val="18"/>
              </w:rPr>
            </w:pPr>
            <w:r w:rsidRPr="002D37D3">
              <w:rPr>
                <w:rFonts w:ascii="Times New Roman" w:hAnsi="Times New Roman"/>
                <w:b/>
                <w:sz w:val="18"/>
                <w:szCs w:val="18"/>
              </w:rPr>
              <w:t>Rok 2012</w:t>
            </w:r>
          </w:p>
        </w:tc>
        <w:tc>
          <w:tcPr>
            <w:tcW w:w="1417"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center"/>
              <w:rPr>
                <w:rFonts w:ascii="Times New Roman" w:hAnsi="Times New Roman"/>
                <w:b/>
                <w:sz w:val="18"/>
                <w:szCs w:val="18"/>
              </w:rPr>
            </w:pPr>
            <w:r w:rsidRPr="002D37D3">
              <w:rPr>
                <w:rFonts w:ascii="Times New Roman" w:hAnsi="Times New Roman"/>
                <w:b/>
                <w:sz w:val="18"/>
                <w:szCs w:val="18"/>
              </w:rPr>
              <w:t>Rok 2013</w:t>
            </w:r>
          </w:p>
        </w:tc>
        <w:tc>
          <w:tcPr>
            <w:tcW w:w="1418" w:type="dxa"/>
            <w:tcBorders>
              <w:top w:val="single" w:sz="8" w:space="0" w:color="auto"/>
              <w:left w:val="single" w:sz="8" w:space="0" w:color="auto"/>
              <w:bottom w:val="single" w:sz="8" w:space="0" w:color="auto"/>
              <w:right w:val="single" w:sz="8" w:space="0" w:color="auto"/>
            </w:tcBorders>
            <w:textDirection w:val="lrTb"/>
            <w:vAlign w:val="bottom"/>
          </w:tcPr>
          <w:p w:rsidR="003A475B" w:rsidRPr="002D37D3" w:rsidP="0002230E">
            <w:pPr>
              <w:bidi w:val="0"/>
              <w:jc w:val="center"/>
              <w:rPr>
                <w:rFonts w:ascii="Times New Roman" w:hAnsi="Times New Roman"/>
                <w:b/>
                <w:sz w:val="18"/>
                <w:szCs w:val="18"/>
              </w:rPr>
            </w:pPr>
            <w:r w:rsidRPr="002D37D3">
              <w:rPr>
                <w:rFonts w:ascii="Times New Roman" w:hAnsi="Times New Roman"/>
                <w:b/>
                <w:sz w:val="18"/>
                <w:szCs w:val="18"/>
              </w:rPr>
              <w:t>Rok 2014</w:t>
            </w:r>
          </w:p>
        </w:tc>
      </w:tr>
      <w:tr>
        <w:tblPrEx>
          <w:tblW w:w="8941" w:type="dxa"/>
          <w:tblInd w:w="60" w:type="dxa"/>
          <w:tblCellMar>
            <w:left w:w="70" w:type="dxa"/>
            <w:right w:w="70" w:type="dxa"/>
          </w:tblCellMar>
        </w:tblPrEx>
        <w:trPr>
          <w:trHeight w:val="255"/>
        </w:trPr>
        <w:tc>
          <w:tcPr>
            <w:tcW w:w="4690" w:type="dxa"/>
            <w:gridSpan w:val="2"/>
            <w:tcBorders>
              <w:top w:val="single" w:sz="8" w:space="0" w:color="auto"/>
              <w:left w:val="single" w:sz="8" w:space="0" w:color="auto"/>
              <w:bottom w:val="single" w:sz="8" w:space="0" w:color="auto"/>
              <w:right w:val="single" w:sz="8" w:space="0" w:color="auto"/>
            </w:tcBorders>
            <w:noWrap/>
            <w:textDirection w:val="lrTb"/>
            <w:vAlign w:val="bottom"/>
          </w:tcPr>
          <w:p w:rsidR="003A475B" w:rsidRPr="002D37D3" w:rsidP="0002230E">
            <w:pPr>
              <w:bidi w:val="0"/>
              <w:jc w:val="center"/>
              <w:rPr>
                <w:rFonts w:ascii="Times New Roman" w:hAnsi="Times New Roman"/>
                <w:sz w:val="18"/>
                <w:szCs w:val="18"/>
              </w:rPr>
            </w:pPr>
            <w:r w:rsidRPr="002D37D3">
              <w:rPr>
                <w:rFonts w:ascii="Times New Roman" w:hAnsi="Times New Roman"/>
                <w:sz w:val="18"/>
                <w:szCs w:val="18"/>
              </w:rPr>
              <w:t>a</w:t>
            </w:r>
          </w:p>
        </w:tc>
        <w:tc>
          <w:tcPr>
            <w:tcW w:w="1416" w:type="dxa"/>
            <w:tcBorders>
              <w:top w:val="single" w:sz="8" w:space="0" w:color="auto"/>
              <w:left w:val="single" w:sz="8" w:space="0" w:color="auto"/>
              <w:bottom w:val="single" w:sz="8" w:space="0" w:color="auto"/>
              <w:right w:val="nil"/>
            </w:tcBorders>
            <w:noWrap/>
            <w:textDirection w:val="lrTb"/>
            <w:vAlign w:val="bottom"/>
          </w:tcPr>
          <w:p w:rsidR="003A475B" w:rsidRPr="002D37D3" w:rsidP="0002230E">
            <w:pPr>
              <w:bidi w:val="0"/>
              <w:jc w:val="center"/>
              <w:rPr>
                <w:rFonts w:ascii="Times New Roman" w:hAnsi="Times New Roman"/>
                <w:sz w:val="18"/>
                <w:szCs w:val="18"/>
              </w:rPr>
            </w:pPr>
            <w:r w:rsidRPr="002D37D3">
              <w:rPr>
                <w:rFonts w:ascii="Times New Roman" w:hAnsi="Times New Roman"/>
                <w:sz w:val="18"/>
                <w:szCs w:val="18"/>
              </w:rPr>
              <w:t>1</w:t>
            </w:r>
          </w:p>
        </w:tc>
        <w:tc>
          <w:tcPr>
            <w:tcW w:w="1417" w:type="dxa"/>
            <w:tcBorders>
              <w:top w:val="single" w:sz="8" w:space="0" w:color="auto"/>
              <w:left w:val="single" w:sz="4" w:space="0" w:color="auto"/>
              <w:bottom w:val="single" w:sz="8" w:space="0" w:color="auto"/>
              <w:right w:val="single" w:sz="4" w:space="0" w:color="auto"/>
            </w:tcBorders>
            <w:noWrap/>
            <w:textDirection w:val="lrTb"/>
            <w:vAlign w:val="bottom"/>
          </w:tcPr>
          <w:p w:rsidR="003A475B" w:rsidRPr="002D37D3" w:rsidP="0002230E">
            <w:pPr>
              <w:bidi w:val="0"/>
              <w:jc w:val="center"/>
              <w:rPr>
                <w:rFonts w:ascii="Times New Roman" w:hAnsi="Times New Roman"/>
                <w:sz w:val="18"/>
                <w:szCs w:val="18"/>
              </w:rPr>
            </w:pPr>
            <w:r w:rsidRPr="002D37D3">
              <w:rPr>
                <w:rFonts w:ascii="Times New Roman" w:hAnsi="Times New Roman"/>
                <w:sz w:val="18"/>
                <w:szCs w:val="18"/>
              </w:rPr>
              <w:t>2</w:t>
            </w:r>
          </w:p>
        </w:tc>
        <w:tc>
          <w:tcPr>
            <w:tcW w:w="1418" w:type="dxa"/>
            <w:tcBorders>
              <w:top w:val="single" w:sz="8" w:space="0" w:color="auto"/>
              <w:left w:val="nil"/>
              <w:bottom w:val="single" w:sz="8" w:space="0" w:color="auto"/>
              <w:right w:val="single" w:sz="8" w:space="0" w:color="auto"/>
            </w:tcBorders>
            <w:noWrap/>
            <w:textDirection w:val="lrTb"/>
            <w:vAlign w:val="bottom"/>
          </w:tcPr>
          <w:p w:rsidR="003A475B" w:rsidRPr="002D37D3" w:rsidP="0002230E">
            <w:pPr>
              <w:bidi w:val="0"/>
              <w:jc w:val="center"/>
              <w:rPr>
                <w:rFonts w:ascii="Times New Roman" w:hAnsi="Times New Roman"/>
                <w:sz w:val="18"/>
                <w:szCs w:val="18"/>
              </w:rPr>
            </w:pPr>
            <w:r w:rsidRPr="002D37D3">
              <w:rPr>
                <w:rFonts w:ascii="Times New Roman" w:hAnsi="Times New Roman"/>
                <w:sz w:val="18"/>
                <w:szCs w:val="18"/>
              </w:rPr>
              <w:t>3</w:t>
            </w:r>
          </w:p>
        </w:tc>
      </w:tr>
      <w:tr>
        <w:tblPrEx>
          <w:tblW w:w="8941" w:type="dxa"/>
          <w:tblInd w:w="60" w:type="dxa"/>
          <w:tblCellMar>
            <w:left w:w="70" w:type="dxa"/>
            <w:right w:w="70" w:type="dxa"/>
          </w:tblCellMar>
        </w:tblPrEx>
        <w:trPr>
          <w:trHeight w:val="300"/>
        </w:trPr>
        <w:tc>
          <w:tcPr>
            <w:tcW w:w="4690" w:type="dxa"/>
            <w:gridSpan w:val="2"/>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b/>
                <w:bCs/>
                <w:sz w:val="18"/>
                <w:szCs w:val="18"/>
              </w:rPr>
            </w:pPr>
            <w:r w:rsidRPr="002D37D3">
              <w:rPr>
                <w:rFonts w:ascii="Times New Roman" w:hAnsi="Times New Roman"/>
                <w:b/>
                <w:bCs/>
                <w:sz w:val="18"/>
                <w:szCs w:val="18"/>
              </w:rPr>
              <w:t>Tovary a služby</w:t>
            </w:r>
          </w:p>
        </w:tc>
        <w:tc>
          <w:tcPr>
            <w:tcW w:w="1416" w:type="dxa"/>
            <w:tcBorders>
              <w:top w:val="nil"/>
              <w:left w:val="single" w:sz="8" w:space="0" w:color="auto"/>
              <w:bottom w:val="nil"/>
              <w:right w:val="nil"/>
            </w:tcBorders>
            <w:noWrap/>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38 194</w:t>
            </w:r>
          </w:p>
        </w:tc>
        <w:tc>
          <w:tcPr>
            <w:tcW w:w="1417" w:type="dxa"/>
            <w:tcBorders>
              <w:top w:val="nil"/>
              <w:left w:val="single" w:sz="4" w:space="0" w:color="auto"/>
              <w:bottom w:val="nil"/>
              <w:right w:val="single" w:sz="4" w:space="0" w:color="auto"/>
            </w:tcBorders>
            <w:noWrap/>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36 933</w:t>
            </w:r>
          </w:p>
        </w:tc>
        <w:tc>
          <w:tcPr>
            <w:tcW w:w="1418" w:type="dxa"/>
            <w:tcBorders>
              <w:top w:val="nil"/>
              <w:left w:val="nil"/>
              <w:bottom w:val="nil"/>
              <w:right w:val="single" w:sz="8" w:space="0" w:color="auto"/>
            </w:tcBorders>
            <w:noWrap/>
            <w:textDirection w:val="lrTb"/>
            <w:vAlign w:val="bottom"/>
          </w:tcPr>
          <w:p w:rsidR="003A475B" w:rsidRPr="002D37D3" w:rsidP="0002230E">
            <w:pPr>
              <w:bidi w:val="0"/>
              <w:jc w:val="right"/>
              <w:rPr>
                <w:rFonts w:ascii="Times New Roman" w:hAnsi="Times New Roman"/>
                <w:b/>
                <w:bCs/>
                <w:sz w:val="18"/>
                <w:szCs w:val="18"/>
              </w:rPr>
            </w:pPr>
            <w:r w:rsidRPr="002D37D3">
              <w:rPr>
                <w:rFonts w:ascii="Times New Roman" w:hAnsi="Times New Roman"/>
                <w:b/>
                <w:bCs/>
                <w:sz w:val="18"/>
                <w:szCs w:val="18"/>
              </w:rPr>
              <w:t>28 059</w:t>
            </w:r>
          </w:p>
        </w:tc>
      </w:tr>
      <w:tr>
        <w:tblPrEx>
          <w:tblW w:w="8941" w:type="dxa"/>
          <w:tblInd w:w="60" w:type="dxa"/>
          <w:tblCellMar>
            <w:left w:w="70" w:type="dxa"/>
            <w:right w:w="70" w:type="dxa"/>
          </w:tblCellMar>
        </w:tblPrEx>
        <w:trPr>
          <w:trHeight w:val="255"/>
        </w:trPr>
        <w:tc>
          <w:tcPr>
            <w:tcW w:w="4690" w:type="dxa"/>
            <w:gridSpan w:val="2"/>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Cestovné náhrady</w:t>
            </w:r>
          </w:p>
        </w:tc>
        <w:tc>
          <w:tcPr>
            <w:tcW w:w="1416" w:type="dxa"/>
            <w:tcBorders>
              <w:top w:val="nil"/>
              <w:left w:val="single" w:sz="8" w:space="0" w:color="auto"/>
              <w:bottom w:val="nil"/>
              <w:right w:val="nil"/>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208</w:t>
            </w:r>
          </w:p>
        </w:tc>
        <w:tc>
          <w:tcPr>
            <w:tcW w:w="1417" w:type="dxa"/>
            <w:tcBorders>
              <w:top w:val="nil"/>
              <w:left w:val="single" w:sz="4" w:space="0" w:color="auto"/>
              <w:bottom w:val="nil"/>
              <w:right w:val="single" w:sz="4"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208</w:t>
            </w:r>
          </w:p>
        </w:tc>
        <w:tc>
          <w:tcPr>
            <w:tcW w:w="1418" w:type="dxa"/>
            <w:tcBorders>
              <w:top w:val="nil"/>
              <w:left w:val="nil"/>
              <w:bottom w:val="nil"/>
              <w:right w:val="single" w:sz="8"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168</w:t>
            </w:r>
          </w:p>
        </w:tc>
      </w:tr>
      <w:tr>
        <w:tblPrEx>
          <w:tblW w:w="8941" w:type="dxa"/>
          <w:tblInd w:w="60" w:type="dxa"/>
          <w:tblCellMar>
            <w:left w:w="70" w:type="dxa"/>
            <w:right w:w="70" w:type="dxa"/>
          </w:tblCellMar>
        </w:tblPrEx>
        <w:trPr>
          <w:trHeight w:val="255"/>
        </w:trPr>
        <w:tc>
          <w:tcPr>
            <w:tcW w:w="4690" w:type="dxa"/>
            <w:gridSpan w:val="2"/>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Energia, voda a komunikácie</w:t>
            </w:r>
          </w:p>
        </w:tc>
        <w:tc>
          <w:tcPr>
            <w:tcW w:w="1416" w:type="dxa"/>
            <w:tcBorders>
              <w:top w:val="nil"/>
              <w:left w:val="single" w:sz="8" w:space="0" w:color="auto"/>
              <w:bottom w:val="nil"/>
              <w:right w:val="nil"/>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14 255</w:t>
            </w:r>
          </w:p>
        </w:tc>
        <w:tc>
          <w:tcPr>
            <w:tcW w:w="1417" w:type="dxa"/>
            <w:tcBorders>
              <w:top w:val="nil"/>
              <w:left w:val="single" w:sz="4" w:space="0" w:color="auto"/>
              <w:bottom w:val="nil"/>
              <w:right w:val="single" w:sz="4"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14 366</w:t>
            </w:r>
          </w:p>
        </w:tc>
        <w:tc>
          <w:tcPr>
            <w:tcW w:w="1418" w:type="dxa"/>
            <w:tcBorders>
              <w:top w:val="nil"/>
              <w:left w:val="nil"/>
              <w:bottom w:val="nil"/>
              <w:right w:val="single" w:sz="8"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13 444</w:t>
            </w:r>
          </w:p>
        </w:tc>
      </w:tr>
      <w:tr>
        <w:tblPrEx>
          <w:tblW w:w="8941" w:type="dxa"/>
          <w:tblInd w:w="60" w:type="dxa"/>
          <w:tblCellMar>
            <w:left w:w="70" w:type="dxa"/>
            <w:right w:w="70" w:type="dxa"/>
          </w:tblCellMar>
        </w:tblPrEx>
        <w:trPr>
          <w:trHeight w:val="255"/>
        </w:trPr>
        <w:tc>
          <w:tcPr>
            <w:tcW w:w="4690" w:type="dxa"/>
            <w:gridSpan w:val="2"/>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Materiál</w:t>
            </w:r>
          </w:p>
        </w:tc>
        <w:tc>
          <w:tcPr>
            <w:tcW w:w="1416" w:type="dxa"/>
            <w:tcBorders>
              <w:top w:val="nil"/>
              <w:left w:val="single" w:sz="8" w:space="0" w:color="auto"/>
              <w:bottom w:val="nil"/>
              <w:right w:val="nil"/>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2 232</w:t>
            </w:r>
          </w:p>
        </w:tc>
        <w:tc>
          <w:tcPr>
            <w:tcW w:w="1417" w:type="dxa"/>
            <w:tcBorders>
              <w:top w:val="nil"/>
              <w:left w:val="single" w:sz="4" w:space="0" w:color="auto"/>
              <w:bottom w:val="nil"/>
              <w:right w:val="single" w:sz="4"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2 510</w:t>
            </w:r>
          </w:p>
        </w:tc>
        <w:tc>
          <w:tcPr>
            <w:tcW w:w="1418" w:type="dxa"/>
            <w:tcBorders>
              <w:top w:val="nil"/>
              <w:left w:val="nil"/>
              <w:bottom w:val="nil"/>
              <w:right w:val="single" w:sz="8"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1 573</w:t>
            </w:r>
          </w:p>
        </w:tc>
      </w:tr>
      <w:tr>
        <w:tblPrEx>
          <w:tblW w:w="8941" w:type="dxa"/>
          <w:tblInd w:w="60" w:type="dxa"/>
          <w:tblCellMar>
            <w:left w:w="70" w:type="dxa"/>
            <w:right w:w="70" w:type="dxa"/>
          </w:tblCellMar>
        </w:tblPrEx>
        <w:trPr>
          <w:trHeight w:val="255"/>
        </w:trPr>
        <w:tc>
          <w:tcPr>
            <w:tcW w:w="4690" w:type="dxa"/>
            <w:gridSpan w:val="2"/>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Dopravné</w:t>
            </w:r>
          </w:p>
        </w:tc>
        <w:tc>
          <w:tcPr>
            <w:tcW w:w="1416" w:type="dxa"/>
            <w:tcBorders>
              <w:top w:val="nil"/>
              <w:left w:val="single" w:sz="8" w:space="0" w:color="auto"/>
              <w:bottom w:val="nil"/>
              <w:right w:val="nil"/>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478</w:t>
            </w:r>
          </w:p>
        </w:tc>
        <w:tc>
          <w:tcPr>
            <w:tcW w:w="1417" w:type="dxa"/>
            <w:tcBorders>
              <w:top w:val="nil"/>
              <w:left w:val="single" w:sz="4" w:space="0" w:color="auto"/>
              <w:bottom w:val="nil"/>
              <w:right w:val="single" w:sz="4"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558</w:t>
            </w:r>
          </w:p>
        </w:tc>
        <w:tc>
          <w:tcPr>
            <w:tcW w:w="1418" w:type="dxa"/>
            <w:tcBorders>
              <w:top w:val="nil"/>
              <w:left w:val="nil"/>
              <w:bottom w:val="nil"/>
              <w:right w:val="single" w:sz="8"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368</w:t>
            </w:r>
          </w:p>
        </w:tc>
      </w:tr>
      <w:tr>
        <w:tblPrEx>
          <w:tblW w:w="8941" w:type="dxa"/>
          <w:tblInd w:w="60" w:type="dxa"/>
          <w:tblCellMar>
            <w:left w:w="70" w:type="dxa"/>
            <w:right w:w="70" w:type="dxa"/>
          </w:tblCellMar>
        </w:tblPrEx>
        <w:trPr>
          <w:trHeight w:val="255"/>
        </w:trPr>
        <w:tc>
          <w:tcPr>
            <w:tcW w:w="4690" w:type="dxa"/>
            <w:gridSpan w:val="2"/>
            <w:tcBorders>
              <w:top w:val="nil"/>
              <w:left w:val="single" w:sz="8" w:space="0" w:color="auto"/>
              <w:bottom w:val="nil"/>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Rutinná a štandardná údržba</w:t>
            </w:r>
          </w:p>
        </w:tc>
        <w:tc>
          <w:tcPr>
            <w:tcW w:w="1416" w:type="dxa"/>
            <w:tcBorders>
              <w:top w:val="nil"/>
              <w:left w:val="single" w:sz="8" w:space="0" w:color="auto"/>
              <w:bottom w:val="nil"/>
              <w:right w:val="nil"/>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10 927</w:t>
            </w:r>
          </w:p>
        </w:tc>
        <w:tc>
          <w:tcPr>
            <w:tcW w:w="1417" w:type="dxa"/>
            <w:tcBorders>
              <w:top w:val="nil"/>
              <w:left w:val="single" w:sz="4" w:space="0" w:color="auto"/>
              <w:bottom w:val="nil"/>
              <w:right w:val="single" w:sz="4"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10 127</w:t>
            </w:r>
          </w:p>
        </w:tc>
        <w:tc>
          <w:tcPr>
            <w:tcW w:w="1418" w:type="dxa"/>
            <w:tcBorders>
              <w:top w:val="nil"/>
              <w:left w:val="nil"/>
              <w:bottom w:val="nil"/>
              <w:right w:val="single" w:sz="8"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4 796</w:t>
            </w:r>
          </w:p>
        </w:tc>
      </w:tr>
      <w:tr>
        <w:tblPrEx>
          <w:tblW w:w="8941" w:type="dxa"/>
          <w:tblInd w:w="60" w:type="dxa"/>
          <w:tblCellMar>
            <w:left w:w="70" w:type="dxa"/>
            <w:right w:w="70" w:type="dxa"/>
          </w:tblCellMar>
        </w:tblPrEx>
        <w:trPr>
          <w:trHeight w:val="255"/>
        </w:trPr>
        <w:tc>
          <w:tcPr>
            <w:tcW w:w="4690" w:type="dxa"/>
            <w:gridSpan w:val="2"/>
            <w:tcBorders>
              <w:top w:val="nil"/>
              <w:left w:val="single" w:sz="8" w:space="0" w:color="auto"/>
              <w:bottom w:val="none" w:sz="0" w:space="0" w:color="auto"/>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Nájomné</w:t>
            </w:r>
          </w:p>
        </w:tc>
        <w:tc>
          <w:tcPr>
            <w:tcW w:w="1416" w:type="dxa"/>
            <w:tcBorders>
              <w:top w:val="nil"/>
              <w:left w:val="single" w:sz="8" w:space="0" w:color="auto"/>
              <w:bottom w:val="none" w:sz="0" w:space="0" w:color="auto"/>
              <w:right w:val="nil"/>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2 562</w:t>
            </w:r>
          </w:p>
        </w:tc>
        <w:tc>
          <w:tcPr>
            <w:tcW w:w="1417" w:type="dxa"/>
            <w:tcBorders>
              <w:top w:val="nil"/>
              <w:left w:val="single" w:sz="4" w:space="0" w:color="auto"/>
              <w:bottom w:val="none" w:sz="0" w:space="0" w:color="auto"/>
              <w:right w:val="single" w:sz="4"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2 321</w:t>
            </w:r>
          </w:p>
        </w:tc>
        <w:tc>
          <w:tcPr>
            <w:tcW w:w="1418" w:type="dxa"/>
            <w:tcBorders>
              <w:top w:val="nil"/>
              <w:left w:val="nil"/>
              <w:bottom w:val="none" w:sz="0" w:space="0" w:color="auto"/>
              <w:right w:val="single" w:sz="8"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1 915</w:t>
            </w:r>
          </w:p>
        </w:tc>
      </w:tr>
      <w:tr>
        <w:tblPrEx>
          <w:tblW w:w="8941" w:type="dxa"/>
          <w:tblInd w:w="60" w:type="dxa"/>
          <w:tblCellMar>
            <w:left w:w="70" w:type="dxa"/>
            <w:right w:w="70" w:type="dxa"/>
          </w:tblCellMar>
        </w:tblPrEx>
        <w:trPr>
          <w:trHeight w:val="255"/>
        </w:trPr>
        <w:tc>
          <w:tcPr>
            <w:tcW w:w="4690" w:type="dxa"/>
            <w:gridSpan w:val="2"/>
            <w:tcBorders>
              <w:top w:val="nil"/>
              <w:left w:val="single" w:sz="8" w:space="0" w:color="auto"/>
              <w:bottom w:val="single" w:sz="8" w:space="0" w:color="auto"/>
              <w:right w:val="single" w:sz="8" w:space="0" w:color="auto"/>
            </w:tcBorders>
            <w:noWrap/>
            <w:textDirection w:val="lrTb"/>
            <w:vAlign w:val="bottom"/>
          </w:tcPr>
          <w:p w:rsidR="003A475B" w:rsidRPr="002D37D3" w:rsidP="0002230E">
            <w:pPr>
              <w:bidi w:val="0"/>
              <w:rPr>
                <w:rFonts w:ascii="Times New Roman" w:hAnsi="Times New Roman"/>
                <w:sz w:val="18"/>
                <w:szCs w:val="18"/>
              </w:rPr>
            </w:pPr>
            <w:r w:rsidRPr="002D37D3">
              <w:rPr>
                <w:rFonts w:ascii="Times New Roman" w:hAnsi="Times New Roman"/>
                <w:sz w:val="18"/>
                <w:szCs w:val="18"/>
              </w:rPr>
              <w:t xml:space="preserve"> Služby</w:t>
            </w:r>
          </w:p>
        </w:tc>
        <w:tc>
          <w:tcPr>
            <w:tcW w:w="1416" w:type="dxa"/>
            <w:tcBorders>
              <w:top w:val="nil"/>
              <w:left w:val="single" w:sz="8" w:space="0" w:color="auto"/>
              <w:bottom w:val="single" w:sz="8" w:space="0" w:color="auto"/>
              <w:right w:val="nil"/>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7 532</w:t>
            </w:r>
          </w:p>
        </w:tc>
        <w:tc>
          <w:tcPr>
            <w:tcW w:w="1417" w:type="dxa"/>
            <w:tcBorders>
              <w:top w:val="nil"/>
              <w:left w:val="single" w:sz="4" w:space="0" w:color="auto"/>
              <w:bottom w:val="single" w:sz="8" w:space="0" w:color="auto"/>
              <w:right w:val="single" w:sz="4"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6 894</w:t>
            </w:r>
          </w:p>
        </w:tc>
        <w:tc>
          <w:tcPr>
            <w:tcW w:w="1418" w:type="dxa"/>
            <w:tcBorders>
              <w:top w:val="nil"/>
              <w:left w:val="nil"/>
              <w:bottom w:val="single" w:sz="8" w:space="0" w:color="auto"/>
              <w:right w:val="single" w:sz="8" w:space="0" w:color="auto"/>
            </w:tcBorders>
            <w:noWrap/>
            <w:textDirection w:val="lrTb"/>
            <w:vAlign w:val="bottom"/>
          </w:tcPr>
          <w:p w:rsidR="003A475B" w:rsidRPr="002D37D3" w:rsidP="0002230E">
            <w:pPr>
              <w:bidi w:val="0"/>
              <w:jc w:val="right"/>
              <w:rPr>
                <w:rFonts w:ascii="Times New Roman" w:hAnsi="Times New Roman"/>
                <w:sz w:val="18"/>
                <w:szCs w:val="18"/>
              </w:rPr>
            </w:pPr>
            <w:r w:rsidRPr="002D37D3">
              <w:rPr>
                <w:rFonts w:ascii="Times New Roman" w:hAnsi="Times New Roman"/>
                <w:sz w:val="18"/>
                <w:szCs w:val="18"/>
              </w:rPr>
              <w:t>5 795</w:t>
            </w:r>
          </w:p>
        </w:tc>
      </w:tr>
    </w:tbl>
    <w:p w:rsidR="003A475B" w:rsidP="0002230E">
      <w:pPr>
        <w:pStyle w:val="BodyTextIndent"/>
        <w:tabs>
          <w:tab w:val="right" w:pos="8931"/>
        </w:tabs>
        <w:bidi w:val="0"/>
        <w:spacing w:before="360" w:line="240" w:lineRule="auto"/>
        <w:ind w:firstLine="720"/>
        <w:rPr>
          <w:rFonts w:ascii="Times New Roman" w:hAnsi="Times New Roman"/>
        </w:rPr>
      </w:pPr>
      <w:r w:rsidRPr="002D37D3">
        <w:rPr>
          <w:rFonts w:ascii="Times New Roman" w:hAnsi="Times New Roman"/>
        </w:rPr>
        <w:t>Návrh rozpočtu na tovary a služby v roku 2012 predstavuje 33,0 % z celkových predpokladaných výdavkov správneho fondu na tento rok.</w:t>
      </w:r>
    </w:p>
    <w:p w:rsidR="00A514AB" w:rsidP="0002230E">
      <w:pPr>
        <w:pStyle w:val="BodyTextIndent"/>
        <w:tabs>
          <w:tab w:val="right" w:pos="8931"/>
        </w:tabs>
        <w:bidi w:val="0"/>
        <w:spacing w:line="240" w:lineRule="auto"/>
        <w:ind w:firstLine="720"/>
        <w:rPr>
          <w:rFonts w:ascii="Times New Roman" w:hAnsi="Times New Roman"/>
          <w:b/>
        </w:rPr>
      </w:pPr>
    </w:p>
    <w:p w:rsidR="003A475B" w:rsidRPr="002D37D3" w:rsidP="0002230E">
      <w:pPr>
        <w:pStyle w:val="BodyTextIndent"/>
        <w:tabs>
          <w:tab w:val="right" w:pos="8931"/>
        </w:tabs>
        <w:bidi w:val="0"/>
        <w:spacing w:line="240" w:lineRule="auto"/>
        <w:ind w:firstLine="720"/>
        <w:rPr>
          <w:rFonts w:ascii="Times New Roman" w:hAnsi="Times New Roman"/>
          <w:b/>
        </w:rPr>
      </w:pPr>
      <w:r w:rsidRPr="002D37D3">
        <w:rPr>
          <w:rFonts w:ascii="Times New Roman" w:hAnsi="Times New Roman"/>
          <w:b/>
        </w:rPr>
        <w:t>Kapitálové výdavky</w:t>
      </w:r>
    </w:p>
    <w:p w:rsidR="003A475B" w:rsidRPr="002D37D3" w:rsidP="0002230E">
      <w:pPr>
        <w:pStyle w:val="BodyTextIndent"/>
        <w:tabs>
          <w:tab w:val="right" w:pos="8931"/>
        </w:tabs>
        <w:bidi w:val="0"/>
        <w:spacing w:line="240" w:lineRule="auto"/>
        <w:ind w:firstLine="720"/>
        <w:rPr>
          <w:rFonts w:ascii="Times New Roman" w:hAnsi="Times New Roman"/>
        </w:rPr>
      </w:pPr>
      <w:r w:rsidRPr="002D37D3">
        <w:rPr>
          <w:rFonts w:ascii="Times New Roman" w:hAnsi="Times New Roman"/>
        </w:rPr>
        <w:t>Návrh rozpočtu kapitálových výdavkov na rok 2012 s výhľadom do roku 2014 je v nasledujúcej tabuľke:</w:t>
      </w:r>
    </w:p>
    <w:p w:rsidR="003A475B" w:rsidRPr="002D37D3" w:rsidP="005C3855">
      <w:pPr>
        <w:pStyle w:val="BodyTextIndent"/>
        <w:tabs>
          <w:tab w:val="right" w:pos="8931"/>
        </w:tabs>
        <w:bidi w:val="0"/>
        <w:spacing w:before="0" w:after="0" w:line="240" w:lineRule="auto"/>
        <w:ind w:firstLine="720"/>
        <w:rPr>
          <w:rFonts w:ascii="Times New Roman" w:hAnsi="Times New Roman"/>
        </w:rPr>
      </w:pPr>
      <w:r w:rsidRPr="002D37D3">
        <w:rPr>
          <w:rFonts w:ascii="Times New Roman" w:hAnsi="Times New Roman"/>
        </w:rPr>
        <w:t xml:space="preserve">                                                                                                                     v tis. Eur</w:t>
      </w:r>
    </w:p>
    <w:tbl>
      <w:tblPr>
        <w:tblStyle w:val="TableNormal"/>
        <w:tblW w:w="9111" w:type="dxa"/>
        <w:tblInd w:w="-110" w:type="dxa"/>
        <w:tblLayout w:type="fixed"/>
        <w:tblCellMar>
          <w:left w:w="70" w:type="dxa"/>
          <w:right w:w="70" w:type="dxa"/>
        </w:tblCellMar>
      </w:tblPr>
      <w:tblGrid>
        <w:gridCol w:w="4858"/>
        <w:gridCol w:w="1418"/>
        <w:gridCol w:w="1417"/>
        <w:gridCol w:w="1418"/>
      </w:tblGrid>
      <w:tr>
        <w:tblPrEx>
          <w:tblW w:w="9111" w:type="dxa"/>
          <w:tblInd w:w="-110" w:type="dxa"/>
          <w:tblLayout w:type="fixed"/>
          <w:tblCellMar>
            <w:left w:w="70" w:type="dxa"/>
            <w:right w:w="70" w:type="dxa"/>
          </w:tblCellMar>
        </w:tblPrEx>
        <w:trPr>
          <w:trHeight w:val="301"/>
        </w:trPr>
        <w:tc>
          <w:tcPr>
            <w:tcW w:w="4858" w:type="dxa"/>
            <w:vMerge w:val="restart"/>
            <w:tcBorders>
              <w:top w:val="single" w:sz="8" w:space="0" w:color="auto"/>
              <w:left w:val="single" w:sz="8" w:space="0" w:color="auto"/>
              <w:bottom w:val="none" w:sz="0" w:space="0" w:color="auto"/>
              <w:right w:val="single" w:sz="8" w:space="0" w:color="auto"/>
            </w:tcBorders>
            <w:noWrap/>
            <w:textDirection w:val="lrTb"/>
            <w:vAlign w:val="bottom"/>
          </w:tcPr>
          <w:p w:rsidR="003A475B" w:rsidRPr="002D37D3" w:rsidP="005C3855">
            <w:pPr>
              <w:bidi w:val="0"/>
              <w:jc w:val="center"/>
              <w:rPr>
                <w:rFonts w:ascii="Times New Roman" w:hAnsi="Times New Roman"/>
                <w:b/>
                <w:bCs/>
                <w:sz w:val="18"/>
                <w:szCs w:val="18"/>
              </w:rPr>
            </w:pPr>
            <w:r w:rsidRPr="002D37D3">
              <w:rPr>
                <w:rFonts w:ascii="Times New Roman" w:hAnsi="Times New Roman"/>
                <w:b/>
                <w:bCs/>
                <w:sz w:val="18"/>
                <w:szCs w:val="18"/>
              </w:rPr>
              <w:t>Ukazovateľ</w:t>
            </w:r>
          </w:p>
          <w:p w:rsidR="003A475B" w:rsidRPr="002D37D3" w:rsidP="005C3855">
            <w:pPr>
              <w:bidi w:val="0"/>
              <w:rPr>
                <w:rFonts w:ascii="Times New Roman" w:hAnsi="Times New Roman"/>
                <w:b/>
                <w:bCs/>
                <w:sz w:val="18"/>
                <w:szCs w:val="18"/>
              </w:rPr>
            </w:pPr>
            <w:r w:rsidRPr="002D37D3">
              <w:rPr>
                <w:rFonts w:ascii="Times New Roman" w:hAnsi="Times New Roman"/>
                <w:b/>
                <w:bCs/>
                <w:sz w:val="18"/>
                <w:szCs w:val="18"/>
              </w:rPr>
              <w:t> </w:t>
            </w:r>
          </w:p>
        </w:tc>
        <w:tc>
          <w:tcPr>
            <w:tcW w:w="1418" w:type="dxa"/>
            <w:vMerge w:val="restart"/>
            <w:tcBorders>
              <w:top w:val="single" w:sz="8" w:space="0" w:color="auto"/>
              <w:left w:val="nil"/>
              <w:bottom w:val="none" w:sz="0" w:space="0" w:color="auto"/>
              <w:right w:val="single" w:sz="8" w:space="0" w:color="auto"/>
            </w:tcBorders>
            <w:noWrap/>
            <w:textDirection w:val="lrTb"/>
            <w:vAlign w:val="bottom"/>
          </w:tcPr>
          <w:p w:rsidR="003A475B" w:rsidRPr="002D37D3" w:rsidP="005C3855">
            <w:pPr>
              <w:bidi w:val="0"/>
              <w:jc w:val="center"/>
              <w:rPr>
                <w:rFonts w:ascii="Times New Roman" w:hAnsi="Times New Roman"/>
                <w:b/>
                <w:bCs/>
                <w:sz w:val="18"/>
                <w:szCs w:val="18"/>
              </w:rPr>
            </w:pPr>
            <w:r w:rsidRPr="002D37D3" w:rsidR="005C3855">
              <w:rPr>
                <w:rFonts w:ascii="Times New Roman" w:hAnsi="Times New Roman"/>
                <w:b/>
                <w:bCs/>
                <w:sz w:val="18"/>
                <w:szCs w:val="18"/>
              </w:rPr>
              <w:t>R</w:t>
            </w:r>
            <w:r w:rsidRPr="002D37D3">
              <w:rPr>
                <w:rFonts w:ascii="Times New Roman" w:hAnsi="Times New Roman"/>
                <w:b/>
                <w:bCs/>
                <w:sz w:val="18"/>
                <w:szCs w:val="18"/>
              </w:rPr>
              <w:t>ok 2012</w:t>
            </w:r>
          </w:p>
        </w:tc>
        <w:tc>
          <w:tcPr>
            <w:tcW w:w="2835" w:type="dxa"/>
            <w:gridSpan w:val="2"/>
            <w:tcBorders>
              <w:top w:val="single" w:sz="8" w:space="0" w:color="auto"/>
              <w:left w:val="single" w:sz="8" w:space="0" w:color="auto"/>
              <w:bottom w:val="single" w:sz="4" w:space="0" w:color="auto"/>
              <w:right w:val="single" w:sz="8" w:space="0" w:color="auto"/>
            </w:tcBorders>
            <w:noWrap/>
            <w:textDirection w:val="lrTb"/>
            <w:vAlign w:val="bottom"/>
          </w:tcPr>
          <w:p w:rsidR="003A475B" w:rsidRPr="002D37D3" w:rsidP="005C3855">
            <w:pPr>
              <w:bidi w:val="0"/>
              <w:jc w:val="center"/>
              <w:rPr>
                <w:rFonts w:ascii="Times New Roman" w:hAnsi="Times New Roman"/>
                <w:b/>
                <w:bCs/>
                <w:sz w:val="18"/>
                <w:szCs w:val="18"/>
              </w:rPr>
            </w:pPr>
            <w:r w:rsidRPr="002D37D3" w:rsidR="005C3855">
              <w:rPr>
                <w:rFonts w:ascii="Times New Roman" w:hAnsi="Times New Roman"/>
                <w:b/>
                <w:bCs/>
                <w:sz w:val="18"/>
                <w:szCs w:val="18"/>
              </w:rPr>
              <w:t>R</w:t>
            </w:r>
            <w:r w:rsidRPr="002D37D3">
              <w:rPr>
                <w:rFonts w:ascii="Times New Roman" w:hAnsi="Times New Roman"/>
                <w:b/>
                <w:bCs/>
                <w:sz w:val="18"/>
                <w:szCs w:val="18"/>
              </w:rPr>
              <w:t>ok</w:t>
            </w:r>
          </w:p>
        </w:tc>
      </w:tr>
      <w:tr>
        <w:tblPrEx>
          <w:tblW w:w="9111" w:type="dxa"/>
          <w:tblInd w:w="-110" w:type="dxa"/>
          <w:tblLayout w:type="fixed"/>
          <w:tblCellMar>
            <w:left w:w="70" w:type="dxa"/>
            <w:right w:w="70" w:type="dxa"/>
          </w:tblCellMar>
        </w:tblPrEx>
        <w:trPr>
          <w:trHeight w:val="381"/>
        </w:trPr>
        <w:tc>
          <w:tcPr>
            <w:tcW w:w="4858" w:type="dxa"/>
            <w:vMerge/>
            <w:tcBorders>
              <w:top w:val="none" w:sz="0" w:space="0" w:color="auto"/>
              <w:left w:val="single" w:sz="8" w:space="0" w:color="auto"/>
              <w:bottom w:val="nil"/>
              <w:right w:val="single" w:sz="8" w:space="0" w:color="auto"/>
            </w:tcBorders>
            <w:noWrap/>
            <w:textDirection w:val="lrTb"/>
            <w:vAlign w:val="bottom"/>
          </w:tcPr>
          <w:p w:rsidR="003A475B" w:rsidRPr="002D37D3" w:rsidP="005C3855">
            <w:pPr>
              <w:bidi w:val="0"/>
              <w:rPr>
                <w:rFonts w:ascii="Times New Roman" w:hAnsi="Times New Roman"/>
                <w:b/>
                <w:bCs/>
                <w:sz w:val="18"/>
                <w:szCs w:val="18"/>
              </w:rPr>
            </w:pPr>
          </w:p>
        </w:tc>
        <w:tc>
          <w:tcPr>
            <w:tcW w:w="1418" w:type="dxa"/>
            <w:vMerge/>
            <w:tcBorders>
              <w:top w:val="none" w:sz="0" w:space="0" w:color="auto"/>
              <w:left w:val="nil"/>
              <w:bottom w:val="nil"/>
              <w:right w:val="single" w:sz="8" w:space="0" w:color="auto"/>
            </w:tcBorders>
            <w:noWrap/>
            <w:textDirection w:val="lrTb"/>
            <w:vAlign w:val="bottom"/>
          </w:tcPr>
          <w:p w:rsidR="003A475B" w:rsidRPr="002D37D3" w:rsidP="005C3855">
            <w:pPr>
              <w:bidi w:val="0"/>
              <w:jc w:val="center"/>
              <w:rPr>
                <w:rFonts w:ascii="Times New Roman" w:hAnsi="Times New Roman"/>
                <w:b/>
                <w:bCs/>
                <w:sz w:val="18"/>
                <w:szCs w:val="18"/>
              </w:rPr>
            </w:pPr>
          </w:p>
        </w:tc>
        <w:tc>
          <w:tcPr>
            <w:tcW w:w="1417" w:type="dxa"/>
            <w:tcBorders>
              <w:top w:val="nil"/>
              <w:left w:val="nil"/>
              <w:bottom w:val="nil"/>
              <w:right w:val="nil"/>
            </w:tcBorders>
            <w:noWrap/>
            <w:textDirection w:val="lrTb"/>
            <w:vAlign w:val="bottom"/>
          </w:tcPr>
          <w:p w:rsidR="003A475B" w:rsidRPr="002D37D3" w:rsidP="005C3855">
            <w:pPr>
              <w:bidi w:val="0"/>
              <w:jc w:val="center"/>
              <w:rPr>
                <w:rFonts w:ascii="Times New Roman" w:hAnsi="Times New Roman"/>
                <w:b/>
                <w:bCs/>
                <w:sz w:val="18"/>
                <w:szCs w:val="18"/>
              </w:rPr>
            </w:pPr>
            <w:r w:rsidRPr="002D37D3">
              <w:rPr>
                <w:rFonts w:ascii="Times New Roman" w:hAnsi="Times New Roman"/>
                <w:b/>
                <w:bCs/>
                <w:sz w:val="18"/>
                <w:szCs w:val="18"/>
              </w:rPr>
              <w:t>2013</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center"/>
              <w:rPr>
                <w:rFonts w:ascii="Times New Roman" w:hAnsi="Times New Roman"/>
                <w:b/>
                <w:bCs/>
                <w:sz w:val="18"/>
                <w:szCs w:val="18"/>
              </w:rPr>
            </w:pPr>
            <w:r w:rsidRPr="002D37D3">
              <w:rPr>
                <w:rFonts w:ascii="Times New Roman" w:hAnsi="Times New Roman"/>
                <w:b/>
                <w:bCs/>
                <w:sz w:val="18"/>
                <w:szCs w:val="18"/>
              </w:rPr>
              <w:t>2014</w:t>
            </w:r>
          </w:p>
        </w:tc>
      </w:tr>
      <w:tr>
        <w:tblPrEx>
          <w:tblW w:w="9111" w:type="dxa"/>
          <w:tblInd w:w="-110" w:type="dxa"/>
          <w:tblLayout w:type="fixed"/>
          <w:tblCellMar>
            <w:left w:w="70" w:type="dxa"/>
            <w:right w:w="70" w:type="dxa"/>
          </w:tblCellMar>
        </w:tblPrEx>
        <w:trPr>
          <w:trHeight w:val="109"/>
        </w:trPr>
        <w:tc>
          <w:tcPr>
            <w:tcW w:w="4858" w:type="dxa"/>
            <w:tcBorders>
              <w:top w:val="single" w:sz="8" w:space="0" w:color="auto"/>
              <w:left w:val="single" w:sz="8" w:space="0" w:color="auto"/>
              <w:bottom w:val="single" w:sz="8" w:space="0" w:color="auto"/>
              <w:right w:val="single" w:sz="8" w:space="0" w:color="auto"/>
            </w:tcBorders>
            <w:noWrap/>
            <w:textDirection w:val="lrTb"/>
            <w:vAlign w:val="bottom"/>
          </w:tcPr>
          <w:p w:rsidR="003A475B" w:rsidRPr="002D37D3" w:rsidP="005C3855">
            <w:pPr>
              <w:bidi w:val="0"/>
              <w:jc w:val="center"/>
              <w:rPr>
                <w:rFonts w:ascii="Times New Roman" w:hAnsi="Times New Roman"/>
                <w:sz w:val="18"/>
                <w:szCs w:val="18"/>
              </w:rPr>
            </w:pPr>
            <w:r w:rsidRPr="002D37D3">
              <w:rPr>
                <w:rFonts w:ascii="Times New Roman" w:hAnsi="Times New Roman"/>
                <w:sz w:val="18"/>
                <w:szCs w:val="18"/>
              </w:rPr>
              <w:t>a</w:t>
            </w:r>
          </w:p>
        </w:tc>
        <w:tc>
          <w:tcPr>
            <w:tcW w:w="1418" w:type="dxa"/>
            <w:tcBorders>
              <w:top w:val="single" w:sz="8" w:space="0" w:color="auto"/>
              <w:left w:val="nil"/>
              <w:bottom w:val="single" w:sz="8" w:space="0" w:color="auto"/>
              <w:right w:val="single" w:sz="4" w:space="0" w:color="auto"/>
            </w:tcBorders>
            <w:noWrap/>
            <w:textDirection w:val="lrTb"/>
            <w:vAlign w:val="bottom"/>
          </w:tcPr>
          <w:p w:rsidR="003A475B" w:rsidRPr="002D37D3" w:rsidP="005C3855">
            <w:pPr>
              <w:bidi w:val="0"/>
              <w:jc w:val="center"/>
              <w:rPr>
                <w:rFonts w:ascii="Times New Roman" w:hAnsi="Times New Roman"/>
                <w:sz w:val="18"/>
                <w:szCs w:val="18"/>
              </w:rPr>
            </w:pPr>
            <w:r w:rsidRPr="002D37D3">
              <w:rPr>
                <w:rFonts w:ascii="Times New Roman" w:hAnsi="Times New Roman"/>
                <w:sz w:val="18"/>
                <w:szCs w:val="18"/>
              </w:rPr>
              <w:t>1</w:t>
            </w:r>
          </w:p>
        </w:tc>
        <w:tc>
          <w:tcPr>
            <w:tcW w:w="1417" w:type="dxa"/>
            <w:tcBorders>
              <w:top w:val="single" w:sz="8" w:space="0" w:color="auto"/>
              <w:left w:val="single" w:sz="8" w:space="0" w:color="auto"/>
              <w:bottom w:val="single" w:sz="8" w:space="0" w:color="auto"/>
              <w:right w:val="nil"/>
            </w:tcBorders>
            <w:noWrap/>
            <w:textDirection w:val="lrTb"/>
            <w:vAlign w:val="bottom"/>
          </w:tcPr>
          <w:p w:rsidR="003A475B" w:rsidRPr="002D37D3" w:rsidP="005C3855">
            <w:pPr>
              <w:bidi w:val="0"/>
              <w:jc w:val="center"/>
              <w:rPr>
                <w:rFonts w:ascii="Times New Roman" w:hAnsi="Times New Roman"/>
                <w:sz w:val="18"/>
                <w:szCs w:val="18"/>
              </w:rPr>
            </w:pPr>
            <w:r w:rsidRPr="002D37D3">
              <w:rPr>
                <w:rFonts w:ascii="Times New Roman" w:hAnsi="Times New Roman"/>
                <w:sz w:val="18"/>
                <w:szCs w:val="18"/>
              </w:rPr>
              <w:t>2</w:t>
            </w:r>
          </w:p>
        </w:tc>
        <w:tc>
          <w:tcPr>
            <w:tcW w:w="1418" w:type="dxa"/>
            <w:tcBorders>
              <w:top w:val="single" w:sz="8" w:space="0" w:color="auto"/>
              <w:left w:val="single" w:sz="4" w:space="0" w:color="auto"/>
              <w:bottom w:val="single" w:sz="8" w:space="0" w:color="auto"/>
              <w:right w:val="single" w:sz="4" w:space="0" w:color="auto"/>
            </w:tcBorders>
            <w:noWrap/>
            <w:textDirection w:val="lrTb"/>
            <w:vAlign w:val="bottom"/>
          </w:tcPr>
          <w:p w:rsidR="003A475B" w:rsidRPr="002D37D3" w:rsidP="005C3855">
            <w:pPr>
              <w:bidi w:val="0"/>
              <w:jc w:val="center"/>
              <w:rPr>
                <w:rFonts w:ascii="Times New Roman" w:hAnsi="Times New Roman"/>
                <w:sz w:val="18"/>
                <w:szCs w:val="18"/>
              </w:rPr>
            </w:pPr>
            <w:r w:rsidRPr="002D37D3">
              <w:rPr>
                <w:rFonts w:ascii="Times New Roman" w:hAnsi="Times New Roman"/>
                <w:sz w:val="18"/>
                <w:szCs w:val="18"/>
              </w:rPr>
              <w:t>3</w:t>
            </w:r>
          </w:p>
        </w:tc>
      </w:tr>
      <w:tr>
        <w:tblPrEx>
          <w:tblW w:w="9111" w:type="dxa"/>
          <w:tblInd w:w="-110" w:type="dxa"/>
          <w:tblLayout w:type="fixed"/>
          <w:tblCellMar>
            <w:left w:w="70" w:type="dxa"/>
            <w:right w:w="70" w:type="dxa"/>
          </w:tblCellMar>
        </w:tblPrEx>
        <w:trPr>
          <w:trHeight w:val="245"/>
        </w:trPr>
        <w:tc>
          <w:tcPr>
            <w:tcW w:w="4858" w:type="dxa"/>
            <w:tcBorders>
              <w:top w:val="nil"/>
              <w:left w:val="single" w:sz="8" w:space="0" w:color="auto"/>
              <w:bottom w:val="nil"/>
              <w:right w:val="single" w:sz="8" w:space="0" w:color="auto"/>
            </w:tcBorders>
            <w:noWrap/>
            <w:textDirection w:val="lrTb"/>
            <w:vAlign w:val="bottom"/>
          </w:tcPr>
          <w:p w:rsidR="003A475B" w:rsidRPr="002D37D3" w:rsidP="005C3855">
            <w:pPr>
              <w:bidi w:val="0"/>
              <w:rPr>
                <w:rFonts w:ascii="Times New Roman" w:hAnsi="Times New Roman"/>
                <w:b/>
                <w:bCs/>
                <w:sz w:val="18"/>
                <w:szCs w:val="18"/>
              </w:rPr>
            </w:pPr>
            <w:r w:rsidRPr="002D37D3">
              <w:rPr>
                <w:rFonts w:ascii="Times New Roman" w:hAnsi="Times New Roman"/>
                <w:b/>
                <w:bCs/>
                <w:sz w:val="18"/>
                <w:szCs w:val="18"/>
              </w:rPr>
              <w:t>Kapitálové výdavky</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b/>
                <w:bCs/>
                <w:sz w:val="18"/>
                <w:szCs w:val="18"/>
              </w:rPr>
            </w:pPr>
            <w:r w:rsidRPr="002D37D3">
              <w:rPr>
                <w:rFonts w:ascii="Times New Roman" w:hAnsi="Times New Roman"/>
                <w:b/>
                <w:bCs/>
                <w:sz w:val="18"/>
                <w:szCs w:val="18"/>
              </w:rPr>
              <w:t xml:space="preserve">3 404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b/>
                <w:bCs/>
                <w:sz w:val="18"/>
                <w:szCs w:val="18"/>
              </w:rPr>
            </w:pPr>
            <w:r w:rsidRPr="002D37D3">
              <w:rPr>
                <w:rFonts w:ascii="Times New Roman" w:hAnsi="Times New Roman"/>
                <w:b/>
                <w:bCs/>
                <w:sz w:val="18"/>
                <w:szCs w:val="18"/>
              </w:rPr>
              <w:t xml:space="preserve">3 534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b/>
                <w:bCs/>
                <w:sz w:val="18"/>
                <w:szCs w:val="18"/>
              </w:rPr>
            </w:pPr>
            <w:r w:rsidRPr="002D37D3">
              <w:rPr>
                <w:rFonts w:ascii="Times New Roman" w:hAnsi="Times New Roman"/>
                <w:b/>
                <w:bCs/>
                <w:sz w:val="18"/>
                <w:szCs w:val="18"/>
              </w:rPr>
              <w:t>2 604</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noWrap/>
            <w:textDirection w:val="lrTb"/>
            <w:vAlign w:val="bottom"/>
          </w:tcPr>
          <w:p w:rsidR="003A475B" w:rsidRPr="002D37D3" w:rsidP="005C3855">
            <w:pPr>
              <w:bidi w:val="0"/>
              <w:rPr>
                <w:rFonts w:ascii="Times New Roman" w:hAnsi="Times New Roman"/>
                <w:b/>
                <w:bCs/>
                <w:sz w:val="18"/>
                <w:szCs w:val="18"/>
              </w:rPr>
            </w:pPr>
            <w:r w:rsidRPr="002D37D3">
              <w:rPr>
                <w:rFonts w:ascii="Times New Roman" w:hAnsi="Times New Roman"/>
                <w:b/>
                <w:bCs/>
                <w:sz w:val="18"/>
                <w:szCs w:val="18"/>
              </w:rPr>
              <w:t>Obstarávanie kapitálových aktív</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b/>
                <w:bCs/>
                <w:sz w:val="18"/>
                <w:szCs w:val="18"/>
              </w:rPr>
            </w:pPr>
            <w:r w:rsidRPr="002D37D3">
              <w:rPr>
                <w:rFonts w:ascii="Times New Roman" w:hAnsi="Times New Roman"/>
                <w:b/>
                <w:bCs/>
                <w:sz w:val="18"/>
                <w:szCs w:val="18"/>
              </w:rPr>
              <w:t xml:space="preserve">3 404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b/>
                <w:bCs/>
                <w:sz w:val="18"/>
                <w:szCs w:val="18"/>
              </w:rPr>
            </w:pPr>
            <w:r w:rsidRPr="002D37D3">
              <w:rPr>
                <w:rFonts w:ascii="Times New Roman" w:hAnsi="Times New Roman"/>
                <w:b/>
                <w:bCs/>
                <w:sz w:val="18"/>
                <w:szCs w:val="18"/>
              </w:rPr>
              <w:t xml:space="preserve">3 534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b/>
                <w:bCs/>
                <w:sz w:val="18"/>
                <w:szCs w:val="18"/>
              </w:rPr>
            </w:pPr>
            <w:r w:rsidRPr="002D37D3">
              <w:rPr>
                <w:rFonts w:ascii="Times New Roman" w:hAnsi="Times New Roman"/>
                <w:b/>
                <w:bCs/>
                <w:sz w:val="18"/>
                <w:szCs w:val="18"/>
              </w:rPr>
              <w:t xml:space="preserve">2 604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textDirection w:val="lrTb"/>
            <w:vAlign w:val="bottom"/>
          </w:tcPr>
          <w:p w:rsidR="003A475B" w:rsidRPr="002D37D3" w:rsidP="005C3855">
            <w:pPr>
              <w:bidi w:val="0"/>
              <w:rPr>
                <w:rFonts w:ascii="Times New Roman" w:hAnsi="Times New Roman"/>
                <w:b/>
                <w:bCs/>
                <w:i/>
                <w:iCs/>
                <w:sz w:val="18"/>
                <w:szCs w:val="18"/>
              </w:rPr>
            </w:pPr>
            <w:r w:rsidRPr="002D37D3">
              <w:rPr>
                <w:rFonts w:ascii="Times New Roman" w:hAnsi="Times New Roman"/>
                <w:b/>
                <w:bCs/>
                <w:i/>
                <w:iCs/>
                <w:sz w:val="18"/>
                <w:szCs w:val="18"/>
              </w:rPr>
              <w:t>Nákup pozemkov a nehmotných aktív</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 475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 450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400</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textDirection w:val="lrTb"/>
            <w:vAlign w:val="bottom"/>
          </w:tcPr>
          <w:p w:rsidR="003A475B" w:rsidRPr="002D37D3" w:rsidP="005C3855">
            <w:pPr>
              <w:bidi w:val="0"/>
              <w:rPr>
                <w:rFonts w:ascii="Times New Roman" w:hAnsi="Times New Roman"/>
                <w:sz w:val="18"/>
                <w:szCs w:val="18"/>
              </w:rPr>
            </w:pPr>
            <w:r w:rsidRPr="002D37D3">
              <w:rPr>
                <w:rFonts w:ascii="Times New Roman" w:hAnsi="Times New Roman"/>
                <w:sz w:val="18"/>
                <w:szCs w:val="18"/>
              </w:rPr>
              <w:t>Pozemkov</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noWrap/>
            <w:textDirection w:val="lrTb"/>
            <w:vAlign w:val="bottom"/>
          </w:tcPr>
          <w:p w:rsidR="003A475B" w:rsidRPr="002D37D3" w:rsidP="005C3855">
            <w:pPr>
              <w:bidi w:val="0"/>
              <w:rPr>
                <w:rFonts w:ascii="Times New Roman" w:hAnsi="Times New Roman"/>
                <w:sz w:val="18"/>
                <w:szCs w:val="18"/>
              </w:rPr>
            </w:pPr>
            <w:r w:rsidRPr="002D37D3">
              <w:rPr>
                <w:rFonts w:ascii="Times New Roman" w:hAnsi="Times New Roman"/>
                <w:sz w:val="18"/>
                <w:szCs w:val="18"/>
              </w:rPr>
              <w:t>Softvéru</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475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450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400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textDirection w:val="lrTb"/>
            <w:vAlign w:val="bottom"/>
          </w:tcPr>
          <w:p w:rsidR="003A475B" w:rsidRPr="002D37D3" w:rsidP="005C3855">
            <w:pPr>
              <w:bidi w:val="0"/>
              <w:rPr>
                <w:rFonts w:ascii="Times New Roman" w:hAnsi="Times New Roman"/>
                <w:b/>
                <w:bCs/>
                <w:i/>
                <w:iCs/>
                <w:sz w:val="18"/>
                <w:szCs w:val="18"/>
              </w:rPr>
            </w:pPr>
            <w:r w:rsidRPr="002D37D3">
              <w:rPr>
                <w:rFonts w:ascii="Times New Roman" w:hAnsi="Times New Roman"/>
                <w:b/>
                <w:bCs/>
                <w:i/>
                <w:iCs/>
                <w:sz w:val="18"/>
                <w:szCs w:val="18"/>
              </w:rPr>
              <w:t>Nákup strojov, prístrojov, zariadení, techniky a náradia</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1 600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1 544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1 154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textDirection w:val="lrTb"/>
            <w:vAlign w:val="bottom"/>
          </w:tcPr>
          <w:p w:rsidR="003A475B" w:rsidRPr="002D37D3" w:rsidP="005C3855">
            <w:pPr>
              <w:bidi w:val="0"/>
              <w:rPr>
                <w:rFonts w:ascii="Times New Roman" w:hAnsi="Times New Roman"/>
                <w:sz w:val="18"/>
                <w:szCs w:val="18"/>
              </w:rPr>
            </w:pPr>
            <w:r w:rsidRPr="002D37D3">
              <w:rPr>
                <w:rFonts w:ascii="Times New Roman" w:hAnsi="Times New Roman"/>
                <w:sz w:val="18"/>
                <w:szCs w:val="18"/>
              </w:rPr>
              <w:t>Interiérového vybavenia</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textDirection w:val="lrTb"/>
            <w:vAlign w:val="bottom"/>
          </w:tcPr>
          <w:p w:rsidR="003A475B" w:rsidRPr="002D37D3" w:rsidP="005C3855">
            <w:pPr>
              <w:bidi w:val="0"/>
              <w:rPr>
                <w:rFonts w:ascii="Times New Roman" w:hAnsi="Times New Roman"/>
                <w:sz w:val="18"/>
                <w:szCs w:val="18"/>
              </w:rPr>
            </w:pPr>
            <w:r w:rsidRPr="002D37D3">
              <w:rPr>
                <w:rFonts w:ascii="Times New Roman" w:hAnsi="Times New Roman"/>
                <w:sz w:val="18"/>
                <w:szCs w:val="18"/>
              </w:rPr>
              <w:t>Výpočtovej techniky</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1 500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1 444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900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textDirection w:val="lrTb"/>
            <w:vAlign w:val="bottom"/>
          </w:tcPr>
          <w:p w:rsidR="003A475B" w:rsidRPr="002D37D3" w:rsidP="005C3855">
            <w:pPr>
              <w:bidi w:val="0"/>
              <w:rPr>
                <w:rFonts w:ascii="Times New Roman" w:hAnsi="Times New Roman"/>
                <w:sz w:val="18"/>
                <w:szCs w:val="18"/>
              </w:rPr>
            </w:pPr>
            <w:r w:rsidRPr="002D37D3">
              <w:rPr>
                <w:rFonts w:ascii="Times New Roman" w:hAnsi="Times New Roman"/>
                <w:sz w:val="18"/>
                <w:szCs w:val="18"/>
              </w:rPr>
              <w:t>Telekomunikačnej techniky</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100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textDirection w:val="lrTb"/>
            <w:vAlign w:val="bottom"/>
          </w:tcPr>
          <w:p w:rsidR="003A475B" w:rsidRPr="002D37D3" w:rsidP="005C3855">
            <w:pPr>
              <w:bidi w:val="0"/>
              <w:rPr>
                <w:rFonts w:ascii="Times New Roman" w:hAnsi="Times New Roman"/>
                <w:sz w:val="18"/>
                <w:szCs w:val="18"/>
              </w:rPr>
            </w:pPr>
            <w:r w:rsidRPr="002D37D3">
              <w:rPr>
                <w:rFonts w:ascii="Times New Roman" w:hAnsi="Times New Roman"/>
                <w:sz w:val="18"/>
                <w:szCs w:val="18"/>
              </w:rPr>
              <w:t>Prevádzkových strojov, prístrojov, zariad. techniky a náradia</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100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100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100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textDirection w:val="lrTb"/>
            <w:vAlign w:val="bottom"/>
          </w:tcPr>
          <w:p w:rsidR="003A475B" w:rsidRPr="002D37D3" w:rsidP="005C3855">
            <w:pPr>
              <w:bidi w:val="0"/>
              <w:rPr>
                <w:rFonts w:ascii="Times New Roman" w:hAnsi="Times New Roman"/>
                <w:sz w:val="18"/>
                <w:szCs w:val="18"/>
              </w:rPr>
            </w:pPr>
            <w:r w:rsidRPr="002D37D3">
              <w:rPr>
                <w:rFonts w:ascii="Times New Roman" w:hAnsi="Times New Roman"/>
                <w:sz w:val="18"/>
                <w:szCs w:val="18"/>
              </w:rPr>
              <w:t xml:space="preserve">Špeciálnych strojov, prístrojov, zariadení, techniky, náradia </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    -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sz w:val="18"/>
                <w:szCs w:val="18"/>
              </w:rPr>
            </w:pPr>
            <w:r w:rsidRPr="002D37D3">
              <w:rPr>
                <w:rFonts w:ascii="Times New Roman" w:hAnsi="Times New Roman"/>
                <w:sz w:val="18"/>
                <w:szCs w:val="18"/>
              </w:rPr>
              <w:t xml:space="preserve">54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noWrap/>
            <w:textDirection w:val="lrTb"/>
            <w:vAlign w:val="bottom"/>
          </w:tcPr>
          <w:p w:rsidR="003A475B" w:rsidRPr="002D37D3" w:rsidP="005C3855">
            <w:pPr>
              <w:bidi w:val="0"/>
              <w:jc w:val="both"/>
              <w:rPr>
                <w:rFonts w:ascii="Times New Roman" w:hAnsi="Times New Roman"/>
                <w:b/>
                <w:bCs/>
                <w:i/>
                <w:iCs/>
                <w:sz w:val="18"/>
                <w:szCs w:val="18"/>
              </w:rPr>
            </w:pPr>
            <w:r w:rsidRPr="002D37D3">
              <w:rPr>
                <w:rFonts w:ascii="Times New Roman" w:hAnsi="Times New Roman"/>
                <w:b/>
                <w:bCs/>
                <w:i/>
                <w:iCs/>
                <w:sz w:val="18"/>
                <w:szCs w:val="18"/>
              </w:rPr>
              <w:t>Nákup dopravných prostriedkov všetkých druhov</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 -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        -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nil"/>
              <w:right w:val="single" w:sz="8" w:space="0" w:color="auto"/>
            </w:tcBorders>
            <w:noWrap/>
            <w:textDirection w:val="lrTb"/>
            <w:vAlign w:val="bottom"/>
          </w:tcPr>
          <w:p w:rsidR="003A475B" w:rsidRPr="002D37D3" w:rsidP="005C3855">
            <w:pPr>
              <w:bidi w:val="0"/>
              <w:rPr>
                <w:rFonts w:ascii="Times New Roman" w:hAnsi="Times New Roman"/>
                <w:b/>
                <w:bCs/>
                <w:i/>
                <w:iCs/>
                <w:sz w:val="18"/>
                <w:szCs w:val="18"/>
              </w:rPr>
            </w:pPr>
            <w:r w:rsidRPr="002D37D3">
              <w:rPr>
                <w:rFonts w:ascii="Times New Roman" w:hAnsi="Times New Roman"/>
                <w:b/>
                <w:bCs/>
                <w:i/>
                <w:iCs/>
                <w:sz w:val="18"/>
                <w:szCs w:val="18"/>
              </w:rPr>
              <w:t>Prípravná a projektová dokumentácia</w:t>
            </w:r>
          </w:p>
        </w:tc>
        <w:tc>
          <w:tcPr>
            <w:tcW w:w="1418" w:type="dxa"/>
            <w:tcBorders>
              <w:top w:val="nil"/>
              <w:left w:val="nil"/>
              <w:bottom w:val="nil"/>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 47    </w:t>
            </w:r>
          </w:p>
        </w:tc>
        <w:tc>
          <w:tcPr>
            <w:tcW w:w="1417" w:type="dxa"/>
            <w:tcBorders>
              <w:top w:val="nil"/>
              <w:left w:val="single" w:sz="8" w:space="0" w:color="auto"/>
              <w:bottom w:val="nil"/>
              <w:right w:val="nil"/>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   40    </w:t>
            </w:r>
          </w:p>
        </w:tc>
        <w:tc>
          <w:tcPr>
            <w:tcW w:w="1418" w:type="dxa"/>
            <w:tcBorders>
              <w:top w:val="nil"/>
              <w:left w:val="single" w:sz="4" w:space="0" w:color="auto"/>
              <w:bottom w:val="nil"/>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30    </w:t>
            </w:r>
          </w:p>
        </w:tc>
      </w:tr>
      <w:tr>
        <w:tblPrEx>
          <w:tblW w:w="9111" w:type="dxa"/>
          <w:tblInd w:w="-110" w:type="dxa"/>
          <w:tblLayout w:type="fixed"/>
          <w:tblCellMar>
            <w:left w:w="70" w:type="dxa"/>
            <w:right w:w="70" w:type="dxa"/>
          </w:tblCellMar>
        </w:tblPrEx>
        <w:trPr>
          <w:trHeight w:val="340"/>
        </w:trPr>
        <w:tc>
          <w:tcPr>
            <w:tcW w:w="4858" w:type="dxa"/>
            <w:tcBorders>
              <w:top w:val="nil"/>
              <w:left w:val="single" w:sz="8" w:space="0" w:color="auto"/>
              <w:bottom w:val="single" w:sz="8" w:space="0" w:color="auto"/>
              <w:right w:val="single" w:sz="8" w:space="0" w:color="auto"/>
            </w:tcBorders>
            <w:noWrap/>
            <w:textDirection w:val="lrTb"/>
            <w:vAlign w:val="bottom"/>
          </w:tcPr>
          <w:p w:rsidR="003A475B" w:rsidRPr="002D37D3" w:rsidP="005C3855">
            <w:pPr>
              <w:bidi w:val="0"/>
              <w:rPr>
                <w:rFonts w:ascii="Times New Roman" w:hAnsi="Times New Roman"/>
                <w:b/>
                <w:bCs/>
                <w:i/>
                <w:iCs/>
                <w:sz w:val="18"/>
                <w:szCs w:val="18"/>
              </w:rPr>
            </w:pPr>
            <w:r w:rsidRPr="002D37D3">
              <w:rPr>
                <w:rFonts w:ascii="Times New Roman" w:hAnsi="Times New Roman"/>
                <w:b/>
                <w:bCs/>
                <w:i/>
                <w:iCs/>
                <w:sz w:val="18"/>
                <w:szCs w:val="18"/>
              </w:rPr>
              <w:t>Realizácia stavieb a ich technické zhodnotenie</w:t>
            </w:r>
          </w:p>
        </w:tc>
        <w:tc>
          <w:tcPr>
            <w:tcW w:w="1418" w:type="dxa"/>
            <w:tcBorders>
              <w:top w:val="nil"/>
              <w:left w:val="nil"/>
              <w:bottom w:val="single" w:sz="8" w:space="0" w:color="auto"/>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1 282    </w:t>
            </w:r>
          </w:p>
        </w:tc>
        <w:tc>
          <w:tcPr>
            <w:tcW w:w="1417" w:type="dxa"/>
            <w:tcBorders>
              <w:top w:val="nil"/>
              <w:left w:val="single" w:sz="8" w:space="0" w:color="auto"/>
              <w:bottom w:val="single" w:sz="8" w:space="0" w:color="auto"/>
              <w:right w:val="nil"/>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1 500    </w:t>
            </w:r>
          </w:p>
        </w:tc>
        <w:tc>
          <w:tcPr>
            <w:tcW w:w="1418" w:type="dxa"/>
            <w:tcBorders>
              <w:top w:val="nil"/>
              <w:left w:val="single" w:sz="4" w:space="0" w:color="auto"/>
              <w:bottom w:val="single" w:sz="8" w:space="0" w:color="auto"/>
              <w:right w:val="single" w:sz="4" w:space="0" w:color="auto"/>
            </w:tcBorders>
            <w:noWrap/>
            <w:textDirection w:val="lrTb"/>
            <w:vAlign w:val="bottom"/>
          </w:tcPr>
          <w:p w:rsidR="003A475B" w:rsidRPr="002D37D3" w:rsidP="005C3855">
            <w:pPr>
              <w:bidi w:val="0"/>
              <w:jc w:val="right"/>
              <w:rPr>
                <w:rFonts w:ascii="Times New Roman" w:hAnsi="Times New Roman"/>
                <w:b/>
                <w:bCs/>
                <w:i/>
                <w:iCs/>
                <w:sz w:val="18"/>
                <w:szCs w:val="18"/>
              </w:rPr>
            </w:pPr>
            <w:r w:rsidRPr="002D37D3">
              <w:rPr>
                <w:rFonts w:ascii="Times New Roman" w:hAnsi="Times New Roman"/>
                <w:b/>
                <w:bCs/>
                <w:i/>
                <w:iCs/>
                <w:sz w:val="18"/>
                <w:szCs w:val="18"/>
              </w:rPr>
              <w:t xml:space="preserve">1 020    </w:t>
            </w:r>
          </w:p>
        </w:tc>
      </w:tr>
    </w:tbl>
    <w:p w:rsidR="003A475B" w:rsidRPr="002D37D3" w:rsidP="005C3855">
      <w:pPr>
        <w:pStyle w:val="BodyTextIndent"/>
        <w:tabs>
          <w:tab w:val="right" w:pos="8931"/>
        </w:tabs>
        <w:bidi w:val="0"/>
        <w:spacing w:before="0" w:after="0" w:line="240" w:lineRule="auto"/>
        <w:ind w:firstLine="720"/>
        <w:rPr>
          <w:rFonts w:ascii="Times New Roman" w:hAnsi="Times New Roman"/>
          <w:color w:val="FF0000"/>
        </w:rPr>
      </w:pPr>
    </w:p>
    <w:p w:rsidR="003A475B" w:rsidRPr="002D37D3" w:rsidP="003A475B">
      <w:pPr>
        <w:pStyle w:val="BodyTextIndent"/>
        <w:bidi w:val="0"/>
        <w:spacing w:before="120" w:line="240" w:lineRule="auto"/>
        <w:rPr>
          <w:rFonts w:ascii="Times New Roman" w:hAnsi="Times New Roman"/>
        </w:rPr>
      </w:pPr>
      <w:r w:rsidRPr="002D37D3">
        <w:rPr>
          <w:rFonts w:ascii="Times New Roman" w:hAnsi="Times New Roman"/>
        </w:rPr>
        <w:t xml:space="preserve">Na zabezpečenie kapitálových výdavkov bolo možné s ohľadom na celkovú výšku výdavkov správneho fondu vyčleniť v návrhu rozpočtu objem finančných prostriedkov v celkovej sume </w:t>
      </w:r>
      <w:r w:rsidRPr="002D37D3">
        <w:rPr>
          <w:rFonts w:ascii="Times New Roman" w:hAnsi="Times New Roman"/>
          <w:b/>
        </w:rPr>
        <w:t>3 404 tis. Eur.</w:t>
      </w:r>
      <w:r w:rsidRPr="002D37D3">
        <w:rPr>
          <w:rFonts w:ascii="Times New Roman" w:hAnsi="Times New Roman"/>
        </w:rPr>
        <w:t xml:space="preserve"> </w:t>
      </w:r>
    </w:p>
    <w:p w:rsidR="003A475B" w:rsidRPr="002D37D3" w:rsidP="003A475B">
      <w:pPr>
        <w:pStyle w:val="BodyTextIndent"/>
        <w:bidi w:val="0"/>
        <w:spacing w:before="120" w:line="240" w:lineRule="auto"/>
        <w:rPr>
          <w:rFonts w:ascii="Times New Roman" w:hAnsi="Times New Roman"/>
          <w:i/>
          <w:u w:val="single"/>
        </w:rPr>
      </w:pPr>
      <w:r w:rsidR="000672D4">
        <w:rPr>
          <w:rFonts w:ascii="Times New Roman" w:hAnsi="Times New Roman"/>
        </w:rPr>
        <w:t>Výdavky na informačno</w:t>
      </w:r>
      <w:r w:rsidRPr="002D37D3">
        <w:rPr>
          <w:rFonts w:ascii="Times New Roman" w:hAnsi="Times New Roman"/>
        </w:rPr>
        <w:t>–komunikačné technológie sú rozpočtované v</w:t>
      </w:r>
      <w:r w:rsidR="00AF4214">
        <w:rPr>
          <w:rFonts w:ascii="Times New Roman" w:hAnsi="Times New Roman"/>
        </w:rPr>
        <w:t> </w:t>
      </w:r>
      <w:r w:rsidRPr="002D37D3">
        <w:rPr>
          <w:rFonts w:ascii="Times New Roman" w:hAnsi="Times New Roman"/>
        </w:rPr>
        <w:t>objeme</w:t>
      </w:r>
      <w:r w:rsidR="00AF4214">
        <w:rPr>
          <w:rFonts w:ascii="Times New Roman" w:hAnsi="Times New Roman"/>
        </w:rPr>
        <w:br/>
      </w:r>
      <w:r w:rsidRPr="002D37D3">
        <w:rPr>
          <w:rFonts w:ascii="Times New Roman" w:hAnsi="Times New Roman"/>
          <w:b/>
        </w:rPr>
        <w:t>1</w:t>
      </w:r>
      <w:r w:rsidRPr="002D37D3" w:rsidR="0002230E">
        <w:rPr>
          <w:rFonts w:ascii="Times New Roman" w:hAnsi="Times New Roman"/>
          <w:b/>
        </w:rPr>
        <w:t> </w:t>
      </w:r>
      <w:r w:rsidRPr="002D37D3">
        <w:rPr>
          <w:rFonts w:ascii="Times New Roman" w:hAnsi="Times New Roman"/>
          <w:b/>
        </w:rPr>
        <w:t>975</w:t>
      </w:r>
      <w:r w:rsidRPr="002D37D3" w:rsidR="0002230E">
        <w:rPr>
          <w:rFonts w:ascii="Times New Roman" w:hAnsi="Times New Roman"/>
          <w:b/>
        </w:rPr>
        <w:t> </w:t>
      </w:r>
      <w:r w:rsidRPr="002D37D3">
        <w:rPr>
          <w:rFonts w:ascii="Times New Roman" w:hAnsi="Times New Roman"/>
          <w:b/>
        </w:rPr>
        <w:t>tis.</w:t>
      </w:r>
      <w:r w:rsidRPr="002D37D3" w:rsidR="0002230E">
        <w:rPr>
          <w:rFonts w:ascii="Times New Roman" w:hAnsi="Times New Roman"/>
          <w:b/>
        </w:rPr>
        <w:t> </w:t>
      </w:r>
      <w:r w:rsidRPr="002D37D3">
        <w:rPr>
          <w:rFonts w:ascii="Times New Roman" w:hAnsi="Times New Roman"/>
          <w:b/>
        </w:rPr>
        <w:t>Eur</w:t>
      </w:r>
      <w:r w:rsidRPr="002D37D3">
        <w:rPr>
          <w:rFonts w:ascii="Times New Roman" w:hAnsi="Times New Roman"/>
        </w:rPr>
        <w:t xml:space="preserve"> na finančné krytie zmluvne zabezpečených kľúčových projektov. Tieto projekty sú zamerané predovšetkým na systémy pre podporu riadenia prevádzky, technickej infraštruktúry a bezpečnosti informačných systémov Sociálnej poisťovne.</w:t>
      </w:r>
    </w:p>
    <w:p w:rsidR="003A475B" w:rsidRPr="002D37D3" w:rsidP="003A475B">
      <w:pPr>
        <w:pStyle w:val="BodyTextIndent3"/>
        <w:bidi w:val="0"/>
        <w:spacing w:before="120"/>
        <w:ind w:left="0" w:firstLine="709"/>
        <w:jc w:val="both"/>
        <w:rPr>
          <w:rFonts w:ascii="Times New Roman" w:hAnsi="Times New Roman"/>
          <w:sz w:val="24"/>
          <w:szCs w:val="24"/>
        </w:rPr>
      </w:pPr>
      <w:r w:rsidRPr="002D37D3">
        <w:rPr>
          <w:rFonts w:ascii="Times New Roman" w:hAnsi="Times New Roman"/>
          <w:sz w:val="24"/>
          <w:szCs w:val="24"/>
        </w:rPr>
        <w:t xml:space="preserve">Finančné prostriedky na zabezpečenie tzv. </w:t>
      </w:r>
      <w:r w:rsidRPr="002D37D3">
        <w:rPr>
          <w:rFonts w:ascii="Times New Roman" w:hAnsi="Times New Roman"/>
          <w:b/>
          <w:sz w:val="24"/>
          <w:szCs w:val="24"/>
        </w:rPr>
        <w:t>všeobecných investícií</w:t>
      </w:r>
      <w:r w:rsidRPr="002D37D3">
        <w:rPr>
          <w:rFonts w:ascii="Times New Roman" w:hAnsi="Times New Roman"/>
          <w:sz w:val="24"/>
          <w:szCs w:val="24"/>
        </w:rPr>
        <w:t xml:space="preserve"> v roku 2012 sú rozpočtované v celkovej sume </w:t>
      </w:r>
      <w:r w:rsidRPr="002D37D3">
        <w:rPr>
          <w:rFonts w:ascii="Times New Roman" w:hAnsi="Times New Roman"/>
          <w:b/>
          <w:sz w:val="24"/>
          <w:szCs w:val="24"/>
        </w:rPr>
        <w:t>1 429 tis. Eur</w:t>
      </w:r>
      <w:r w:rsidRPr="002D37D3">
        <w:rPr>
          <w:rFonts w:ascii="Times New Roman" w:hAnsi="Times New Roman"/>
          <w:sz w:val="24"/>
          <w:szCs w:val="24"/>
        </w:rPr>
        <w:t xml:space="preserve"> na nevyhnutné akcie investičného charakteru.</w:t>
      </w:r>
    </w:p>
    <w:p w:rsidR="00DA1854" w:rsidP="003A475B">
      <w:pPr>
        <w:pStyle w:val="BodyTextIndent"/>
        <w:tabs>
          <w:tab w:val="right" w:pos="8931"/>
        </w:tabs>
        <w:bidi w:val="0"/>
        <w:spacing w:before="120" w:line="240" w:lineRule="auto"/>
        <w:ind w:firstLine="720"/>
        <w:rPr>
          <w:rFonts w:ascii="Times New Roman" w:hAnsi="Times New Roman"/>
        </w:rPr>
      </w:pPr>
      <w:r>
        <w:rPr>
          <w:rFonts w:ascii="Times New Roman" w:hAnsi="Times New Roman"/>
        </w:rPr>
        <w:t xml:space="preserve">Návrh rozpočtu správneho fondu na rok 2012 </w:t>
      </w:r>
      <w:r w:rsidRPr="002D37D3">
        <w:rPr>
          <w:rFonts w:ascii="Times New Roman" w:hAnsi="Times New Roman"/>
        </w:rPr>
        <w:t>a rozpočtový výhľad na roky 2013 a</w:t>
      </w:r>
      <w:r>
        <w:rPr>
          <w:rFonts w:ascii="Times New Roman" w:hAnsi="Times New Roman"/>
        </w:rPr>
        <w:t> </w:t>
      </w:r>
      <w:r w:rsidRPr="002D37D3">
        <w:rPr>
          <w:rFonts w:ascii="Times New Roman" w:hAnsi="Times New Roman"/>
        </w:rPr>
        <w:t>2014</w:t>
      </w:r>
      <w:r>
        <w:rPr>
          <w:rFonts w:ascii="Times New Roman" w:hAnsi="Times New Roman"/>
        </w:rPr>
        <w:t xml:space="preserve"> nezohľadňuje poskytovanie nenávratných finančných príspevkov z Operačného programu informatizácie spoločnosti v celkovej sume 33 164 057,42 Eur na obdobie od 1. 11. 2011 do 31. 5. 2013.</w:t>
      </w:r>
    </w:p>
    <w:p w:rsidR="003A475B" w:rsidP="003A475B">
      <w:pPr>
        <w:pStyle w:val="BodyTextIndent"/>
        <w:tabs>
          <w:tab w:val="right" w:pos="8931"/>
        </w:tabs>
        <w:bidi w:val="0"/>
        <w:spacing w:before="120" w:line="240" w:lineRule="auto"/>
        <w:ind w:firstLine="720"/>
        <w:rPr>
          <w:rFonts w:ascii="Times New Roman" w:hAnsi="Times New Roman"/>
          <w:szCs w:val="24"/>
        </w:rPr>
      </w:pPr>
      <w:r w:rsidRPr="002D37D3">
        <w:rPr>
          <w:rFonts w:ascii="Times New Roman" w:hAnsi="Times New Roman"/>
        </w:rPr>
        <w:t>Návrh rozpočtu správneho fondu na rok 2012 a rozpočtový výhľad na roky 2013 a 2014 je uvedený v prílohe č. 4.</w:t>
      </w:r>
      <w:r w:rsidRPr="00793372">
        <w:rPr>
          <w:rFonts w:ascii="Times New Roman" w:hAnsi="Times New Roman"/>
          <w:szCs w:val="24"/>
        </w:rPr>
        <w:t xml:space="preserve"> </w:t>
      </w:r>
    </w:p>
    <w:p w:rsidR="003E3545" w:rsidRPr="003E3545" w:rsidP="003E3545">
      <w:pPr>
        <w:bidi w:val="0"/>
        <w:spacing w:before="240" w:after="120"/>
        <w:ind w:firstLine="720"/>
        <w:jc w:val="both"/>
        <w:rPr>
          <w:rFonts w:ascii="Times New Roman" w:hAnsi="Times New Roman"/>
          <w:b/>
          <w:szCs w:val="24"/>
        </w:rPr>
      </w:pPr>
      <w:r w:rsidRPr="003E3545">
        <w:rPr>
          <w:rFonts w:ascii="Times New Roman" w:hAnsi="Times New Roman"/>
          <w:b/>
          <w:szCs w:val="24"/>
        </w:rPr>
        <w:t>Záver</w:t>
      </w:r>
    </w:p>
    <w:p w:rsidR="00A028FD" w:rsidP="008D3D97">
      <w:pPr>
        <w:bidi w:val="0"/>
        <w:spacing w:before="240" w:after="120"/>
        <w:ind w:firstLine="720"/>
        <w:jc w:val="both"/>
        <w:rPr>
          <w:rFonts w:ascii="Times New Roman" w:hAnsi="Times New Roman"/>
          <w:szCs w:val="24"/>
        </w:rPr>
      </w:pPr>
      <w:r w:rsidRPr="003E3545" w:rsidR="003E3545">
        <w:rPr>
          <w:rFonts w:ascii="Times New Roman" w:hAnsi="Times New Roman"/>
          <w:szCs w:val="24"/>
        </w:rPr>
        <w:t xml:space="preserve">Z hľadiska </w:t>
      </w:r>
      <w:r w:rsidRPr="003E3545" w:rsidR="003E3545">
        <w:rPr>
          <w:rFonts w:ascii="Times New Roman" w:hAnsi="Times New Roman"/>
          <w:b/>
          <w:szCs w:val="24"/>
        </w:rPr>
        <w:t>celkového hospodárenia Sociálnej poisťovne</w:t>
      </w:r>
      <w:r w:rsidRPr="003E3545" w:rsidR="003E3545">
        <w:rPr>
          <w:rFonts w:ascii="Times New Roman" w:hAnsi="Times New Roman"/>
          <w:szCs w:val="24"/>
        </w:rPr>
        <w:t xml:space="preserve"> je možné očakávať </w:t>
      </w:r>
      <w:r w:rsidRPr="003E3545" w:rsidR="003E3545">
        <w:rPr>
          <w:rFonts w:ascii="Times New Roman" w:hAnsi="Times New Roman"/>
          <w:b/>
          <w:szCs w:val="24"/>
        </w:rPr>
        <w:t>v  rokoch 2012 až 2014</w:t>
      </w:r>
      <w:r w:rsidRPr="003E3545" w:rsidR="003E3545">
        <w:rPr>
          <w:rFonts w:ascii="Times New Roman" w:hAnsi="Times New Roman"/>
          <w:szCs w:val="24"/>
        </w:rPr>
        <w:t xml:space="preserve"> takéto výsledky:</w:t>
      </w:r>
    </w:p>
    <w:p w:rsidR="00A514AB" w:rsidP="008D3D97">
      <w:pPr>
        <w:bidi w:val="0"/>
        <w:spacing w:before="240" w:after="120"/>
        <w:ind w:firstLine="720"/>
        <w:jc w:val="both"/>
        <w:rPr>
          <w:rFonts w:ascii="Times New Roman" w:hAnsi="Times New Roman"/>
          <w:szCs w:val="24"/>
        </w:rPr>
      </w:pPr>
    </w:p>
    <w:tbl>
      <w:tblPr>
        <w:tblStyle w:val="TableNormal"/>
        <w:tblW w:w="8376" w:type="dxa"/>
        <w:tblInd w:w="779" w:type="dxa"/>
        <w:tblLayout w:type="fixed"/>
        <w:tblCellMar>
          <w:left w:w="70" w:type="dxa"/>
          <w:right w:w="70" w:type="dxa"/>
        </w:tblCellMar>
        <w:tblLook w:val="04A0"/>
      </w:tblPr>
      <w:tblGrid>
        <w:gridCol w:w="1396"/>
        <w:gridCol w:w="320"/>
        <w:gridCol w:w="1076"/>
        <w:gridCol w:w="604"/>
        <w:gridCol w:w="792"/>
        <w:gridCol w:w="508"/>
        <w:gridCol w:w="888"/>
        <w:gridCol w:w="412"/>
        <w:gridCol w:w="984"/>
        <w:gridCol w:w="316"/>
        <w:gridCol w:w="1080"/>
      </w:tblGrid>
      <w:tr>
        <w:tblPrEx>
          <w:tblW w:w="8376" w:type="dxa"/>
          <w:tblInd w:w="779" w:type="dxa"/>
          <w:tblLayout w:type="fixed"/>
          <w:tblCellMar>
            <w:left w:w="70" w:type="dxa"/>
            <w:right w:w="70" w:type="dxa"/>
          </w:tblCellMar>
          <w:tblLook w:val="04A0"/>
        </w:tblPrEx>
        <w:trPr>
          <w:trHeight w:val="300"/>
        </w:trPr>
        <w:tc>
          <w:tcPr>
            <w:tcW w:w="1716" w:type="dxa"/>
            <w:gridSpan w:val="2"/>
            <w:tcBorders>
              <w:top w:val="nil"/>
              <w:left w:val="nil"/>
              <w:bottom w:val="nil"/>
              <w:right w:val="nil"/>
            </w:tcBorders>
            <w:noWrap/>
            <w:textDirection w:val="lrTb"/>
            <w:vAlign w:val="center"/>
            <w:hideMark/>
          </w:tcPr>
          <w:p w:rsidR="00B76A8C" w:rsidRPr="00B76A8C" w:rsidP="00B76A8C">
            <w:pPr>
              <w:bidi w:val="0"/>
              <w:rPr>
                <w:rFonts w:ascii="Times New Roman" w:hAnsi="Times New Roman"/>
                <w:sz w:val="22"/>
                <w:szCs w:val="22"/>
              </w:rPr>
            </w:pPr>
          </w:p>
        </w:tc>
        <w:tc>
          <w:tcPr>
            <w:tcW w:w="1680" w:type="dxa"/>
            <w:gridSpan w:val="2"/>
            <w:tcBorders>
              <w:top w:val="nil"/>
              <w:left w:val="nil"/>
              <w:bottom w:val="nil"/>
              <w:right w:val="nil"/>
            </w:tcBorders>
            <w:noWrap/>
            <w:textDirection w:val="lrTb"/>
            <w:vAlign w:val="center"/>
            <w:hideMark/>
          </w:tcPr>
          <w:p w:rsidR="00B76A8C" w:rsidRPr="00B76A8C" w:rsidP="00B76A8C">
            <w:pPr>
              <w:bidi w:val="0"/>
              <w:rPr>
                <w:rFonts w:ascii="Times New Roman" w:hAnsi="Times New Roman"/>
                <w:sz w:val="22"/>
                <w:szCs w:val="22"/>
              </w:rPr>
            </w:pPr>
          </w:p>
        </w:tc>
        <w:tc>
          <w:tcPr>
            <w:tcW w:w="1300" w:type="dxa"/>
            <w:gridSpan w:val="2"/>
            <w:tcBorders>
              <w:top w:val="nil"/>
              <w:left w:val="nil"/>
              <w:bottom w:val="nil"/>
              <w:right w:val="nil"/>
            </w:tcBorders>
            <w:noWrap/>
            <w:textDirection w:val="lrTb"/>
            <w:vAlign w:val="center"/>
            <w:hideMark/>
          </w:tcPr>
          <w:p w:rsidR="00B76A8C" w:rsidRPr="00B76A8C" w:rsidP="00B76A8C">
            <w:pPr>
              <w:bidi w:val="0"/>
              <w:rPr>
                <w:rFonts w:ascii="Times New Roman" w:hAnsi="Times New Roman"/>
                <w:sz w:val="22"/>
                <w:szCs w:val="22"/>
              </w:rPr>
            </w:pPr>
          </w:p>
        </w:tc>
        <w:tc>
          <w:tcPr>
            <w:tcW w:w="1300" w:type="dxa"/>
            <w:gridSpan w:val="2"/>
            <w:tcBorders>
              <w:top w:val="nil"/>
              <w:left w:val="nil"/>
              <w:bottom w:val="nil"/>
              <w:right w:val="nil"/>
            </w:tcBorders>
            <w:noWrap/>
            <w:textDirection w:val="lrTb"/>
            <w:vAlign w:val="center"/>
            <w:hideMark/>
          </w:tcPr>
          <w:p w:rsidR="00B76A8C" w:rsidRPr="00B76A8C" w:rsidP="00B76A8C">
            <w:pPr>
              <w:bidi w:val="0"/>
              <w:rPr>
                <w:rFonts w:ascii="Times New Roman" w:hAnsi="Times New Roman"/>
                <w:sz w:val="22"/>
                <w:szCs w:val="22"/>
              </w:rPr>
            </w:pPr>
          </w:p>
        </w:tc>
        <w:tc>
          <w:tcPr>
            <w:tcW w:w="1300" w:type="dxa"/>
            <w:gridSpan w:val="2"/>
            <w:tcBorders>
              <w:top w:val="nil"/>
              <w:left w:val="nil"/>
              <w:bottom w:val="nil"/>
              <w:right w:val="nil"/>
            </w:tcBorders>
            <w:textDirection w:val="lrTb"/>
            <w:vAlign w:val="center"/>
            <w:hideMark/>
          </w:tcPr>
          <w:p w:rsidR="00B76A8C" w:rsidRPr="00B76A8C" w:rsidP="00B76A8C">
            <w:pPr>
              <w:bidi w:val="0"/>
              <w:jc w:val="right"/>
              <w:rPr>
                <w:rFonts w:ascii="Times New Roman" w:hAnsi="Times New Roman"/>
                <w:sz w:val="22"/>
                <w:szCs w:val="22"/>
              </w:rPr>
            </w:pPr>
          </w:p>
        </w:tc>
        <w:tc>
          <w:tcPr>
            <w:tcW w:w="1080" w:type="dxa"/>
            <w:tcBorders>
              <w:top w:val="nil"/>
              <w:left w:val="nil"/>
              <w:bottom w:val="nil"/>
              <w:right w:val="nil"/>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v tis. Eur</w:t>
            </w:r>
          </w:p>
        </w:tc>
      </w:tr>
      <w:tr>
        <w:tblPrEx>
          <w:tblW w:w="8376" w:type="dxa"/>
          <w:tblInd w:w="779" w:type="dxa"/>
          <w:tblLayout w:type="fixed"/>
          <w:tblCellMar>
            <w:left w:w="70" w:type="dxa"/>
            <w:right w:w="70" w:type="dxa"/>
          </w:tblCellMar>
          <w:tblLook w:val="04A0"/>
        </w:tblPrEx>
        <w:trPr>
          <w:trHeight w:val="900"/>
        </w:trPr>
        <w:tc>
          <w:tcPr>
            <w:tcW w:w="1396" w:type="dxa"/>
            <w:tcBorders>
              <w:top w:val="single" w:sz="4" w:space="0" w:color="auto"/>
              <w:left w:val="single" w:sz="4" w:space="0" w:color="auto"/>
              <w:bottom w:val="single" w:sz="4" w:space="0" w:color="auto"/>
              <w:right w:val="single" w:sz="4" w:space="0" w:color="auto"/>
            </w:tcBorders>
            <w:noWrap/>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Obdobie</w:t>
            </w:r>
          </w:p>
        </w:tc>
        <w:tc>
          <w:tcPr>
            <w:tcW w:w="1396" w:type="dxa"/>
            <w:gridSpan w:val="2"/>
            <w:tcBorders>
              <w:top w:val="single" w:sz="4" w:space="0" w:color="auto"/>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Príjmy v bežnom roku</w:t>
            </w:r>
          </w:p>
        </w:tc>
        <w:tc>
          <w:tcPr>
            <w:tcW w:w="1396" w:type="dxa"/>
            <w:gridSpan w:val="2"/>
            <w:tcBorders>
              <w:top w:val="single" w:sz="4" w:space="0" w:color="auto"/>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Výdavky (náklady)</w:t>
            </w:r>
          </w:p>
        </w:tc>
        <w:tc>
          <w:tcPr>
            <w:tcW w:w="1396" w:type="dxa"/>
            <w:gridSpan w:val="2"/>
            <w:tcBorders>
              <w:top w:val="single" w:sz="4" w:space="0" w:color="auto"/>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Bilančný rozdiel v bežnom roku</w:t>
            </w:r>
          </w:p>
        </w:tc>
        <w:tc>
          <w:tcPr>
            <w:tcW w:w="1396" w:type="dxa"/>
            <w:gridSpan w:val="2"/>
            <w:tcBorders>
              <w:top w:val="single" w:sz="4" w:space="0" w:color="auto"/>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Prevod z minulých rokoch</w:t>
            </w:r>
          </w:p>
        </w:tc>
        <w:tc>
          <w:tcPr>
            <w:tcW w:w="1396" w:type="dxa"/>
            <w:gridSpan w:val="2"/>
            <w:tcBorders>
              <w:top w:val="single" w:sz="4" w:space="0" w:color="auto"/>
              <w:left w:val="nil"/>
              <w:bottom w:val="single" w:sz="4" w:space="0" w:color="auto"/>
              <w:right w:val="single" w:sz="4" w:space="0" w:color="auto"/>
            </w:tcBorders>
            <w:textDirection w:val="lrTb"/>
            <w:vAlign w:val="center"/>
            <w:hideMark/>
          </w:tcPr>
          <w:p w:rsidR="00B76A8C" w:rsidRPr="00B76A8C" w:rsidP="00B76A8C">
            <w:pPr>
              <w:bidi w:val="0"/>
              <w:jc w:val="center"/>
              <w:rPr>
                <w:rFonts w:ascii="Times New Roman" w:hAnsi="Times New Roman"/>
                <w:sz w:val="22"/>
                <w:szCs w:val="22"/>
              </w:rPr>
            </w:pPr>
            <w:r w:rsidRPr="00B76A8C">
              <w:rPr>
                <w:rFonts w:ascii="Times New Roman" w:hAnsi="Times New Roman"/>
                <w:sz w:val="22"/>
                <w:szCs w:val="22"/>
              </w:rPr>
              <w:t>Bilančný rozdiel celkom</w:t>
            </w:r>
          </w:p>
        </w:tc>
      </w:tr>
      <w:tr>
        <w:tblPrEx>
          <w:tblW w:w="8376" w:type="dxa"/>
          <w:tblInd w:w="779" w:type="dxa"/>
          <w:tblLayout w:type="fixed"/>
          <w:tblCellMar>
            <w:left w:w="70" w:type="dxa"/>
            <w:right w:w="70" w:type="dxa"/>
          </w:tblCellMar>
          <w:tblLook w:val="04A0"/>
        </w:tblPrEx>
        <w:trPr>
          <w:trHeight w:val="300"/>
        </w:trPr>
        <w:tc>
          <w:tcPr>
            <w:tcW w:w="1396"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Rok 2012</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6 480 829</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6 456 293</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24 536</w:t>
            </w:r>
          </w:p>
        </w:tc>
        <w:tc>
          <w:tcPr>
            <w:tcW w:w="1396" w:type="dxa"/>
            <w:gridSpan w:val="2"/>
            <w:tcBorders>
              <w:top w:val="nil"/>
              <w:left w:val="nil"/>
              <w:bottom w:val="single" w:sz="4" w:space="0" w:color="auto"/>
              <w:right w:val="single" w:sz="4" w:space="0" w:color="auto"/>
            </w:tcBorders>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526 560</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551 096</w:t>
            </w:r>
          </w:p>
        </w:tc>
      </w:tr>
      <w:tr>
        <w:tblPrEx>
          <w:tblW w:w="8376" w:type="dxa"/>
          <w:tblInd w:w="779" w:type="dxa"/>
          <w:tblLayout w:type="fixed"/>
          <w:tblCellMar>
            <w:left w:w="70" w:type="dxa"/>
            <w:right w:w="70" w:type="dxa"/>
          </w:tblCellMar>
          <w:tblLook w:val="04A0"/>
        </w:tblPrEx>
        <w:trPr>
          <w:trHeight w:val="300"/>
        </w:trPr>
        <w:tc>
          <w:tcPr>
            <w:tcW w:w="1396"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Rok 2013</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6 850 769</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6 796 977</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53 792</w:t>
            </w:r>
          </w:p>
        </w:tc>
        <w:tc>
          <w:tcPr>
            <w:tcW w:w="1396" w:type="dxa"/>
            <w:gridSpan w:val="2"/>
            <w:tcBorders>
              <w:top w:val="nil"/>
              <w:left w:val="nil"/>
              <w:bottom w:val="single" w:sz="4" w:space="0" w:color="auto"/>
              <w:right w:val="single" w:sz="4" w:space="0" w:color="auto"/>
            </w:tcBorders>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551 096</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604 888</w:t>
            </w:r>
          </w:p>
        </w:tc>
      </w:tr>
      <w:tr>
        <w:tblPrEx>
          <w:tblW w:w="8376" w:type="dxa"/>
          <w:tblInd w:w="779" w:type="dxa"/>
          <w:tblLayout w:type="fixed"/>
          <w:tblCellMar>
            <w:left w:w="70" w:type="dxa"/>
            <w:right w:w="70" w:type="dxa"/>
          </w:tblCellMar>
          <w:tblLook w:val="04A0"/>
        </w:tblPrEx>
        <w:trPr>
          <w:trHeight w:val="300"/>
        </w:trPr>
        <w:tc>
          <w:tcPr>
            <w:tcW w:w="1396" w:type="dxa"/>
            <w:tcBorders>
              <w:top w:val="nil"/>
              <w:left w:val="single" w:sz="4" w:space="0" w:color="auto"/>
              <w:bottom w:val="single" w:sz="4" w:space="0" w:color="auto"/>
              <w:right w:val="single" w:sz="4" w:space="0" w:color="auto"/>
            </w:tcBorders>
            <w:noWrap/>
            <w:textDirection w:val="lrTb"/>
            <w:vAlign w:val="center"/>
            <w:hideMark/>
          </w:tcPr>
          <w:p w:rsidR="00B76A8C" w:rsidRPr="00B76A8C" w:rsidP="00B76A8C">
            <w:pPr>
              <w:bidi w:val="0"/>
              <w:rPr>
                <w:rFonts w:ascii="Times New Roman" w:hAnsi="Times New Roman"/>
                <w:sz w:val="22"/>
                <w:szCs w:val="22"/>
              </w:rPr>
            </w:pPr>
            <w:r w:rsidRPr="00B76A8C">
              <w:rPr>
                <w:rFonts w:ascii="Times New Roman" w:hAnsi="Times New Roman"/>
                <w:sz w:val="22"/>
                <w:szCs w:val="22"/>
              </w:rPr>
              <w:t>Rok 2014</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7 154 603</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7 100 532</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54 071</w:t>
            </w:r>
          </w:p>
        </w:tc>
        <w:tc>
          <w:tcPr>
            <w:tcW w:w="1396" w:type="dxa"/>
            <w:gridSpan w:val="2"/>
            <w:tcBorders>
              <w:top w:val="nil"/>
              <w:left w:val="nil"/>
              <w:bottom w:val="single" w:sz="4" w:space="0" w:color="auto"/>
              <w:right w:val="single" w:sz="4" w:space="0" w:color="auto"/>
            </w:tcBorders>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604 888</w:t>
            </w:r>
          </w:p>
        </w:tc>
        <w:tc>
          <w:tcPr>
            <w:tcW w:w="1396" w:type="dxa"/>
            <w:gridSpan w:val="2"/>
            <w:tcBorders>
              <w:top w:val="nil"/>
              <w:left w:val="nil"/>
              <w:bottom w:val="single" w:sz="4" w:space="0" w:color="auto"/>
              <w:right w:val="single" w:sz="4" w:space="0" w:color="auto"/>
            </w:tcBorders>
            <w:noWrap/>
            <w:textDirection w:val="lrTb"/>
            <w:vAlign w:val="center"/>
            <w:hideMark/>
          </w:tcPr>
          <w:p w:rsidR="00B76A8C" w:rsidRPr="00B76A8C" w:rsidP="00B76A8C">
            <w:pPr>
              <w:bidi w:val="0"/>
              <w:jc w:val="right"/>
              <w:rPr>
                <w:rFonts w:ascii="Times New Roman" w:hAnsi="Times New Roman"/>
                <w:sz w:val="22"/>
                <w:szCs w:val="22"/>
              </w:rPr>
            </w:pPr>
            <w:r w:rsidRPr="00B76A8C">
              <w:rPr>
                <w:rFonts w:ascii="Times New Roman" w:hAnsi="Times New Roman"/>
                <w:sz w:val="22"/>
                <w:szCs w:val="22"/>
              </w:rPr>
              <w:t>658 959</w:t>
            </w:r>
          </w:p>
        </w:tc>
      </w:tr>
    </w:tbl>
    <w:p w:rsidR="00AF6247" w:rsidP="00BD7328">
      <w:pPr>
        <w:bidi w:val="0"/>
        <w:spacing w:before="120"/>
        <w:ind w:firstLine="720"/>
        <w:jc w:val="both"/>
        <w:rPr>
          <w:rFonts w:ascii="Times New Roman" w:hAnsi="Times New Roman"/>
          <w:szCs w:val="24"/>
        </w:rPr>
      </w:pPr>
    </w:p>
    <w:p w:rsidR="003E3545" w:rsidP="00BD7328">
      <w:pPr>
        <w:bidi w:val="0"/>
        <w:spacing w:before="120"/>
        <w:ind w:firstLine="720"/>
        <w:jc w:val="both"/>
        <w:rPr>
          <w:rFonts w:ascii="Times New Roman" w:hAnsi="Times New Roman"/>
          <w:szCs w:val="24"/>
        </w:rPr>
      </w:pPr>
      <w:r w:rsidRPr="003E3545">
        <w:rPr>
          <w:rFonts w:ascii="Times New Roman" w:hAnsi="Times New Roman"/>
          <w:szCs w:val="24"/>
        </w:rPr>
        <w:t>V rokoch 2012 až 2014 je v príjmoch Sociálnej poisťovne zapracovaný transfer zo ŠR SR:</w:t>
      </w:r>
    </w:p>
    <w:tbl>
      <w:tblPr>
        <w:tblStyle w:val="TableNormal"/>
        <w:tblW w:w="6690" w:type="dxa"/>
        <w:tblInd w:w="779" w:type="dxa"/>
        <w:tblCellMar>
          <w:left w:w="70" w:type="dxa"/>
          <w:right w:w="70" w:type="dxa"/>
        </w:tblCellMar>
        <w:tblLook w:val="04A0"/>
      </w:tblPr>
      <w:tblGrid>
        <w:gridCol w:w="2410"/>
        <w:gridCol w:w="1680"/>
        <w:gridCol w:w="1300"/>
        <w:gridCol w:w="1300"/>
      </w:tblGrid>
      <w:tr>
        <w:tblPrEx>
          <w:tblW w:w="6690" w:type="dxa"/>
          <w:tblInd w:w="779" w:type="dxa"/>
          <w:tblCellMar>
            <w:left w:w="70" w:type="dxa"/>
            <w:right w:w="70" w:type="dxa"/>
          </w:tblCellMar>
          <w:tblLook w:val="04A0"/>
        </w:tblPrEx>
        <w:trPr>
          <w:trHeight w:val="300"/>
        </w:trPr>
        <w:tc>
          <w:tcPr>
            <w:tcW w:w="2410" w:type="dxa"/>
            <w:tcBorders>
              <w:top w:val="nil"/>
              <w:left w:val="nil"/>
              <w:bottom w:val="nil"/>
              <w:right w:val="nil"/>
            </w:tcBorders>
            <w:noWrap/>
            <w:textDirection w:val="lrTb"/>
            <w:vAlign w:val="bottom"/>
            <w:hideMark/>
          </w:tcPr>
          <w:p w:rsidR="00326B3E" w:rsidRPr="00326B3E" w:rsidP="00326B3E">
            <w:pPr>
              <w:bidi w:val="0"/>
              <w:rPr>
                <w:rFonts w:ascii="Times New Roman" w:hAnsi="Times New Roman"/>
                <w:sz w:val="22"/>
                <w:szCs w:val="22"/>
              </w:rPr>
            </w:pPr>
          </w:p>
        </w:tc>
        <w:tc>
          <w:tcPr>
            <w:tcW w:w="1680" w:type="dxa"/>
            <w:tcBorders>
              <w:top w:val="nil"/>
              <w:left w:val="nil"/>
              <w:bottom w:val="nil"/>
              <w:right w:val="nil"/>
            </w:tcBorders>
            <w:noWrap/>
            <w:textDirection w:val="lrTb"/>
            <w:vAlign w:val="bottom"/>
            <w:hideMark/>
          </w:tcPr>
          <w:p w:rsidR="00326B3E" w:rsidRPr="00326B3E" w:rsidP="00326B3E">
            <w:pPr>
              <w:bidi w:val="0"/>
              <w:rPr>
                <w:rFonts w:ascii="Times New Roman" w:hAnsi="Times New Roman"/>
                <w:sz w:val="22"/>
                <w:szCs w:val="22"/>
              </w:rPr>
            </w:pPr>
          </w:p>
        </w:tc>
        <w:tc>
          <w:tcPr>
            <w:tcW w:w="1300" w:type="dxa"/>
            <w:tcBorders>
              <w:top w:val="nil"/>
              <w:left w:val="nil"/>
              <w:bottom w:val="nil"/>
              <w:right w:val="nil"/>
            </w:tcBorders>
            <w:noWrap/>
            <w:textDirection w:val="lrTb"/>
            <w:vAlign w:val="bottom"/>
            <w:hideMark/>
          </w:tcPr>
          <w:p w:rsidR="00326B3E" w:rsidRPr="00326B3E" w:rsidP="00326B3E">
            <w:pPr>
              <w:bidi w:val="0"/>
              <w:rPr>
                <w:rFonts w:ascii="Times New Roman" w:hAnsi="Times New Roman"/>
                <w:sz w:val="22"/>
                <w:szCs w:val="22"/>
              </w:rPr>
            </w:pPr>
          </w:p>
        </w:tc>
        <w:tc>
          <w:tcPr>
            <w:tcW w:w="1300" w:type="dxa"/>
            <w:tcBorders>
              <w:top w:val="nil"/>
              <w:left w:val="nil"/>
              <w:bottom w:val="nil"/>
              <w:right w:val="nil"/>
            </w:tcBorders>
            <w:noWrap/>
            <w:textDirection w:val="lrTb"/>
            <w:vAlign w:val="center"/>
            <w:hideMark/>
          </w:tcPr>
          <w:p w:rsidR="00326B3E" w:rsidRPr="00326B3E" w:rsidP="00326B3E">
            <w:pPr>
              <w:bidi w:val="0"/>
              <w:jc w:val="right"/>
              <w:rPr>
                <w:rFonts w:ascii="Times New Roman" w:hAnsi="Times New Roman"/>
                <w:sz w:val="20"/>
              </w:rPr>
            </w:pPr>
            <w:r w:rsidRPr="00326B3E">
              <w:rPr>
                <w:rFonts w:ascii="Times New Roman" w:hAnsi="Times New Roman"/>
                <w:sz w:val="20"/>
              </w:rPr>
              <w:t>v tis. Eur</w:t>
            </w:r>
          </w:p>
        </w:tc>
      </w:tr>
      <w:tr>
        <w:tblPrEx>
          <w:tblW w:w="6690" w:type="dxa"/>
          <w:tblInd w:w="779" w:type="dxa"/>
          <w:tblCellMar>
            <w:left w:w="70" w:type="dxa"/>
            <w:right w:w="70" w:type="dxa"/>
          </w:tblCellMar>
          <w:tblLook w:val="04A0"/>
        </w:tblPrEx>
        <w:trPr>
          <w:trHeight w:val="300"/>
        </w:trPr>
        <w:tc>
          <w:tcPr>
            <w:tcW w:w="2410" w:type="dxa"/>
            <w:tcBorders>
              <w:top w:val="single" w:sz="4" w:space="0" w:color="auto"/>
              <w:left w:val="single" w:sz="4" w:space="0" w:color="auto"/>
              <w:bottom w:val="single" w:sz="4" w:space="0" w:color="auto"/>
              <w:right w:val="single" w:sz="4" w:space="0" w:color="auto"/>
            </w:tcBorders>
            <w:noWrap/>
            <w:textDirection w:val="lrTb"/>
            <w:vAlign w:val="bottom"/>
            <w:hideMark/>
          </w:tcPr>
          <w:p w:rsidR="00326B3E" w:rsidRPr="00326B3E" w:rsidP="00326B3E">
            <w:pPr>
              <w:bidi w:val="0"/>
              <w:jc w:val="center"/>
              <w:rPr>
                <w:rFonts w:ascii="Times New Roman" w:hAnsi="Times New Roman"/>
                <w:sz w:val="22"/>
                <w:szCs w:val="22"/>
              </w:rPr>
            </w:pPr>
            <w:r w:rsidR="00BD7328">
              <w:rPr>
                <w:rFonts w:ascii="Times New Roman" w:hAnsi="Times New Roman"/>
                <w:sz w:val="22"/>
                <w:szCs w:val="22"/>
              </w:rPr>
              <w:t>Ukazovateľ</w:t>
            </w:r>
          </w:p>
        </w:tc>
        <w:tc>
          <w:tcPr>
            <w:tcW w:w="1680" w:type="dxa"/>
            <w:tcBorders>
              <w:top w:val="single" w:sz="4" w:space="0" w:color="auto"/>
              <w:left w:val="nil"/>
              <w:bottom w:val="single" w:sz="4" w:space="0" w:color="auto"/>
              <w:right w:val="single" w:sz="4" w:space="0" w:color="auto"/>
            </w:tcBorders>
            <w:noWrap/>
            <w:textDirection w:val="lrTb"/>
            <w:vAlign w:val="center"/>
            <w:hideMark/>
          </w:tcPr>
          <w:p w:rsidR="00326B3E" w:rsidRPr="00326B3E" w:rsidP="00326B3E">
            <w:pPr>
              <w:bidi w:val="0"/>
              <w:jc w:val="center"/>
              <w:rPr>
                <w:rFonts w:ascii="Times New Roman" w:hAnsi="Times New Roman"/>
                <w:sz w:val="20"/>
              </w:rPr>
            </w:pPr>
            <w:r w:rsidRPr="00326B3E">
              <w:rPr>
                <w:rFonts w:ascii="Times New Roman" w:hAnsi="Times New Roman"/>
                <w:sz w:val="20"/>
              </w:rPr>
              <w:t>Rok 2012</w:t>
            </w:r>
          </w:p>
        </w:tc>
        <w:tc>
          <w:tcPr>
            <w:tcW w:w="1300" w:type="dxa"/>
            <w:tcBorders>
              <w:top w:val="single" w:sz="4" w:space="0" w:color="auto"/>
              <w:left w:val="nil"/>
              <w:bottom w:val="single" w:sz="4" w:space="0" w:color="auto"/>
              <w:right w:val="single" w:sz="4" w:space="0" w:color="auto"/>
            </w:tcBorders>
            <w:noWrap/>
            <w:textDirection w:val="lrTb"/>
            <w:vAlign w:val="center"/>
            <w:hideMark/>
          </w:tcPr>
          <w:p w:rsidR="00326B3E" w:rsidRPr="00326B3E" w:rsidP="00326B3E">
            <w:pPr>
              <w:bidi w:val="0"/>
              <w:jc w:val="center"/>
              <w:rPr>
                <w:rFonts w:ascii="Times New Roman" w:hAnsi="Times New Roman"/>
                <w:sz w:val="20"/>
              </w:rPr>
            </w:pPr>
            <w:r w:rsidRPr="00326B3E">
              <w:rPr>
                <w:rFonts w:ascii="Times New Roman" w:hAnsi="Times New Roman"/>
                <w:sz w:val="20"/>
              </w:rPr>
              <w:t>Rok 2013</w:t>
            </w:r>
          </w:p>
        </w:tc>
        <w:tc>
          <w:tcPr>
            <w:tcW w:w="1300" w:type="dxa"/>
            <w:tcBorders>
              <w:top w:val="single" w:sz="4" w:space="0" w:color="auto"/>
              <w:left w:val="nil"/>
              <w:bottom w:val="single" w:sz="4" w:space="0" w:color="auto"/>
              <w:right w:val="single" w:sz="4" w:space="0" w:color="auto"/>
            </w:tcBorders>
            <w:noWrap/>
            <w:textDirection w:val="lrTb"/>
            <w:vAlign w:val="center"/>
            <w:hideMark/>
          </w:tcPr>
          <w:p w:rsidR="00326B3E" w:rsidRPr="00326B3E" w:rsidP="00326B3E">
            <w:pPr>
              <w:bidi w:val="0"/>
              <w:jc w:val="center"/>
              <w:rPr>
                <w:rFonts w:ascii="Times New Roman" w:hAnsi="Times New Roman"/>
                <w:sz w:val="20"/>
              </w:rPr>
            </w:pPr>
            <w:r w:rsidRPr="00326B3E">
              <w:rPr>
                <w:rFonts w:ascii="Times New Roman" w:hAnsi="Times New Roman"/>
                <w:sz w:val="20"/>
              </w:rPr>
              <w:t>Rok 2014</w:t>
            </w:r>
          </w:p>
        </w:tc>
      </w:tr>
      <w:tr>
        <w:tblPrEx>
          <w:tblW w:w="6690" w:type="dxa"/>
          <w:tblInd w:w="779" w:type="dxa"/>
          <w:tblCellMar>
            <w:left w:w="70" w:type="dxa"/>
            <w:right w:w="70" w:type="dxa"/>
          </w:tblCellMar>
          <w:tblLook w:val="04A0"/>
        </w:tblPrEx>
        <w:trPr>
          <w:trHeight w:val="300"/>
        </w:trPr>
        <w:tc>
          <w:tcPr>
            <w:tcW w:w="2410" w:type="dxa"/>
            <w:tcBorders>
              <w:top w:val="nil"/>
              <w:left w:val="single" w:sz="4" w:space="0" w:color="auto"/>
              <w:bottom w:val="single" w:sz="4" w:space="0" w:color="auto"/>
              <w:right w:val="single" w:sz="4" w:space="0" w:color="auto"/>
            </w:tcBorders>
            <w:textDirection w:val="lrTb"/>
            <w:vAlign w:val="center"/>
            <w:hideMark/>
          </w:tcPr>
          <w:p w:rsidR="00326B3E" w:rsidRPr="00326B3E" w:rsidP="00326B3E">
            <w:pPr>
              <w:bidi w:val="0"/>
              <w:jc w:val="center"/>
              <w:rPr>
                <w:rFonts w:ascii="Times New Roman" w:hAnsi="Times New Roman"/>
                <w:sz w:val="20"/>
              </w:rPr>
            </w:pPr>
            <w:r w:rsidRPr="00326B3E">
              <w:rPr>
                <w:rFonts w:ascii="Times New Roman" w:hAnsi="Times New Roman"/>
                <w:sz w:val="20"/>
              </w:rPr>
              <w:t>Transfer zo ŠR SR</w:t>
            </w:r>
          </w:p>
        </w:tc>
        <w:tc>
          <w:tcPr>
            <w:tcW w:w="1680" w:type="dxa"/>
            <w:tcBorders>
              <w:top w:val="nil"/>
              <w:left w:val="nil"/>
              <w:bottom w:val="single" w:sz="4" w:space="0" w:color="auto"/>
              <w:right w:val="single" w:sz="4" w:space="0" w:color="auto"/>
            </w:tcBorders>
            <w:noWrap/>
            <w:textDirection w:val="lrTb"/>
            <w:vAlign w:val="center"/>
            <w:hideMark/>
          </w:tcPr>
          <w:p w:rsidR="00326B3E" w:rsidRPr="00326B3E" w:rsidP="0092554E">
            <w:pPr>
              <w:bidi w:val="0"/>
              <w:jc w:val="right"/>
              <w:rPr>
                <w:rFonts w:ascii="Times New Roman" w:hAnsi="Times New Roman"/>
                <w:sz w:val="20"/>
              </w:rPr>
            </w:pPr>
            <w:r w:rsidR="00C61C3C">
              <w:rPr>
                <w:rFonts w:ascii="Times New Roman" w:hAnsi="Times New Roman"/>
                <w:sz w:val="20"/>
              </w:rPr>
              <w:t>2 865 000</w:t>
            </w:r>
          </w:p>
        </w:tc>
        <w:tc>
          <w:tcPr>
            <w:tcW w:w="1300" w:type="dxa"/>
            <w:tcBorders>
              <w:top w:val="nil"/>
              <w:left w:val="nil"/>
              <w:bottom w:val="single" w:sz="4" w:space="0" w:color="auto"/>
              <w:right w:val="single" w:sz="4" w:space="0" w:color="auto"/>
            </w:tcBorders>
            <w:noWrap/>
            <w:textDirection w:val="lrTb"/>
            <w:vAlign w:val="center"/>
            <w:hideMark/>
          </w:tcPr>
          <w:p w:rsidR="00326B3E" w:rsidRPr="00326B3E" w:rsidP="00D558C3">
            <w:pPr>
              <w:bidi w:val="0"/>
              <w:jc w:val="right"/>
              <w:rPr>
                <w:rFonts w:ascii="Times New Roman" w:hAnsi="Times New Roman"/>
                <w:sz w:val="20"/>
              </w:rPr>
            </w:pPr>
            <w:r w:rsidR="00C61C3C">
              <w:rPr>
                <w:rFonts w:ascii="Times New Roman" w:hAnsi="Times New Roman"/>
                <w:sz w:val="20"/>
              </w:rPr>
              <w:t>3 127 000</w:t>
            </w:r>
          </w:p>
        </w:tc>
        <w:tc>
          <w:tcPr>
            <w:tcW w:w="1300" w:type="dxa"/>
            <w:tcBorders>
              <w:top w:val="nil"/>
              <w:left w:val="nil"/>
              <w:bottom w:val="single" w:sz="4" w:space="0" w:color="auto"/>
              <w:right w:val="single" w:sz="4" w:space="0" w:color="auto"/>
            </w:tcBorders>
            <w:noWrap/>
            <w:textDirection w:val="lrTb"/>
            <w:vAlign w:val="center"/>
            <w:hideMark/>
          </w:tcPr>
          <w:p w:rsidR="00326B3E" w:rsidRPr="00326B3E" w:rsidP="00D558C3">
            <w:pPr>
              <w:bidi w:val="0"/>
              <w:jc w:val="right"/>
              <w:rPr>
                <w:rFonts w:ascii="Times New Roman" w:hAnsi="Times New Roman"/>
                <w:sz w:val="20"/>
              </w:rPr>
            </w:pPr>
            <w:r w:rsidR="00C61C3C">
              <w:rPr>
                <w:rFonts w:ascii="Times New Roman" w:hAnsi="Times New Roman"/>
                <w:sz w:val="20"/>
              </w:rPr>
              <w:t>3 248 000</w:t>
            </w:r>
          </w:p>
        </w:tc>
      </w:tr>
    </w:tbl>
    <w:p w:rsidR="003E3545" w:rsidRPr="003E3545" w:rsidP="0002230E">
      <w:pPr>
        <w:bidi w:val="0"/>
        <w:spacing w:before="240" w:after="120"/>
        <w:jc w:val="center"/>
        <w:rPr>
          <w:rFonts w:ascii="Times New Roman" w:hAnsi="Times New Roman"/>
          <w:szCs w:val="24"/>
        </w:rPr>
      </w:pPr>
      <w:r w:rsidRPr="003E3545">
        <w:rPr>
          <w:rFonts w:ascii="Times New Roman" w:hAnsi="Times New Roman"/>
          <w:szCs w:val="24"/>
        </w:rPr>
        <w:t>x  x  x</w:t>
      </w:r>
    </w:p>
    <w:p w:rsidR="003E3545" w:rsidRPr="003E3545" w:rsidP="003E3545">
      <w:pPr>
        <w:bidi w:val="0"/>
        <w:ind w:firstLine="709"/>
        <w:jc w:val="both"/>
        <w:rPr>
          <w:rFonts w:ascii="Times New Roman" w:hAnsi="Times New Roman"/>
          <w:szCs w:val="24"/>
        </w:rPr>
      </w:pPr>
      <w:r w:rsidRPr="003E3545">
        <w:rPr>
          <w:rFonts w:ascii="Times New Roman" w:hAnsi="Times New Roman"/>
          <w:szCs w:val="24"/>
        </w:rPr>
        <w:t>Príjmovú časť rozpočtu Sociálnej poisťovne výrazne ovplyvňuje existencia starobného dôchodkového sporenia. Predpokladá sa, že v roku 2012 by mali byť príspevky na SDS postúpené v celkovej sume 9</w:t>
      </w:r>
      <w:r w:rsidR="004C5487">
        <w:rPr>
          <w:rFonts w:ascii="Times New Roman" w:hAnsi="Times New Roman"/>
          <w:szCs w:val="24"/>
        </w:rPr>
        <w:t>4</w:t>
      </w:r>
      <w:r w:rsidR="00BB47C5">
        <w:rPr>
          <w:rFonts w:ascii="Times New Roman" w:hAnsi="Times New Roman"/>
          <w:szCs w:val="24"/>
        </w:rPr>
        <w:t>9</w:t>
      </w:r>
      <w:r w:rsidRPr="003E3545">
        <w:rPr>
          <w:rFonts w:ascii="Times New Roman" w:hAnsi="Times New Roman"/>
          <w:szCs w:val="24"/>
        </w:rPr>
        <w:t> </w:t>
      </w:r>
      <w:r w:rsidR="00BB47C5">
        <w:rPr>
          <w:rFonts w:ascii="Times New Roman" w:hAnsi="Times New Roman"/>
          <w:szCs w:val="24"/>
        </w:rPr>
        <w:t>403</w:t>
      </w:r>
      <w:r w:rsidRPr="003E3545">
        <w:rPr>
          <w:rFonts w:ascii="Times New Roman" w:hAnsi="Times New Roman"/>
          <w:szCs w:val="24"/>
        </w:rPr>
        <w:t xml:space="preserve"> tis. Eur,  z toho za sporiteľov:</w:t>
      </w:r>
    </w:p>
    <w:p w:rsidR="003E3545" w:rsidRPr="003E3545" w:rsidP="008173F1">
      <w:pPr>
        <w:numPr>
          <w:numId w:val="8"/>
        </w:numPr>
        <w:bidi w:val="0"/>
        <w:contextualSpacing/>
        <w:jc w:val="both"/>
        <w:rPr>
          <w:rFonts w:ascii="Times New Roman" w:hAnsi="Times New Roman"/>
          <w:szCs w:val="24"/>
        </w:rPr>
      </w:pPr>
      <w:r w:rsidRPr="003E3545">
        <w:rPr>
          <w:rFonts w:ascii="Times New Roman" w:hAnsi="Times New Roman"/>
          <w:szCs w:val="24"/>
        </w:rPr>
        <w:t>EAO v sume</w:t>
        <w:tab/>
        <w:tab/>
        <w:tab/>
        <w:tab/>
        <w:tab/>
        <w:tab/>
        <w:tab/>
        <w:tab/>
      </w:r>
      <w:r w:rsidR="00326B3E">
        <w:rPr>
          <w:rFonts w:ascii="Times New Roman" w:hAnsi="Times New Roman"/>
          <w:szCs w:val="24"/>
        </w:rPr>
        <w:t>85</w:t>
      </w:r>
      <w:r w:rsidR="00BB47C5">
        <w:rPr>
          <w:rFonts w:ascii="Times New Roman" w:hAnsi="Times New Roman"/>
          <w:szCs w:val="24"/>
        </w:rPr>
        <w:t>7</w:t>
      </w:r>
      <w:r w:rsidRPr="003E3545">
        <w:rPr>
          <w:rFonts w:ascii="Times New Roman" w:hAnsi="Times New Roman"/>
          <w:szCs w:val="24"/>
        </w:rPr>
        <w:t> </w:t>
      </w:r>
      <w:r w:rsidR="00BB47C5">
        <w:rPr>
          <w:rFonts w:ascii="Times New Roman" w:hAnsi="Times New Roman"/>
          <w:szCs w:val="24"/>
        </w:rPr>
        <w:t>643</w:t>
      </w:r>
      <w:r w:rsidRPr="003E3545">
        <w:rPr>
          <w:rFonts w:ascii="Times New Roman" w:hAnsi="Times New Roman"/>
          <w:szCs w:val="24"/>
        </w:rPr>
        <w:t xml:space="preserve"> tis. Eur,</w:t>
      </w:r>
    </w:p>
    <w:p w:rsidR="003E3545" w:rsidRPr="003E3545" w:rsidP="008173F1">
      <w:pPr>
        <w:numPr>
          <w:numId w:val="8"/>
        </w:numPr>
        <w:bidi w:val="0"/>
        <w:contextualSpacing/>
        <w:jc w:val="both"/>
        <w:rPr>
          <w:rFonts w:ascii="Times New Roman" w:hAnsi="Times New Roman"/>
          <w:szCs w:val="24"/>
        </w:rPr>
      </w:pPr>
      <w:r w:rsidRPr="003E3545">
        <w:rPr>
          <w:rFonts w:ascii="Times New Roman" w:hAnsi="Times New Roman"/>
          <w:szCs w:val="24"/>
        </w:rPr>
        <w:t xml:space="preserve">štátu </w:t>
        <w:tab/>
        <w:tab/>
        <w:tab/>
        <w:tab/>
        <w:tab/>
        <w:tab/>
        <w:tab/>
        <w:tab/>
        <w:tab/>
      </w:r>
      <w:r w:rsidR="00233792">
        <w:rPr>
          <w:rFonts w:ascii="Times New Roman" w:hAnsi="Times New Roman"/>
          <w:szCs w:val="24"/>
        </w:rPr>
        <w:t xml:space="preserve">  </w:t>
      </w:r>
      <w:r w:rsidR="00326B3E">
        <w:rPr>
          <w:rFonts w:ascii="Times New Roman" w:hAnsi="Times New Roman"/>
          <w:szCs w:val="24"/>
        </w:rPr>
        <w:t>5</w:t>
      </w:r>
      <w:r w:rsidR="00BB47C5">
        <w:rPr>
          <w:rFonts w:ascii="Times New Roman" w:hAnsi="Times New Roman"/>
          <w:szCs w:val="24"/>
        </w:rPr>
        <w:t>2</w:t>
      </w:r>
      <w:r w:rsidRPr="003E3545">
        <w:rPr>
          <w:rFonts w:ascii="Times New Roman" w:hAnsi="Times New Roman"/>
          <w:szCs w:val="24"/>
        </w:rPr>
        <w:t> </w:t>
      </w:r>
      <w:r w:rsidR="00BB47C5">
        <w:rPr>
          <w:rFonts w:ascii="Times New Roman" w:hAnsi="Times New Roman"/>
          <w:szCs w:val="24"/>
        </w:rPr>
        <w:t>801</w:t>
      </w:r>
      <w:r w:rsidRPr="003E3545">
        <w:rPr>
          <w:rFonts w:ascii="Times New Roman" w:hAnsi="Times New Roman"/>
          <w:szCs w:val="24"/>
        </w:rPr>
        <w:t xml:space="preserve"> tis. Eur,</w:t>
      </w:r>
    </w:p>
    <w:p w:rsidR="00326B3E" w:rsidRPr="00BD7328" w:rsidP="008173F1">
      <w:pPr>
        <w:numPr>
          <w:numId w:val="8"/>
        </w:numPr>
        <w:bidi w:val="0"/>
        <w:contextualSpacing/>
        <w:jc w:val="both"/>
        <w:rPr>
          <w:rFonts w:ascii="Times New Roman" w:hAnsi="Times New Roman"/>
          <w:szCs w:val="24"/>
        </w:rPr>
      </w:pPr>
      <w:r w:rsidRPr="003E3545" w:rsidR="003E3545">
        <w:rPr>
          <w:rFonts w:ascii="Times New Roman" w:hAnsi="Times New Roman"/>
          <w:szCs w:val="24"/>
        </w:rPr>
        <w:t xml:space="preserve">Sociálnej poisťovne </w:t>
        <w:tab/>
        <w:tab/>
        <w:tab/>
        <w:tab/>
        <w:tab/>
        <w:tab/>
      </w:r>
      <w:r>
        <w:rPr>
          <w:rFonts w:ascii="Times New Roman" w:hAnsi="Times New Roman"/>
          <w:szCs w:val="24"/>
        </w:rPr>
        <w:tab/>
      </w:r>
      <w:r w:rsidRPr="003E3545" w:rsidR="003E3545">
        <w:rPr>
          <w:rFonts w:ascii="Times New Roman" w:hAnsi="Times New Roman"/>
          <w:szCs w:val="24"/>
        </w:rPr>
        <w:t xml:space="preserve">        2</w:t>
      </w:r>
      <w:r w:rsidR="00BB47C5">
        <w:rPr>
          <w:rFonts w:ascii="Times New Roman" w:hAnsi="Times New Roman"/>
          <w:szCs w:val="24"/>
        </w:rPr>
        <w:t>35</w:t>
      </w:r>
      <w:r w:rsidRPr="003E3545" w:rsidR="003E3545">
        <w:rPr>
          <w:rFonts w:ascii="Times New Roman" w:hAnsi="Times New Roman"/>
          <w:szCs w:val="24"/>
        </w:rPr>
        <w:t xml:space="preserve"> tis. Eur.</w:t>
      </w:r>
    </w:p>
    <w:p w:rsidR="003E3545" w:rsidRPr="003E3545" w:rsidP="00DE55C9">
      <w:pPr>
        <w:bidi w:val="0"/>
        <w:spacing w:before="240"/>
        <w:ind w:firstLine="709"/>
        <w:jc w:val="both"/>
        <w:rPr>
          <w:rFonts w:ascii="Times New Roman" w:hAnsi="Times New Roman"/>
          <w:szCs w:val="24"/>
        </w:rPr>
      </w:pPr>
      <w:r w:rsidR="00DE55C9">
        <w:rPr>
          <w:rFonts w:ascii="Times New Roman" w:hAnsi="Times New Roman"/>
          <w:szCs w:val="24"/>
        </w:rPr>
        <w:t xml:space="preserve">Príspevky na SDS, ktoré neodvedie zamestnávateľ za zamestnancov, </w:t>
      </w:r>
      <w:r w:rsidR="00FF0368">
        <w:rPr>
          <w:rFonts w:ascii="Times New Roman" w:hAnsi="Times New Roman"/>
          <w:szCs w:val="24"/>
        </w:rPr>
        <w:t xml:space="preserve">budú </w:t>
      </w:r>
      <w:r w:rsidR="00DE55C9">
        <w:rPr>
          <w:rFonts w:ascii="Times New Roman" w:hAnsi="Times New Roman"/>
          <w:szCs w:val="24"/>
        </w:rPr>
        <w:t>hradené zo štátneho rozpočtu transferom z kapitoly MF</w:t>
      </w:r>
      <w:r w:rsidR="00FF0368">
        <w:rPr>
          <w:rFonts w:ascii="Times New Roman" w:hAnsi="Times New Roman"/>
          <w:szCs w:val="24"/>
        </w:rPr>
        <w:t> </w:t>
      </w:r>
      <w:r w:rsidR="00DE55C9">
        <w:rPr>
          <w:rFonts w:ascii="Times New Roman" w:hAnsi="Times New Roman"/>
          <w:szCs w:val="24"/>
        </w:rPr>
        <w:t xml:space="preserve">SR, </w:t>
      </w:r>
      <w:r w:rsidRPr="003E3545">
        <w:rPr>
          <w:rFonts w:ascii="Times New Roman" w:hAnsi="Times New Roman"/>
          <w:szCs w:val="24"/>
        </w:rPr>
        <w:t>by mali byť postúp</w:t>
      </w:r>
      <w:r w:rsidR="00326B3E">
        <w:rPr>
          <w:rFonts w:ascii="Times New Roman" w:hAnsi="Times New Roman"/>
          <w:szCs w:val="24"/>
        </w:rPr>
        <w:t xml:space="preserve">ené v sume </w:t>
      </w:r>
      <w:r w:rsidRPr="003E3545">
        <w:rPr>
          <w:rFonts w:ascii="Times New Roman" w:hAnsi="Times New Roman"/>
          <w:szCs w:val="24"/>
        </w:rPr>
        <w:t>3</w:t>
      </w:r>
      <w:r w:rsidR="00BB47C5">
        <w:rPr>
          <w:rFonts w:ascii="Times New Roman" w:hAnsi="Times New Roman"/>
          <w:szCs w:val="24"/>
        </w:rPr>
        <w:t>8</w:t>
      </w:r>
      <w:r w:rsidR="00DE55C9">
        <w:rPr>
          <w:rFonts w:ascii="Times New Roman" w:hAnsi="Times New Roman"/>
          <w:szCs w:val="24"/>
        </w:rPr>
        <w:t> </w:t>
      </w:r>
      <w:r w:rsidR="00BB47C5">
        <w:rPr>
          <w:rFonts w:ascii="Times New Roman" w:hAnsi="Times New Roman"/>
          <w:szCs w:val="24"/>
        </w:rPr>
        <w:t>724</w:t>
      </w:r>
      <w:r w:rsidR="00DE55C9">
        <w:rPr>
          <w:rFonts w:ascii="Times New Roman" w:hAnsi="Times New Roman"/>
          <w:szCs w:val="24"/>
        </w:rPr>
        <w:t> tis. </w:t>
      </w:r>
      <w:r w:rsidRPr="003E3545">
        <w:rPr>
          <w:rFonts w:ascii="Times New Roman" w:hAnsi="Times New Roman"/>
          <w:szCs w:val="24"/>
        </w:rPr>
        <w:t>Eur.</w:t>
      </w:r>
    </w:p>
    <w:p w:rsidR="003E3545" w:rsidP="00FF0368">
      <w:pPr>
        <w:bidi w:val="0"/>
        <w:spacing w:before="240"/>
        <w:ind w:firstLine="709"/>
        <w:jc w:val="both"/>
        <w:rPr>
          <w:rFonts w:ascii="Times New Roman" w:hAnsi="Times New Roman"/>
          <w:szCs w:val="24"/>
        </w:rPr>
      </w:pPr>
      <w:r w:rsidRPr="003E3545">
        <w:rPr>
          <w:rFonts w:ascii="Times New Roman" w:hAnsi="Times New Roman"/>
          <w:szCs w:val="24"/>
        </w:rPr>
        <w:t xml:space="preserve">Sociálna poisťovňa predpokladá, že postúpi príspevky na SDS v jednotlivých rokoch takto: </w:t>
      </w:r>
    </w:p>
    <w:tbl>
      <w:tblPr>
        <w:tblStyle w:val="TableNormal"/>
        <w:tblW w:w="5309" w:type="dxa"/>
        <w:tblInd w:w="779" w:type="dxa"/>
        <w:tblCellMar>
          <w:left w:w="70" w:type="dxa"/>
          <w:right w:w="70" w:type="dxa"/>
        </w:tblCellMar>
        <w:tblLook w:val="04A0"/>
      </w:tblPr>
      <w:tblGrid>
        <w:gridCol w:w="2709"/>
        <w:gridCol w:w="1300"/>
        <w:gridCol w:w="1300"/>
      </w:tblGrid>
      <w:tr>
        <w:tblPrEx>
          <w:tblW w:w="5309" w:type="dxa"/>
          <w:tblInd w:w="779" w:type="dxa"/>
          <w:tblCellMar>
            <w:left w:w="70" w:type="dxa"/>
            <w:right w:w="70" w:type="dxa"/>
          </w:tblCellMar>
          <w:tblLook w:val="04A0"/>
        </w:tblPrEx>
        <w:trPr>
          <w:trHeight w:val="300"/>
        </w:trPr>
        <w:tc>
          <w:tcPr>
            <w:tcW w:w="2709" w:type="dxa"/>
            <w:tcBorders>
              <w:top w:val="nil"/>
              <w:left w:val="nil"/>
              <w:bottom w:val="nil"/>
              <w:right w:val="nil"/>
            </w:tcBorders>
            <w:noWrap/>
            <w:textDirection w:val="lrTb"/>
            <w:vAlign w:val="bottom"/>
            <w:hideMark/>
          </w:tcPr>
          <w:p w:rsidR="004C5487" w:rsidRPr="00326B3E" w:rsidP="00326B3E">
            <w:pPr>
              <w:bidi w:val="0"/>
              <w:rPr>
                <w:rFonts w:ascii="Times New Roman" w:hAnsi="Times New Roman"/>
                <w:sz w:val="22"/>
                <w:szCs w:val="22"/>
              </w:rPr>
            </w:pPr>
          </w:p>
        </w:tc>
        <w:tc>
          <w:tcPr>
            <w:tcW w:w="1300" w:type="dxa"/>
            <w:tcBorders>
              <w:top w:val="nil"/>
              <w:left w:val="nil"/>
              <w:bottom w:val="nil"/>
              <w:right w:val="nil"/>
            </w:tcBorders>
            <w:noWrap/>
            <w:textDirection w:val="lrTb"/>
            <w:vAlign w:val="bottom"/>
            <w:hideMark/>
          </w:tcPr>
          <w:p w:rsidR="004C5487" w:rsidRPr="00326B3E" w:rsidP="00326B3E">
            <w:pPr>
              <w:bidi w:val="0"/>
              <w:rPr>
                <w:rFonts w:ascii="Times New Roman" w:hAnsi="Times New Roman"/>
                <w:sz w:val="22"/>
                <w:szCs w:val="22"/>
              </w:rPr>
            </w:pPr>
          </w:p>
        </w:tc>
        <w:tc>
          <w:tcPr>
            <w:tcW w:w="1300" w:type="dxa"/>
            <w:tcBorders>
              <w:top w:val="nil"/>
              <w:left w:val="nil"/>
              <w:bottom w:val="nil"/>
              <w:right w:val="nil"/>
            </w:tcBorders>
            <w:noWrap/>
            <w:textDirection w:val="lrTb"/>
            <w:vAlign w:val="bottom"/>
            <w:hideMark/>
          </w:tcPr>
          <w:p w:rsidR="004C5487" w:rsidRPr="00326B3E" w:rsidP="00326B3E">
            <w:pPr>
              <w:bidi w:val="0"/>
              <w:jc w:val="right"/>
              <w:rPr>
                <w:rFonts w:ascii="Times New Roman" w:hAnsi="Times New Roman"/>
                <w:sz w:val="22"/>
                <w:szCs w:val="22"/>
              </w:rPr>
            </w:pPr>
            <w:r w:rsidRPr="00326B3E">
              <w:rPr>
                <w:rFonts w:ascii="Times New Roman" w:hAnsi="Times New Roman"/>
                <w:sz w:val="22"/>
                <w:szCs w:val="22"/>
              </w:rPr>
              <w:t>v tis. Eur</w:t>
            </w:r>
          </w:p>
        </w:tc>
      </w:tr>
      <w:tr>
        <w:tblPrEx>
          <w:tblW w:w="5309" w:type="dxa"/>
          <w:tblInd w:w="779" w:type="dxa"/>
          <w:tblCellMar>
            <w:left w:w="70" w:type="dxa"/>
            <w:right w:w="70" w:type="dxa"/>
          </w:tblCellMar>
          <w:tblLook w:val="04A0"/>
        </w:tblPrEx>
        <w:trPr>
          <w:trHeight w:val="300"/>
        </w:trPr>
        <w:tc>
          <w:tcPr>
            <w:tcW w:w="2709" w:type="dxa"/>
            <w:tcBorders>
              <w:top w:val="single" w:sz="4" w:space="0" w:color="auto"/>
              <w:left w:val="single" w:sz="4" w:space="0" w:color="auto"/>
              <w:bottom w:val="single" w:sz="4" w:space="0" w:color="auto"/>
              <w:right w:val="single" w:sz="4" w:space="0" w:color="auto"/>
            </w:tcBorders>
            <w:noWrap/>
            <w:textDirection w:val="lrTb"/>
            <w:vAlign w:val="bottom"/>
            <w:hideMark/>
          </w:tcPr>
          <w:p w:rsidR="004C5487" w:rsidRPr="00326B3E" w:rsidP="00326B3E">
            <w:pPr>
              <w:bidi w:val="0"/>
              <w:jc w:val="center"/>
              <w:rPr>
                <w:rFonts w:ascii="Times New Roman" w:hAnsi="Times New Roman"/>
                <w:sz w:val="22"/>
                <w:szCs w:val="22"/>
              </w:rPr>
            </w:pPr>
            <w:r w:rsidRPr="00326B3E">
              <w:rPr>
                <w:rFonts w:ascii="Times New Roman" w:hAnsi="Times New Roman"/>
                <w:sz w:val="22"/>
                <w:szCs w:val="22"/>
              </w:rPr>
              <w:t>Text</w:t>
            </w:r>
          </w:p>
        </w:tc>
        <w:tc>
          <w:tcPr>
            <w:tcW w:w="1300" w:type="dxa"/>
            <w:tcBorders>
              <w:top w:val="single" w:sz="4" w:space="0" w:color="auto"/>
              <w:left w:val="nil"/>
              <w:bottom w:val="single" w:sz="4" w:space="0" w:color="auto"/>
              <w:right w:val="single" w:sz="4" w:space="0" w:color="auto"/>
            </w:tcBorders>
            <w:noWrap/>
            <w:textDirection w:val="lrTb"/>
            <w:vAlign w:val="bottom"/>
            <w:hideMark/>
          </w:tcPr>
          <w:p w:rsidR="004C5487" w:rsidRPr="00326B3E" w:rsidP="00326B3E">
            <w:pPr>
              <w:bidi w:val="0"/>
              <w:jc w:val="center"/>
              <w:rPr>
                <w:rFonts w:ascii="Times New Roman" w:hAnsi="Times New Roman"/>
                <w:sz w:val="22"/>
                <w:szCs w:val="22"/>
              </w:rPr>
            </w:pPr>
            <w:r w:rsidRPr="00326B3E">
              <w:rPr>
                <w:rFonts w:ascii="Times New Roman" w:hAnsi="Times New Roman"/>
                <w:sz w:val="22"/>
                <w:szCs w:val="22"/>
              </w:rPr>
              <w:t>Rok 2013</w:t>
            </w:r>
          </w:p>
        </w:tc>
        <w:tc>
          <w:tcPr>
            <w:tcW w:w="1300" w:type="dxa"/>
            <w:tcBorders>
              <w:top w:val="single" w:sz="4" w:space="0" w:color="auto"/>
              <w:left w:val="nil"/>
              <w:bottom w:val="single" w:sz="4" w:space="0" w:color="auto"/>
              <w:right w:val="single" w:sz="4" w:space="0" w:color="auto"/>
            </w:tcBorders>
            <w:noWrap/>
            <w:textDirection w:val="lrTb"/>
            <w:vAlign w:val="bottom"/>
            <w:hideMark/>
          </w:tcPr>
          <w:p w:rsidR="004C5487" w:rsidRPr="00326B3E" w:rsidP="00326B3E">
            <w:pPr>
              <w:bidi w:val="0"/>
              <w:jc w:val="center"/>
              <w:rPr>
                <w:rFonts w:ascii="Times New Roman" w:hAnsi="Times New Roman"/>
                <w:sz w:val="22"/>
                <w:szCs w:val="22"/>
              </w:rPr>
            </w:pPr>
            <w:r w:rsidRPr="00326B3E">
              <w:rPr>
                <w:rFonts w:ascii="Times New Roman" w:hAnsi="Times New Roman"/>
                <w:sz w:val="22"/>
                <w:szCs w:val="22"/>
              </w:rPr>
              <w:t>Rok 2014</w:t>
            </w:r>
          </w:p>
        </w:tc>
      </w:tr>
      <w:tr>
        <w:tblPrEx>
          <w:tblW w:w="5309" w:type="dxa"/>
          <w:tblInd w:w="779" w:type="dxa"/>
          <w:tblCellMar>
            <w:left w:w="70" w:type="dxa"/>
            <w:right w:w="70" w:type="dxa"/>
          </w:tblCellMar>
          <w:tblLook w:val="04A0"/>
        </w:tblPrEx>
        <w:trPr>
          <w:trHeight w:val="300"/>
        </w:trPr>
        <w:tc>
          <w:tcPr>
            <w:tcW w:w="2709" w:type="dxa"/>
            <w:tcBorders>
              <w:top w:val="nil"/>
              <w:left w:val="single" w:sz="4" w:space="0" w:color="auto"/>
              <w:bottom w:val="single" w:sz="4" w:space="0" w:color="auto"/>
              <w:right w:val="single" w:sz="4" w:space="0" w:color="auto"/>
            </w:tcBorders>
            <w:noWrap/>
            <w:textDirection w:val="lrTb"/>
            <w:vAlign w:val="center"/>
            <w:hideMark/>
          </w:tcPr>
          <w:p w:rsidR="004C5487" w:rsidRPr="00326B3E" w:rsidP="00326B3E">
            <w:pPr>
              <w:bidi w:val="0"/>
              <w:rPr>
                <w:rFonts w:ascii="Times New Roman" w:hAnsi="Times New Roman"/>
                <w:color w:val="000000"/>
                <w:sz w:val="18"/>
                <w:szCs w:val="18"/>
              </w:rPr>
            </w:pPr>
            <w:r w:rsidRPr="00326B3E">
              <w:rPr>
                <w:rFonts w:ascii="Times New Roman" w:hAnsi="Times New Roman"/>
                <w:color w:val="000000"/>
                <w:sz w:val="18"/>
                <w:szCs w:val="18"/>
              </w:rPr>
              <w:t>Postúpené príspevky na SDS</w:t>
            </w:r>
          </w:p>
        </w:tc>
        <w:tc>
          <w:tcPr>
            <w:tcW w:w="1300" w:type="dxa"/>
            <w:tcBorders>
              <w:top w:val="nil"/>
              <w:left w:val="nil"/>
              <w:bottom w:val="single" w:sz="4" w:space="0" w:color="auto"/>
              <w:right w:val="single" w:sz="4" w:space="0" w:color="auto"/>
            </w:tcBorders>
            <w:noWrap/>
            <w:textDirection w:val="lrTb"/>
            <w:vAlign w:val="bottom"/>
          </w:tcPr>
          <w:p w:rsidR="004C5487" w:rsidRPr="00326B3E" w:rsidP="00326B3E">
            <w:pPr>
              <w:bidi w:val="0"/>
              <w:jc w:val="right"/>
              <w:rPr>
                <w:rFonts w:ascii="Times New Roman" w:hAnsi="Times New Roman"/>
                <w:sz w:val="22"/>
                <w:szCs w:val="22"/>
              </w:rPr>
            </w:pPr>
            <w:r w:rsidR="00BB47C5">
              <w:rPr>
                <w:rFonts w:ascii="Times New Roman" w:hAnsi="Times New Roman"/>
                <w:sz w:val="22"/>
                <w:szCs w:val="22"/>
              </w:rPr>
              <w:t>1 056 976</w:t>
            </w:r>
          </w:p>
        </w:tc>
        <w:tc>
          <w:tcPr>
            <w:tcW w:w="1300" w:type="dxa"/>
            <w:tcBorders>
              <w:top w:val="nil"/>
              <w:left w:val="nil"/>
              <w:bottom w:val="single" w:sz="4" w:space="0" w:color="auto"/>
              <w:right w:val="single" w:sz="4" w:space="0" w:color="auto"/>
            </w:tcBorders>
            <w:noWrap/>
            <w:textDirection w:val="lrTb"/>
            <w:vAlign w:val="bottom"/>
          </w:tcPr>
          <w:p w:rsidR="004C5487" w:rsidRPr="00326B3E" w:rsidP="00326B3E">
            <w:pPr>
              <w:bidi w:val="0"/>
              <w:jc w:val="right"/>
              <w:rPr>
                <w:rFonts w:ascii="Times New Roman" w:hAnsi="Times New Roman"/>
                <w:sz w:val="22"/>
                <w:szCs w:val="22"/>
              </w:rPr>
            </w:pPr>
            <w:r w:rsidR="00BB47C5">
              <w:rPr>
                <w:rFonts w:ascii="Times New Roman" w:hAnsi="Times New Roman"/>
                <w:sz w:val="22"/>
                <w:szCs w:val="22"/>
              </w:rPr>
              <w:t>1 184 091</w:t>
            </w:r>
          </w:p>
        </w:tc>
      </w:tr>
    </w:tbl>
    <w:p w:rsidR="004B38AE" w:rsidRPr="003E3545" w:rsidP="00BD7328">
      <w:pPr>
        <w:bidi w:val="0"/>
        <w:spacing w:before="240"/>
        <w:jc w:val="both"/>
        <w:rPr>
          <w:rFonts w:ascii="Times New Roman" w:hAnsi="Times New Roman"/>
          <w:szCs w:val="24"/>
        </w:rPr>
      </w:pPr>
    </w:p>
    <w:sectPr>
      <w:footerReference w:type="even" r:id="rId5"/>
      <w:footerReference w:type="default" r:id="rId6"/>
      <w:pgSz w:w="11906" w:h="16838"/>
      <w:pgMar w:top="1417" w:right="1417" w:bottom="1417" w:left="1417"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202060306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3C">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1C3C">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C3C" w:rsidRPr="00B24602">
    <w:pPr>
      <w:pStyle w:val="Footer"/>
      <w:framePr w:wrap="around" w:vAnchor="text" w:hAnchor="margin" w:xAlign="right"/>
      <w:bidi w:val="0"/>
      <w:rPr>
        <w:rStyle w:val="PageNumber"/>
        <w:rFonts w:ascii="Times New Roman" w:hAnsi="Times New Roman"/>
      </w:rPr>
    </w:pPr>
    <w:r w:rsidRPr="00B24602">
      <w:rPr>
        <w:rStyle w:val="PageNumber"/>
        <w:rFonts w:ascii="Times New Roman" w:hAnsi="Times New Roman"/>
      </w:rPr>
      <w:fldChar w:fldCharType="begin"/>
    </w:r>
    <w:r w:rsidRPr="00B24602">
      <w:rPr>
        <w:rStyle w:val="PageNumber"/>
        <w:rFonts w:ascii="Times New Roman" w:hAnsi="Times New Roman"/>
      </w:rPr>
      <w:instrText xml:space="preserve">PAGE  </w:instrText>
    </w:r>
    <w:r w:rsidRPr="00B24602">
      <w:rPr>
        <w:rStyle w:val="PageNumber"/>
        <w:rFonts w:ascii="Times New Roman" w:hAnsi="Times New Roman"/>
      </w:rPr>
      <w:fldChar w:fldCharType="separate"/>
    </w:r>
    <w:r w:rsidR="00A92AF6">
      <w:rPr>
        <w:rStyle w:val="PageNumber"/>
        <w:rFonts w:ascii="Times New Roman" w:hAnsi="Times New Roman"/>
        <w:noProof/>
      </w:rPr>
      <w:t>12</w:t>
    </w:r>
    <w:r w:rsidRPr="00B24602">
      <w:rPr>
        <w:rStyle w:val="PageNumber"/>
        <w:rFonts w:ascii="Times New Roman" w:hAnsi="Times New Roman"/>
      </w:rPr>
      <w:fldChar w:fldCharType="end"/>
    </w:r>
  </w:p>
  <w:p w:rsidR="00C61C3C" w:rsidRPr="00B2460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BBE"/>
    <w:multiLevelType w:val="hybridMultilevel"/>
    <w:tmpl w:val="130ACB8C"/>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DD4239F"/>
    <w:multiLevelType w:val="singleLevel"/>
    <w:tmpl w:val="041B000B"/>
    <w:lvl w:ilvl="0">
      <w:start w:val="1"/>
      <w:numFmt w:val="bullet"/>
      <w:lvlText w:val=""/>
      <w:lvlJc w:val="left"/>
      <w:pPr>
        <w:ind w:left="720" w:hanging="360"/>
      </w:pPr>
      <w:rPr>
        <w:rFonts w:ascii="Wingdings" w:hAnsi="Wingdings" w:hint="default"/>
      </w:rPr>
    </w:lvl>
  </w:abstractNum>
  <w:abstractNum w:abstractNumId="2">
    <w:nsid w:val="129648D3"/>
    <w:multiLevelType w:val="singleLevel"/>
    <w:tmpl w:val="041B000B"/>
    <w:lvl w:ilvl="0">
      <w:start w:val="1"/>
      <w:numFmt w:val="bullet"/>
      <w:lvlText w:val=""/>
      <w:lvlJc w:val="left"/>
      <w:pPr>
        <w:ind w:left="720" w:hanging="360"/>
      </w:pPr>
      <w:rPr>
        <w:rFonts w:ascii="Wingdings" w:hAnsi="Wingdings" w:hint="default"/>
      </w:rPr>
    </w:lvl>
  </w:abstractNum>
  <w:abstractNum w:abstractNumId="3">
    <w:nsid w:val="1A747FE3"/>
    <w:multiLevelType w:val="hybridMultilevel"/>
    <w:tmpl w:val="EC74DF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10F4B9E"/>
    <w:multiLevelType w:val="hybridMultilevel"/>
    <w:tmpl w:val="50040D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30F0A26"/>
    <w:multiLevelType w:val="hybridMultilevel"/>
    <w:tmpl w:val="1DC438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6825956"/>
    <w:multiLevelType w:val="hybridMultilevel"/>
    <w:tmpl w:val="58AC2C8A"/>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383F0224"/>
    <w:multiLevelType w:val="hybridMultilevel"/>
    <w:tmpl w:val="806044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380"/>
        </w:tabs>
        <w:ind w:left="1380" w:hanging="360"/>
      </w:pPr>
      <w:rPr>
        <w:rFonts w:ascii="Courier New" w:hAnsi="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8">
    <w:nsid w:val="3E091B39"/>
    <w:multiLevelType w:val="hybridMultilevel"/>
    <w:tmpl w:val="3A785F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412157FF"/>
    <w:multiLevelType w:val="hybridMultilevel"/>
    <w:tmpl w:val="B81694EE"/>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44E27C5"/>
    <w:multiLevelType w:val="hybridMultilevel"/>
    <w:tmpl w:val="CB204584"/>
    <w:lvl w:ilvl="0">
      <w:start w:val="4"/>
      <w:numFmt w:val="bullet"/>
      <w:lvlText w:val="-"/>
      <w:lvlJc w:val="left"/>
      <w:pPr>
        <w:tabs>
          <w:tab w:val="num" w:pos="567"/>
        </w:tabs>
        <w:ind w:left="567" w:hanging="283"/>
      </w:pPr>
      <w:rPr>
        <w:rFonts w:ascii="Arial" w:eastAsia="Times New Roman" w:hAnsi="Arial" w:hint="default"/>
      </w:rPr>
    </w:lvl>
    <w:lvl w:ilvl="1">
      <w:start w:val="1"/>
      <w:numFmt w:val="bullet"/>
      <w:lvlText w:val=""/>
      <w:lvlJc w:val="left"/>
      <w:pPr>
        <w:tabs>
          <w:tab w:val="num" w:pos="1210"/>
        </w:tabs>
        <w:ind w:left="1210" w:hanging="13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BBA5FAC"/>
    <w:multiLevelType w:val="hybridMultilevel"/>
    <w:tmpl w:val="95EE73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4C4F4438"/>
    <w:multiLevelType w:val="hybridMultilevel"/>
    <w:tmpl w:val="A84CF6E6"/>
    <w:lvl w:ilvl="0">
      <w:start w:val="0"/>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4EE7E96"/>
    <w:multiLevelType w:val="hybridMultilevel"/>
    <w:tmpl w:val="DAE663BC"/>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A4C6E3D"/>
    <w:multiLevelType w:val="hybridMultilevel"/>
    <w:tmpl w:val="8D2AF2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32F4326"/>
    <w:multiLevelType w:val="hybridMultilevel"/>
    <w:tmpl w:val="969E9166"/>
    <w:lvl w:ilvl="0">
      <w:start w:val="1"/>
      <w:numFmt w:val="bullet"/>
      <w:lvlText w:val=""/>
      <w:lvlJc w:val="left"/>
      <w:pPr>
        <w:tabs>
          <w:tab w:val="num" w:pos="567"/>
        </w:tabs>
        <w:ind w:left="567" w:hanging="283"/>
      </w:pPr>
      <w:rPr>
        <w:rFonts w:ascii="Wingdings" w:hAnsi="Wingdings" w:hint="default"/>
      </w:rPr>
    </w:lvl>
    <w:lvl w:ilvl="1">
      <w:start w:val="0"/>
      <w:numFmt w:val="bullet"/>
      <w:lvlText w:val="-"/>
      <w:lvlJc w:val="left"/>
      <w:pPr>
        <w:tabs>
          <w:tab w:val="num" w:pos="1210"/>
        </w:tabs>
        <w:ind w:left="1210" w:hanging="13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879333B"/>
    <w:multiLevelType w:val="hybridMultilevel"/>
    <w:tmpl w:val="5DC6089C"/>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B0E3729"/>
    <w:multiLevelType w:val="hybridMultilevel"/>
    <w:tmpl w:val="9BDCF0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E9879CD"/>
    <w:multiLevelType w:val="hybridMultilevel"/>
    <w:tmpl w:val="1CE4A1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399179D"/>
    <w:multiLevelType w:val="hybridMultilevel"/>
    <w:tmpl w:val="0436DC2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0">
    <w:nsid w:val="7BE12D68"/>
    <w:multiLevelType w:val="hybridMultilevel"/>
    <w:tmpl w:val="ED3CBDE8"/>
    <w:lvl w:ilvl="0">
      <w:start w:val="1"/>
      <w:numFmt w:val="lowerLetter"/>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9"/>
  </w:num>
  <w:num w:numId="3">
    <w:abstractNumId w:val="12"/>
  </w:num>
  <w:num w:numId="4">
    <w:abstractNumId w:val="2"/>
  </w:num>
  <w:num w:numId="5">
    <w:abstractNumId w:val="16"/>
  </w:num>
  <w:num w:numId="6">
    <w:abstractNumId w:val="5"/>
  </w:num>
  <w:num w:numId="7">
    <w:abstractNumId w:val="3"/>
  </w:num>
  <w:num w:numId="8">
    <w:abstractNumId w:val="0"/>
  </w:num>
  <w:num w:numId="9">
    <w:abstractNumId w:val="20"/>
  </w:num>
  <w:num w:numId="10">
    <w:abstractNumId w:val="14"/>
  </w:num>
  <w:num w:numId="11">
    <w:abstractNumId w:val="19"/>
  </w:num>
  <w:num w:numId="12">
    <w:abstractNumId w:val="6"/>
  </w:num>
  <w:num w:numId="13">
    <w:abstractNumId w:val="17"/>
  </w:num>
  <w:num w:numId="14">
    <w:abstractNumId w:val="11"/>
  </w:num>
  <w:num w:numId="15">
    <w:abstractNumId w:val="10"/>
  </w:num>
  <w:num w:numId="16">
    <w:abstractNumId w:val="15"/>
  </w:num>
  <w:num w:numId="17">
    <w:abstractNumId w:val="7"/>
  </w:num>
  <w:num w:numId="18">
    <w:abstractNumId w:val="8"/>
  </w:num>
  <w:num w:numId="19">
    <w:abstractNumId w:val="18"/>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isplayHorizontalDrawingGridEvery w:val="0"/>
  <w:displayVerticalDrawingGridEvery w:val="0"/>
  <w:noPunctuationKerning/>
  <w:characterSpacingControl w:val="doNotCompress"/>
  <w:compat>
    <w:doNotUseIndentAsNumberingTabStop/>
    <w:allowSpaceOfSameStyleInTable/>
    <w:splitPgBreakAndParaMark/>
    <w:useAnsiKerningPairs/>
  </w:compat>
  <w:rsids>
    <w:rsidRoot w:val="000F0132"/>
    <w:rsid w:val="00004831"/>
    <w:rsid w:val="00007FE1"/>
    <w:rsid w:val="000102D2"/>
    <w:rsid w:val="00011476"/>
    <w:rsid w:val="00011A2A"/>
    <w:rsid w:val="000152D1"/>
    <w:rsid w:val="00017684"/>
    <w:rsid w:val="00017B66"/>
    <w:rsid w:val="0002230E"/>
    <w:rsid w:val="000227FA"/>
    <w:rsid w:val="00024236"/>
    <w:rsid w:val="00026C5A"/>
    <w:rsid w:val="0003382D"/>
    <w:rsid w:val="00033BA5"/>
    <w:rsid w:val="00034704"/>
    <w:rsid w:val="00037DB0"/>
    <w:rsid w:val="00041393"/>
    <w:rsid w:val="00041C05"/>
    <w:rsid w:val="00045A79"/>
    <w:rsid w:val="0005015C"/>
    <w:rsid w:val="000512A5"/>
    <w:rsid w:val="00054073"/>
    <w:rsid w:val="00055C96"/>
    <w:rsid w:val="0005738D"/>
    <w:rsid w:val="0006263A"/>
    <w:rsid w:val="00065B38"/>
    <w:rsid w:val="00066163"/>
    <w:rsid w:val="000672D4"/>
    <w:rsid w:val="00070259"/>
    <w:rsid w:val="000736C4"/>
    <w:rsid w:val="00073E2D"/>
    <w:rsid w:val="00076311"/>
    <w:rsid w:val="00077C8B"/>
    <w:rsid w:val="0008123A"/>
    <w:rsid w:val="00082537"/>
    <w:rsid w:val="00085F1F"/>
    <w:rsid w:val="0008639A"/>
    <w:rsid w:val="00087089"/>
    <w:rsid w:val="0008758A"/>
    <w:rsid w:val="0009009F"/>
    <w:rsid w:val="00091B8F"/>
    <w:rsid w:val="00092790"/>
    <w:rsid w:val="00093D4F"/>
    <w:rsid w:val="00093DC9"/>
    <w:rsid w:val="00095A70"/>
    <w:rsid w:val="00095E37"/>
    <w:rsid w:val="00097766"/>
    <w:rsid w:val="000A001E"/>
    <w:rsid w:val="000A311A"/>
    <w:rsid w:val="000A3C7D"/>
    <w:rsid w:val="000A7A1C"/>
    <w:rsid w:val="000B27C9"/>
    <w:rsid w:val="000B58CC"/>
    <w:rsid w:val="000B5FFF"/>
    <w:rsid w:val="000C1FAF"/>
    <w:rsid w:val="000C59B9"/>
    <w:rsid w:val="000C5D74"/>
    <w:rsid w:val="000C7F9D"/>
    <w:rsid w:val="000D004F"/>
    <w:rsid w:val="000D05F2"/>
    <w:rsid w:val="000D2EA7"/>
    <w:rsid w:val="000E0870"/>
    <w:rsid w:val="000E2964"/>
    <w:rsid w:val="000E365C"/>
    <w:rsid w:val="000E3774"/>
    <w:rsid w:val="000E6280"/>
    <w:rsid w:val="000F0132"/>
    <w:rsid w:val="000F31DD"/>
    <w:rsid w:val="000F769E"/>
    <w:rsid w:val="000F7817"/>
    <w:rsid w:val="00102F62"/>
    <w:rsid w:val="00104E09"/>
    <w:rsid w:val="00105224"/>
    <w:rsid w:val="00110F74"/>
    <w:rsid w:val="001136FC"/>
    <w:rsid w:val="001143E9"/>
    <w:rsid w:val="00114775"/>
    <w:rsid w:val="001155CB"/>
    <w:rsid w:val="00116DAE"/>
    <w:rsid w:val="00117741"/>
    <w:rsid w:val="00124FC5"/>
    <w:rsid w:val="00125614"/>
    <w:rsid w:val="001276A1"/>
    <w:rsid w:val="00137189"/>
    <w:rsid w:val="00151FA0"/>
    <w:rsid w:val="001537CF"/>
    <w:rsid w:val="00155649"/>
    <w:rsid w:val="00163BA4"/>
    <w:rsid w:val="00163DD1"/>
    <w:rsid w:val="001658C5"/>
    <w:rsid w:val="001672D9"/>
    <w:rsid w:val="00167D4B"/>
    <w:rsid w:val="00170398"/>
    <w:rsid w:val="00172E54"/>
    <w:rsid w:val="00176697"/>
    <w:rsid w:val="00176BA5"/>
    <w:rsid w:val="00186788"/>
    <w:rsid w:val="00187153"/>
    <w:rsid w:val="00190E46"/>
    <w:rsid w:val="00194CC9"/>
    <w:rsid w:val="00195E70"/>
    <w:rsid w:val="00196803"/>
    <w:rsid w:val="001A038E"/>
    <w:rsid w:val="001A08A3"/>
    <w:rsid w:val="001A1029"/>
    <w:rsid w:val="001A16E0"/>
    <w:rsid w:val="001A2F43"/>
    <w:rsid w:val="001A34F8"/>
    <w:rsid w:val="001A37A4"/>
    <w:rsid w:val="001A424D"/>
    <w:rsid w:val="001A46F3"/>
    <w:rsid w:val="001A6D89"/>
    <w:rsid w:val="001B01CD"/>
    <w:rsid w:val="001B0F72"/>
    <w:rsid w:val="001B16C3"/>
    <w:rsid w:val="001B1A49"/>
    <w:rsid w:val="001B1EC3"/>
    <w:rsid w:val="001B1FD7"/>
    <w:rsid w:val="001B640B"/>
    <w:rsid w:val="001C004C"/>
    <w:rsid w:val="001C0F2D"/>
    <w:rsid w:val="001C51B8"/>
    <w:rsid w:val="001C5939"/>
    <w:rsid w:val="001C7296"/>
    <w:rsid w:val="001C7CC0"/>
    <w:rsid w:val="001C7E17"/>
    <w:rsid w:val="001D35F0"/>
    <w:rsid w:val="001E2447"/>
    <w:rsid w:val="001E29AA"/>
    <w:rsid w:val="001E3E1B"/>
    <w:rsid w:val="001F0D0F"/>
    <w:rsid w:val="001F44FB"/>
    <w:rsid w:val="001F7522"/>
    <w:rsid w:val="00203A86"/>
    <w:rsid w:val="002066DD"/>
    <w:rsid w:val="002134E8"/>
    <w:rsid w:val="00213D27"/>
    <w:rsid w:val="00220C33"/>
    <w:rsid w:val="002217C0"/>
    <w:rsid w:val="00224D8F"/>
    <w:rsid w:val="00225245"/>
    <w:rsid w:val="002263D6"/>
    <w:rsid w:val="002307CF"/>
    <w:rsid w:val="00233792"/>
    <w:rsid w:val="00233B99"/>
    <w:rsid w:val="00234ACA"/>
    <w:rsid w:val="00234B1B"/>
    <w:rsid w:val="00242EAE"/>
    <w:rsid w:val="002441AE"/>
    <w:rsid w:val="002443A9"/>
    <w:rsid w:val="00246FFB"/>
    <w:rsid w:val="002476F0"/>
    <w:rsid w:val="00250408"/>
    <w:rsid w:val="002504A2"/>
    <w:rsid w:val="00251B66"/>
    <w:rsid w:val="00252A46"/>
    <w:rsid w:val="00253D63"/>
    <w:rsid w:val="00255413"/>
    <w:rsid w:val="00255AB6"/>
    <w:rsid w:val="0026057E"/>
    <w:rsid w:val="00264FEA"/>
    <w:rsid w:val="00267178"/>
    <w:rsid w:val="0026771B"/>
    <w:rsid w:val="00271E77"/>
    <w:rsid w:val="00272428"/>
    <w:rsid w:val="00276C24"/>
    <w:rsid w:val="00280171"/>
    <w:rsid w:val="00283104"/>
    <w:rsid w:val="00286C2F"/>
    <w:rsid w:val="0029054E"/>
    <w:rsid w:val="00292856"/>
    <w:rsid w:val="00296112"/>
    <w:rsid w:val="00297E0F"/>
    <w:rsid w:val="002A156F"/>
    <w:rsid w:val="002A65BD"/>
    <w:rsid w:val="002B05CA"/>
    <w:rsid w:val="002B1C16"/>
    <w:rsid w:val="002B6513"/>
    <w:rsid w:val="002C568B"/>
    <w:rsid w:val="002C6014"/>
    <w:rsid w:val="002C68D5"/>
    <w:rsid w:val="002D1070"/>
    <w:rsid w:val="002D37D3"/>
    <w:rsid w:val="002D6298"/>
    <w:rsid w:val="002D62FE"/>
    <w:rsid w:val="002E3758"/>
    <w:rsid w:val="002E3ADC"/>
    <w:rsid w:val="002E788A"/>
    <w:rsid w:val="002E7F11"/>
    <w:rsid w:val="002F00B8"/>
    <w:rsid w:val="002F16C5"/>
    <w:rsid w:val="00303E50"/>
    <w:rsid w:val="00304304"/>
    <w:rsid w:val="00307C33"/>
    <w:rsid w:val="00310750"/>
    <w:rsid w:val="00316FB5"/>
    <w:rsid w:val="003211C4"/>
    <w:rsid w:val="00321ED4"/>
    <w:rsid w:val="0032247F"/>
    <w:rsid w:val="00326B3E"/>
    <w:rsid w:val="00331021"/>
    <w:rsid w:val="003328C8"/>
    <w:rsid w:val="00333B66"/>
    <w:rsid w:val="00335BFC"/>
    <w:rsid w:val="003416BE"/>
    <w:rsid w:val="0034394B"/>
    <w:rsid w:val="00345960"/>
    <w:rsid w:val="00357BD2"/>
    <w:rsid w:val="00360CC2"/>
    <w:rsid w:val="003633D2"/>
    <w:rsid w:val="0036581F"/>
    <w:rsid w:val="00372A81"/>
    <w:rsid w:val="00373DDE"/>
    <w:rsid w:val="0037493E"/>
    <w:rsid w:val="0037543B"/>
    <w:rsid w:val="0038122A"/>
    <w:rsid w:val="00382486"/>
    <w:rsid w:val="00383B96"/>
    <w:rsid w:val="00384BB0"/>
    <w:rsid w:val="00387F8C"/>
    <w:rsid w:val="00391EE0"/>
    <w:rsid w:val="0039361F"/>
    <w:rsid w:val="003A058C"/>
    <w:rsid w:val="003A0C8D"/>
    <w:rsid w:val="003A107D"/>
    <w:rsid w:val="003A3E44"/>
    <w:rsid w:val="003A4374"/>
    <w:rsid w:val="003A475B"/>
    <w:rsid w:val="003A7E61"/>
    <w:rsid w:val="003B6AB4"/>
    <w:rsid w:val="003B725D"/>
    <w:rsid w:val="003C105B"/>
    <w:rsid w:val="003C5D9E"/>
    <w:rsid w:val="003D2EC2"/>
    <w:rsid w:val="003D65CE"/>
    <w:rsid w:val="003E08B6"/>
    <w:rsid w:val="003E0DC3"/>
    <w:rsid w:val="003E10E9"/>
    <w:rsid w:val="003E147C"/>
    <w:rsid w:val="003E1481"/>
    <w:rsid w:val="003E291E"/>
    <w:rsid w:val="003E3545"/>
    <w:rsid w:val="003E4C19"/>
    <w:rsid w:val="003E4F09"/>
    <w:rsid w:val="003E6335"/>
    <w:rsid w:val="003E6869"/>
    <w:rsid w:val="003F07CB"/>
    <w:rsid w:val="003F1997"/>
    <w:rsid w:val="003F2421"/>
    <w:rsid w:val="003F7833"/>
    <w:rsid w:val="00400F8B"/>
    <w:rsid w:val="00402E91"/>
    <w:rsid w:val="00405FF8"/>
    <w:rsid w:val="004062B7"/>
    <w:rsid w:val="00407F67"/>
    <w:rsid w:val="00412022"/>
    <w:rsid w:val="00412639"/>
    <w:rsid w:val="004216A5"/>
    <w:rsid w:val="004227C0"/>
    <w:rsid w:val="00424824"/>
    <w:rsid w:val="004260CF"/>
    <w:rsid w:val="00426A9D"/>
    <w:rsid w:val="00427257"/>
    <w:rsid w:val="00430C16"/>
    <w:rsid w:val="004317D4"/>
    <w:rsid w:val="004335A4"/>
    <w:rsid w:val="0043433A"/>
    <w:rsid w:val="00435149"/>
    <w:rsid w:val="0043585D"/>
    <w:rsid w:val="004364AA"/>
    <w:rsid w:val="004401FC"/>
    <w:rsid w:val="00440458"/>
    <w:rsid w:val="0044457E"/>
    <w:rsid w:val="004463D5"/>
    <w:rsid w:val="00446BCA"/>
    <w:rsid w:val="00451687"/>
    <w:rsid w:val="00452404"/>
    <w:rsid w:val="0045300D"/>
    <w:rsid w:val="004533FA"/>
    <w:rsid w:val="00453480"/>
    <w:rsid w:val="00454EA0"/>
    <w:rsid w:val="0046262C"/>
    <w:rsid w:val="0046301B"/>
    <w:rsid w:val="00464600"/>
    <w:rsid w:val="004664DF"/>
    <w:rsid w:val="00466B06"/>
    <w:rsid w:val="0046754E"/>
    <w:rsid w:val="004677CB"/>
    <w:rsid w:val="00471138"/>
    <w:rsid w:val="00471A12"/>
    <w:rsid w:val="00473891"/>
    <w:rsid w:val="00474455"/>
    <w:rsid w:val="00474B43"/>
    <w:rsid w:val="0048373B"/>
    <w:rsid w:val="004864A6"/>
    <w:rsid w:val="004864D1"/>
    <w:rsid w:val="004902C1"/>
    <w:rsid w:val="00490581"/>
    <w:rsid w:val="0049120D"/>
    <w:rsid w:val="00491412"/>
    <w:rsid w:val="0049254F"/>
    <w:rsid w:val="004925E4"/>
    <w:rsid w:val="00494ABA"/>
    <w:rsid w:val="00495DBD"/>
    <w:rsid w:val="00497981"/>
    <w:rsid w:val="004A2618"/>
    <w:rsid w:val="004A337E"/>
    <w:rsid w:val="004A3A89"/>
    <w:rsid w:val="004A4FD2"/>
    <w:rsid w:val="004A5C6F"/>
    <w:rsid w:val="004A7210"/>
    <w:rsid w:val="004B2B50"/>
    <w:rsid w:val="004B2EA0"/>
    <w:rsid w:val="004B336A"/>
    <w:rsid w:val="004B38AE"/>
    <w:rsid w:val="004B6982"/>
    <w:rsid w:val="004B6DED"/>
    <w:rsid w:val="004B73F5"/>
    <w:rsid w:val="004C0772"/>
    <w:rsid w:val="004C3926"/>
    <w:rsid w:val="004C51A7"/>
    <w:rsid w:val="004C5487"/>
    <w:rsid w:val="004C6727"/>
    <w:rsid w:val="004D1D61"/>
    <w:rsid w:val="004D308E"/>
    <w:rsid w:val="004D47E4"/>
    <w:rsid w:val="004D7042"/>
    <w:rsid w:val="004D73FA"/>
    <w:rsid w:val="004D75C2"/>
    <w:rsid w:val="004E188B"/>
    <w:rsid w:val="004E2933"/>
    <w:rsid w:val="004E2DAF"/>
    <w:rsid w:val="004E3FFF"/>
    <w:rsid w:val="004E4A90"/>
    <w:rsid w:val="004F0A13"/>
    <w:rsid w:val="004F4DB1"/>
    <w:rsid w:val="004F62C0"/>
    <w:rsid w:val="004F71AC"/>
    <w:rsid w:val="004F77D6"/>
    <w:rsid w:val="004F7F07"/>
    <w:rsid w:val="00501443"/>
    <w:rsid w:val="00503AA6"/>
    <w:rsid w:val="00503AB8"/>
    <w:rsid w:val="00505185"/>
    <w:rsid w:val="0050785A"/>
    <w:rsid w:val="0051059D"/>
    <w:rsid w:val="0051225D"/>
    <w:rsid w:val="00513A31"/>
    <w:rsid w:val="0051480C"/>
    <w:rsid w:val="00514E58"/>
    <w:rsid w:val="00515C38"/>
    <w:rsid w:val="00516781"/>
    <w:rsid w:val="00517DAA"/>
    <w:rsid w:val="00522FF4"/>
    <w:rsid w:val="00530E33"/>
    <w:rsid w:val="0053134F"/>
    <w:rsid w:val="005315C9"/>
    <w:rsid w:val="0053219C"/>
    <w:rsid w:val="005343E7"/>
    <w:rsid w:val="00540E05"/>
    <w:rsid w:val="00541FA7"/>
    <w:rsid w:val="0054347B"/>
    <w:rsid w:val="00545FA0"/>
    <w:rsid w:val="00550468"/>
    <w:rsid w:val="00550A1A"/>
    <w:rsid w:val="0055193F"/>
    <w:rsid w:val="00553BF1"/>
    <w:rsid w:val="00556B60"/>
    <w:rsid w:val="00571B87"/>
    <w:rsid w:val="00572681"/>
    <w:rsid w:val="00573DFF"/>
    <w:rsid w:val="00580B34"/>
    <w:rsid w:val="00580DBC"/>
    <w:rsid w:val="005821D7"/>
    <w:rsid w:val="00582903"/>
    <w:rsid w:val="00583A5C"/>
    <w:rsid w:val="005850BC"/>
    <w:rsid w:val="00587DAE"/>
    <w:rsid w:val="00590416"/>
    <w:rsid w:val="00590436"/>
    <w:rsid w:val="005911AD"/>
    <w:rsid w:val="005922A4"/>
    <w:rsid w:val="00592E8B"/>
    <w:rsid w:val="0059516A"/>
    <w:rsid w:val="005955EC"/>
    <w:rsid w:val="00596329"/>
    <w:rsid w:val="005969DF"/>
    <w:rsid w:val="005A17BE"/>
    <w:rsid w:val="005A517E"/>
    <w:rsid w:val="005A79A8"/>
    <w:rsid w:val="005B3348"/>
    <w:rsid w:val="005B4017"/>
    <w:rsid w:val="005B5286"/>
    <w:rsid w:val="005B60D9"/>
    <w:rsid w:val="005B7A6A"/>
    <w:rsid w:val="005C3855"/>
    <w:rsid w:val="005C4F99"/>
    <w:rsid w:val="005D2245"/>
    <w:rsid w:val="005D4EF3"/>
    <w:rsid w:val="005D672D"/>
    <w:rsid w:val="005E3B66"/>
    <w:rsid w:val="005E50F3"/>
    <w:rsid w:val="005F0BE6"/>
    <w:rsid w:val="005F26C8"/>
    <w:rsid w:val="005F2B93"/>
    <w:rsid w:val="005F2FF8"/>
    <w:rsid w:val="005F60DC"/>
    <w:rsid w:val="00600C3E"/>
    <w:rsid w:val="006072AD"/>
    <w:rsid w:val="0060759A"/>
    <w:rsid w:val="006160B2"/>
    <w:rsid w:val="0061697D"/>
    <w:rsid w:val="0062216A"/>
    <w:rsid w:val="00624885"/>
    <w:rsid w:val="00624C26"/>
    <w:rsid w:val="0063155D"/>
    <w:rsid w:val="00633E38"/>
    <w:rsid w:val="00635879"/>
    <w:rsid w:val="00641CC2"/>
    <w:rsid w:val="0064202B"/>
    <w:rsid w:val="00645C25"/>
    <w:rsid w:val="0064650E"/>
    <w:rsid w:val="0064691A"/>
    <w:rsid w:val="00647D3B"/>
    <w:rsid w:val="00650BED"/>
    <w:rsid w:val="00652B15"/>
    <w:rsid w:val="006543FD"/>
    <w:rsid w:val="00655D0D"/>
    <w:rsid w:val="00663CD0"/>
    <w:rsid w:val="00666FBB"/>
    <w:rsid w:val="00667BAD"/>
    <w:rsid w:val="00667BBE"/>
    <w:rsid w:val="006735AB"/>
    <w:rsid w:val="00673BB5"/>
    <w:rsid w:val="006800C4"/>
    <w:rsid w:val="006819D6"/>
    <w:rsid w:val="00682AD1"/>
    <w:rsid w:val="00682BDA"/>
    <w:rsid w:val="006833EA"/>
    <w:rsid w:val="00683C3D"/>
    <w:rsid w:val="00686404"/>
    <w:rsid w:val="00693B0B"/>
    <w:rsid w:val="00695303"/>
    <w:rsid w:val="00696AAA"/>
    <w:rsid w:val="006A390B"/>
    <w:rsid w:val="006A4898"/>
    <w:rsid w:val="006A5B88"/>
    <w:rsid w:val="006A7799"/>
    <w:rsid w:val="006B0899"/>
    <w:rsid w:val="006B0A82"/>
    <w:rsid w:val="006B6A92"/>
    <w:rsid w:val="006B7C23"/>
    <w:rsid w:val="006C1CC2"/>
    <w:rsid w:val="006C3FD4"/>
    <w:rsid w:val="006C4AC3"/>
    <w:rsid w:val="006D1095"/>
    <w:rsid w:val="006D19BC"/>
    <w:rsid w:val="006D2DBE"/>
    <w:rsid w:val="006D4778"/>
    <w:rsid w:val="006D4DD2"/>
    <w:rsid w:val="006D75FC"/>
    <w:rsid w:val="006E01A8"/>
    <w:rsid w:val="006E14BF"/>
    <w:rsid w:val="006E1682"/>
    <w:rsid w:val="006E1AC5"/>
    <w:rsid w:val="006E2FD8"/>
    <w:rsid w:val="006E3B6D"/>
    <w:rsid w:val="006E53AE"/>
    <w:rsid w:val="006F3575"/>
    <w:rsid w:val="006F3E84"/>
    <w:rsid w:val="006F4C0B"/>
    <w:rsid w:val="006F617F"/>
    <w:rsid w:val="00701E63"/>
    <w:rsid w:val="00701E80"/>
    <w:rsid w:val="00703501"/>
    <w:rsid w:val="0070438C"/>
    <w:rsid w:val="007070AF"/>
    <w:rsid w:val="00711AD3"/>
    <w:rsid w:val="00711F98"/>
    <w:rsid w:val="00712E1B"/>
    <w:rsid w:val="00714DDB"/>
    <w:rsid w:val="007168CE"/>
    <w:rsid w:val="007220D5"/>
    <w:rsid w:val="007241E0"/>
    <w:rsid w:val="0072466E"/>
    <w:rsid w:val="007256AC"/>
    <w:rsid w:val="00725D64"/>
    <w:rsid w:val="00725D83"/>
    <w:rsid w:val="007272F0"/>
    <w:rsid w:val="007300A9"/>
    <w:rsid w:val="00731EAE"/>
    <w:rsid w:val="0073573C"/>
    <w:rsid w:val="00736F80"/>
    <w:rsid w:val="00737819"/>
    <w:rsid w:val="007416D2"/>
    <w:rsid w:val="00746614"/>
    <w:rsid w:val="00747E28"/>
    <w:rsid w:val="00750C27"/>
    <w:rsid w:val="007513C2"/>
    <w:rsid w:val="00751E39"/>
    <w:rsid w:val="0075227F"/>
    <w:rsid w:val="007525E7"/>
    <w:rsid w:val="007528D3"/>
    <w:rsid w:val="007541E7"/>
    <w:rsid w:val="00754DD1"/>
    <w:rsid w:val="0076445A"/>
    <w:rsid w:val="00765178"/>
    <w:rsid w:val="00765A25"/>
    <w:rsid w:val="00765FD2"/>
    <w:rsid w:val="00767958"/>
    <w:rsid w:val="00767BF8"/>
    <w:rsid w:val="007700E4"/>
    <w:rsid w:val="00770582"/>
    <w:rsid w:val="00770E25"/>
    <w:rsid w:val="00772C99"/>
    <w:rsid w:val="007730D4"/>
    <w:rsid w:val="0077359D"/>
    <w:rsid w:val="007740DE"/>
    <w:rsid w:val="00774996"/>
    <w:rsid w:val="00774AC0"/>
    <w:rsid w:val="0077557B"/>
    <w:rsid w:val="007770BE"/>
    <w:rsid w:val="0078015E"/>
    <w:rsid w:val="00783BA2"/>
    <w:rsid w:val="00787529"/>
    <w:rsid w:val="00792973"/>
    <w:rsid w:val="00793372"/>
    <w:rsid w:val="00795B33"/>
    <w:rsid w:val="00797597"/>
    <w:rsid w:val="007A0B9A"/>
    <w:rsid w:val="007A4232"/>
    <w:rsid w:val="007B069E"/>
    <w:rsid w:val="007B1A0B"/>
    <w:rsid w:val="007B1E7B"/>
    <w:rsid w:val="007B1EAF"/>
    <w:rsid w:val="007B253C"/>
    <w:rsid w:val="007B2BAA"/>
    <w:rsid w:val="007B33A4"/>
    <w:rsid w:val="007B3719"/>
    <w:rsid w:val="007B40D0"/>
    <w:rsid w:val="007B7F7F"/>
    <w:rsid w:val="007C5BA4"/>
    <w:rsid w:val="007C5E13"/>
    <w:rsid w:val="007C5F57"/>
    <w:rsid w:val="007D0931"/>
    <w:rsid w:val="007D0B7B"/>
    <w:rsid w:val="007D17A1"/>
    <w:rsid w:val="007D3928"/>
    <w:rsid w:val="007D63B0"/>
    <w:rsid w:val="007D6C42"/>
    <w:rsid w:val="007E0359"/>
    <w:rsid w:val="007E0648"/>
    <w:rsid w:val="007E0FF3"/>
    <w:rsid w:val="007E166D"/>
    <w:rsid w:val="007E2330"/>
    <w:rsid w:val="007E46C8"/>
    <w:rsid w:val="007E7E1A"/>
    <w:rsid w:val="007F0504"/>
    <w:rsid w:val="007F199C"/>
    <w:rsid w:val="007F5EA3"/>
    <w:rsid w:val="007F6B23"/>
    <w:rsid w:val="007F76C4"/>
    <w:rsid w:val="00800CDF"/>
    <w:rsid w:val="00803EAC"/>
    <w:rsid w:val="0080603D"/>
    <w:rsid w:val="00813F20"/>
    <w:rsid w:val="008157CF"/>
    <w:rsid w:val="0081680B"/>
    <w:rsid w:val="008173F1"/>
    <w:rsid w:val="008176BA"/>
    <w:rsid w:val="00820986"/>
    <w:rsid w:val="00821577"/>
    <w:rsid w:val="00821926"/>
    <w:rsid w:val="0082552F"/>
    <w:rsid w:val="00826C04"/>
    <w:rsid w:val="008270A0"/>
    <w:rsid w:val="00827B76"/>
    <w:rsid w:val="00831B35"/>
    <w:rsid w:val="00832B53"/>
    <w:rsid w:val="00832ECE"/>
    <w:rsid w:val="00840CF1"/>
    <w:rsid w:val="00842E28"/>
    <w:rsid w:val="00843828"/>
    <w:rsid w:val="0084440E"/>
    <w:rsid w:val="00845A13"/>
    <w:rsid w:val="00845FF8"/>
    <w:rsid w:val="00846B36"/>
    <w:rsid w:val="00846E81"/>
    <w:rsid w:val="00847678"/>
    <w:rsid w:val="008522AD"/>
    <w:rsid w:val="00853D98"/>
    <w:rsid w:val="00857914"/>
    <w:rsid w:val="0086090F"/>
    <w:rsid w:val="008617E3"/>
    <w:rsid w:val="0086190B"/>
    <w:rsid w:val="008636C0"/>
    <w:rsid w:val="00874EA0"/>
    <w:rsid w:val="00875326"/>
    <w:rsid w:val="00876D5D"/>
    <w:rsid w:val="0087736C"/>
    <w:rsid w:val="00877370"/>
    <w:rsid w:val="00886218"/>
    <w:rsid w:val="008925D2"/>
    <w:rsid w:val="00893762"/>
    <w:rsid w:val="008959E1"/>
    <w:rsid w:val="00897F8A"/>
    <w:rsid w:val="008A0E71"/>
    <w:rsid w:val="008A222E"/>
    <w:rsid w:val="008A2D8B"/>
    <w:rsid w:val="008A4573"/>
    <w:rsid w:val="008A7E03"/>
    <w:rsid w:val="008A7E6A"/>
    <w:rsid w:val="008B0203"/>
    <w:rsid w:val="008B4E16"/>
    <w:rsid w:val="008B5E19"/>
    <w:rsid w:val="008B6584"/>
    <w:rsid w:val="008B73CA"/>
    <w:rsid w:val="008C0DCD"/>
    <w:rsid w:val="008C2065"/>
    <w:rsid w:val="008C2DF2"/>
    <w:rsid w:val="008C36EE"/>
    <w:rsid w:val="008C6776"/>
    <w:rsid w:val="008C6BEA"/>
    <w:rsid w:val="008C6FB1"/>
    <w:rsid w:val="008D04B8"/>
    <w:rsid w:val="008D3D97"/>
    <w:rsid w:val="008D52D5"/>
    <w:rsid w:val="008D56ED"/>
    <w:rsid w:val="008E0C0A"/>
    <w:rsid w:val="008E0D53"/>
    <w:rsid w:val="008E2C23"/>
    <w:rsid w:val="008E4C41"/>
    <w:rsid w:val="008E58DF"/>
    <w:rsid w:val="008E629D"/>
    <w:rsid w:val="008F0861"/>
    <w:rsid w:val="008F2451"/>
    <w:rsid w:val="008F2CAB"/>
    <w:rsid w:val="008F56EE"/>
    <w:rsid w:val="008F6893"/>
    <w:rsid w:val="008F738F"/>
    <w:rsid w:val="00900F64"/>
    <w:rsid w:val="0090124F"/>
    <w:rsid w:val="009034C7"/>
    <w:rsid w:val="00904430"/>
    <w:rsid w:val="009077B2"/>
    <w:rsid w:val="0091121B"/>
    <w:rsid w:val="00911E7D"/>
    <w:rsid w:val="009147E6"/>
    <w:rsid w:val="00914DE6"/>
    <w:rsid w:val="00920618"/>
    <w:rsid w:val="009241E7"/>
    <w:rsid w:val="0092554E"/>
    <w:rsid w:val="00925B68"/>
    <w:rsid w:val="00927335"/>
    <w:rsid w:val="0093101B"/>
    <w:rsid w:val="00932BDB"/>
    <w:rsid w:val="00934395"/>
    <w:rsid w:val="00941B3B"/>
    <w:rsid w:val="0094262B"/>
    <w:rsid w:val="009457BB"/>
    <w:rsid w:val="00945847"/>
    <w:rsid w:val="00945F06"/>
    <w:rsid w:val="00946705"/>
    <w:rsid w:val="00946A2B"/>
    <w:rsid w:val="00946C63"/>
    <w:rsid w:val="0094779F"/>
    <w:rsid w:val="00947FB4"/>
    <w:rsid w:val="0095077C"/>
    <w:rsid w:val="00951E1B"/>
    <w:rsid w:val="00952D63"/>
    <w:rsid w:val="009539AD"/>
    <w:rsid w:val="00953C5F"/>
    <w:rsid w:val="0095454F"/>
    <w:rsid w:val="009616B4"/>
    <w:rsid w:val="00963265"/>
    <w:rsid w:val="00964E19"/>
    <w:rsid w:val="00966599"/>
    <w:rsid w:val="0097043D"/>
    <w:rsid w:val="00971DBE"/>
    <w:rsid w:val="00974357"/>
    <w:rsid w:val="00977FA1"/>
    <w:rsid w:val="0098063D"/>
    <w:rsid w:val="0098192F"/>
    <w:rsid w:val="00981A11"/>
    <w:rsid w:val="00981F68"/>
    <w:rsid w:val="00983765"/>
    <w:rsid w:val="00983882"/>
    <w:rsid w:val="00984C65"/>
    <w:rsid w:val="009921DB"/>
    <w:rsid w:val="00994697"/>
    <w:rsid w:val="009967A9"/>
    <w:rsid w:val="009A2EA3"/>
    <w:rsid w:val="009A3F1D"/>
    <w:rsid w:val="009B0330"/>
    <w:rsid w:val="009B47BF"/>
    <w:rsid w:val="009B52FB"/>
    <w:rsid w:val="009B5BDB"/>
    <w:rsid w:val="009B611D"/>
    <w:rsid w:val="009B750E"/>
    <w:rsid w:val="009B7F0C"/>
    <w:rsid w:val="009C2A2A"/>
    <w:rsid w:val="009C3A46"/>
    <w:rsid w:val="009C3FCA"/>
    <w:rsid w:val="009C4114"/>
    <w:rsid w:val="009C72EA"/>
    <w:rsid w:val="009D0B90"/>
    <w:rsid w:val="009D24E4"/>
    <w:rsid w:val="009D264B"/>
    <w:rsid w:val="009D3B97"/>
    <w:rsid w:val="009D42D0"/>
    <w:rsid w:val="009D5BED"/>
    <w:rsid w:val="009D7E68"/>
    <w:rsid w:val="009E170C"/>
    <w:rsid w:val="009E1E24"/>
    <w:rsid w:val="009E4B14"/>
    <w:rsid w:val="009E56A5"/>
    <w:rsid w:val="009E581B"/>
    <w:rsid w:val="009E6072"/>
    <w:rsid w:val="009E627F"/>
    <w:rsid w:val="009F08C3"/>
    <w:rsid w:val="009F0A91"/>
    <w:rsid w:val="009F2491"/>
    <w:rsid w:val="009F775E"/>
    <w:rsid w:val="00A004BD"/>
    <w:rsid w:val="00A00D86"/>
    <w:rsid w:val="00A0138C"/>
    <w:rsid w:val="00A028FD"/>
    <w:rsid w:val="00A02A88"/>
    <w:rsid w:val="00A1544B"/>
    <w:rsid w:val="00A16C5D"/>
    <w:rsid w:val="00A17FA0"/>
    <w:rsid w:val="00A2087F"/>
    <w:rsid w:val="00A21761"/>
    <w:rsid w:val="00A23D6F"/>
    <w:rsid w:val="00A27DF9"/>
    <w:rsid w:val="00A27EB1"/>
    <w:rsid w:val="00A32E51"/>
    <w:rsid w:val="00A3499A"/>
    <w:rsid w:val="00A4119F"/>
    <w:rsid w:val="00A4231A"/>
    <w:rsid w:val="00A4232F"/>
    <w:rsid w:val="00A43B15"/>
    <w:rsid w:val="00A4698B"/>
    <w:rsid w:val="00A513D2"/>
    <w:rsid w:val="00A514AB"/>
    <w:rsid w:val="00A555AC"/>
    <w:rsid w:val="00A57342"/>
    <w:rsid w:val="00A5779D"/>
    <w:rsid w:val="00A64EA2"/>
    <w:rsid w:val="00A6654E"/>
    <w:rsid w:val="00A71641"/>
    <w:rsid w:val="00A74523"/>
    <w:rsid w:val="00A76FCE"/>
    <w:rsid w:val="00A773E4"/>
    <w:rsid w:val="00A776E3"/>
    <w:rsid w:val="00A77823"/>
    <w:rsid w:val="00A80196"/>
    <w:rsid w:val="00A84D95"/>
    <w:rsid w:val="00A85714"/>
    <w:rsid w:val="00A9056F"/>
    <w:rsid w:val="00A92139"/>
    <w:rsid w:val="00A92AF6"/>
    <w:rsid w:val="00A93AF4"/>
    <w:rsid w:val="00A94F1C"/>
    <w:rsid w:val="00A95055"/>
    <w:rsid w:val="00A95251"/>
    <w:rsid w:val="00A95E7E"/>
    <w:rsid w:val="00AA05BA"/>
    <w:rsid w:val="00AA09BD"/>
    <w:rsid w:val="00AA18AD"/>
    <w:rsid w:val="00AA586D"/>
    <w:rsid w:val="00AA5E60"/>
    <w:rsid w:val="00AB0ABB"/>
    <w:rsid w:val="00AB1D0A"/>
    <w:rsid w:val="00AB205F"/>
    <w:rsid w:val="00AB59BD"/>
    <w:rsid w:val="00AB65ED"/>
    <w:rsid w:val="00AB7D33"/>
    <w:rsid w:val="00AC024E"/>
    <w:rsid w:val="00AC30B7"/>
    <w:rsid w:val="00AC3383"/>
    <w:rsid w:val="00AC5421"/>
    <w:rsid w:val="00AC62B4"/>
    <w:rsid w:val="00AC67F6"/>
    <w:rsid w:val="00AC680B"/>
    <w:rsid w:val="00AC6C42"/>
    <w:rsid w:val="00AD19E1"/>
    <w:rsid w:val="00AD348D"/>
    <w:rsid w:val="00AD60CD"/>
    <w:rsid w:val="00AE05D8"/>
    <w:rsid w:val="00AE29F1"/>
    <w:rsid w:val="00AE4D47"/>
    <w:rsid w:val="00AE7C9F"/>
    <w:rsid w:val="00AF1956"/>
    <w:rsid w:val="00AF2385"/>
    <w:rsid w:val="00AF257F"/>
    <w:rsid w:val="00AF3D8A"/>
    <w:rsid w:val="00AF4214"/>
    <w:rsid w:val="00AF589F"/>
    <w:rsid w:val="00AF6247"/>
    <w:rsid w:val="00B016B9"/>
    <w:rsid w:val="00B0279B"/>
    <w:rsid w:val="00B04CCE"/>
    <w:rsid w:val="00B06211"/>
    <w:rsid w:val="00B07007"/>
    <w:rsid w:val="00B120A3"/>
    <w:rsid w:val="00B21CC5"/>
    <w:rsid w:val="00B245C2"/>
    <w:rsid w:val="00B24602"/>
    <w:rsid w:val="00B254DD"/>
    <w:rsid w:val="00B25C06"/>
    <w:rsid w:val="00B25E05"/>
    <w:rsid w:val="00B266BC"/>
    <w:rsid w:val="00B26F8E"/>
    <w:rsid w:val="00B30D26"/>
    <w:rsid w:val="00B314B2"/>
    <w:rsid w:val="00B33413"/>
    <w:rsid w:val="00B33664"/>
    <w:rsid w:val="00B33E53"/>
    <w:rsid w:val="00B35860"/>
    <w:rsid w:val="00B36D06"/>
    <w:rsid w:val="00B37376"/>
    <w:rsid w:val="00B41723"/>
    <w:rsid w:val="00B41E04"/>
    <w:rsid w:val="00B423D9"/>
    <w:rsid w:val="00B44CB8"/>
    <w:rsid w:val="00B463CE"/>
    <w:rsid w:val="00B466DE"/>
    <w:rsid w:val="00B510E1"/>
    <w:rsid w:val="00B52F40"/>
    <w:rsid w:val="00B53866"/>
    <w:rsid w:val="00B571B2"/>
    <w:rsid w:val="00B574BA"/>
    <w:rsid w:val="00B64096"/>
    <w:rsid w:val="00B65A8F"/>
    <w:rsid w:val="00B7083B"/>
    <w:rsid w:val="00B71FC3"/>
    <w:rsid w:val="00B737D3"/>
    <w:rsid w:val="00B745AA"/>
    <w:rsid w:val="00B74CC3"/>
    <w:rsid w:val="00B76A8C"/>
    <w:rsid w:val="00B82EDE"/>
    <w:rsid w:val="00B841ED"/>
    <w:rsid w:val="00B84BCA"/>
    <w:rsid w:val="00B85532"/>
    <w:rsid w:val="00B86256"/>
    <w:rsid w:val="00B91A34"/>
    <w:rsid w:val="00B92D02"/>
    <w:rsid w:val="00B932BF"/>
    <w:rsid w:val="00B9384B"/>
    <w:rsid w:val="00B94774"/>
    <w:rsid w:val="00B95276"/>
    <w:rsid w:val="00B965FC"/>
    <w:rsid w:val="00B97491"/>
    <w:rsid w:val="00B97509"/>
    <w:rsid w:val="00BA236C"/>
    <w:rsid w:val="00BA25BF"/>
    <w:rsid w:val="00BA315B"/>
    <w:rsid w:val="00BA47D3"/>
    <w:rsid w:val="00BA6CA5"/>
    <w:rsid w:val="00BB158C"/>
    <w:rsid w:val="00BB2FF7"/>
    <w:rsid w:val="00BB47C5"/>
    <w:rsid w:val="00BB4D0C"/>
    <w:rsid w:val="00BB61D0"/>
    <w:rsid w:val="00BB7154"/>
    <w:rsid w:val="00BC1AB4"/>
    <w:rsid w:val="00BC4010"/>
    <w:rsid w:val="00BC41A4"/>
    <w:rsid w:val="00BC42C0"/>
    <w:rsid w:val="00BC5110"/>
    <w:rsid w:val="00BC5661"/>
    <w:rsid w:val="00BC5B8A"/>
    <w:rsid w:val="00BC7C84"/>
    <w:rsid w:val="00BC7FBD"/>
    <w:rsid w:val="00BD1817"/>
    <w:rsid w:val="00BD2A6B"/>
    <w:rsid w:val="00BD69D6"/>
    <w:rsid w:val="00BD6B64"/>
    <w:rsid w:val="00BD7328"/>
    <w:rsid w:val="00BE0A58"/>
    <w:rsid w:val="00BE148C"/>
    <w:rsid w:val="00BE39B7"/>
    <w:rsid w:val="00BE7037"/>
    <w:rsid w:val="00BE7C6C"/>
    <w:rsid w:val="00BE7E10"/>
    <w:rsid w:val="00BF3D41"/>
    <w:rsid w:val="00BF6203"/>
    <w:rsid w:val="00BF6E21"/>
    <w:rsid w:val="00BF70D0"/>
    <w:rsid w:val="00BF78B5"/>
    <w:rsid w:val="00C000FA"/>
    <w:rsid w:val="00C018B8"/>
    <w:rsid w:val="00C02A97"/>
    <w:rsid w:val="00C0433B"/>
    <w:rsid w:val="00C10384"/>
    <w:rsid w:val="00C2452E"/>
    <w:rsid w:val="00C2741A"/>
    <w:rsid w:val="00C31539"/>
    <w:rsid w:val="00C334E7"/>
    <w:rsid w:val="00C33FC0"/>
    <w:rsid w:val="00C3405A"/>
    <w:rsid w:val="00C365D2"/>
    <w:rsid w:val="00C411D4"/>
    <w:rsid w:val="00C42AF3"/>
    <w:rsid w:val="00C44C9D"/>
    <w:rsid w:val="00C46812"/>
    <w:rsid w:val="00C471B9"/>
    <w:rsid w:val="00C4798C"/>
    <w:rsid w:val="00C50E06"/>
    <w:rsid w:val="00C50F24"/>
    <w:rsid w:val="00C539DA"/>
    <w:rsid w:val="00C55D9E"/>
    <w:rsid w:val="00C5607A"/>
    <w:rsid w:val="00C564A0"/>
    <w:rsid w:val="00C574AC"/>
    <w:rsid w:val="00C61C3C"/>
    <w:rsid w:val="00C64791"/>
    <w:rsid w:val="00C65635"/>
    <w:rsid w:val="00C70311"/>
    <w:rsid w:val="00C70D53"/>
    <w:rsid w:val="00C71587"/>
    <w:rsid w:val="00C76FE7"/>
    <w:rsid w:val="00C773BB"/>
    <w:rsid w:val="00C84273"/>
    <w:rsid w:val="00C85ACA"/>
    <w:rsid w:val="00C9073A"/>
    <w:rsid w:val="00C908E5"/>
    <w:rsid w:val="00C9193C"/>
    <w:rsid w:val="00C949C2"/>
    <w:rsid w:val="00C9523B"/>
    <w:rsid w:val="00C963E3"/>
    <w:rsid w:val="00CA2932"/>
    <w:rsid w:val="00CA4B4A"/>
    <w:rsid w:val="00CB0BAF"/>
    <w:rsid w:val="00CB283E"/>
    <w:rsid w:val="00CB305E"/>
    <w:rsid w:val="00CB3CD6"/>
    <w:rsid w:val="00CB6FD5"/>
    <w:rsid w:val="00CC0B2E"/>
    <w:rsid w:val="00CC0D34"/>
    <w:rsid w:val="00CC2847"/>
    <w:rsid w:val="00CC5652"/>
    <w:rsid w:val="00CC5C58"/>
    <w:rsid w:val="00CC6AD3"/>
    <w:rsid w:val="00CC6B11"/>
    <w:rsid w:val="00CC6F00"/>
    <w:rsid w:val="00CC721F"/>
    <w:rsid w:val="00CC7F9D"/>
    <w:rsid w:val="00CD030F"/>
    <w:rsid w:val="00CD0768"/>
    <w:rsid w:val="00CD338B"/>
    <w:rsid w:val="00CD3822"/>
    <w:rsid w:val="00CE11A1"/>
    <w:rsid w:val="00CE6D92"/>
    <w:rsid w:val="00CE796E"/>
    <w:rsid w:val="00CF000D"/>
    <w:rsid w:val="00CF1674"/>
    <w:rsid w:val="00CF1BDD"/>
    <w:rsid w:val="00CF469D"/>
    <w:rsid w:val="00CF53FE"/>
    <w:rsid w:val="00CF63C1"/>
    <w:rsid w:val="00CF6F39"/>
    <w:rsid w:val="00D02301"/>
    <w:rsid w:val="00D02E41"/>
    <w:rsid w:val="00D03642"/>
    <w:rsid w:val="00D07658"/>
    <w:rsid w:val="00D07EE3"/>
    <w:rsid w:val="00D1079C"/>
    <w:rsid w:val="00D10EB7"/>
    <w:rsid w:val="00D11452"/>
    <w:rsid w:val="00D12E36"/>
    <w:rsid w:val="00D20AE5"/>
    <w:rsid w:val="00D21AFD"/>
    <w:rsid w:val="00D22712"/>
    <w:rsid w:val="00D2271F"/>
    <w:rsid w:val="00D24969"/>
    <w:rsid w:val="00D2711D"/>
    <w:rsid w:val="00D278B4"/>
    <w:rsid w:val="00D3153D"/>
    <w:rsid w:val="00D33112"/>
    <w:rsid w:val="00D337CD"/>
    <w:rsid w:val="00D34DAB"/>
    <w:rsid w:val="00D36574"/>
    <w:rsid w:val="00D4124F"/>
    <w:rsid w:val="00D414FD"/>
    <w:rsid w:val="00D506B5"/>
    <w:rsid w:val="00D50FAD"/>
    <w:rsid w:val="00D529E0"/>
    <w:rsid w:val="00D53B9C"/>
    <w:rsid w:val="00D54EA4"/>
    <w:rsid w:val="00D54F63"/>
    <w:rsid w:val="00D55385"/>
    <w:rsid w:val="00D558C3"/>
    <w:rsid w:val="00D56192"/>
    <w:rsid w:val="00D62C15"/>
    <w:rsid w:val="00D634AF"/>
    <w:rsid w:val="00D67326"/>
    <w:rsid w:val="00D70B1E"/>
    <w:rsid w:val="00D7319D"/>
    <w:rsid w:val="00D7386E"/>
    <w:rsid w:val="00D744AF"/>
    <w:rsid w:val="00D74929"/>
    <w:rsid w:val="00D759E4"/>
    <w:rsid w:val="00D7757F"/>
    <w:rsid w:val="00D8263A"/>
    <w:rsid w:val="00D82657"/>
    <w:rsid w:val="00D83610"/>
    <w:rsid w:val="00D8379F"/>
    <w:rsid w:val="00D845C3"/>
    <w:rsid w:val="00D8534A"/>
    <w:rsid w:val="00D86088"/>
    <w:rsid w:val="00D903B0"/>
    <w:rsid w:val="00D971B4"/>
    <w:rsid w:val="00DA1854"/>
    <w:rsid w:val="00DA5C14"/>
    <w:rsid w:val="00DA5F01"/>
    <w:rsid w:val="00DB0192"/>
    <w:rsid w:val="00DB38B8"/>
    <w:rsid w:val="00DB5662"/>
    <w:rsid w:val="00DB7AAC"/>
    <w:rsid w:val="00DC0989"/>
    <w:rsid w:val="00DC0ACD"/>
    <w:rsid w:val="00DC3773"/>
    <w:rsid w:val="00DC4618"/>
    <w:rsid w:val="00DC49D8"/>
    <w:rsid w:val="00DC6BF0"/>
    <w:rsid w:val="00DC6C2F"/>
    <w:rsid w:val="00DD2BB8"/>
    <w:rsid w:val="00DD3446"/>
    <w:rsid w:val="00DD46EC"/>
    <w:rsid w:val="00DD46FD"/>
    <w:rsid w:val="00DD59DD"/>
    <w:rsid w:val="00DD7352"/>
    <w:rsid w:val="00DE0BD6"/>
    <w:rsid w:val="00DE2993"/>
    <w:rsid w:val="00DE55C9"/>
    <w:rsid w:val="00DE7E82"/>
    <w:rsid w:val="00DF224A"/>
    <w:rsid w:val="00DF2544"/>
    <w:rsid w:val="00DF36BE"/>
    <w:rsid w:val="00DF3C2F"/>
    <w:rsid w:val="00DF60CB"/>
    <w:rsid w:val="00DF6A2C"/>
    <w:rsid w:val="00DF6E02"/>
    <w:rsid w:val="00E02B7A"/>
    <w:rsid w:val="00E02ED5"/>
    <w:rsid w:val="00E03FF6"/>
    <w:rsid w:val="00E04A18"/>
    <w:rsid w:val="00E078C2"/>
    <w:rsid w:val="00E1356C"/>
    <w:rsid w:val="00E17B5F"/>
    <w:rsid w:val="00E208B0"/>
    <w:rsid w:val="00E208DC"/>
    <w:rsid w:val="00E20BB1"/>
    <w:rsid w:val="00E21453"/>
    <w:rsid w:val="00E31067"/>
    <w:rsid w:val="00E338FE"/>
    <w:rsid w:val="00E34024"/>
    <w:rsid w:val="00E349BE"/>
    <w:rsid w:val="00E354FE"/>
    <w:rsid w:val="00E35823"/>
    <w:rsid w:val="00E41475"/>
    <w:rsid w:val="00E41DD6"/>
    <w:rsid w:val="00E4643D"/>
    <w:rsid w:val="00E52D02"/>
    <w:rsid w:val="00E67E03"/>
    <w:rsid w:val="00E717DF"/>
    <w:rsid w:val="00E72918"/>
    <w:rsid w:val="00E764A2"/>
    <w:rsid w:val="00E77147"/>
    <w:rsid w:val="00E77A14"/>
    <w:rsid w:val="00E80F73"/>
    <w:rsid w:val="00E8381E"/>
    <w:rsid w:val="00E83E93"/>
    <w:rsid w:val="00E84036"/>
    <w:rsid w:val="00E84963"/>
    <w:rsid w:val="00E85717"/>
    <w:rsid w:val="00E87C70"/>
    <w:rsid w:val="00E90F69"/>
    <w:rsid w:val="00E9188C"/>
    <w:rsid w:val="00E96400"/>
    <w:rsid w:val="00EA05BC"/>
    <w:rsid w:val="00EA17F3"/>
    <w:rsid w:val="00EA2DB5"/>
    <w:rsid w:val="00EA43BF"/>
    <w:rsid w:val="00EA4857"/>
    <w:rsid w:val="00EA50EE"/>
    <w:rsid w:val="00EB064B"/>
    <w:rsid w:val="00EB0F45"/>
    <w:rsid w:val="00EB3795"/>
    <w:rsid w:val="00EB3B88"/>
    <w:rsid w:val="00EB524D"/>
    <w:rsid w:val="00EB75ED"/>
    <w:rsid w:val="00EC0B12"/>
    <w:rsid w:val="00EC380F"/>
    <w:rsid w:val="00EC45FC"/>
    <w:rsid w:val="00EC66BB"/>
    <w:rsid w:val="00EC677A"/>
    <w:rsid w:val="00EC7366"/>
    <w:rsid w:val="00ED0569"/>
    <w:rsid w:val="00ED2812"/>
    <w:rsid w:val="00ED41B7"/>
    <w:rsid w:val="00ED4A20"/>
    <w:rsid w:val="00ED781B"/>
    <w:rsid w:val="00ED791D"/>
    <w:rsid w:val="00EE1987"/>
    <w:rsid w:val="00EE5B66"/>
    <w:rsid w:val="00EF3B3A"/>
    <w:rsid w:val="00EF5BF3"/>
    <w:rsid w:val="00EF691D"/>
    <w:rsid w:val="00EF6A61"/>
    <w:rsid w:val="00F0063A"/>
    <w:rsid w:val="00F00C6E"/>
    <w:rsid w:val="00F0129A"/>
    <w:rsid w:val="00F07105"/>
    <w:rsid w:val="00F07B49"/>
    <w:rsid w:val="00F10F30"/>
    <w:rsid w:val="00F1235A"/>
    <w:rsid w:val="00F145D8"/>
    <w:rsid w:val="00F15458"/>
    <w:rsid w:val="00F1580A"/>
    <w:rsid w:val="00F1643E"/>
    <w:rsid w:val="00F16EE3"/>
    <w:rsid w:val="00F243C4"/>
    <w:rsid w:val="00F2629B"/>
    <w:rsid w:val="00F266D7"/>
    <w:rsid w:val="00F27DEB"/>
    <w:rsid w:val="00F324F1"/>
    <w:rsid w:val="00F34165"/>
    <w:rsid w:val="00F36486"/>
    <w:rsid w:val="00F37115"/>
    <w:rsid w:val="00F42CA5"/>
    <w:rsid w:val="00F43E36"/>
    <w:rsid w:val="00F4419D"/>
    <w:rsid w:val="00F45AA0"/>
    <w:rsid w:val="00F47DBC"/>
    <w:rsid w:val="00F54670"/>
    <w:rsid w:val="00F5695C"/>
    <w:rsid w:val="00F6137D"/>
    <w:rsid w:val="00F63EFE"/>
    <w:rsid w:val="00F64445"/>
    <w:rsid w:val="00F6504C"/>
    <w:rsid w:val="00F654CE"/>
    <w:rsid w:val="00F65884"/>
    <w:rsid w:val="00F6688B"/>
    <w:rsid w:val="00F71341"/>
    <w:rsid w:val="00F71AA7"/>
    <w:rsid w:val="00F723A7"/>
    <w:rsid w:val="00F72E6A"/>
    <w:rsid w:val="00F739F0"/>
    <w:rsid w:val="00F758E6"/>
    <w:rsid w:val="00F81A7B"/>
    <w:rsid w:val="00F866F5"/>
    <w:rsid w:val="00F87489"/>
    <w:rsid w:val="00F8753B"/>
    <w:rsid w:val="00F94912"/>
    <w:rsid w:val="00F95F58"/>
    <w:rsid w:val="00FA043E"/>
    <w:rsid w:val="00FA71D9"/>
    <w:rsid w:val="00FB05A0"/>
    <w:rsid w:val="00FB0809"/>
    <w:rsid w:val="00FB4361"/>
    <w:rsid w:val="00FC61F4"/>
    <w:rsid w:val="00FD1DCD"/>
    <w:rsid w:val="00FD53B2"/>
    <w:rsid w:val="00FE1D8A"/>
    <w:rsid w:val="00FE278E"/>
    <w:rsid w:val="00FE5A80"/>
    <w:rsid w:val="00FF0368"/>
    <w:rsid w:val="00FF0F9E"/>
    <w:rsid w:val="00FF1736"/>
    <w:rsid w:val="00FF6E5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149"/>
    <w:pPr>
      <w:framePr w:wrap="auto"/>
      <w:widowControl/>
      <w:autoSpaceDE/>
      <w:autoSpaceDN/>
      <w:adjustRightInd/>
      <w:ind w:left="0" w:right="0"/>
      <w:jc w:val="left"/>
      <w:textAlignment w:val="auto"/>
    </w:pPr>
    <w:rPr>
      <w:rFonts w:ascii="Arial" w:hAnsi="Arial" w:cs="Times New Roman"/>
      <w:sz w:val="24"/>
      <w:szCs w:val="20"/>
      <w:rtl w:val="0"/>
      <w:cs w:val="0"/>
      <w:lang w:val="sk-SK" w:eastAsia="sk-SK" w:bidi="ar-SA"/>
    </w:rPr>
  </w:style>
  <w:style w:type="paragraph" w:styleId="Heading1">
    <w:name w:val="heading 1"/>
    <w:basedOn w:val="Normal"/>
    <w:next w:val="Normal"/>
    <w:qFormat/>
    <w:rsid w:val="00037DB0"/>
    <w:pPr>
      <w:keepNext/>
      <w:jc w:val="left"/>
      <w:outlineLvl w:val="0"/>
    </w:pPr>
    <w:rPr>
      <w:b/>
      <w:color w:val="000000"/>
      <w:sz w:val="22"/>
    </w:rPr>
  </w:style>
  <w:style w:type="paragraph" w:styleId="Heading2">
    <w:name w:val="heading 2"/>
    <w:basedOn w:val="Normal"/>
    <w:next w:val="Normal"/>
    <w:qFormat/>
    <w:rsid w:val="00EB0F45"/>
    <w:pPr>
      <w:tabs>
        <w:tab w:val="num" w:pos="567"/>
        <w:tab w:val="decimal" w:pos="8080"/>
      </w:tabs>
      <w:spacing w:before="240" w:after="120" w:line="360" w:lineRule="auto"/>
      <w:jc w:val="both"/>
      <w:outlineLvl w:val="1"/>
    </w:pPr>
    <w:rPr>
      <w:b/>
    </w:rPr>
  </w:style>
  <w:style w:type="paragraph" w:styleId="Heading3">
    <w:name w:val="heading 3"/>
    <w:basedOn w:val="Normal"/>
    <w:next w:val="Normal"/>
    <w:qFormat/>
    <w:rsid w:val="00EB0F45"/>
    <w:pPr>
      <w:keepNext/>
      <w:tabs>
        <w:tab w:val="num" w:pos="360"/>
      </w:tabs>
      <w:spacing w:before="120" w:after="60" w:line="360" w:lineRule="auto"/>
      <w:ind w:left="360" w:hanging="360"/>
      <w:jc w:val="both"/>
      <w:outlineLvl w:val="2"/>
    </w:pPr>
    <w:rPr>
      <w:b/>
    </w:rPr>
  </w:style>
  <w:style w:type="paragraph" w:styleId="Heading4">
    <w:name w:val="heading 4"/>
    <w:basedOn w:val="Normal"/>
    <w:next w:val="Normal"/>
    <w:qFormat/>
    <w:rsid w:val="00EB0F45"/>
    <w:pPr>
      <w:keepNext/>
      <w:spacing w:before="240" w:after="60"/>
      <w:jc w:val="left"/>
      <w:outlineLvl w:val="3"/>
    </w:pPr>
    <w:rPr>
      <w:rFonts w:ascii="Times New Roman" w:hAnsi="Times New Roman"/>
      <w:b/>
      <w:bCs/>
      <w:sz w:val="28"/>
      <w:szCs w:val="28"/>
    </w:rPr>
  </w:style>
  <w:style w:type="paragraph" w:styleId="Heading6">
    <w:name w:val="heading 6"/>
    <w:basedOn w:val="Normal"/>
    <w:next w:val="Normal"/>
    <w:qFormat/>
    <w:rsid w:val="00EB0F45"/>
    <w:pPr>
      <w:keepNext/>
      <w:tabs>
        <w:tab w:val="left" w:pos="567"/>
        <w:tab w:val="left" w:pos="709"/>
        <w:tab w:val="decimal" w:pos="8222"/>
      </w:tabs>
      <w:spacing w:before="240" w:after="120" w:line="360" w:lineRule="auto"/>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qFormat/>
    <w:pPr>
      <w:spacing w:before="240" w:after="120" w:line="360" w:lineRule="auto"/>
      <w:jc w:val="center"/>
    </w:pPr>
    <w:rPr>
      <w:b/>
      <w:sz w:val="28"/>
    </w:rPr>
  </w:style>
  <w:style w:type="paragraph" w:styleId="BodyTextIndent">
    <w:name w:val="Body Text Indent"/>
    <w:basedOn w:val="Normal"/>
    <w:link w:val="BodyTextIndentChar"/>
    <w:pPr>
      <w:spacing w:before="240" w:after="120" w:line="360" w:lineRule="auto"/>
      <w:ind w:firstLine="709"/>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alloonText">
    <w:name w:val="Balloon Text"/>
    <w:basedOn w:val="Normal"/>
    <w:semiHidden/>
    <w:rsid w:val="00F07B49"/>
    <w:pPr>
      <w:jc w:val="left"/>
    </w:pPr>
    <w:rPr>
      <w:rFonts w:ascii="Tahoma" w:hAnsi="Tahoma" w:cs="Tahoma"/>
      <w:sz w:val="16"/>
      <w:szCs w:val="16"/>
    </w:rPr>
  </w:style>
  <w:style w:type="paragraph" w:styleId="BodyTextIndent2">
    <w:name w:val="Body Text Indent 2"/>
    <w:basedOn w:val="Normal"/>
    <w:link w:val="BodyTextIndent2Char"/>
    <w:rsid w:val="00D634AF"/>
    <w:pPr>
      <w:spacing w:after="120" w:line="480" w:lineRule="auto"/>
      <w:ind w:left="283"/>
      <w:jc w:val="left"/>
    </w:pPr>
  </w:style>
  <w:style w:type="paragraph" w:styleId="BodyTextIndent3">
    <w:name w:val="Body Text Indent 3"/>
    <w:basedOn w:val="Normal"/>
    <w:link w:val="BodyTextIndent3Char"/>
    <w:rsid w:val="00695303"/>
    <w:pPr>
      <w:spacing w:after="120"/>
      <w:ind w:left="283"/>
      <w:jc w:val="left"/>
    </w:pPr>
    <w:rPr>
      <w:sz w:val="16"/>
      <w:szCs w:val="16"/>
    </w:rPr>
  </w:style>
  <w:style w:type="paragraph" w:styleId="BodyText2">
    <w:name w:val="Body Text 2"/>
    <w:basedOn w:val="Normal"/>
    <w:rsid w:val="00C4798C"/>
    <w:pPr>
      <w:spacing w:after="120" w:line="480" w:lineRule="auto"/>
      <w:jc w:val="left"/>
    </w:pPr>
  </w:style>
  <w:style w:type="paragraph" w:styleId="BodyText">
    <w:name w:val="Body Text"/>
    <w:basedOn w:val="Normal"/>
    <w:rsid w:val="00EB0F45"/>
    <w:pPr>
      <w:spacing w:after="120"/>
      <w:jc w:val="left"/>
    </w:pPr>
  </w:style>
  <w:style w:type="paragraph" w:customStyle="1" w:styleId="kSk">
    <w:name w:val="kSk"/>
    <w:basedOn w:val="Normal"/>
    <w:rsid w:val="00EB0F45"/>
    <w:pPr>
      <w:tabs>
        <w:tab w:val="left" w:pos="426"/>
        <w:tab w:val="decimal" w:pos="8080"/>
      </w:tabs>
      <w:spacing w:after="240" w:line="360" w:lineRule="auto"/>
      <w:jc w:val="left"/>
    </w:pPr>
  </w:style>
  <w:style w:type="paragraph" w:styleId="Header">
    <w:name w:val="header"/>
    <w:basedOn w:val="Normal"/>
    <w:rsid w:val="00EB0F45"/>
    <w:pPr>
      <w:tabs>
        <w:tab w:val="center" w:pos="4536"/>
        <w:tab w:val="right" w:pos="9072"/>
      </w:tabs>
      <w:jc w:val="left"/>
    </w:pPr>
  </w:style>
  <w:style w:type="paragraph" w:styleId="BodyText3">
    <w:name w:val="Body Text 3"/>
    <w:basedOn w:val="Normal"/>
    <w:rsid w:val="00EB0F45"/>
    <w:pPr>
      <w:spacing w:after="120"/>
      <w:jc w:val="left"/>
    </w:pPr>
    <w:rPr>
      <w:sz w:val="16"/>
      <w:szCs w:val="16"/>
    </w:rPr>
  </w:style>
  <w:style w:type="table" w:styleId="TableGrid">
    <w:name w:val="Table Grid"/>
    <w:basedOn w:val="TableNormal"/>
    <w:rsid w:val="0084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Char">
    <w:name w:val="Car Char Char"/>
    <w:basedOn w:val="Normal"/>
    <w:rsid w:val="00D903B0"/>
    <w:pPr>
      <w:spacing w:after="160" w:line="240" w:lineRule="exact"/>
      <w:jc w:val="left"/>
    </w:pPr>
    <w:rPr>
      <w:rFonts w:ascii="Tahoma" w:hAnsi="Tahoma" w:cs="Tahoma"/>
      <w:sz w:val="20"/>
      <w:lang w:val="en-US" w:eastAsia="en-US"/>
    </w:rPr>
  </w:style>
  <w:style w:type="character" w:customStyle="1" w:styleId="BodyTextIndent2Char">
    <w:name w:val="Body Text Indent 2 Char"/>
    <w:link w:val="BodyTextIndent2"/>
    <w:locked/>
    <w:rsid w:val="00767BF8"/>
    <w:rPr>
      <w:rFonts w:ascii="Arial" w:hAnsi="Arial" w:cs="Arial"/>
      <w:sz w:val="24"/>
    </w:rPr>
  </w:style>
  <w:style w:type="paragraph" w:styleId="ListParagraph">
    <w:name w:val="List Paragraph"/>
    <w:basedOn w:val="Normal"/>
    <w:uiPriority w:val="34"/>
    <w:qFormat/>
    <w:rsid w:val="007D3928"/>
    <w:pPr>
      <w:ind w:left="720"/>
      <w:contextualSpacing/>
      <w:jc w:val="left"/>
    </w:pPr>
  </w:style>
  <w:style w:type="character" w:customStyle="1" w:styleId="BodyTextIndentChar">
    <w:name w:val="Body Text Indent Char"/>
    <w:link w:val="BodyTextIndent"/>
    <w:locked/>
    <w:rsid w:val="003A475B"/>
    <w:rPr>
      <w:rFonts w:ascii="Arial" w:hAnsi="Arial" w:cs="Arial"/>
      <w:sz w:val="24"/>
    </w:rPr>
  </w:style>
  <w:style w:type="character" w:customStyle="1" w:styleId="BodyTextIndent3Char">
    <w:name w:val="Body Text Indent 3 Char"/>
    <w:link w:val="BodyTextIndent3"/>
    <w:locked/>
    <w:rsid w:val="003A475B"/>
    <w:rPr>
      <w:rFonts w:ascii="Arial" w:hAnsi="Arial" w:cs="Arial"/>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4859-8331-49E5-8B17-B8063A82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4213</Words>
  <Characters>24017</Characters>
  <Application>Microsoft Office Word</Application>
  <DocSecurity>0</DocSecurity>
  <Lines>0</Lines>
  <Paragraphs>0</Paragraphs>
  <ScaleCrop>false</ScaleCrop>
  <Company>Sociálna poisťovňa</Company>
  <LinksUpToDate>false</LinksUpToDate>
  <CharactersWithSpaces>28174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Východiská k návrhu rozpočtu Sociálnej poisťovne</dc:title>
  <dc:creator>Deskpro</dc:creator>
  <cp:lastModifiedBy>Gašparíková, Jarmila</cp:lastModifiedBy>
  <cp:revision>2</cp:revision>
  <cp:lastPrinted>2011-10-11T10:04:00Z</cp:lastPrinted>
  <dcterms:created xsi:type="dcterms:W3CDTF">2011-10-14T12:03:00Z</dcterms:created>
  <dcterms:modified xsi:type="dcterms:W3CDTF">2011-10-14T12:03:00Z</dcterms:modified>
</cp:coreProperties>
</file>