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404E" w:rsidP="0003404E">
      <w:pPr>
        <w:bidi w:val="0"/>
        <w:jc w:val="both"/>
        <w:rPr>
          <w:rFonts w:ascii="Times New Roman" w:hAnsi="Times New Roman"/>
        </w:rPr>
      </w:pPr>
    </w:p>
    <w:p w:rsidR="0003404E" w:rsidP="0003404E">
      <w:pPr>
        <w:pStyle w:val="Title"/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DOLOŽKA ZLUČITEĽNOSTI</w:t>
      </w:r>
    </w:p>
    <w:p w:rsidR="0003404E" w:rsidP="0003404E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>návrhu zákona, ktorým sa mení a dopĺňa zákon č.595/2003 Z. z. o dani z príjmov v znení neskorších predpisov</w:t>
      </w:r>
    </w:p>
    <w:p w:rsidR="0003404E" w:rsidP="0003404E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s právom Európskych spoločenstiev a právom Európskej únie</w:t>
      </w:r>
    </w:p>
    <w:p w:rsidR="0003404E" w:rsidP="0003404E">
      <w:pPr>
        <w:bidi w:val="0"/>
        <w:jc w:val="center"/>
        <w:rPr>
          <w:rFonts w:ascii="Times New Roman" w:hAnsi="Times New Roman"/>
          <w:b/>
          <w:sz w:val="22"/>
        </w:rPr>
      </w:pPr>
    </w:p>
    <w:p w:rsidR="0003404E" w:rsidP="0003404E">
      <w:pPr>
        <w:bidi w:val="0"/>
        <w:jc w:val="both"/>
        <w:rPr>
          <w:rFonts w:ascii="Times New Roman" w:hAnsi="Times New Roman"/>
          <w:b/>
          <w:sz w:val="22"/>
        </w:rPr>
      </w:pPr>
    </w:p>
    <w:p w:rsidR="0003404E" w:rsidP="0003404E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Predkladateľ zákona:</w:t>
      </w:r>
    </w:p>
    <w:p w:rsidR="0003404E" w:rsidP="0003404E">
      <w:pPr>
        <w:bidi w:val="0"/>
        <w:ind w:firstLine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poslanci Národnej rady Slovenskej republiky Peter Kažimír, Ján Počiatek a Jozef Burian</w:t>
      </w:r>
    </w:p>
    <w:p w:rsidR="0003404E" w:rsidP="0003404E">
      <w:pPr>
        <w:bidi w:val="0"/>
        <w:jc w:val="both"/>
        <w:rPr>
          <w:rFonts w:ascii="Times New Roman" w:hAnsi="Times New Roman"/>
          <w:b/>
          <w:sz w:val="22"/>
        </w:rPr>
      </w:pPr>
    </w:p>
    <w:p w:rsidR="0003404E" w:rsidP="0003404E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Názov návrhu zákona:</w:t>
      </w:r>
    </w:p>
    <w:p w:rsidR="0003404E" w:rsidP="0003404E">
      <w:pPr>
        <w:bidi w:val="0"/>
        <w:ind w:left="36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>Návrh zákona, ktorým sa mení a dopĺňa zákon č.595/2003 Z. z. o dani z príjmov v znení neskorších predpisov</w:t>
      </w:r>
    </w:p>
    <w:p w:rsidR="0003404E" w:rsidP="0003404E">
      <w:pPr>
        <w:bidi w:val="0"/>
        <w:jc w:val="both"/>
        <w:rPr>
          <w:rFonts w:ascii="Times New Roman" w:hAnsi="Times New Roman"/>
          <w:b/>
          <w:sz w:val="22"/>
        </w:rPr>
      </w:pPr>
    </w:p>
    <w:p w:rsidR="0003404E" w:rsidP="0003404E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Problematika zákona: </w:t>
      </w:r>
    </w:p>
    <w:p w:rsidR="0003404E" w:rsidP="0003404E">
      <w:pPr>
        <w:pStyle w:val="BodyText"/>
        <w:numPr>
          <w:ilvl w:val="1"/>
          <w:numId w:val="1"/>
        </w:numPr>
        <w:tabs>
          <w:tab w:val="left" w:pos="540"/>
        </w:tabs>
        <w:bidi w:val="0"/>
        <w:ind w:hanging="850"/>
        <w:rPr>
          <w:rFonts w:ascii="Times New Roman" w:hAnsi="Times New Roman"/>
        </w:rPr>
      </w:pPr>
      <w:r>
        <w:rPr>
          <w:rFonts w:ascii="Times New Roman" w:hAnsi="Times New Roman"/>
        </w:rPr>
        <w:t>je upravená v práve Európskych spoločenstiev:</w:t>
      </w:r>
    </w:p>
    <w:p w:rsidR="0003404E" w:rsidP="0003404E">
      <w:pPr>
        <w:pStyle w:val="BodyText"/>
        <w:bidi w:val="0"/>
        <w:spacing w:before="120"/>
        <w:ind w:left="35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 primárnom práve: </w:t>
      </w:r>
    </w:p>
    <w:p w:rsidR="0003404E" w:rsidP="0003404E">
      <w:pPr>
        <w:pStyle w:val="BodyText"/>
        <w:bidi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cs-CZ"/>
        </w:rPr>
        <w:t>- čl. 90 až 93 Zmluvy o založení Európskeho spoločenstva v platnom znení,</w:t>
      </w:r>
    </w:p>
    <w:p w:rsidR="0003404E" w:rsidP="0003404E">
      <w:pPr>
        <w:pStyle w:val="BodyText"/>
        <w:bidi w:val="0"/>
        <w:spacing w:before="120"/>
        <w:ind w:left="357"/>
        <w:rPr>
          <w:rFonts w:ascii="Times New Roman" w:hAnsi="Times New Roman"/>
          <w:b/>
          <w:bCs/>
          <w:i/>
          <w:iCs/>
          <w:sz w:val="24"/>
          <w:szCs w:val="22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v sekundárnom práve: </w:t>
      </w:r>
    </w:p>
    <w:p w:rsidR="0003404E" w:rsidP="0003404E">
      <w:pPr>
        <w:numPr>
          <w:numId w:val="3"/>
        </w:numPr>
        <w:tabs>
          <w:tab w:val="num" w:pos="870"/>
        </w:tabs>
        <w:bidi w:val="0"/>
        <w:adjustRightInd w:val="0"/>
        <w:spacing w:after="120"/>
        <w:ind w:left="180" w:hanging="18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Cs w:val="22"/>
        </w:rPr>
        <w:t xml:space="preserve">smernica Rady 69/335/EHS zo 17. júla 1969 o nepriamych daniach z tvorby a navyšovania základného imania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03404E" w:rsidP="0003404E">
      <w:pPr>
        <w:numPr>
          <w:numId w:val="4"/>
        </w:numPr>
        <w:tabs>
          <w:tab w:val="num" w:pos="870"/>
        </w:tabs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smernica Rady 90/434/EHS z 23. júla 1990 o spoločnom systéme zdaňovania pri zlúčeniach, rozdeleniach, prevodoch majetku a výmene akcií týkajúcich sa spoločností rôznych členských štátov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03404E" w:rsidP="0003404E">
      <w:pPr>
        <w:numPr>
          <w:numId w:val="5"/>
        </w:numPr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smernica Rady 90/435/EHS z 23. júla 1990 o spoločnom systéme zdaňovania uplatňovanom v prípade materských spoločností a dcérskych spoločností v rozličných členských štátoch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03404E" w:rsidP="0003404E">
      <w:pPr>
        <w:numPr>
          <w:numId w:val="6"/>
        </w:numPr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 xml:space="preserve">smernica Rady 2003/48/ES z 3. júna 2003 </w:t>
      </w:r>
      <w:r>
        <w:rPr>
          <w:rFonts w:ascii="Times New Roman" w:hAnsi="Times New Roman"/>
          <w:szCs w:val="22"/>
        </w:rPr>
        <w:t>o zdaňovaní príjmu z úspor v podobe výplaty úrokov</w:t>
      </w:r>
      <w:r>
        <w:rPr>
          <w:rFonts w:ascii="Times New Roman" w:hAnsi="Times New Roman"/>
          <w:szCs w:val="17"/>
        </w:rPr>
        <w:t xml:space="preserve"> </w:t>
      </w:r>
      <w:r>
        <w:rPr>
          <w:rFonts w:ascii="Times New Roman" w:hAnsi="Times New Roman"/>
          <w:szCs w:val="22"/>
        </w:rPr>
        <w:t xml:space="preserve">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03404E" w:rsidP="0003404E">
      <w:pPr>
        <w:numPr>
          <w:numId w:val="7"/>
        </w:numPr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 xml:space="preserve">smernica Rady 2003/49/ES z 3. júna 2003 o spoločnom systéme zdaňovania uplatňovanom na výplaty úrokov a licenčných poplatkov medzi združenými spoločnosťami rôznych členských štátov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EÚ, 9/ zv. 1)</w:t>
      </w:r>
    </w:p>
    <w:p w:rsidR="0003404E" w:rsidP="0003404E">
      <w:pPr>
        <w:numPr>
          <w:ilvl w:val="1"/>
          <w:numId w:val="1"/>
        </w:numPr>
        <w:bidi w:val="0"/>
        <w:spacing w:after="120"/>
        <w:ind w:hanging="850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 xml:space="preserve">nie je upravená v práve Európskej únie. </w:t>
      </w:r>
    </w:p>
    <w:p w:rsidR="0003404E" w:rsidP="0003404E">
      <w:pPr>
        <w:numPr>
          <w:ilvl w:val="1"/>
          <w:numId w:val="2"/>
        </w:numPr>
        <w:tabs>
          <w:tab w:val="num" w:pos="1620"/>
        </w:tabs>
        <w:bidi w:val="0"/>
        <w:spacing w:after="120"/>
        <w:ind w:left="180" w:hanging="180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je obsiahnutá v judikatúre Súdneho dvora Európskych spoločenstiev alebo Súdu prvého stupňa Európskych spoločenstiev:</w:t>
      </w:r>
    </w:p>
    <w:p w:rsidR="0003404E" w:rsidP="0003404E">
      <w:pPr>
        <w:numPr>
          <w:numId w:val="8"/>
        </w:numPr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 xml:space="preserve">rozhodnutie Súdneho dvora Európskych spoločenstiev vo veci C - 28/95, </w:t>
      </w:r>
      <w:r>
        <w:rPr>
          <w:rFonts w:ascii="Times New Roman" w:hAnsi="Times New Roman"/>
          <w:bCs/>
          <w:color w:val="000000"/>
          <w:szCs w:val="22"/>
          <w:lang w:val="cs-CZ"/>
        </w:rPr>
        <w:t>A. Leur-Bloem v. Inspecteur der Belastingdienst/Ondernemingen Amsterdam 2</w:t>
      </w:r>
      <w:r>
        <w:rPr>
          <w:rFonts w:ascii="Times New Roman" w:hAnsi="Times New Roman"/>
          <w:color w:val="000000"/>
          <w:szCs w:val="22"/>
          <w:lang w:val="cs-CZ"/>
        </w:rPr>
        <w:t>, rok 1997,  Zb.roz. ESD ( I-04161),</w:t>
      </w:r>
    </w:p>
    <w:p w:rsidR="0003404E" w:rsidP="0003404E">
      <w:pPr>
        <w:numPr>
          <w:numId w:val="9"/>
        </w:numPr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- 43/2000, Andersen og Jensen ApS v. Skatteministeriet, rok 2002,  Zb.roz. ESD ( I- 00379),</w:t>
      </w:r>
    </w:p>
    <w:p w:rsidR="0003404E" w:rsidP="0003404E">
      <w:pPr>
        <w:numPr>
          <w:numId w:val="10"/>
        </w:numPr>
        <w:tabs>
          <w:tab w:val="num" w:pos="720"/>
        </w:tabs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- 283/94, Denkavit International BV, VITIC Amsterdam BV and Voormeer BV v. Bundesamt für Finanzen, rok 1996, Zb.roz. ESD ( I- 05063),</w:t>
      </w:r>
    </w:p>
    <w:p w:rsidR="0003404E" w:rsidP="0003404E">
      <w:pPr>
        <w:numPr>
          <w:numId w:val="11"/>
        </w:numPr>
        <w:bidi w:val="0"/>
        <w:spacing w:after="12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- 375/98, Ministério Público and Fazenda Pública v. Epson Europe BV, rok  2000,  Zb.roz. ESD ( I- 04243),</w:t>
      </w:r>
    </w:p>
    <w:p w:rsidR="0003404E" w:rsidP="0003404E">
      <w:pPr>
        <w:numPr>
          <w:numId w:val="12"/>
        </w:numPr>
        <w:bidi w:val="0"/>
        <w:spacing w:after="12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- 2945/99, Athina</w:t>
      </w:r>
      <w:r>
        <w:rPr>
          <w:rFonts w:ascii="Times New Roman" w:hAnsi="Times New Roman"/>
          <w:color w:val="000000"/>
          <w:szCs w:val="22"/>
          <w:lang w:val="cs-CZ"/>
        </w:rPr>
        <w:t>ïki Zythopoiia AE v. Elliniko Dimosio, rok  2001,  Zb.roz. ESD ( I- 06797).</w:t>
      </w:r>
    </w:p>
    <w:p w:rsidR="0003404E" w:rsidP="0003404E">
      <w:pPr>
        <w:bidi w:val="0"/>
        <w:rPr>
          <w:rFonts w:ascii="Times New Roman" w:hAnsi="Times New Roman"/>
          <w:szCs w:val="22"/>
          <w:lang w:eastAsia="cs-CZ"/>
        </w:rPr>
      </w:pPr>
    </w:p>
    <w:p w:rsidR="0003404E" w:rsidP="0003404E">
      <w:pPr>
        <w:numPr>
          <w:numId w:val="2"/>
        </w:numPr>
        <w:bidi w:val="0"/>
        <w:spacing w:after="120"/>
        <w:ind w:left="36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Záväzky Slovenskej republiky vo vzťahu k Európskym spoločenstvám a Európskej únii:</w:t>
      </w:r>
    </w:p>
    <w:p w:rsidR="0003404E" w:rsidP="0003404E">
      <w:pPr>
        <w:tabs>
          <w:tab w:val="left" w:pos="360"/>
        </w:tabs>
        <w:bidi w:val="0"/>
        <w:spacing w:after="120"/>
        <w:ind w:left="357" w:hanging="357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a)</w:t>
        <w:tab/>
        <w:t>Zo Zmluvy o pristúpení Slovenskej republiky k Európskej únii, najmä Aktu o podmienkach pristúpenia, nevyplývajú v predmetnej oblasti pre SR žiadne záväzky.</w:t>
      </w:r>
    </w:p>
    <w:p w:rsidR="0003404E" w:rsidP="0003404E">
      <w:pPr>
        <w:tabs>
          <w:tab w:val="left" w:pos="360"/>
          <w:tab w:val="left" w:pos="540"/>
        </w:tabs>
        <w:bidi w:val="0"/>
        <w:spacing w:after="120"/>
        <w:ind w:left="357" w:hanging="357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b)</w:t>
        <w:tab/>
        <w:t>Podľa Zmluvy o pristúpení Slovenskej republiky k Európskej únii, najmä Aktu o podmienkach pristúpenia, nepožiadala SR o žiadne prechodné obdobia.</w:t>
      </w:r>
    </w:p>
    <w:p w:rsidR="0003404E" w:rsidP="0003404E">
      <w:pPr>
        <w:tabs>
          <w:tab w:val="left" w:pos="360"/>
        </w:tabs>
        <w:bidi w:val="0"/>
        <w:spacing w:after="120"/>
        <w:ind w:left="357" w:hanging="357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c)</w:t>
        <w:tab/>
        <w:t>Lehota na prebratie smernice podľa určenia gestorských ústredných orgánov štátnej správy zodpovedných za prebratie smerníc a vypracovanie tabuliek zhody k návrhom všeobecne záväzných právnych predpisov: bezpredmetné.</w:t>
      </w:r>
    </w:p>
    <w:p w:rsidR="0003404E" w:rsidP="0003404E">
      <w:pPr>
        <w:numPr>
          <w:numId w:val="13"/>
        </w:numPr>
        <w:bidi w:val="0"/>
        <w:spacing w:after="120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Proti SR nebolo začaté konanie o porušení Zmluvy o založení Európskych spoločenstiev podľa čl. 226 až 228 Zmluvy o založení Európskych spoločenstiev v platnom znení.</w:t>
      </w:r>
    </w:p>
    <w:p w:rsidR="0003404E" w:rsidP="0003404E">
      <w:pPr>
        <w:numPr>
          <w:numId w:val="13"/>
        </w:numPr>
        <w:bidi w:val="0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Smernica 2004/66/ES bola za MF SR úplne prebratá do zákona č. 95/2002 Z.z. o poisťovníctve a o zmene a doplnení niektorých zákonov v znení neskorších predpisov a do zákona č. 222/2004 Z.z. o dani z pridanej hodnoty v znení neskorších predpisov. Smernica 2006/98/ES bola prebratá do zákona č. 222/2004 Z.z. o dani z pridanej hodnoty v znení neskorších predpisov.</w:t>
      </w:r>
    </w:p>
    <w:p w:rsidR="0003404E" w:rsidP="0003404E">
      <w:pPr>
        <w:bidi w:val="0"/>
        <w:adjustRightInd w:val="0"/>
        <w:spacing w:after="120"/>
        <w:ind w:left="357" w:hanging="357"/>
        <w:jc w:val="both"/>
        <w:rPr>
          <w:rFonts w:ascii="Times New Roman" w:hAnsi="Times New Roman"/>
          <w:szCs w:val="22"/>
        </w:rPr>
      </w:pPr>
    </w:p>
    <w:p w:rsidR="0003404E" w:rsidP="0003404E">
      <w:pPr>
        <w:numPr>
          <w:numId w:val="2"/>
        </w:numPr>
        <w:bidi w:val="0"/>
        <w:spacing w:after="12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Stupeň zlučiteľnosti návrhu zákona s právom Európskych spoločenstiev a právom Európskej únie:</w:t>
      </w:r>
    </w:p>
    <w:p w:rsidR="0003404E" w:rsidP="0003404E">
      <w:pPr>
        <w:bidi w:val="0"/>
        <w:spacing w:after="120"/>
        <w:ind w:left="425" w:hanging="42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Úplný.</w:t>
      </w:r>
    </w:p>
    <w:p w:rsidR="0003404E" w:rsidP="0003404E">
      <w:pPr>
        <w:bidi w:val="0"/>
        <w:spacing w:after="120"/>
        <w:ind w:left="357"/>
        <w:jc w:val="both"/>
        <w:rPr>
          <w:rFonts w:ascii="Times New Roman" w:hAnsi="Times New Roman"/>
          <w:bCs/>
          <w:szCs w:val="22"/>
        </w:rPr>
      </w:pPr>
    </w:p>
    <w:p w:rsidR="0003404E" w:rsidP="0003404E">
      <w:pPr>
        <w:numPr>
          <w:numId w:val="2"/>
        </w:numPr>
        <w:bidi w:val="0"/>
        <w:spacing w:after="12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Gestor a spolupracujúce rezorty: </w:t>
      </w:r>
    </w:p>
    <w:p w:rsidR="0003404E" w:rsidP="0003404E">
      <w:pPr>
        <w:bidi w:val="0"/>
        <w:spacing w:after="120"/>
        <w:ind w:left="425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- bezpredmetné.</w:t>
      </w:r>
    </w:p>
    <w:p w:rsidR="0003404E" w:rsidP="0003404E">
      <w:pPr>
        <w:bidi w:val="0"/>
        <w:rPr>
          <w:rFonts w:ascii="Times New Roman" w:hAnsi="Times New Roman"/>
        </w:rPr>
      </w:pPr>
    </w:p>
    <w:p w:rsidR="0003404E" w:rsidP="0003404E">
      <w:pPr>
        <w:bidi w:val="0"/>
        <w:rPr>
          <w:rFonts w:ascii="Times New Roman" w:hAnsi="Times New Roman"/>
        </w:rPr>
      </w:pPr>
    </w:p>
    <w:p w:rsidR="00461E6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5F23AE4"/>
    <w:multiLevelType w:val="hybridMultilevel"/>
    <w:tmpl w:val="FDDCA2A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B6149ED"/>
    <w:multiLevelType w:val="hybridMultilevel"/>
    <w:tmpl w:val="BBBA82D6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0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C4824F5"/>
    <w:multiLevelType w:val="hybridMultilevel"/>
    <w:tmpl w:val="257E9B6A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08"/>
  <w:hyphenationZone w:val="425"/>
  <w:characterSpacingControl w:val="doNotCompress"/>
  <w:compat/>
  <w:rsids>
    <w:rsidRoot w:val="0003404E"/>
    <w:rsid w:val="0003404E"/>
    <w:rsid w:val="00461E64"/>
    <w:rsid w:val="00854F76"/>
    <w:rsid w:val="00A9089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40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03404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03404E"/>
    <w:pPr>
      <w:jc w:val="center"/>
    </w:pPr>
    <w:rPr>
      <w:sz w:val="22"/>
      <w:szCs w:val="29"/>
    </w:rPr>
  </w:style>
  <w:style w:type="character" w:customStyle="1" w:styleId="BodyTextChar">
    <w:name w:val="Body Text Char"/>
    <w:basedOn w:val="DefaultParagraphFont"/>
    <w:link w:val="BodyText"/>
    <w:locked/>
    <w:rsid w:val="0003404E"/>
    <w:rPr>
      <w:rFonts w:ascii="Times New Roman" w:hAnsi="Times New Roman" w:cs="Times New Roman"/>
      <w:sz w:val="29"/>
      <w:szCs w:val="29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586</Words>
  <Characters>3341</Characters>
  <Application>Microsoft Office Word</Application>
  <DocSecurity>0</DocSecurity>
  <Lines>0</Lines>
  <Paragraphs>0</Paragraphs>
  <ScaleCrop>false</ScaleCrop>
  <Company>Kancelaria NR SR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Gašparíková, Jarmila</cp:lastModifiedBy>
  <cp:revision>2</cp:revision>
  <dcterms:created xsi:type="dcterms:W3CDTF">2011-09-23T14:33:00Z</dcterms:created>
  <dcterms:modified xsi:type="dcterms:W3CDTF">2011-09-23T14:33:00Z</dcterms:modified>
</cp:coreProperties>
</file>