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C55" w:rsidRPr="00C535EE" w:rsidP="00722C55">
      <w:pPr>
        <w:pStyle w:val="Title"/>
        <w:bidi w:val="0"/>
        <w:rPr>
          <w:rFonts w:cs="Arial"/>
          <w:sz w:val="22"/>
          <w:szCs w:val="22"/>
        </w:rPr>
      </w:pPr>
      <w:r w:rsidRPr="00C535EE">
        <w:rPr>
          <w:rFonts w:cs="Arial"/>
          <w:sz w:val="22"/>
          <w:szCs w:val="22"/>
        </w:rPr>
        <w:t>Návrh</w:t>
      </w:r>
    </w:p>
    <w:p w:rsidR="00722C55" w:rsidRPr="00C535EE" w:rsidP="00722C55">
      <w:pPr>
        <w:tabs>
          <w:tab w:val="left" w:pos="180"/>
          <w:tab w:val="left" w:pos="3420"/>
          <w:tab w:val="left" w:pos="3600"/>
          <w:tab w:val="left" w:pos="3960"/>
          <w:tab w:val="left" w:pos="5400"/>
        </w:tabs>
        <w:bidi w:val="0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 w:rsidRPr="00C535EE">
        <w:rPr>
          <w:rFonts w:ascii="Arial Narrow" w:hAnsi="Arial Narrow" w:cs="Arial"/>
          <w:b/>
          <w:sz w:val="22"/>
          <w:szCs w:val="22"/>
          <w:lang w:val="sk-SK"/>
        </w:rPr>
        <w:t>Opatrenie</w:t>
      </w:r>
    </w:p>
    <w:p w:rsidR="00722C55" w:rsidRPr="00C535EE" w:rsidP="00722C55">
      <w:pPr>
        <w:pStyle w:val="Heading3"/>
        <w:bidi w:val="0"/>
        <w:rPr>
          <w:rFonts w:cs="Arial"/>
          <w:sz w:val="22"/>
          <w:szCs w:val="22"/>
        </w:rPr>
      </w:pPr>
      <w:r w:rsidRPr="00C535EE">
        <w:rPr>
          <w:rFonts w:cs="Arial"/>
          <w:sz w:val="22"/>
          <w:szCs w:val="22"/>
        </w:rPr>
        <w:t xml:space="preserve">Ministerstva financií Slovenskej republiky </w:t>
      </w:r>
    </w:p>
    <w:p w:rsidR="007E3133" w:rsidP="00722C55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C535EE" w:rsidR="00722C55">
        <w:rPr>
          <w:rFonts w:ascii="Arial Narrow" w:hAnsi="Arial Narrow" w:cs="Arial"/>
          <w:b/>
          <w:bCs/>
          <w:sz w:val="22"/>
          <w:szCs w:val="22"/>
          <w:lang w:val="sk-SK"/>
        </w:rPr>
        <w:t>z ........... 20</w:t>
      </w:r>
      <w:r w:rsidR="00A457B7">
        <w:rPr>
          <w:rFonts w:ascii="Arial Narrow" w:hAnsi="Arial Narrow" w:cs="Arial"/>
          <w:b/>
          <w:bCs/>
          <w:sz w:val="22"/>
          <w:szCs w:val="22"/>
          <w:lang w:val="sk-SK"/>
        </w:rPr>
        <w:t>11</w:t>
      </w:r>
    </w:p>
    <w:p w:rsidR="00722C55" w:rsidRPr="00C535EE" w:rsidP="00722C55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="007E3133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č. MF/xx/20</w:t>
      </w:r>
      <w:r w:rsidR="00A457B7">
        <w:rPr>
          <w:rFonts w:ascii="Arial Narrow" w:hAnsi="Arial Narrow" w:cs="Arial"/>
          <w:b/>
          <w:bCs/>
          <w:sz w:val="22"/>
          <w:szCs w:val="22"/>
          <w:lang w:val="sk-SK"/>
        </w:rPr>
        <w:t>11</w:t>
      </w:r>
      <w:r w:rsidR="007E3133">
        <w:rPr>
          <w:rFonts w:ascii="Arial Narrow" w:hAnsi="Arial Narrow" w:cs="Arial"/>
          <w:b/>
          <w:bCs/>
          <w:sz w:val="22"/>
          <w:szCs w:val="22"/>
          <w:lang w:val="sk-SK"/>
        </w:rPr>
        <w:t>-74</w:t>
      </w:r>
      <w:r w:rsidRPr="00C535EE">
        <w:rPr>
          <w:rFonts w:ascii="Arial Narrow" w:hAnsi="Arial Narrow" w:cs="Arial"/>
          <w:b/>
          <w:bCs/>
          <w:sz w:val="22"/>
          <w:szCs w:val="22"/>
          <w:lang w:val="sk-SK"/>
        </w:rPr>
        <w:t>,</w:t>
      </w:r>
    </w:p>
    <w:p w:rsidR="004B7B4D" w:rsidRPr="00DC65E5" w:rsidP="004B7B4D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DC65E5">
        <w:rPr>
          <w:rFonts w:ascii="Arial Narrow" w:hAnsi="Arial Narrow" w:cs="Arial"/>
          <w:b/>
          <w:bCs/>
          <w:sz w:val="22"/>
          <w:szCs w:val="22"/>
          <w:lang w:val="sk-SK"/>
        </w:rPr>
        <w:t>ktorým sa ustanovuje r</w:t>
      </w:r>
      <w:r w:rsidRPr="00DC65E5">
        <w:rPr>
          <w:rFonts w:ascii="Arial Narrow" w:hAnsi="Arial Narrow"/>
          <w:b/>
          <w:sz w:val="22"/>
          <w:szCs w:val="22"/>
          <w:lang w:val="sk-SK"/>
        </w:rPr>
        <w:t>ozsah, spôsob, miesto a termíny ukladania výkazu vybraných údajov z</w:t>
      </w:r>
      <w:r w:rsidR="00A45BC6">
        <w:rPr>
          <w:rFonts w:ascii="Arial Narrow" w:hAnsi="Arial Narrow"/>
          <w:b/>
          <w:sz w:val="22"/>
          <w:szCs w:val="22"/>
          <w:lang w:val="sk-SK"/>
        </w:rPr>
        <w:t xml:space="preserve"> konsolidovanej  </w:t>
      </w:r>
      <w:r w:rsidRPr="00DC65E5">
        <w:rPr>
          <w:rFonts w:ascii="Arial Narrow" w:hAnsi="Arial Narrow"/>
          <w:b/>
          <w:sz w:val="22"/>
          <w:szCs w:val="22"/>
          <w:lang w:val="sk-SK"/>
        </w:rPr>
        <w:t>účtovnej závierky</w:t>
      </w:r>
      <w:r w:rsidR="00A45BC6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pre účtovné jednotky, ktorými sú podnikatelia</w:t>
      </w:r>
    </w:p>
    <w:p w:rsidR="00722C55" w:rsidRPr="00C535EE" w:rsidP="007E3133">
      <w:pPr>
        <w:tabs>
          <w:tab w:val="left" w:pos="700"/>
        </w:tabs>
        <w:bidi w:val="0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722C55" w:rsidRPr="00C535EE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C535EE">
        <w:rPr>
          <w:rFonts w:ascii="Arial Narrow" w:hAnsi="Arial Narrow" w:cs="Arial"/>
          <w:sz w:val="22"/>
          <w:szCs w:val="22"/>
          <w:lang w:val="sk-SK"/>
        </w:rPr>
        <w:t xml:space="preserve">Ministerstvo financií Slovenskej republiky podľa § </w:t>
      </w:r>
      <w:r w:rsidR="004B7B4D">
        <w:rPr>
          <w:rFonts w:ascii="Arial Narrow" w:hAnsi="Arial Narrow" w:cs="Arial"/>
          <w:sz w:val="22"/>
          <w:szCs w:val="22"/>
          <w:lang w:val="sk-SK"/>
        </w:rPr>
        <w:t>22</w:t>
      </w:r>
      <w:r w:rsidRPr="00C535EE">
        <w:rPr>
          <w:rFonts w:ascii="Arial Narrow" w:hAnsi="Arial Narrow" w:cs="Arial"/>
          <w:sz w:val="22"/>
          <w:szCs w:val="22"/>
          <w:lang w:val="sk-SK"/>
        </w:rPr>
        <w:t xml:space="preserve"> ods. </w:t>
      </w:r>
      <w:r w:rsidR="004B7B4D">
        <w:rPr>
          <w:rFonts w:ascii="Arial Narrow" w:hAnsi="Arial Narrow" w:cs="Arial"/>
          <w:sz w:val="22"/>
          <w:szCs w:val="22"/>
          <w:lang w:val="sk-SK"/>
        </w:rPr>
        <w:t>18</w:t>
      </w:r>
      <w:r w:rsidRPr="00C535EE">
        <w:rPr>
          <w:rFonts w:ascii="Arial Narrow" w:hAnsi="Arial Narrow" w:cs="Arial"/>
          <w:sz w:val="22"/>
          <w:szCs w:val="22"/>
          <w:lang w:val="sk-SK"/>
        </w:rPr>
        <w:t xml:space="preserve"> zákona č. 431/2002 Z. z. o účtovníctve v znení </w:t>
      </w:r>
      <w:r w:rsidR="00B55FBF">
        <w:rPr>
          <w:rFonts w:ascii="Arial Narrow" w:hAnsi="Arial Narrow" w:cs="Arial"/>
          <w:sz w:val="22"/>
          <w:szCs w:val="22"/>
          <w:lang w:val="sk-SK"/>
        </w:rPr>
        <w:t xml:space="preserve">zákona č. .../2011 Z. z. </w:t>
      </w:r>
      <w:r w:rsidR="00A457B7">
        <w:rPr>
          <w:rFonts w:ascii="Arial Narrow" w:hAnsi="Arial Narrow" w:cs="Arial"/>
          <w:sz w:val="22"/>
          <w:szCs w:val="22"/>
          <w:lang w:val="sk-SK"/>
        </w:rPr>
        <w:t xml:space="preserve"> (ďalej len „zákon“) </w:t>
      </w:r>
      <w:r w:rsidRPr="00C535EE">
        <w:rPr>
          <w:rFonts w:ascii="Arial Narrow" w:hAnsi="Arial Narrow" w:cs="Arial"/>
          <w:sz w:val="22"/>
          <w:szCs w:val="22"/>
          <w:lang w:val="sk-SK"/>
        </w:rPr>
        <w:t xml:space="preserve"> ustanovuje:</w:t>
      </w:r>
    </w:p>
    <w:p w:rsidR="00722C55" w:rsidRPr="00C535EE" w:rsidP="00722C55">
      <w:pPr>
        <w:pStyle w:val="Heading1"/>
        <w:bidi w:val="0"/>
        <w:rPr>
          <w:rFonts w:cs="Arial"/>
          <w:szCs w:val="22"/>
        </w:rPr>
      </w:pPr>
    </w:p>
    <w:p w:rsidR="00722C55" w:rsidRPr="00C535EE" w:rsidP="00A45BC6">
      <w:pPr>
        <w:pStyle w:val="Heading1"/>
        <w:bidi w:val="0"/>
        <w:jc w:val="left"/>
        <w:rPr>
          <w:rFonts w:cs="Arial"/>
          <w:szCs w:val="22"/>
        </w:rPr>
      </w:pPr>
    </w:p>
    <w:p w:rsidR="00722C55" w:rsidP="00A457B7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="00A457B7">
        <w:rPr>
          <w:rFonts w:ascii="Arial Narrow" w:hAnsi="Arial Narrow" w:cs="Arial"/>
          <w:sz w:val="22"/>
          <w:szCs w:val="22"/>
          <w:lang w:val="sk-SK"/>
        </w:rPr>
        <w:t>§ 1</w:t>
      </w:r>
    </w:p>
    <w:p w:rsidR="00A457B7" w:rsidP="00A457B7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Základné ustanovenie</w:t>
      </w:r>
    </w:p>
    <w:p w:rsidR="00A457B7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5371AD" w:rsidRPr="004B7B4D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4B7B4D" w:rsidR="006611EC">
        <w:rPr>
          <w:rFonts w:ascii="Arial Narrow" w:hAnsi="Arial Narrow" w:cs="Arial"/>
          <w:sz w:val="22"/>
          <w:szCs w:val="22"/>
          <w:lang w:val="sk-SK"/>
        </w:rPr>
        <w:t xml:space="preserve">(1) </w:t>
      </w:r>
      <w:r w:rsidRPr="004B7B4D" w:rsidR="00A457B7">
        <w:rPr>
          <w:rFonts w:ascii="Arial Narrow" w:hAnsi="Arial Narrow" w:cs="Arial"/>
          <w:sz w:val="22"/>
          <w:szCs w:val="22"/>
          <w:lang w:val="sk-SK"/>
        </w:rPr>
        <w:t xml:space="preserve">Týmto opatrením sa </w:t>
      </w:r>
      <w:r w:rsidRPr="004B7B4D" w:rsidR="00EB4E9D">
        <w:rPr>
          <w:rFonts w:ascii="Arial Narrow" w:hAnsi="Arial Narrow" w:cs="Arial"/>
          <w:sz w:val="22"/>
          <w:szCs w:val="22"/>
          <w:lang w:val="sk-SK"/>
        </w:rPr>
        <w:t xml:space="preserve">ustanovuje </w:t>
      </w:r>
      <w:r w:rsidRPr="004B7B4D" w:rsidR="004B7B4D">
        <w:rPr>
          <w:rFonts w:ascii="Arial Narrow" w:hAnsi="Arial Narrow" w:cs="Arial"/>
          <w:bCs/>
          <w:sz w:val="22"/>
          <w:szCs w:val="22"/>
          <w:lang w:val="sk-SK"/>
        </w:rPr>
        <w:t>r</w:t>
      </w:r>
      <w:r w:rsidRPr="004B7B4D" w:rsidR="004B7B4D">
        <w:rPr>
          <w:rFonts w:ascii="Arial Narrow" w:hAnsi="Arial Narrow"/>
          <w:sz w:val="22"/>
          <w:szCs w:val="22"/>
          <w:lang w:val="sk-SK"/>
        </w:rPr>
        <w:t>ozsah, spôsob, miesto a termíny ukladania výkazu vybraných údajov z</w:t>
      </w:r>
      <w:r w:rsidR="00B55FBF">
        <w:rPr>
          <w:rFonts w:ascii="Arial Narrow" w:hAnsi="Arial Narrow"/>
          <w:sz w:val="22"/>
          <w:szCs w:val="22"/>
          <w:lang w:val="sk-SK"/>
        </w:rPr>
        <w:t xml:space="preserve"> konsolidovanej </w:t>
      </w:r>
      <w:r w:rsidRPr="004B7B4D" w:rsidR="004B7B4D">
        <w:rPr>
          <w:rFonts w:ascii="Arial Narrow" w:hAnsi="Arial Narrow"/>
          <w:sz w:val="22"/>
          <w:szCs w:val="22"/>
          <w:lang w:val="sk-SK"/>
        </w:rPr>
        <w:t>účtovnej závierky</w:t>
      </w:r>
      <w:r w:rsidR="00406A85">
        <w:rPr>
          <w:rFonts w:ascii="Arial Narrow" w:hAnsi="Arial Narrow"/>
          <w:sz w:val="22"/>
          <w:szCs w:val="22"/>
          <w:lang w:val="sk-SK"/>
        </w:rPr>
        <w:t xml:space="preserve"> zostavenej podľa § 22 zákona </w:t>
      </w:r>
      <w:r w:rsidRPr="004B7B4D" w:rsidR="004B7B4D">
        <w:rPr>
          <w:rFonts w:ascii="Arial Narrow" w:hAnsi="Arial Narrow" w:cs="Arial"/>
          <w:bCs/>
          <w:sz w:val="22"/>
          <w:szCs w:val="22"/>
          <w:lang w:val="sk-SK"/>
        </w:rPr>
        <w:t xml:space="preserve">(ďalej len „výkaz vybraných údajov“) </w:t>
      </w:r>
      <w:r w:rsidRPr="004B7B4D" w:rsidR="006611EC">
        <w:rPr>
          <w:rFonts w:ascii="Arial Narrow" w:hAnsi="Arial Narrow" w:cs="Arial"/>
          <w:sz w:val="22"/>
          <w:szCs w:val="22"/>
          <w:lang w:val="sk-SK"/>
        </w:rPr>
        <w:t>pre</w:t>
      </w:r>
      <w:r w:rsidRPr="004B7B4D" w:rsidR="00A42696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4B7B4D" w:rsidR="006611EC">
        <w:rPr>
          <w:rFonts w:ascii="Arial Narrow" w:hAnsi="Arial Narrow" w:cs="Arial"/>
          <w:sz w:val="22"/>
          <w:szCs w:val="22"/>
          <w:lang w:val="sk-SK"/>
        </w:rPr>
        <w:t xml:space="preserve">materskú </w:t>
      </w:r>
      <w:r w:rsidRPr="004B7B4D" w:rsidR="00A457B7">
        <w:rPr>
          <w:rFonts w:ascii="Arial Narrow" w:hAnsi="Arial Narrow" w:cs="Arial"/>
          <w:sz w:val="22"/>
          <w:szCs w:val="22"/>
          <w:lang w:val="sk-SK"/>
        </w:rPr>
        <w:t>účtovn</w:t>
      </w:r>
      <w:r w:rsidRPr="004B7B4D" w:rsidR="006611EC">
        <w:rPr>
          <w:rFonts w:ascii="Arial Narrow" w:hAnsi="Arial Narrow" w:cs="Arial"/>
          <w:sz w:val="22"/>
          <w:szCs w:val="22"/>
          <w:lang w:val="sk-SK"/>
        </w:rPr>
        <w:t>ú</w:t>
      </w:r>
      <w:r w:rsidRPr="004B7B4D" w:rsidR="00A457B7">
        <w:rPr>
          <w:rFonts w:ascii="Arial Narrow" w:hAnsi="Arial Narrow" w:cs="Arial"/>
          <w:sz w:val="22"/>
          <w:szCs w:val="22"/>
          <w:lang w:val="sk-SK"/>
        </w:rPr>
        <w:t xml:space="preserve"> jednotk</w:t>
      </w:r>
      <w:r w:rsidRPr="004B7B4D" w:rsidR="006611EC">
        <w:rPr>
          <w:rFonts w:ascii="Arial Narrow" w:hAnsi="Arial Narrow" w:cs="Arial"/>
          <w:sz w:val="22"/>
          <w:szCs w:val="22"/>
          <w:lang w:val="sk-SK"/>
        </w:rPr>
        <w:t>u,  ktorá je právnickou osobou podnikajúcou podľa osobitných predpisov.</w:t>
      </w:r>
      <w:r>
        <w:rPr>
          <w:rStyle w:val="FootnoteReference"/>
          <w:rFonts w:ascii="Arial Narrow" w:hAnsi="Arial Narrow" w:cs="Arial"/>
          <w:sz w:val="22"/>
          <w:szCs w:val="22"/>
          <w:rtl w:val="0"/>
          <w:lang w:val="sk-SK"/>
        </w:rPr>
        <w:footnoteReference w:id="2"/>
      </w:r>
      <w:r w:rsidRPr="004B7B4D" w:rsidR="00571260">
        <w:rPr>
          <w:rFonts w:ascii="Arial Narrow" w:hAnsi="Arial Narrow" w:cs="Arial"/>
          <w:sz w:val="22"/>
          <w:szCs w:val="22"/>
          <w:vertAlign w:val="superscript"/>
          <w:lang w:val="sk-SK"/>
        </w:rPr>
        <w:t>)</w:t>
      </w:r>
      <w:r w:rsidRPr="004B7B4D" w:rsidR="00571260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6611EC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6611EC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(2) Toto opatrenie sa nevzťahuje na právnické osoby uvedené v odseku 1</w:t>
      </w:r>
      <w:r w:rsidR="00571260">
        <w:rPr>
          <w:rFonts w:ascii="Arial Narrow" w:hAnsi="Arial Narrow" w:cs="Arial"/>
          <w:sz w:val="22"/>
          <w:szCs w:val="22"/>
          <w:lang w:val="sk-SK"/>
        </w:rPr>
        <w:t>, ktoré sú materskými účtovnými jednotkami, na ktoré sa vzťahuj</w:t>
      </w:r>
      <w:r w:rsidR="004B7B4D">
        <w:rPr>
          <w:rFonts w:ascii="Arial Narrow" w:hAnsi="Arial Narrow" w:cs="Arial"/>
          <w:sz w:val="22"/>
          <w:szCs w:val="22"/>
          <w:lang w:val="sk-SK"/>
        </w:rPr>
        <w:t xml:space="preserve">e </w:t>
      </w:r>
      <w:r w:rsidRPr="004B7B4D" w:rsidR="004B7B4D">
        <w:rPr>
          <w:rFonts w:ascii="Arial Narrow" w:hAnsi="Arial Narrow" w:cs="Arial"/>
          <w:bCs/>
          <w:sz w:val="22"/>
          <w:szCs w:val="22"/>
          <w:lang w:val="sk-SK"/>
        </w:rPr>
        <w:t>r</w:t>
      </w:r>
      <w:r w:rsidRPr="004B7B4D" w:rsidR="004B7B4D">
        <w:rPr>
          <w:rFonts w:ascii="Arial Narrow" w:hAnsi="Arial Narrow"/>
          <w:sz w:val="22"/>
          <w:szCs w:val="22"/>
          <w:lang w:val="sk-SK"/>
        </w:rPr>
        <w:t>ozsah, spôsob, miesto a termíny ukladania výkazu vybraných údajov z</w:t>
      </w:r>
      <w:r w:rsidR="00B55FBF">
        <w:rPr>
          <w:rFonts w:ascii="Arial Narrow" w:hAnsi="Arial Narrow"/>
          <w:sz w:val="22"/>
          <w:szCs w:val="22"/>
          <w:lang w:val="sk-SK"/>
        </w:rPr>
        <w:t xml:space="preserve"> konsolidovanej </w:t>
      </w:r>
      <w:r w:rsidRPr="004B7B4D" w:rsidR="004B7B4D">
        <w:rPr>
          <w:rFonts w:ascii="Arial Narrow" w:hAnsi="Arial Narrow"/>
          <w:sz w:val="22"/>
          <w:szCs w:val="22"/>
          <w:lang w:val="sk-SK"/>
        </w:rPr>
        <w:t>účtovnej závierky</w:t>
      </w:r>
      <w:r w:rsidRPr="004B7B4D" w:rsidR="004B7B4D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="00571260">
        <w:rPr>
          <w:rFonts w:ascii="Arial Narrow" w:hAnsi="Arial Narrow" w:cs="Arial"/>
          <w:sz w:val="22"/>
          <w:szCs w:val="22"/>
          <w:lang w:val="sk-SK"/>
        </w:rPr>
        <w:t>ustanovené osobitnými predpismi.</w:t>
      </w:r>
      <w:r>
        <w:rPr>
          <w:rStyle w:val="FootnoteReference"/>
          <w:rFonts w:ascii="Arial Narrow" w:hAnsi="Arial Narrow" w:cs="Arial"/>
          <w:sz w:val="22"/>
          <w:szCs w:val="22"/>
          <w:rtl w:val="0"/>
          <w:lang w:val="sk-SK"/>
        </w:rPr>
        <w:footnoteReference w:id="3"/>
      </w:r>
      <w:r w:rsidRPr="00571260" w:rsidR="00571260">
        <w:rPr>
          <w:rFonts w:ascii="Arial Narrow" w:hAnsi="Arial Narrow" w:cs="Arial"/>
          <w:sz w:val="22"/>
          <w:szCs w:val="22"/>
          <w:vertAlign w:val="superscript"/>
          <w:lang w:val="sk-SK"/>
        </w:rPr>
        <w:t>)</w:t>
      </w:r>
    </w:p>
    <w:p w:rsidR="00D07CB2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A457B7" w:rsidP="00D07CB2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§ 2</w:t>
      </w:r>
    </w:p>
    <w:p w:rsidR="00A457B7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EF0D44" w:rsidRPr="00EF0D44" w:rsidP="00EF0D44">
      <w:pPr>
        <w:bidi w:val="0"/>
        <w:ind w:firstLine="360"/>
        <w:jc w:val="both"/>
        <w:rPr>
          <w:rFonts w:ascii="Arial Narrow" w:hAnsi="Arial Narrow"/>
          <w:sz w:val="22"/>
          <w:szCs w:val="22"/>
          <w:lang w:val="sk-SK"/>
        </w:rPr>
      </w:pPr>
      <w:r w:rsidR="004B7B4D">
        <w:rPr>
          <w:rFonts w:ascii="Arial Narrow" w:hAnsi="Arial Narrow" w:cs="Arial"/>
          <w:sz w:val="22"/>
          <w:szCs w:val="22"/>
          <w:lang w:val="sk-SK"/>
        </w:rPr>
        <w:t>Vzor v</w:t>
      </w:r>
      <w:r w:rsidRPr="00EF0D44" w:rsidR="004B7B4D">
        <w:rPr>
          <w:rFonts w:ascii="Arial Narrow" w:hAnsi="Arial Narrow" w:cs="Arial"/>
          <w:sz w:val="22"/>
          <w:szCs w:val="22"/>
          <w:lang w:val="sk-SK"/>
        </w:rPr>
        <w:t>ýkaz</w:t>
      </w:r>
      <w:r w:rsidR="004B7B4D">
        <w:rPr>
          <w:rFonts w:ascii="Arial Narrow" w:hAnsi="Arial Narrow" w:cs="Arial"/>
          <w:sz w:val="22"/>
          <w:szCs w:val="22"/>
          <w:lang w:val="sk-SK"/>
        </w:rPr>
        <w:t>u</w:t>
      </w:r>
      <w:r w:rsidRPr="00EF0D44" w:rsidR="004B7B4D">
        <w:rPr>
          <w:rFonts w:ascii="Arial Narrow" w:hAnsi="Arial Narrow" w:cs="Arial"/>
          <w:sz w:val="22"/>
          <w:szCs w:val="22"/>
          <w:lang w:val="sk-SK"/>
        </w:rPr>
        <w:t xml:space="preserve"> vybraných údajov</w:t>
      </w:r>
      <w:r w:rsidR="004B7B4D">
        <w:rPr>
          <w:rFonts w:ascii="Arial Narrow" w:hAnsi="Arial Narrow" w:cs="Arial"/>
          <w:sz w:val="22"/>
          <w:szCs w:val="22"/>
          <w:lang w:val="sk-SK"/>
        </w:rPr>
        <w:t xml:space="preserve"> je uvedený v </w:t>
      </w:r>
      <w:r w:rsidRPr="00EF0D44" w:rsidR="004B7B4D">
        <w:rPr>
          <w:rFonts w:ascii="Arial Narrow" w:hAnsi="Arial Narrow" w:cs="Arial"/>
          <w:sz w:val="22"/>
          <w:szCs w:val="22"/>
          <w:lang w:val="sk-SK"/>
        </w:rPr>
        <w:t>príloh</w:t>
      </w:r>
      <w:r w:rsidR="004B7B4D">
        <w:rPr>
          <w:rFonts w:ascii="Arial Narrow" w:hAnsi="Arial Narrow" w:cs="Arial"/>
          <w:sz w:val="22"/>
          <w:szCs w:val="22"/>
          <w:lang w:val="sk-SK"/>
        </w:rPr>
        <w:t>e</w:t>
      </w:r>
      <w:r w:rsidRPr="00EF0D44" w:rsidR="004B7B4D">
        <w:rPr>
          <w:rFonts w:ascii="Arial Narrow" w:hAnsi="Arial Narrow" w:cs="Arial"/>
          <w:sz w:val="22"/>
          <w:szCs w:val="22"/>
          <w:lang w:val="sk-SK"/>
        </w:rPr>
        <w:t xml:space="preserve"> k tomuto opatreniu</w:t>
      </w:r>
      <w:r w:rsidR="004B7B4D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Výkaz vybraných údajov </w:t>
      </w:r>
      <w:r w:rsidRPr="00EF0D44">
        <w:rPr>
          <w:rFonts w:ascii="Arial Narrow" w:hAnsi="Arial Narrow" w:cs="Arial"/>
          <w:sz w:val="22"/>
          <w:szCs w:val="22"/>
          <w:lang w:val="sk-SK"/>
        </w:rPr>
        <w:t xml:space="preserve"> sa vyhotovuje súčasne s </w:t>
      </w:r>
      <w:r w:rsidR="006611EC">
        <w:rPr>
          <w:rFonts w:ascii="Arial Narrow" w:hAnsi="Arial Narrow" w:cs="Arial"/>
          <w:sz w:val="22"/>
          <w:szCs w:val="22"/>
          <w:lang w:val="sk-SK"/>
        </w:rPr>
        <w:t>konsolidovan</w:t>
      </w:r>
      <w:r w:rsidR="00E37238">
        <w:rPr>
          <w:rFonts w:ascii="Arial Narrow" w:hAnsi="Arial Narrow" w:cs="Arial"/>
          <w:sz w:val="22"/>
          <w:szCs w:val="22"/>
          <w:lang w:val="sk-SK"/>
        </w:rPr>
        <w:t>ou účtovnou závierkou, ktorá sa zostavuje</w:t>
      </w:r>
      <w:r w:rsidRPr="00EF0D44">
        <w:rPr>
          <w:rFonts w:ascii="Arial Narrow" w:hAnsi="Arial Narrow" w:cs="Arial"/>
          <w:sz w:val="22"/>
          <w:szCs w:val="22"/>
          <w:lang w:val="sk-SK"/>
        </w:rPr>
        <w:t xml:space="preserve"> podľa § </w:t>
      </w:r>
      <w:r w:rsidR="006611EC">
        <w:rPr>
          <w:rFonts w:ascii="Arial Narrow" w:hAnsi="Arial Narrow" w:cs="Arial"/>
          <w:sz w:val="22"/>
          <w:szCs w:val="22"/>
          <w:lang w:val="sk-SK"/>
        </w:rPr>
        <w:t>22</w:t>
      </w:r>
      <w:r w:rsidRPr="00EF0D44">
        <w:rPr>
          <w:rFonts w:ascii="Arial Narrow" w:hAnsi="Arial Narrow" w:cs="Arial"/>
          <w:sz w:val="22"/>
          <w:szCs w:val="22"/>
          <w:lang w:val="sk-SK"/>
        </w:rPr>
        <w:t xml:space="preserve"> zákona</w:t>
      </w:r>
      <w:r w:rsidR="006A789F">
        <w:rPr>
          <w:rFonts w:ascii="Arial Narrow" w:hAnsi="Arial Narrow" w:cs="Arial"/>
          <w:sz w:val="22"/>
          <w:szCs w:val="22"/>
          <w:lang w:val="sk-SK"/>
        </w:rPr>
        <w:t xml:space="preserve">. </w:t>
      </w:r>
      <w:r w:rsidRPr="00EF0D44">
        <w:rPr>
          <w:rFonts w:ascii="Arial Narrow" w:hAnsi="Arial Narrow" w:cs="Arial"/>
          <w:sz w:val="22"/>
          <w:szCs w:val="22"/>
          <w:lang w:val="sk-SK"/>
        </w:rPr>
        <w:t xml:space="preserve">  </w:t>
      </w:r>
    </w:p>
    <w:p w:rsidR="00315FA7" w:rsidRPr="00A42696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P="00FD71D3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§ 3</w:t>
      </w:r>
    </w:p>
    <w:p w:rsidR="00A8355A" w:rsidP="00FD71D3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</w:p>
    <w:p w:rsidR="009043EE" w:rsidRPr="00D23CA7" w:rsidP="009043EE">
      <w:pPr>
        <w:bidi w:val="0"/>
        <w:ind w:firstLine="360"/>
        <w:jc w:val="both"/>
        <w:rPr>
          <w:rFonts w:ascii="Arial Narrow" w:hAnsi="Arial Narrow"/>
          <w:sz w:val="22"/>
          <w:szCs w:val="22"/>
          <w:lang w:val="sk-SK"/>
        </w:rPr>
      </w:pPr>
      <w:r w:rsidRPr="00D23CA7">
        <w:rPr>
          <w:rFonts w:ascii="Arial Narrow" w:hAnsi="Arial Narrow" w:cs="Arial"/>
          <w:sz w:val="22"/>
          <w:szCs w:val="22"/>
          <w:lang w:val="sk-SK"/>
        </w:rPr>
        <w:t xml:space="preserve">(1) Údaje </w:t>
      </w:r>
      <w:r w:rsidR="00EB4E9D">
        <w:rPr>
          <w:rFonts w:ascii="Arial Narrow" w:hAnsi="Arial Narrow" w:cs="Arial"/>
          <w:sz w:val="22"/>
          <w:szCs w:val="22"/>
          <w:lang w:val="sk-SK"/>
        </w:rPr>
        <w:t>vo výkaze vybraných údajov</w:t>
      </w:r>
      <w:r w:rsidR="00315FA7">
        <w:rPr>
          <w:rFonts w:ascii="Arial Narrow" w:hAnsi="Arial Narrow" w:cs="Arial"/>
          <w:sz w:val="22"/>
          <w:szCs w:val="22"/>
          <w:lang w:val="sk-SK"/>
        </w:rPr>
        <w:t>, pre ktoré má účtovná jednotka obsahovú náplň,</w:t>
      </w:r>
      <w:r w:rsidRPr="00D23CA7">
        <w:rPr>
          <w:rFonts w:ascii="Arial Narrow" w:hAnsi="Arial Narrow" w:cs="Arial"/>
          <w:sz w:val="22"/>
          <w:szCs w:val="22"/>
          <w:lang w:val="sk-SK"/>
        </w:rPr>
        <w:t xml:space="preserve"> sa uvádzajú podľa</w:t>
      </w:r>
      <w:r w:rsidRPr="00D23CA7">
        <w:rPr>
          <w:rFonts w:ascii="Arial Narrow" w:hAnsi="Arial Narrow"/>
          <w:sz w:val="22"/>
          <w:szCs w:val="22"/>
          <w:lang w:val="sk-SK"/>
        </w:rPr>
        <w:t xml:space="preserve"> medzinárodných účtovných štandardov v súlade s</w:t>
      </w:r>
      <w:r w:rsidR="00164B62">
        <w:rPr>
          <w:rFonts w:ascii="Arial Narrow" w:hAnsi="Arial Narrow"/>
          <w:sz w:val="22"/>
          <w:szCs w:val="22"/>
          <w:lang w:val="sk-SK"/>
        </w:rPr>
        <w:t> osobitnými predpismi.</w:t>
      </w:r>
      <w:r>
        <w:rPr>
          <w:rStyle w:val="FootnoteReference"/>
          <w:rFonts w:ascii="Arial Narrow" w:hAnsi="Arial Narrow"/>
          <w:sz w:val="22"/>
          <w:szCs w:val="22"/>
          <w:rtl w:val="0"/>
          <w:lang w:val="sk-SK"/>
        </w:rPr>
        <w:footnoteReference w:id="4"/>
      </w:r>
      <w:r w:rsidRPr="00164B62" w:rsidR="00164B62">
        <w:rPr>
          <w:rFonts w:ascii="Arial Narrow" w:hAnsi="Arial Narrow"/>
          <w:sz w:val="22"/>
          <w:szCs w:val="22"/>
          <w:vertAlign w:val="superscript"/>
          <w:lang w:val="sk-SK"/>
        </w:rPr>
        <w:t>)</w:t>
      </w:r>
      <w:r w:rsidR="004E7BAB">
        <w:rPr>
          <w:rFonts w:ascii="Arial Narrow" w:hAnsi="Arial Narrow"/>
          <w:sz w:val="22"/>
          <w:szCs w:val="22"/>
          <w:vertAlign w:val="superscript"/>
          <w:lang w:val="sk-SK"/>
        </w:rPr>
        <w:t xml:space="preserve"> </w:t>
      </w:r>
      <w:r w:rsidR="004E7BAB">
        <w:rPr>
          <w:rFonts w:ascii="Arial Narrow" w:hAnsi="Arial Narrow"/>
          <w:sz w:val="22"/>
          <w:szCs w:val="22"/>
          <w:lang w:val="sk-SK"/>
        </w:rPr>
        <w:t xml:space="preserve"> </w:t>
      </w:r>
      <w:r w:rsidR="00164B6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9043EE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="006D78A2">
        <w:rPr>
          <w:rFonts w:ascii="Arial Narrow" w:hAnsi="Arial Narrow" w:cs="Arial"/>
          <w:sz w:val="22"/>
          <w:szCs w:val="22"/>
          <w:lang w:val="sk-SK"/>
        </w:rPr>
        <w:t>(</w:t>
      </w:r>
      <w:r w:rsidR="00A8355A">
        <w:rPr>
          <w:rFonts w:ascii="Arial Narrow" w:hAnsi="Arial Narrow" w:cs="Arial"/>
          <w:sz w:val="22"/>
          <w:szCs w:val="22"/>
          <w:lang w:val="sk-SK"/>
        </w:rPr>
        <w:t>2</w:t>
      </w:r>
      <w:r w:rsidR="006D78A2">
        <w:rPr>
          <w:rFonts w:ascii="Arial Narrow" w:hAnsi="Arial Narrow" w:cs="Arial"/>
          <w:sz w:val="22"/>
          <w:szCs w:val="22"/>
          <w:lang w:val="sk-SK"/>
        </w:rPr>
        <w:t xml:space="preserve">) </w:t>
      </w:r>
      <w:r>
        <w:rPr>
          <w:rFonts w:ascii="Arial Narrow" w:hAnsi="Arial Narrow" w:cs="Arial"/>
          <w:sz w:val="22"/>
          <w:szCs w:val="22"/>
          <w:lang w:val="sk-SK"/>
        </w:rPr>
        <w:t xml:space="preserve">Údaje </w:t>
      </w:r>
      <w:r w:rsidR="001F591E">
        <w:rPr>
          <w:rFonts w:ascii="Arial Narrow" w:hAnsi="Arial Narrow" w:cs="Arial"/>
          <w:sz w:val="22"/>
          <w:szCs w:val="22"/>
          <w:lang w:val="sk-SK"/>
        </w:rPr>
        <w:t xml:space="preserve">vo výkaze vybraných </w:t>
      </w:r>
      <w:r w:rsidR="007067B8">
        <w:rPr>
          <w:rFonts w:ascii="Arial Narrow" w:hAnsi="Arial Narrow" w:cs="Arial"/>
          <w:sz w:val="22"/>
          <w:szCs w:val="22"/>
          <w:lang w:val="sk-SK"/>
        </w:rPr>
        <w:t>údajov</w:t>
      </w:r>
      <w:r w:rsidR="006D78A2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 xml:space="preserve">sa </w:t>
      </w:r>
      <w:r w:rsidR="009043EE">
        <w:rPr>
          <w:rFonts w:ascii="Arial Narrow" w:hAnsi="Arial Narrow" w:cs="Arial"/>
          <w:sz w:val="22"/>
          <w:szCs w:val="22"/>
          <w:lang w:val="sk-SK"/>
        </w:rPr>
        <w:t>uvádza</w:t>
      </w:r>
      <w:r>
        <w:rPr>
          <w:rFonts w:ascii="Arial Narrow" w:hAnsi="Arial Narrow" w:cs="Arial"/>
          <w:sz w:val="22"/>
          <w:szCs w:val="22"/>
          <w:lang w:val="sk-SK"/>
        </w:rPr>
        <w:t xml:space="preserve">jú za to isté účtovné obdobie, za ktoré je </w:t>
      </w:r>
      <w:r w:rsidR="00571260">
        <w:rPr>
          <w:rFonts w:ascii="Arial Narrow" w:hAnsi="Arial Narrow" w:cs="Arial"/>
          <w:sz w:val="22"/>
          <w:szCs w:val="22"/>
          <w:lang w:val="sk-SK"/>
        </w:rPr>
        <w:t>konsolidovaná</w:t>
      </w:r>
      <w:r>
        <w:rPr>
          <w:rFonts w:ascii="Arial Narrow" w:hAnsi="Arial Narrow" w:cs="Arial"/>
          <w:sz w:val="22"/>
          <w:szCs w:val="22"/>
          <w:lang w:val="sk-SK"/>
        </w:rPr>
        <w:t xml:space="preserve"> účtovná závierka zostavená</w:t>
      </w:r>
      <w:r w:rsidR="006D78A2">
        <w:rPr>
          <w:rFonts w:ascii="Arial Narrow" w:hAnsi="Arial Narrow" w:cs="Arial"/>
          <w:sz w:val="22"/>
          <w:szCs w:val="22"/>
          <w:lang w:val="sk-SK"/>
        </w:rPr>
        <w:t>.</w:t>
      </w:r>
    </w:p>
    <w:p w:rsidR="00FD71D3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P="007067B8">
      <w:pPr>
        <w:bidi w:val="0"/>
        <w:ind w:firstLine="357"/>
        <w:jc w:val="both"/>
        <w:rPr>
          <w:rFonts w:ascii="Arial Narrow" w:hAnsi="Arial Narrow" w:cs="Arial"/>
          <w:sz w:val="22"/>
          <w:szCs w:val="22"/>
          <w:lang w:val="sk-SK"/>
        </w:rPr>
      </w:pPr>
      <w:r w:rsidR="006D78A2">
        <w:rPr>
          <w:rFonts w:ascii="Arial Narrow" w:hAnsi="Arial Narrow" w:cs="Arial"/>
          <w:sz w:val="22"/>
          <w:szCs w:val="22"/>
          <w:lang w:val="sk-SK"/>
        </w:rPr>
        <w:t>(</w:t>
      </w:r>
      <w:r w:rsidR="00A8355A">
        <w:rPr>
          <w:rFonts w:ascii="Arial Narrow" w:hAnsi="Arial Narrow" w:cs="Arial"/>
          <w:sz w:val="22"/>
          <w:szCs w:val="22"/>
          <w:lang w:val="sk-SK"/>
        </w:rPr>
        <w:t>3</w:t>
      </w:r>
      <w:r w:rsidR="006D78A2">
        <w:rPr>
          <w:rFonts w:ascii="Arial Narrow" w:hAnsi="Arial Narrow" w:cs="Arial"/>
          <w:sz w:val="22"/>
          <w:szCs w:val="22"/>
          <w:lang w:val="sk-SK"/>
        </w:rPr>
        <w:t xml:space="preserve">) Údaje vo výkaze vybraných údajov </w:t>
      </w:r>
      <w:r w:rsidR="007067B8">
        <w:rPr>
          <w:rFonts w:ascii="Arial Narrow" w:hAnsi="Arial Narrow" w:cs="Arial"/>
          <w:sz w:val="22"/>
          <w:szCs w:val="22"/>
          <w:lang w:val="sk-SK"/>
        </w:rPr>
        <w:t xml:space="preserve">sa </w:t>
      </w:r>
      <w:r w:rsidR="006D78A2">
        <w:rPr>
          <w:rFonts w:ascii="Arial Narrow" w:hAnsi="Arial Narrow" w:cs="Arial"/>
          <w:sz w:val="22"/>
          <w:szCs w:val="22"/>
          <w:lang w:val="sk-SK"/>
        </w:rPr>
        <w:t>uvádzajú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v eurách a</w:t>
      </w:r>
      <w:r w:rsidR="006D78A2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B91B5F">
        <w:rPr>
          <w:rFonts w:ascii="Arial Narrow" w:hAnsi="Arial Narrow" w:cs="Arial"/>
          <w:sz w:val="22"/>
          <w:szCs w:val="22"/>
          <w:lang w:val="sk-SK"/>
        </w:rPr>
        <w:t>v rovnakej mernej jednotke ako je použitá v </w:t>
      </w:r>
      <w:r w:rsidR="00327AB7">
        <w:rPr>
          <w:rFonts w:ascii="Arial Narrow" w:hAnsi="Arial Narrow" w:cs="Arial"/>
          <w:sz w:val="22"/>
          <w:szCs w:val="22"/>
          <w:lang w:val="sk-SK"/>
        </w:rPr>
        <w:t>konsolidova</w:t>
      </w:r>
      <w:r w:rsidR="00B91B5F">
        <w:rPr>
          <w:rFonts w:ascii="Arial Narrow" w:hAnsi="Arial Narrow" w:cs="Arial"/>
          <w:sz w:val="22"/>
          <w:szCs w:val="22"/>
          <w:lang w:val="sk-SK"/>
        </w:rPr>
        <w:t>nej účtovnej závierk</w:t>
      </w:r>
      <w:r w:rsidR="007067B8">
        <w:rPr>
          <w:rFonts w:ascii="Arial Narrow" w:hAnsi="Arial Narrow" w:cs="Arial"/>
          <w:sz w:val="22"/>
          <w:szCs w:val="22"/>
          <w:lang w:val="sk-SK"/>
        </w:rPr>
        <w:t>e</w:t>
      </w:r>
      <w:r w:rsidR="00406A85">
        <w:rPr>
          <w:rFonts w:ascii="Arial Narrow" w:hAnsi="Arial Narrow" w:cs="Arial"/>
          <w:sz w:val="22"/>
          <w:szCs w:val="22"/>
          <w:lang w:val="sk-SK"/>
        </w:rPr>
        <w:t xml:space="preserve">. </w:t>
      </w:r>
      <w:r w:rsidR="00B91B5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Ak </w:t>
      </w:r>
      <w:r w:rsidR="00AA7EE9">
        <w:rPr>
          <w:rFonts w:ascii="Arial Narrow" w:hAnsi="Arial Narrow" w:cs="Arial"/>
          <w:sz w:val="22"/>
          <w:szCs w:val="22"/>
          <w:lang w:val="sk-SK"/>
        </w:rPr>
        <w:t xml:space="preserve">funkčnou menou 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93343">
        <w:rPr>
          <w:rFonts w:ascii="Arial Narrow" w:hAnsi="Arial Narrow" w:cs="Arial"/>
          <w:sz w:val="22"/>
          <w:szCs w:val="22"/>
          <w:lang w:val="sk-SK"/>
        </w:rPr>
        <w:t xml:space="preserve">materskej účtovnej jednotky, na ktorú sa vzťahuje toto opatrenie, 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je </w:t>
      </w:r>
      <w:r w:rsidR="00354861">
        <w:rPr>
          <w:rFonts w:ascii="Arial Narrow" w:hAnsi="Arial Narrow" w:cs="Arial"/>
          <w:sz w:val="22"/>
          <w:szCs w:val="22"/>
          <w:lang w:val="sk-SK"/>
        </w:rPr>
        <w:t xml:space="preserve"> iná mena ako </w:t>
      </w:r>
      <w:r w:rsidR="005371AD">
        <w:rPr>
          <w:rFonts w:ascii="Arial Narrow" w:hAnsi="Arial Narrow" w:cs="Arial"/>
          <w:sz w:val="22"/>
          <w:szCs w:val="22"/>
          <w:lang w:val="sk-SK"/>
        </w:rPr>
        <w:t>mena euro, prepočíta</w:t>
      </w:r>
      <w:r w:rsidR="00D31899">
        <w:rPr>
          <w:rFonts w:ascii="Arial Narrow" w:hAnsi="Arial Narrow" w:cs="Arial"/>
          <w:sz w:val="22"/>
          <w:szCs w:val="22"/>
          <w:lang w:val="sk-SK"/>
        </w:rPr>
        <w:t xml:space="preserve">jú sa  </w:t>
      </w:r>
      <w:r w:rsidR="00E33066">
        <w:rPr>
          <w:rFonts w:ascii="Arial Narrow" w:hAnsi="Arial Narrow" w:cs="Arial"/>
          <w:sz w:val="22"/>
          <w:szCs w:val="22"/>
          <w:lang w:val="sk-SK"/>
        </w:rPr>
        <w:t xml:space="preserve">na účely uvádzania údajov vo výkaze vybraných údajov </w:t>
      </w:r>
      <w:r w:rsidR="00D31899">
        <w:rPr>
          <w:rFonts w:ascii="Arial Narrow" w:hAnsi="Arial Narrow" w:cs="Arial"/>
          <w:sz w:val="22"/>
          <w:szCs w:val="22"/>
          <w:lang w:val="sk-SK"/>
        </w:rPr>
        <w:t xml:space="preserve">údaje </w:t>
      </w:r>
      <w:r w:rsidR="00354861">
        <w:rPr>
          <w:rFonts w:ascii="Arial Narrow" w:hAnsi="Arial Narrow" w:cs="Arial"/>
          <w:sz w:val="22"/>
          <w:szCs w:val="22"/>
          <w:lang w:val="sk-SK"/>
        </w:rPr>
        <w:t>z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93343">
        <w:rPr>
          <w:rFonts w:ascii="Arial Narrow" w:hAnsi="Arial Narrow" w:cs="Arial"/>
          <w:sz w:val="22"/>
          <w:szCs w:val="22"/>
          <w:lang w:val="sk-SK"/>
        </w:rPr>
        <w:t>ine</w:t>
      </w:r>
      <w:r w:rsidR="00D31899">
        <w:rPr>
          <w:rFonts w:ascii="Arial Narrow" w:hAnsi="Arial Narrow" w:cs="Arial"/>
          <w:sz w:val="22"/>
          <w:szCs w:val="22"/>
          <w:lang w:val="sk-SK"/>
        </w:rPr>
        <w:t>j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men</w:t>
      </w:r>
      <w:r w:rsidR="00354861">
        <w:rPr>
          <w:rFonts w:ascii="Arial Narrow" w:hAnsi="Arial Narrow" w:cs="Arial"/>
          <w:sz w:val="22"/>
          <w:szCs w:val="22"/>
          <w:lang w:val="sk-SK"/>
        </w:rPr>
        <w:t>y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na euro </w:t>
      </w:r>
      <w:r w:rsidR="004E7BAB">
        <w:rPr>
          <w:rFonts w:ascii="Arial Narrow" w:hAnsi="Arial Narrow" w:cs="Arial"/>
          <w:sz w:val="22"/>
          <w:szCs w:val="22"/>
          <w:lang w:val="sk-SK"/>
        </w:rPr>
        <w:t xml:space="preserve">referenčným výmenným 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kurzom </w:t>
      </w:r>
      <w:r w:rsidR="004E7BAB">
        <w:rPr>
          <w:rFonts w:ascii="Arial Narrow" w:hAnsi="Arial Narrow" w:cs="Arial"/>
          <w:sz w:val="22"/>
          <w:szCs w:val="22"/>
          <w:lang w:val="sk-SK"/>
        </w:rPr>
        <w:t xml:space="preserve">určeným a vyhláseným </w:t>
      </w:r>
      <w:r w:rsidR="005371AD">
        <w:rPr>
          <w:rFonts w:ascii="Arial Narrow" w:hAnsi="Arial Narrow" w:cs="Arial"/>
          <w:sz w:val="22"/>
          <w:szCs w:val="22"/>
          <w:lang w:val="sk-SK"/>
        </w:rPr>
        <w:t>Európsk</w:t>
      </w:r>
      <w:r w:rsidR="004E7BAB">
        <w:rPr>
          <w:rFonts w:ascii="Arial Narrow" w:hAnsi="Arial Narrow" w:cs="Arial"/>
          <w:sz w:val="22"/>
          <w:szCs w:val="22"/>
          <w:lang w:val="sk-SK"/>
        </w:rPr>
        <w:t>ou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centráln</w:t>
      </w:r>
      <w:r w:rsidR="004E7BAB">
        <w:rPr>
          <w:rFonts w:ascii="Arial Narrow" w:hAnsi="Arial Narrow" w:cs="Arial"/>
          <w:sz w:val="22"/>
          <w:szCs w:val="22"/>
          <w:lang w:val="sk-SK"/>
        </w:rPr>
        <w:t>ou</w:t>
      </w:r>
      <w:r w:rsidR="005371AD">
        <w:rPr>
          <w:rFonts w:ascii="Arial Narrow" w:hAnsi="Arial Narrow" w:cs="Arial"/>
          <w:sz w:val="22"/>
          <w:szCs w:val="22"/>
          <w:lang w:val="sk-SK"/>
        </w:rPr>
        <w:t xml:space="preserve"> bank</w:t>
      </w:r>
      <w:r w:rsidR="004E7BAB">
        <w:rPr>
          <w:rFonts w:ascii="Arial Narrow" w:hAnsi="Arial Narrow" w:cs="Arial"/>
          <w:sz w:val="22"/>
          <w:szCs w:val="22"/>
          <w:lang w:val="sk-SK"/>
        </w:rPr>
        <w:t xml:space="preserve">ou </w:t>
      </w:r>
      <w:r w:rsidR="005371AD">
        <w:rPr>
          <w:rFonts w:ascii="Arial Narrow" w:hAnsi="Arial Narrow" w:cs="Arial"/>
          <w:sz w:val="22"/>
          <w:szCs w:val="22"/>
          <w:lang w:val="sk-SK"/>
        </w:rPr>
        <w:t>ku dňu, ku ktorému sa zostavuje účtovná závierka</w:t>
      </w:r>
      <w:r w:rsidR="00D31899">
        <w:rPr>
          <w:rFonts w:ascii="Arial Narrow" w:hAnsi="Arial Narrow" w:cs="Arial"/>
          <w:sz w:val="22"/>
          <w:szCs w:val="22"/>
          <w:lang w:val="sk-SK"/>
        </w:rPr>
        <w:t xml:space="preserve"> a</w:t>
      </w:r>
      <w:r w:rsidR="00E33066">
        <w:rPr>
          <w:rFonts w:ascii="Arial Narrow" w:hAnsi="Arial Narrow" w:cs="Arial"/>
          <w:sz w:val="22"/>
          <w:szCs w:val="22"/>
          <w:lang w:val="sk-SK"/>
        </w:rPr>
        <w:t> </w:t>
      </w:r>
      <w:r w:rsidR="00D31899">
        <w:rPr>
          <w:rFonts w:ascii="Arial Narrow" w:hAnsi="Arial Narrow" w:cs="Arial"/>
          <w:sz w:val="22"/>
          <w:szCs w:val="22"/>
          <w:lang w:val="sk-SK"/>
        </w:rPr>
        <w:t>zaokrúh</w:t>
      </w:r>
      <w:r w:rsidR="00E33066">
        <w:rPr>
          <w:rFonts w:ascii="Arial Narrow" w:hAnsi="Arial Narrow" w:cs="Arial"/>
          <w:sz w:val="22"/>
          <w:szCs w:val="22"/>
          <w:lang w:val="sk-SK"/>
        </w:rPr>
        <w:t>lia sa</w:t>
      </w:r>
      <w:r w:rsidR="00D31899">
        <w:rPr>
          <w:rFonts w:ascii="Arial Narrow" w:hAnsi="Arial Narrow" w:cs="Arial"/>
          <w:sz w:val="22"/>
          <w:szCs w:val="22"/>
          <w:lang w:val="sk-SK"/>
        </w:rPr>
        <w:t xml:space="preserve"> na celé tisíce</w:t>
      </w:r>
      <w:r w:rsidR="005371AD">
        <w:rPr>
          <w:rFonts w:ascii="Arial Narrow" w:hAnsi="Arial Narrow" w:cs="Arial"/>
          <w:sz w:val="22"/>
          <w:szCs w:val="22"/>
          <w:lang w:val="sk-SK"/>
        </w:rPr>
        <w:t>.</w:t>
      </w:r>
    </w:p>
    <w:p w:rsidR="000247A6" w:rsidP="00722C55">
      <w:pPr>
        <w:pStyle w:val="Heading2"/>
        <w:bidi w:val="0"/>
        <w:jc w:val="center"/>
        <w:rPr>
          <w:rFonts w:cs="Arial"/>
          <w:szCs w:val="22"/>
          <w:lang w:val="es-MX"/>
        </w:rPr>
      </w:pPr>
    </w:p>
    <w:p w:rsidR="00327AB7" w:rsidP="00722C55">
      <w:pPr>
        <w:pStyle w:val="Heading2"/>
        <w:bidi w:val="0"/>
        <w:jc w:val="center"/>
        <w:rPr>
          <w:rFonts w:cs="Arial"/>
          <w:b w:val="0"/>
          <w:szCs w:val="22"/>
          <w:lang w:val="es-MX"/>
        </w:rPr>
      </w:pPr>
      <w:r w:rsidRPr="00327AB7">
        <w:rPr>
          <w:rFonts w:cs="Arial"/>
          <w:b w:val="0"/>
          <w:szCs w:val="22"/>
          <w:lang w:val="es-MX"/>
        </w:rPr>
        <w:t>§ 4</w:t>
      </w:r>
    </w:p>
    <w:p w:rsidR="00592CA2" w:rsidRPr="00592CA2" w:rsidP="00592CA2">
      <w:pPr>
        <w:bidi w:val="0"/>
        <w:rPr>
          <w:rFonts w:ascii="Times New Roman" w:hAnsi="Times New Roman"/>
          <w:lang w:val="es-MX"/>
        </w:rPr>
      </w:pPr>
    </w:p>
    <w:p w:rsidR="004B7B4D" w:rsidRPr="004B7B4D" w:rsidP="00A56CB7">
      <w:pPr>
        <w:bidi w:val="0"/>
        <w:jc w:val="both"/>
        <w:rPr>
          <w:rFonts w:ascii="Arial Narrow" w:hAnsi="Arial Narrow"/>
          <w:sz w:val="22"/>
          <w:szCs w:val="22"/>
          <w:lang w:val="sk-SK"/>
        </w:rPr>
      </w:pPr>
      <w:r w:rsidR="00A56CB7">
        <w:rPr>
          <w:rFonts w:ascii="Arial Narrow" w:hAnsi="Arial Narrow"/>
          <w:sz w:val="22"/>
          <w:szCs w:val="22"/>
          <w:lang w:val="sk-SK"/>
        </w:rPr>
        <w:t xml:space="preserve">       </w:t>
      </w:r>
      <w:r w:rsidRPr="004B7B4D">
        <w:rPr>
          <w:rFonts w:ascii="Arial Narrow" w:hAnsi="Arial Narrow"/>
          <w:sz w:val="22"/>
          <w:szCs w:val="22"/>
          <w:lang w:val="sk-SK"/>
        </w:rPr>
        <w:t xml:space="preserve"> </w:t>
      </w:r>
      <w:r w:rsidRPr="004B7B4D">
        <w:rPr>
          <w:rFonts w:ascii="Arial Narrow" w:hAnsi="Arial Narrow" w:cs="Arial"/>
          <w:sz w:val="22"/>
          <w:szCs w:val="22"/>
          <w:lang w:val="sk-SK"/>
        </w:rPr>
        <w:t>Výkaz vybraných údajov</w:t>
      </w:r>
      <w:r w:rsidR="00406A8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4B7B4D">
        <w:rPr>
          <w:rFonts w:ascii="Arial Narrow" w:hAnsi="Arial Narrow" w:cs="Arial"/>
          <w:sz w:val="22"/>
          <w:szCs w:val="22"/>
          <w:lang w:val="sk-SK"/>
        </w:rPr>
        <w:t xml:space="preserve">sa ukladá </w:t>
      </w:r>
      <w:r w:rsidR="00A45BC6">
        <w:rPr>
          <w:rFonts w:ascii="Arial Narrow" w:hAnsi="Arial Narrow" w:cs="Arial"/>
          <w:sz w:val="22"/>
          <w:szCs w:val="22"/>
          <w:lang w:val="sk-SK"/>
        </w:rPr>
        <w:t xml:space="preserve">na miestne príslušnom daňovom úrade </w:t>
      </w:r>
      <w:r w:rsidRPr="004B7B4D" w:rsidR="00A45BC6">
        <w:rPr>
          <w:rFonts w:ascii="Arial Narrow" w:hAnsi="Arial Narrow"/>
          <w:sz w:val="22"/>
          <w:szCs w:val="22"/>
          <w:lang w:val="sk-SK"/>
        </w:rPr>
        <w:t>do  jedného roka od skončenia účtovného obdobia</w:t>
      </w:r>
      <w:r w:rsidR="00A45BC6">
        <w:rPr>
          <w:rFonts w:ascii="Arial Narrow" w:hAnsi="Arial Narrow"/>
          <w:sz w:val="22"/>
          <w:szCs w:val="22"/>
          <w:lang w:val="sk-SK"/>
        </w:rPr>
        <w:t>. Miestne príslušný daňový úrad</w:t>
      </w:r>
      <w:r w:rsidR="00A45BC6">
        <w:rPr>
          <w:rFonts w:ascii="Arial Narrow" w:hAnsi="Arial Narrow" w:cs="Arial"/>
          <w:sz w:val="22"/>
          <w:szCs w:val="22"/>
          <w:lang w:val="sk-SK"/>
        </w:rPr>
        <w:t xml:space="preserve"> zabezpečí je</w:t>
      </w:r>
      <w:r w:rsidR="00406A85">
        <w:rPr>
          <w:rFonts w:ascii="Arial Narrow" w:hAnsi="Arial Narrow" w:cs="Arial"/>
          <w:sz w:val="22"/>
          <w:szCs w:val="22"/>
          <w:lang w:val="sk-SK"/>
        </w:rPr>
        <w:t>ho</w:t>
      </w:r>
      <w:r w:rsidR="00A45BC6">
        <w:rPr>
          <w:rFonts w:ascii="Arial Narrow" w:hAnsi="Arial Narrow" w:cs="Arial"/>
          <w:sz w:val="22"/>
          <w:szCs w:val="22"/>
          <w:lang w:val="sk-SK"/>
        </w:rPr>
        <w:t xml:space="preserve"> uloženie </w:t>
      </w:r>
      <w:r w:rsidRPr="004B7B4D">
        <w:rPr>
          <w:rFonts w:ascii="Arial Narrow" w:hAnsi="Arial Narrow" w:cs="Arial"/>
          <w:sz w:val="22"/>
          <w:szCs w:val="22"/>
          <w:lang w:val="sk-SK"/>
        </w:rPr>
        <w:t>v </w:t>
      </w:r>
      <w:r w:rsidR="00A45BC6">
        <w:rPr>
          <w:rFonts w:ascii="Arial Narrow" w:hAnsi="Arial Narrow" w:cs="Arial"/>
          <w:sz w:val="22"/>
          <w:szCs w:val="22"/>
          <w:lang w:val="sk-SK"/>
        </w:rPr>
        <w:t>Datacentre</w:t>
      </w:r>
      <w:r w:rsidRPr="004B7B4D">
        <w:rPr>
          <w:rFonts w:ascii="Arial Narrow" w:hAnsi="Arial Narrow"/>
          <w:sz w:val="22"/>
          <w:szCs w:val="22"/>
          <w:lang w:val="sk-SK"/>
        </w:rPr>
        <w:t>.</w:t>
      </w:r>
    </w:p>
    <w:p w:rsidR="004B7B4D" w:rsidP="00A45BC6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4B7B4D" w:rsidP="00327AB7">
      <w:pPr>
        <w:bidi w:val="0"/>
        <w:jc w:val="center"/>
        <w:rPr>
          <w:rFonts w:ascii="Arial Narrow" w:hAnsi="Arial Narrow"/>
          <w:sz w:val="22"/>
          <w:szCs w:val="22"/>
          <w:lang w:val="es-MX"/>
        </w:rPr>
      </w:pPr>
    </w:p>
    <w:p w:rsidR="00327AB7" w:rsidP="00327AB7">
      <w:pPr>
        <w:bidi w:val="0"/>
        <w:jc w:val="center"/>
        <w:rPr>
          <w:rFonts w:ascii="Arial Narrow" w:hAnsi="Arial Narrow"/>
          <w:sz w:val="22"/>
          <w:szCs w:val="22"/>
          <w:lang w:val="es-MX"/>
        </w:rPr>
      </w:pPr>
      <w:r w:rsidRPr="00327AB7">
        <w:rPr>
          <w:rFonts w:ascii="Arial Narrow" w:hAnsi="Arial Narrow"/>
          <w:sz w:val="22"/>
          <w:szCs w:val="22"/>
          <w:lang w:val="es-MX"/>
        </w:rPr>
        <w:t>Prechodné ustanovenie</w:t>
      </w:r>
    </w:p>
    <w:p w:rsidR="004B7B4D" w:rsidRPr="00327AB7" w:rsidP="00327AB7">
      <w:pPr>
        <w:bidi w:val="0"/>
        <w:jc w:val="center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§ 5</w:t>
      </w:r>
    </w:p>
    <w:p w:rsidR="004B7B4D" w:rsidP="00327AB7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4B7B4D" w:rsidP="004B7B4D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Toto opatrenie sa prvýkrát použije pri ukladaní výkazu vybraných</w:t>
      </w:r>
      <w:r w:rsidR="00005172">
        <w:rPr>
          <w:rFonts w:ascii="Arial Narrow" w:hAnsi="Arial Narrow" w:cs="Arial"/>
          <w:sz w:val="22"/>
          <w:szCs w:val="22"/>
          <w:lang w:val="sk-SK"/>
        </w:rPr>
        <w:t xml:space="preserve"> údajov,</w:t>
      </w:r>
      <w:r>
        <w:rPr>
          <w:rFonts w:ascii="Arial Narrow" w:hAnsi="Arial Narrow" w:cs="Arial"/>
          <w:sz w:val="22"/>
          <w:szCs w:val="22"/>
          <w:lang w:val="sk-SK"/>
        </w:rPr>
        <w:t xml:space="preserve"> ktor</w:t>
      </w:r>
      <w:r w:rsidR="00005172">
        <w:rPr>
          <w:rFonts w:ascii="Arial Narrow" w:hAnsi="Arial Narrow" w:cs="Arial"/>
          <w:sz w:val="22"/>
          <w:szCs w:val="22"/>
          <w:lang w:val="sk-SK"/>
        </w:rPr>
        <w:t>ý</w:t>
      </w:r>
      <w:r>
        <w:rPr>
          <w:rFonts w:ascii="Arial Narrow" w:hAnsi="Arial Narrow" w:cs="Arial"/>
          <w:sz w:val="22"/>
          <w:szCs w:val="22"/>
          <w:lang w:val="sk-SK"/>
        </w:rPr>
        <w:t xml:space="preserve"> sa </w:t>
      </w:r>
      <w:r w:rsidR="00005172">
        <w:rPr>
          <w:rFonts w:ascii="Arial Narrow" w:hAnsi="Arial Narrow" w:cs="Arial"/>
          <w:sz w:val="22"/>
          <w:szCs w:val="22"/>
          <w:lang w:val="sk-SK"/>
        </w:rPr>
        <w:t>vyhoto</w:t>
      </w:r>
      <w:r>
        <w:rPr>
          <w:rFonts w:ascii="Arial Narrow" w:hAnsi="Arial Narrow" w:cs="Arial"/>
          <w:sz w:val="22"/>
          <w:szCs w:val="22"/>
          <w:lang w:val="sk-SK"/>
        </w:rPr>
        <w:t xml:space="preserve">vuje za účtovné obdobie </w:t>
      </w:r>
      <w:r w:rsidR="00B0120B">
        <w:rPr>
          <w:rFonts w:ascii="Arial Narrow" w:hAnsi="Arial Narrow" w:cs="Arial"/>
          <w:sz w:val="22"/>
          <w:szCs w:val="22"/>
          <w:lang w:val="sk-SK"/>
        </w:rPr>
        <w:t>končia</w:t>
      </w:r>
      <w:r>
        <w:rPr>
          <w:rFonts w:ascii="Arial Narrow" w:hAnsi="Arial Narrow" w:cs="Arial"/>
          <w:sz w:val="22"/>
          <w:szCs w:val="22"/>
          <w:lang w:val="sk-SK"/>
        </w:rPr>
        <w:t xml:space="preserve">ce </w:t>
      </w:r>
      <w:r w:rsidR="00B0120B">
        <w:rPr>
          <w:rFonts w:ascii="Arial Narrow" w:hAnsi="Arial Narrow" w:cs="Arial"/>
          <w:sz w:val="22"/>
          <w:szCs w:val="22"/>
          <w:lang w:val="sk-SK"/>
        </w:rPr>
        <w:t>3</w:t>
      </w:r>
      <w:r>
        <w:rPr>
          <w:rFonts w:ascii="Arial Narrow" w:hAnsi="Arial Narrow" w:cs="Arial"/>
          <w:sz w:val="22"/>
          <w:szCs w:val="22"/>
          <w:lang w:val="sk-SK"/>
        </w:rPr>
        <w:t xml:space="preserve">1. </w:t>
      </w:r>
      <w:r w:rsidR="00B0120B">
        <w:rPr>
          <w:rFonts w:ascii="Arial Narrow" w:hAnsi="Arial Narrow" w:cs="Arial"/>
          <w:sz w:val="22"/>
          <w:szCs w:val="22"/>
          <w:lang w:val="sk-SK"/>
        </w:rPr>
        <w:t>decembr</w:t>
      </w:r>
      <w:r>
        <w:rPr>
          <w:rFonts w:ascii="Arial Narrow" w:hAnsi="Arial Narrow" w:cs="Arial"/>
          <w:sz w:val="22"/>
          <w:szCs w:val="22"/>
          <w:lang w:val="sk-SK"/>
        </w:rPr>
        <w:t>a 201</w:t>
      </w:r>
      <w:r w:rsidR="00B55FBF">
        <w:rPr>
          <w:rFonts w:ascii="Arial Narrow" w:hAnsi="Arial Narrow" w:cs="Arial"/>
          <w:sz w:val="22"/>
          <w:szCs w:val="22"/>
          <w:lang w:val="sk-SK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 xml:space="preserve"> a neskôr.</w:t>
      </w:r>
    </w:p>
    <w:p w:rsidR="004B7B4D" w:rsidP="00327AB7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4B7B4D" w:rsidP="00327AB7">
      <w:pPr>
        <w:bidi w:val="0"/>
        <w:ind w:firstLine="708"/>
        <w:jc w:val="both"/>
        <w:rPr>
          <w:rFonts w:ascii="Arial Narrow" w:hAnsi="Arial Narrow"/>
          <w:sz w:val="22"/>
          <w:szCs w:val="22"/>
          <w:lang w:val="es-MX"/>
        </w:rPr>
      </w:pPr>
    </w:p>
    <w:p w:rsidR="00327AB7" w:rsidRPr="00327AB7" w:rsidP="00327AB7">
      <w:pPr>
        <w:bidi w:val="0"/>
        <w:jc w:val="both"/>
        <w:rPr>
          <w:rFonts w:ascii="Arial Narrow" w:hAnsi="Arial Narrow"/>
          <w:sz w:val="22"/>
          <w:szCs w:val="22"/>
          <w:lang w:val="es-MX"/>
        </w:rPr>
      </w:pPr>
    </w:p>
    <w:p w:rsidR="00722C55" w:rsidRPr="00A45BC6" w:rsidP="00722C55">
      <w:pPr>
        <w:pStyle w:val="Heading2"/>
        <w:bidi w:val="0"/>
        <w:jc w:val="center"/>
        <w:rPr>
          <w:rFonts w:cs="Arial"/>
          <w:b w:val="0"/>
          <w:szCs w:val="22"/>
          <w:lang w:val="es-MX"/>
        </w:rPr>
      </w:pPr>
      <w:r w:rsidRPr="00A45BC6" w:rsidR="00A45BC6">
        <w:rPr>
          <w:rFonts w:cs="Arial"/>
          <w:b w:val="0"/>
          <w:szCs w:val="22"/>
          <w:lang w:val="es-MX"/>
        </w:rPr>
        <w:t>§ 6</w:t>
      </w:r>
    </w:p>
    <w:p w:rsidR="00722C55" w:rsidRPr="00B06A39" w:rsidP="00722C55">
      <w:pPr>
        <w:bidi w:val="0"/>
        <w:rPr>
          <w:rFonts w:ascii="Arial Narrow" w:hAnsi="Arial Narrow" w:cs="Arial"/>
          <w:sz w:val="22"/>
          <w:szCs w:val="22"/>
          <w:lang w:val="es-MX"/>
        </w:rPr>
      </w:pPr>
    </w:p>
    <w:p w:rsidR="00722C55" w:rsidP="00406A85">
      <w:pPr>
        <w:bidi w:val="0"/>
        <w:ind w:firstLine="350"/>
        <w:rPr>
          <w:rFonts w:ascii="Arial Narrow" w:hAnsi="Arial Narrow" w:cs="Arial"/>
          <w:sz w:val="22"/>
          <w:szCs w:val="22"/>
          <w:lang w:val="sk-SK"/>
        </w:rPr>
      </w:pPr>
      <w:r w:rsidRPr="00D6328C">
        <w:rPr>
          <w:rFonts w:ascii="Arial Narrow" w:hAnsi="Arial Narrow" w:cs="Arial"/>
          <w:sz w:val="22"/>
          <w:szCs w:val="22"/>
          <w:lang w:val="sk-SK"/>
        </w:rPr>
        <w:t xml:space="preserve">Toto opatrenie nadobúda účinnosť </w:t>
      </w:r>
      <w:r w:rsidR="00EF0D44">
        <w:rPr>
          <w:rFonts w:ascii="Arial Narrow" w:hAnsi="Arial Narrow" w:cs="Arial"/>
          <w:sz w:val="22"/>
          <w:szCs w:val="22"/>
          <w:lang w:val="sk-SK"/>
        </w:rPr>
        <w:t>3</w:t>
      </w:r>
      <w:r w:rsidRPr="00D6328C">
        <w:rPr>
          <w:rFonts w:ascii="Arial Narrow" w:hAnsi="Arial Narrow" w:cs="Arial"/>
          <w:sz w:val="22"/>
          <w:szCs w:val="22"/>
          <w:lang w:val="sk-SK"/>
        </w:rPr>
        <w:t>1.</w:t>
      </w:r>
      <w:r w:rsidR="00EF0D44">
        <w:rPr>
          <w:rFonts w:ascii="Arial Narrow" w:hAnsi="Arial Narrow" w:cs="Arial"/>
          <w:sz w:val="22"/>
          <w:szCs w:val="22"/>
          <w:lang w:val="sk-SK"/>
        </w:rPr>
        <w:t xml:space="preserve"> decembr</w:t>
      </w:r>
      <w:r w:rsidRPr="00D6328C">
        <w:rPr>
          <w:rFonts w:ascii="Arial Narrow" w:hAnsi="Arial Narrow" w:cs="Arial"/>
          <w:sz w:val="22"/>
          <w:szCs w:val="22"/>
          <w:lang w:val="sk-SK"/>
        </w:rPr>
        <w:t>a 20</w:t>
      </w:r>
      <w:r w:rsidR="00DC0C9E">
        <w:rPr>
          <w:rFonts w:ascii="Arial Narrow" w:hAnsi="Arial Narrow" w:cs="Arial"/>
          <w:sz w:val="22"/>
          <w:szCs w:val="22"/>
          <w:lang w:val="sk-SK"/>
        </w:rPr>
        <w:t>1</w:t>
      </w:r>
      <w:r w:rsidR="00EF0D44">
        <w:rPr>
          <w:rFonts w:ascii="Arial Narrow" w:hAnsi="Arial Narrow" w:cs="Arial"/>
          <w:sz w:val="22"/>
          <w:szCs w:val="22"/>
          <w:lang w:val="sk-SK"/>
        </w:rPr>
        <w:t>1</w:t>
      </w:r>
      <w:r w:rsidRPr="00D6328C">
        <w:rPr>
          <w:rFonts w:ascii="Arial Narrow" w:hAnsi="Arial Narrow" w:cs="Arial"/>
          <w:sz w:val="22"/>
          <w:szCs w:val="22"/>
          <w:lang w:val="sk-SK"/>
        </w:rPr>
        <w:t>.</w:t>
      </w:r>
    </w:p>
    <w:p w:rsidR="00776F1D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4E4807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4E4807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776F1D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722C55" w:rsidRPr="00C535EE" w:rsidP="00722C55">
      <w:pPr>
        <w:bidi w:val="0"/>
        <w:ind w:firstLine="6120"/>
        <w:rPr>
          <w:rFonts w:ascii="Arial Narrow" w:hAnsi="Arial Narrow" w:cs="Arial"/>
          <w:sz w:val="22"/>
          <w:szCs w:val="22"/>
          <w:lang w:val="sk-SK"/>
        </w:rPr>
      </w:pPr>
      <w:r w:rsidR="004E4807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DC0C9E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4E4807">
        <w:rPr>
          <w:rFonts w:ascii="Arial Narrow" w:hAnsi="Arial Narrow" w:cs="Arial"/>
          <w:sz w:val="22"/>
          <w:szCs w:val="22"/>
          <w:lang w:val="sk-SK"/>
        </w:rPr>
        <w:t>Ivan Mikloš</w:t>
      </w:r>
      <w:r w:rsidRPr="00C535EE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AD5191" w:rsidP="00776F1D">
      <w:pPr>
        <w:tabs>
          <w:tab w:val="left" w:pos="6120"/>
        </w:tabs>
        <w:bidi w:val="0"/>
        <w:rPr>
          <w:rFonts w:ascii="Times New Roman" w:hAnsi="Times New Roman"/>
        </w:rPr>
      </w:pPr>
      <w:r w:rsidRPr="00C535EE" w:rsidR="00722C55">
        <w:rPr>
          <w:rFonts w:ascii="Arial Narrow" w:hAnsi="Arial Narrow" w:cs="Arial"/>
          <w:sz w:val="22"/>
          <w:szCs w:val="22"/>
          <w:lang w:val="sk-SK"/>
        </w:rPr>
        <w:t xml:space="preserve">                     </w:t>
      </w:r>
      <w:r w:rsidR="00EF0D44"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      </w:t>
      </w:r>
      <w:r w:rsidRPr="00C535EE" w:rsidR="00722C5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="004E4807">
        <w:rPr>
          <w:rFonts w:ascii="Arial Narrow" w:hAnsi="Arial Narrow" w:cs="Arial"/>
          <w:sz w:val="22"/>
          <w:szCs w:val="22"/>
          <w:lang w:val="sk-SK"/>
        </w:rPr>
        <w:t xml:space="preserve">podpredseda vlády  a </w:t>
      </w:r>
      <w:r w:rsidRPr="00C535EE" w:rsidR="00722C55">
        <w:rPr>
          <w:rFonts w:ascii="Arial Narrow" w:hAnsi="Arial Narrow" w:cs="Arial"/>
          <w:sz w:val="22"/>
          <w:szCs w:val="22"/>
          <w:lang w:val="sk-SK"/>
        </w:rPr>
        <w:t>minister financií</w:t>
      </w:r>
    </w:p>
    <w:p w:rsidR="00EF0D44">
      <w:pPr>
        <w:tabs>
          <w:tab w:val="left" w:pos="6120"/>
        </w:tabs>
        <w:bidi w:val="0"/>
        <w:rPr>
          <w:rFonts w:ascii="Times New Roman" w:hAnsi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4286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68" w:rsidRPr="00210EF1">
    <w:pPr>
      <w:pStyle w:val="Footer"/>
      <w:framePr w:wrap="around" w:vAnchor="text" w:hAnchor="margin" w:xAlign="right"/>
      <w:bidi w:val="0"/>
      <w:rPr>
        <w:rStyle w:val="PageNumber"/>
        <w:rFonts w:ascii="Arial Narrow" w:hAnsi="Arial Narrow"/>
        <w:sz w:val="22"/>
        <w:szCs w:val="22"/>
      </w:rPr>
    </w:pPr>
    <w:r w:rsidRPr="00210EF1">
      <w:rPr>
        <w:rStyle w:val="PageNumber"/>
        <w:rFonts w:ascii="Arial Narrow" w:hAnsi="Arial Narrow"/>
        <w:sz w:val="22"/>
        <w:szCs w:val="22"/>
      </w:rPr>
      <w:fldChar w:fldCharType="begin"/>
    </w:r>
    <w:r w:rsidRPr="00210EF1">
      <w:rPr>
        <w:rStyle w:val="PageNumber"/>
        <w:rFonts w:ascii="Arial Narrow" w:hAnsi="Arial Narrow"/>
        <w:sz w:val="22"/>
        <w:szCs w:val="22"/>
      </w:rPr>
      <w:instrText xml:space="preserve">PAGE  </w:instrText>
    </w:r>
    <w:r w:rsidRPr="00210EF1">
      <w:rPr>
        <w:rStyle w:val="PageNumber"/>
        <w:rFonts w:ascii="Arial Narrow" w:hAnsi="Arial Narrow"/>
        <w:sz w:val="22"/>
        <w:szCs w:val="22"/>
      </w:rPr>
      <w:fldChar w:fldCharType="separate"/>
    </w:r>
    <w:r w:rsidR="00C33E22">
      <w:rPr>
        <w:rStyle w:val="PageNumber"/>
        <w:rFonts w:ascii="Arial Narrow" w:hAnsi="Arial Narrow"/>
        <w:noProof/>
        <w:sz w:val="22"/>
        <w:szCs w:val="22"/>
      </w:rPr>
      <w:t>1</w:t>
    </w:r>
    <w:r w:rsidRPr="00210EF1">
      <w:rPr>
        <w:rStyle w:val="PageNumber"/>
        <w:rFonts w:ascii="Arial Narrow" w:hAnsi="Arial Narrow"/>
        <w:sz w:val="22"/>
        <w:szCs w:val="22"/>
      </w:rPr>
      <w:fldChar w:fldCharType="end"/>
    </w:r>
  </w:p>
  <w:p w:rsidR="00242868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F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749F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9C5682">
      <w:pPr>
        <w:pStyle w:val="FootnoteText"/>
        <w:bidi w:val="0"/>
        <w:jc w:val="both"/>
        <w:rPr>
          <w:rFonts w:ascii="Times New Roman" w:hAnsi="Times New Roman"/>
        </w:rPr>
      </w:pPr>
      <w:r w:rsidRPr="00571260" w:rsidR="006611EC">
        <w:rPr>
          <w:rStyle w:val="FootnoteReference"/>
          <w:rFonts w:ascii="Arial Narrow" w:hAnsi="Arial Narrow"/>
          <w:sz w:val="22"/>
          <w:szCs w:val="22"/>
          <w:vertAlign w:val="baseline"/>
        </w:rPr>
        <w:footnoteRef/>
      </w:r>
      <w:r w:rsidRPr="00571260" w:rsidR="006611EC">
        <w:rPr>
          <w:rFonts w:ascii="Arial Narrow" w:hAnsi="Arial Narrow"/>
          <w:sz w:val="22"/>
          <w:szCs w:val="22"/>
          <w:lang w:val="sk-SK" w:eastAsia="x-none"/>
        </w:rPr>
        <w:t>)</w:t>
      </w:r>
      <w:r w:rsidRPr="006611EC" w:rsidR="006611EC">
        <w:rPr>
          <w:rFonts w:ascii="Arial Narrow" w:hAnsi="Arial Narrow"/>
          <w:sz w:val="22"/>
          <w:szCs w:val="22"/>
          <w:lang w:val="sk-SK" w:eastAsia="x-none"/>
        </w:rPr>
        <w:t xml:space="preserve"> Napríklad § 2 ods. 2 Obchodného zákonníka, zákon č. 111/1990 Zb. o štátnom podniku v znení neskorších predpisov.</w:t>
      </w:r>
    </w:p>
  </w:footnote>
  <w:footnote w:id="3">
    <w:p w:rsidP="00346A22">
      <w:pPr>
        <w:bidi w:val="0"/>
        <w:jc w:val="both"/>
        <w:rPr>
          <w:rFonts w:ascii="Times New Roman" w:hAnsi="Times New Roman"/>
        </w:rPr>
      </w:pPr>
      <w:r w:rsidRPr="00B55FBF" w:rsidR="00571260">
        <w:rPr>
          <w:rStyle w:val="FootnoteReference"/>
          <w:rFonts w:ascii="Arial Narrow" w:hAnsi="Arial Narrow"/>
          <w:sz w:val="22"/>
          <w:szCs w:val="22"/>
          <w:vertAlign w:val="baseline"/>
          <w:lang w:val="sk-SK"/>
        </w:rPr>
        <w:footnoteRef/>
      </w:r>
      <w:r w:rsidRPr="00B55FBF" w:rsidR="00571260">
        <w:rPr>
          <w:rFonts w:ascii="Arial Narrow" w:hAnsi="Arial Narrow"/>
          <w:sz w:val="22"/>
          <w:szCs w:val="22"/>
          <w:lang w:val="sk-SK"/>
        </w:rPr>
        <w:t xml:space="preserve">) </w:t>
      </w:r>
      <w:r w:rsidRPr="00B55FBF" w:rsidR="00346A22">
        <w:rPr>
          <w:rFonts w:ascii="Arial Narrow" w:hAnsi="Arial Narrow"/>
          <w:sz w:val="22"/>
          <w:lang w:val="sk-SK"/>
        </w:rPr>
        <w:t>Opatrenie Ministerstva financií Slovenskej republiky z </w:t>
      </w:r>
      <w:r w:rsidR="00B55FBF">
        <w:rPr>
          <w:rFonts w:ascii="Arial Narrow" w:hAnsi="Arial Narrow"/>
          <w:sz w:val="22"/>
          <w:lang w:val="sk-SK"/>
        </w:rPr>
        <w:t>..</w:t>
      </w:r>
      <w:r w:rsidRPr="00B55FBF" w:rsidR="00346A22">
        <w:rPr>
          <w:rFonts w:ascii="Arial Narrow" w:hAnsi="Arial Narrow"/>
          <w:sz w:val="22"/>
          <w:lang w:val="sk-SK"/>
        </w:rPr>
        <w:t xml:space="preserve">. 2011 č. MF/xxx/2011-74, </w:t>
      </w:r>
      <w:r w:rsidRPr="00B55FBF" w:rsidR="00346A22">
        <w:rPr>
          <w:rFonts w:ascii="Arial Narrow" w:hAnsi="Arial Narrow" w:cs="Arial Narrow"/>
          <w:sz w:val="22"/>
          <w:szCs w:val="22"/>
          <w:lang w:val="sk-SK"/>
        </w:rPr>
        <w:t>ktorým sa ustanovuj</w:t>
      </w:r>
      <w:r w:rsidRPr="00B55FBF" w:rsidR="00B55FBF">
        <w:rPr>
          <w:rFonts w:ascii="Arial Narrow" w:hAnsi="Arial Narrow" w:cs="Arial Narrow"/>
          <w:sz w:val="22"/>
          <w:szCs w:val="22"/>
          <w:lang w:val="sk-SK"/>
        </w:rPr>
        <w:t>e</w:t>
      </w:r>
      <w:r w:rsidRPr="00B55FBF" w:rsidR="00346A22">
        <w:rPr>
          <w:rFonts w:ascii="Arial Narrow" w:hAnsi="Arial Narrow" w:cs="Arial Narrow"/>
          <w:sz w:val="22"/>
          <w:szCs w:val="22"/>
          <w:lang w:val="sk-SK"/>
        </w:rPr>
        <w:t xml:space="preserve">  rozsah</w:t>
      </w:r>
      <w:r w:rsidRPr="00B55FBF" w:rsidR="00B55FBF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B55FBF" w:rsidR="00346A22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B55FBF" w:rsidR="00B55FBF">
        <w:rPr>
          <w:rFonts w:ascii="Arial Narrow" w:hAnsi="Arial Narrow"/>
          <w:sz w:val="22"/>
          <w:szCs w:val="22"/>
          <w:lang w:val="sk-SK"/>
        </w:rPr>
        <w:t>spôsob, miesto a termíny ukladania výkazu vybraných údajov z konsolidovanej  účtovnej závierky</w:t>
      </w:r>
      <w:r w:rsidRPr="00B55FBF" w:rsidR="00B55FBF">
        <w:rPr>
          <w:rFonts w:ascii="Arial Narrow" w:hAnsi="Arial Narrow" w:cs="Arial"/>
          <w:bCs/>
          <w:sz w:val="22"/>
          <w:szCs w:val="22"/>
          <w:lang w:val="sk-SK"/>
        </w:rPr>
        <w:t xml:space="preserve"> pre účtovné jednotky</w:t>
      </w:r>
      <w:r w:rsidRPr="00B55FBF" w:rsidR="00346A22">
        <w:rPr>
          <w:rFonts w:ascii="Arial Narrow" w:hAnsi="Arial Narrow" w:cs="Arial Narrow"/>
          <w:sz w:val="22"/>
          <w:szCs w:val="22"/>
          <w:lang w:val="sk-SK"/>
        </w:rPr>
        <w:t>, ktorými sú</w:t>
      </w:r>
      <w:r w:rsidRPr="00B55FBF" w:rsidR="00346A22">
        <w:rPr>
          <w:rFonts w:ascii="Arial Narrow" w:hAnsi="Arial Narrow" w:cs="Arial"/>
          <w:sz w:val="22"/>
          <w:szCs w:val="22"/>
          <w:lang w:val="sk-SK"/>
        </w:rPr>
        <w:t xml:space="preserve"> banky, správcovské spoločnosti, dôchodkové správcovské spoločnosti, doplnkové dôchodkové spoločnosti, obchodníci s cennými papiermi,  Burza cenných papierov a platobné inštitúcie, Opatrenie Ministerstva financií Slovenskej republiky </w:t>
      </w:r>
      <w:r w:rsidRPr="00B55FBF" w:rsidR="00346A22">
        <w:rPr>
          <w:rFonts w:ascii="Arial Narrow" w:hAnsi="Arial Narrow" w:cs="Arial"/>
          <w:bCs/>
          <w:sz w:val="22"/>
          <w:szCs w:val="22"/>
          <w:lang w:val="sk-SK"/>
        </w:rPr>
        <w:t>z</w:t>
      </w:r>
      <w:r w:rsidR="00B55FBF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Pr="00B55FBF" w:rsidR="00346A22">
        <w:rPr>
          <w:rFonts w:ascii="Arial Narrow" w:hAnsi="Arial Narrow" w:cs="Arial"/>
          <w:bCs/>
          <w:sz w:val="22"/>
          <w:szCs w:val="22"/>
          <w:lang w:val="sk-SK"/>
        </w:rPr>
        <w:t>... 2011 č. MF/x</w:t>
      </w:r>
      <w:r w:rsidR="00B55FBF">
        <w:rPr>
          <w:rFonts w:ascii="Arial Narrow" w:hAnsi="Arial Narrow" w:cs="Arial"/>
          <w:bCs/>
          <w:sz w:val="22"/>
          <w:szCs w:val="22"/>
          <w:lang w:val="sk-SK"/>
        </w:rPr>
        <w:t>x</w:t>
      </w:r>
      <w:r w:rsidRPr="00B55FBF" w:rsidR="00346A22">
        <w:rPr>
          <w:rFonts w:ascii="Arial Narrow" w:hAnsi="Arial Narrow" w:cs="Arial"/>
          <w:bCs/>
          <w:sz w:val="22"/>
          <w:szCs w:val="22"/>
          <w:lang w:val="sk-SK"/>
        </w:rPr>
        <w:t>x/2011-74, ktorým sa ustanovuje r</w:t>
      </w:r>
      <w:r w:rsidRPr="00B55FBF" w:rsidR="00346A22">
        <w:rPr>
          <w:rFonts w:ascii="Arial Narrow" w:hAnsi="Arial Narrow"/>
          <w:sz w:val="22"/>
          <w:szCs w:val="22"/>
          <w:lang w:val="sk-SK"/>
        </w:rPr>
        <w:t>ozsah, spôsob, miesto a termíny ukladania výkazu vybraných údajov z konsolidovanej  účtovnej závierky</w:t>
      </w:r>
      <w:r w:rsidRPr="00B55FBF" w:rsidR="00346A22">
        <w:rPr>
          <w:rFonts w:ascii="Arial Narrow" w:hAnsi="Arial Narrow" w:cs="Arial"/>
          <w:bCs/>
          <w:sz w:val="22"/>
          <w:szCs w:val="22"/>
          <w:lang w:val="sk-SK"/>
        </w:rPr>
        <w:t xml:space="preserve"> pre účtovné jednotky, ktorými sú poisťovne a zaisťovne</w:t>
      </w:r>
      <w:r w:rsidRPr="00B55FBF" w:rsidR="00592CA2">
        <w:rPr>
          <w:rFonts w:ascii="Arial Narrow" w:hAnsi="Arial Narrow" w:cs="Arial"/>
          <w:bCs/>
          <w:sz w:val="22"/>
          <w:szCs w:val="22"/>
          <w:lang w:val="sk-SK"/>
        </w:rPr>
        <w:t>.</w:t>
      </w:r>
      <w:r w:rsidRPr="00B55FBF" w:rsidR="00571260">
        <w:rPr>
          <w:rFonts w:ascii="Arial Narrow" w:hAnsi="Arial Narrow"/>
          <w:sz w:val="22"/>
          <w:szCs w:val="22"/>
          <w:lang w:val="sk-SK"/>
        </w:rPr>
        <w:t xml:space="preserve"> </w:t>
      </w:r>
    </w:p>
  </w:footnote>
  <w:footnote w:id="4">
    <w:p w:rsidR="00164B62" w:rsidRPr="00164B62" w:rsidP="007067B8">
      <w:pPr>
        <w:bidi w:val="0"/>
        <w:jc w:val="both"/>
        <w:rPr>
          <w:rFonts w:ascii="Arial Narrow" w:hAnsi="Arial Narrow"/>
          <w:sz w:val="22"/>
          <w:szCs w:val="22"/>
          <w:lang w:val="sk-SK"/>
        </w:rPr>
      </w:pPr>
      <w:r w:rsidRPr="00D8263F">
        <w:rPr>
          <w:rStyle w:val="FootnoteReference"/>
          <w:rFonts w:ascii="Arial Narrow" w:hAnsi="Arial Narrow"/>
          <w:sz w:val="22"/>
          <w:szCs w:val="22"/>
          <w:vertAlign w:val="baseline"/>
        </w:rPr>
        <w:footnoteRef/>
      </w:r>
      <w:r w:rsidRPr="00D8263F">
        <w:rPr>
          <w:rFonts w:ascii="Arial Narrow" w:hAnsi="Arial Narrow"/>
          <w:sz w:val="22"/>
          <w:szCs w:val="22"/>
          <w:lang w:val="sk-SK"/>
        </w:rPr>
        <w:t>)</w:t>
      </w:r>
      <w:r w:rsidR="00571260">
        <w:rPr>
          <w:rFonts w:ascii="Arial Narrow" w:hAnsi="Arial Narrow"/>
          <w:sz w:val="22"/>
          <w:szCs w:val="22"/>
          <w:lang w:val="sk-SK"/>
        </w:rPr>
        <w:t xml:space="preserve"> </w:t>
      </w:r>
      <w:r w:rsidRPr="00164B62" w:rsidR="00EF0D44">
        <w:rPr>
          <w:rFonts w:ascii="Arial Narrow" w:hAnsi="Arial Narrow"/>
          <w:sz w:val="22"/>
          <w:szCs w:val="22"/>
          <w:lang w:val="sk-SK"/>
        </w:rPr>
        <w:t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v platnom znení.</w:t>
      </w:r>
      <w:r w:rsidRPr="00C535EE" w:rsidR="00EF0D44"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   </w:t>
      </w:r>
      <w:r w:rsidR="00EF0D44"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Pr="00C535EE" w:rsidR="00EF0D44">
        <w:rPr>
          <w:rFonts w:ascii="Arial Narrow" w:hAnsi="Arial Narrow" w:cs="Arial"/>
          <w:sz w:val="22"/>
          <w:szCs w:val="22"/>
          <w:lang w:val="sk-SK"/>
        </w:rPr>
        <w:t xml:space="preserve">   </w:t>
      </w:r>
    </w:p>
    <w:p w:rsidP="007067B8">
      <w:pPr>
        <w:bidi w:val="0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2685610"/>
    <w:multiLevelType w:val="hybridMultilevel"/>
    <w:tmpl w:val="D06A17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4A2BE0"/>
    <w:multiLevelType w:val="hybridMultilevel"/>
    <w:tmpl w:val="1B1C79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C27546"/>
    <w:multiLevelType w:val="hybridMultilevel"/>
    <w:tmpl w:val="3064D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7C9B15DF"/>
    <w:multiLevelType w:val="hybridMultilevel"/>
    <w:tmpl w:val="7FA69CF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E403A9"/>
    <w:rsid w:val="00005172"/>
    <w:rsid w:val="000247A6"/>
    <w:rsid w:val="000753AC"/>
    <w:rsid w:val="000A482A"/>
    <w:rsid w:val="000F25CC"/>
    <w:rsid w:val="00100972"/>
    <w:rsid w:val="001141A6"/>
    <w:rsid w:val="0011446A"/>
    <w:rsid w:val="00154CB4"/>
    <w:rsid w:val="00164B62"/>
    <w:rsid w:val="001A1A7A"/>
    <w:rsid w:val="001C491F"/>
    <w:rsid w:val="001D226C"/>
    <w:rsid w:val="001F591E"/>
    <w:rsid w:val="00204CD2"/>
    <w:rsid w:val="00210EF1"/>
    <w:rsid w:val="002235EB"/>
    <w:rsid w:val="00242868"/>
    <w:rsid w:val="00265F59"/>
    <w:rsid w:val="002749FA"/>
    <w:rsid w:val="0028391B"/>
    <w:rsid w:val="003064CE"/>
    <w:rsid w:val="00313C95"/>
    <w:rsid w:val="00315FA7"/>
    <w:rsid w:val="00316CBC"/>
    <w:rsid w:val="003232A7"/>
    <w:rsid w:val="00327AB7"/>
    <w:rsid w:val="00346A22"/>
    <w:rsid w:val="00354861"/>
    <w:rsid w:val="0039687C"/>
    <w:rsid w:val="003B1618"/>
    <w:rsid w:val="003F131F"/>
    <w:rsid w:val="003F2105"/>
    <w:rsid w:val="00406A85"/>
    <w:rsid w:val="0044547D"/>
    <w:rsid w:val="0047156F"/>
    <w:rsid w:val="004A62C1"/>
    <w:rsid w:val="004B7B4D"/>
    <w:rsid w:val="004E4807"/>
    <w:rsid w:val="004E7BAB"/>
    <w:rsid w:val="00501001"/>
    <w:rsid w:val="005371AD"/>
    <w:rsid w:val="00565431"/>
    <w:rsid w:val="00571260"/>
    <w:rsid w:val="00575015"/>
    <w:rsid w:val="0058590B"/>
    <w:rsid w:val="00592CA2"/>
    <w:rsid w:val="00593343"/>
    <w:rsid w:val="005B2C8F"/>
    <w:rsid w:val="0060078B"/>
    <w:rsid w:val="00601808"/>
    <w:rsid w:val="00601BD6"/>
    <w:rsid w:val="00636996"/>
    <w:rsid w:val="00653F64"/>
    <w:rsid w:val="006611EC"/>
    <w:rsid w:val="0066637C"/>
    <w:rsid w:val="006868F7"/>
    <w:rsid w:val="006A789F"/>
    <w:rsid w:val="006B0CD3"/>
    <w:rsid w:val="006D78A2"/>
    <w:rsid w:val="007067B8"/>
    <w:rsid w:val="00707F78"/>
    <w:rsid w:val="00722C55"/>
    <w:rsid w:val="0076657C"/>
    <w:rsid w:val="00776F1D"/>
    <w:rsid w:val="00787E14"/>
    <w:rsid w:val="007E3133"/>
    <w:rsid w:val="00817A89"/>
    <w:rsid w:val="008577BB"/>
    <w:rsid w:val="00882317"/>
    <w:rsid w:val="008B691B"/>
    <w:rsid w:val="008C1FBD"/>
    <w:rsid w:val="008D050F"/>
    <w:rsid w:val="009043EE"/>
    <w:rsid w:val="009C24C4"/>
    <w:rsid w:val="009C5682"/>
    <w:rsid w:val="00A42696"/>
    <w:rsid w:val="00A457B7"/>
    <w:rsid w:val="00A45BC6"/>
    <w:rsid w:val="00A55820"/>
    <w:rsid w:val="00A56CB7"/>
    <w:rsid w:val="00A76B38"/>
    <w:rsid w:val="00A8355A"/>
    <w:rsid w:val="00A940D8"/>
    <w:rsid w:val="00AA7EE9"/>
    <w:rsid w:val="00AD5168"/>
    <w:rsid w:val="00AD5191"/>
    <w:rsid w:val="00AE0A1B"/>
    <w:rsid w:val="00AE2C85"/>
    <w:rsid w:val="00AF5B4A"/>
    <w:rsid w:val="00B0120B"/>
    <w:rsid w:val="00B06A39"/>
    <w:rsid w:val="00B10849"/>
    <w:rsid w:val="00B21070"/>
    <w:rsid w:val="00B22638"/>
    <w:rsid w:val="00B55FBF"/>
    <w:rsid w:val="00B5706D"/>
    <w:rsid w:val="00B91B5F"/>
    <w:rsid w:val="00BA2684"/>
    <w:rsid w:val="00BA319B"/>
    <w:rsid w:val="00BC3735"/>
    <w:rsid w:val="00BE38AF"/>
    <w:rsid w:val="00BE5680"/>
    <w:rsid w:val="00C00445"/>
    <w:rsid w:val="00C06373"/>
    <w:rsid w:val="00C24C86"/>
    <w:rsid w:val="00C33E22"/>
    <w:rsid w:val="00C535EE"/>
    <w:rsid w:val="00C53A57"/>
    <w:rsid w:val="00C76251"/>
    <w:rsid w:val="00D07CB2"/>
    <w:rsid w:val="00D13300"/>
    <w:rsid w:val="00D23CA7"/>
    <w:rsid w:val="00D31899"/>
    <w:rsid w:val="00D543FB"/>
    <w:rsid w:val="00D6328C"/>
    <w:rsid w:val="00D7538B"/>
    <w:rsid w:val="00D8263F"/>
    <w:rsid w:val="00D97D9C"/>
    <w:rsid w:val="00DC0C9E"/>
    <w:rsid w:val="00DC65E5"/>
    <w:rsid w:val="00DD0164"/>
    <w:rsid w:val="00DE2710"/>
    <w:rsid w:val="00E26F3A"/>
    <w:rsid w:val="00E33066"/>
    <w:rsid w:val="00E37238"/>
    <w:rsid w:val="00E403A9"/>
    <w:rsid w:val="00E5214C"/>
    <w:rsid w:val="00E82D96"/>
    <w:rsid w:val="00E84C43"/>
    <w:rsid w:val="00E876A4"/>
    <w:rsid w:val="00EA31D0"/>
    <w:rsid w:val="00EB4E9D"/>
    <w:rsid w:val="00EB5D98"/>
    <w:rsid w:val="00ED615B"/>
    <w:rsid w:val="00EF0D44"/>
    <w:rsid w:val="00F2237A"/>
    <w:rsid w:val="00F312DD"/>
    <w:rsid w:val="00F34C05"/>
    <w:rsid w:val="00F46F57"/>
    <w:rsid w:val="00F47BB2"/>
    <w:rsid w:val="00F871B0"/>
    <w:rsid w:val="00FB7B4D"/>
    <w:rsid w:val="00FD71D3"/>
    <w:rsid w:val="00FE48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GB" w:eastAsia="sk-SK" w:bidi="ar-SA"/>
    </w:rPr>
  </w:style>
  <w:style w:type="paragraph" w:styleId="Heading1">
    <w:name w:val="heading 1"/>
    <w:basedOn w:val="Normal"/>
    <w:next w:val="Normal"/>
    <w:qFormat/>
    <w:rsid w:val="00722C55"/>
    <w:pPr>
      <w:keepNext/>
      <w:jc w:val="center"/>
      <w:outlineLvl w:val="0"/>
    </w:pPr>
    <w:rPr>
      <w:rFonts w:ascii="Arial Narrow" w:hAnsi="Arial Narrow"/>
      <w:b/>
      <w:bCs/>
      <w:sz w:val="22"/>
      <w:szCs w:val="16"/>
      <w:lang w:val="sk-SK"/>
    </w:rPr>
  </w:style>
  <w:style w:type="paragraph" w:styleId="Heading2">
    <w:name w:val="heading 2"/>
    <w:basedOn w:val="Normal"/>
    <w:next w:val="Normal"/>
    <w:qFormat/>
    <w:rsid w:val="00722C55"/>
    <w:pPr>
      <w:keepNext/>
      <w:jc w:val="left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qFormat/>
    <w:rsid w:val="00722C55"/>
    <w:pPr>
      <w:keepNext/>
      <w:jc w:val="center"/>
      <w:outlineLvl w:val="2"/>
    </w:pPr>
    <w:rPr>
      <w:rFonts w:ascii="Arial Narrow" w:hAnsi="Arial Narrow"/>
      <w:b/>
      <w:bCs/>
      <w:sz w:val="20"/>
      <w:szCs w:val="20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22C5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22C55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22C55"/>
    <w:pPr>
      <w:tabs>
        <w:tab w:val="left" w:pos="180"/>
        <w:tab w:val="left" w:pos="3420"/>
        <w:tab w:val="left" w:pos="3600"/>
        <w:tab w:val="left" w:pos="3960"/>
        <w:tab w:val="left" w:pos="5400"/>
      </w:tabs>
      <w:jc w:val="center"/>
    </w:pPr>
    <w:rPr>
      <w:rFonts w:ascii="Arial Narrow" w:hAnsi="Arial Narrow"/>
      <w:b/>
      <w:szCs w:val="20"/>
      <w:lang w:val="sk-SK"/>
    </w:rPr>
  </w:style>
  <w:style w:type="paragraph" w:customStyle="1" w:styleId="CharCharChar">
    <w:name w:val="Char Char Char"/>
    <w:basedOn w:val="Normal"/>
    <w:rsid w:val="0010097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210EF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sid w:val="00210EF1"/>
    <w:rPr>
      <w:sz w:val="24"/>
      <w:lang w:val="en-GB" w:eastAsia="x-non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DD016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DD0164"/>
    <w:rPr>
      <w:lang w:val="en-GB" w:eastAsia="x-none"/>
    </w:rPr>
  </w:style>
  <w:style w:type="character" w:styleId="FootnoteReference">
    <w:name w:val="footnote reference"/>
    <w:uiPriority w:val="99"/>
    <w:semiHidden/>
    <w:unhideWhenUsed/>
    <w:rsid w:val="00DD0164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5BC6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A45BC6"/>
    <w:rPr>
      <w:rFonts w:ascii="Tahoma" w:hAnsi="Tahoma" w:cs="Tahoma"/>
      <w:sz w:val="16"/>
      <w:lang w:val="en-GB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DA4C-70CF-4505-9FDA-FE52D155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369</Words>
  <Characters>2311</Characters>
  <Application>Microsoft Office Word</Application>
  <DocSecurity>0</DocSecurity>
  <Lines>0</Lines>
  <Paragraphs>0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isalkovicova</cp:lastModifiedBy>
  <cp:revision>2</cp:revision>
  <cp:lastPrinted>2011-09-19T11:22:00Z</cp:lastPrinted>
  <dcterms:created xsi:type="dcterms:W3CDTF">2011-09-21T12:01:00Z</dcterms:created>
  <dcterms:modified xsi:type="dcterms:W3CDTF">2011-09-21T12:01:00Z</dcterms:modified>
</cp:coreProperties>
</file>