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3D23" w:rsidRPr="00A64D2D" w:rsidP="00933D23">
      <w:pPr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  <w:r w:rsidR="00617BED">
        <w:rPr>
          <w:rFonts w:ascii="Times New Roman" w:hAnsi="Times New Roman"/>
          <w:b/>
          <w:caps/>
          <w:color w:val="000000"/>
          <w:spacing w:val="30"/>
        </w:rPr>
        <w:t xml:space="preserve"> </w:t>
      </w:r>
    </w:p>
    <w:p w:rsidR="005E6378" w:rsidRPr="003A48BA" w:rsidP="005E6378">
      <w:pPr>
        <w:bidi w:val="0"/>
        <w:jc w:val="center"/>
        <w:rPr>
          <w:rFonts w:ascii="Times New Roman" w:hAnsi="Times New Roman"/>
          <w:b/>
        </w:rPr>
      </w:pPr>
    </w:p>
    <w:p w:rsidR="005E6378" w:rsidRPr="003A48BA" w:rsidP="005E6378">
      <w:pPr>
        <w:bidi w:val="0"/>
        <w:jc w:val="center"/>
        <w:rPr>
          <w:rFonts w:ascii="Times New Roman" w:hAnsi="Times New Roman"/>
          <w:b/>
        </w:rPr>
      </w:pPr>
    </w:p>
    <w:p w:rsidR="005E6378" w:rsidP="005E6378">
      <w:pPr>
        <w:bidi w:val="0"/>
        <w:rPr>
          <w:rFonts w:ascii="Times New Roman" w:hAnsi="Times New Roman"/>
        </w:rPr>
      </w:pPr>
    </w:p>
    <w:p w:rsidR="009D3306" w:rsidRPr="003A48BA" w:rsidP="005E6378">
      <w:pPr>
        <w:bidi w:val="0"/>
        <w:rPr>
          <w:rFonts w:ascii="Times New Roman" w:hAnsi="Times New Roman"/>
        </w:rPr>
      </w:pPr>
    </w:p>
    <w:p w:rsidR="005E6378" w:rsidRPr="003A48BA" w:rsidP="00D344BE">
      <w:pPr>
        <w:numPr>
          <w:numId w:val="1"/>
        </w:numPr>
        <w:tabs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  <w:b/>
        </w:rPr>
      </w:pPr>
      <w:r w:rsidR="00D344BE">
        <w:rPr>
          <w:rFonts w:ascii="Times New Roman" w:hAnsi="Times New Roman"/>
          <w:b/>
        </w:rPr>
        <w:t>Všeobecná časť</w:t>
      </w:r>
    </w:p>
    <w:p w:rsidR="0006040A" w:rsidP="0006040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D3306" w:rsidRPr="003A48BA" w:rsidP="0006040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15465" w:rsidP="00C15465">
      <w:pPr>
        <w:bidi w:val="0"/>
        <w:ind w:firstLine="36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 xml:space="preserve">Návrh zákona o rozpočtovom určení výnosu niektorých daní územnej samospráve predstavuje aktualizáciu systému fiškálnej decentralizácie, ktorým sa zabezpečuje financovanie originálnych pôsobností územnej samosprávy od roku 2005. </w:t>
      </w:r>
    </w:p>
    <w:p w:rsidR="009D3306" w:rsidRPr="009D3306" w:rsidP="00C15465">
      <w:pPr>
        <w:bidi w:val="0"/>
        <w:ind w:firstLine="360"/>
        <w:jc w:val="both"/>
        <w:rPr>
          <w:rFonts w:ascii="Times New Roman" w:hAnsi="Times New Roman"/>
          <w:sz w:val="12"/>
          <w:szCs w:val="12"/>
        </w:rPr>
      </w:pP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</w:p>
    <w:p w:rsidR="00C15465" w:rsidP="00C15465">
      <w:pPr>
        <w:bidi w:val="0"/>
        <w:spacing w:after="12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 xml:space="preserve">Návrh zákona sleduje tri základné ciele: </w:t>
      </w:r>
    </w:p>
    <w:p w:rsidR="009D3306" w:rsidRPr="00C15465" w:rsidP="00C15465">
      <w:pPr>
        <w:bidi w:val="0"/>
        <w:spacing w:after="120"/>
        <w:jc w:val="both"/>
        <w:rPr>
          <w:rFonts w:ascii="Times New Roman" w:hAnsi="Times New Roman"/>
        </w:rPr>
      </w:pPr>
    </w:p>
    <w:p w:rsidR="00C15465" w:rsidRPr="00C15465" w:rsidP="00C15465">
      <w:pPr>
        <w:pStyle w:val="ListParagraph"/>
        <w:numPr>
          <w:numId w:val="2"/>
        </w:numPr>
        <w:bidi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5465">
        <w:rPr>
          <w:rFonts w:ascii="Times New Roman" w:hAnsi="Times New Roman"/>
          <w:b/>
          <w:sz w:val="24"/>
          <w:szCs w:val="24"/>
        </w:rPr>
        <w:t>úprava deficitu verejnej správy v roku 2012</w:t>
      </w:r>
      <w:r w:rsidRPr="00C15465">
        <w:rPr>
          <w:rFonts w:ascii="Times New Roman" w:hAnsi="Times New Roman"/>
          <w:sz w:val="24"/>
          <w:szCs w:val="24"/>
        </w:rPr>
        <w:t xml:space="preserve"> prostredníctvom zvýšenia príjmov štátneho rozpočtu</w:t>
      </w:r>
      <w:r w:rsidR="0075116C">
        <w:rPr>
          <w:rFonts w:ascii="Times New Roman" w:hAnsi="Times New Roman"/>
          <w:sz w:val="24"/>
          <w:szCs w:val="24"/>
        </w:rPr>
        <w:t xml:space="preserve"> </w:t>
      </w:r>
      <w:r w:rsidRPr="00C15465">
        <w:rPr>
          <w:rFonts w:ascii="Times New Roman" w:hAnsi="Times New Roman"/>
          <w:sz w:val="24"/>
          <w:szCs w:val="24"/>
        </w:rPr>
        <w:t>v porovnaní s</w:t>
      </w:r>
      <w:r w:rsidR="0075116C">
        <w:rPr>
          <w:rFonts w:ascii="Times New Roman" w:hAnsi="Times New Roman"/>
          <w:sz w:val="24"/>
          <w:szCs w:val="24"/>
        </w:rPr>
        <w:t> pôvodným nastavením systému</w:t>
      </w:r>
      <w:r w:rsidRPr="00C15465">
        <w:rPr>
          <w:rFonts w:ascii="Times New Roman" w:hAnsi="Times New Roman"/>
          <w:sz w:val="24"/>
          <w:szCs w:val="24"/>
        </w:rPr>
        <w:t xml:space="preserve">. Uvedený návrh napriek tomu znamená medziročné zvýšenie príjmov územnej samosprávy z podielových daní v roku 2012 o 3,0% a zároveň predstavuje nárast príjmov ÚS oproti predkrízovému roku 2007 o 13,9%. </w:t>
      </w:r>
    </w:p>
    <w:p w:rsidR="00C15465" w:rsidRPr="00C15465" w:rsidP="00C15465">
      <w:pPr>
        <w:pStyle w:val="ListParagraph"/>
        <w:numPr>
          <w:numId w:val="2"/>
        </w:numPr>
        <w:bidi w:val="0"/>
        <w:spacing w:after="24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15465">
        <w:rPr>
          <w:rFonts w:ascii="Times New Roman" w:hAnsi="Times New Roman"/>
          <w:b/>
          <w:sz w:val="24"/>
          <w:szCs w:val="24"/>
        </w:rPr>
        <w:t xml:space="preserve">väčšiu spravodlivosť v prerozdelení daní – </w:t>
      </w:r>
      <w:r w:rsidRPr="00C15465">
        <w:rPr>
          <w:rFonts w:ascii="Times New Roman" w:hAnsi="Times New Roman"/>
          <w:sz w:val="24"/>
          <w:szCs w:val="24"/>
        </w:rPr>
        <w:t>zmenou definície základne pre výpočet podielových daní  čisto z dani z príjmov fyzických osôb (DPFO) na základné daňové príjmy verejnej správy sa od roku 2013 zabezpečí rovnaký rast príjmov územnej samosprávy z podielových daní ako je rast daňových príjmov štátneho rozpočtu.</w:t>
      </w:r>
    </w:p>
    <w:p w:rsidR="00C15465" w:rsidP="00C15465">
      <w:pPr>
        <w:pStyle w:val="ListParagraph"/>
        <w:numPr>
          <w:numId w:val="2"/>
        </w:numPr>
        <w:bidi w:val="0"/>
        <w:spacing w:after="16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="00A611AE">
        <w:rPr>
          <w:rFonts w:ascii="Times New Roman" w:hAnsi="Times New Roman"/>
          <w:b/>
          <w:sz w:val="24"/>
          <w:szCs w:val="24"/>
        </w:rPr>
        <w:t>väčšiu stabilitu</w:t>
      </w:r>
      <w:r w:rsidRPr="00C15465">
        <w:rPr>
          <w:rFonts w:ascii="Times New Roman" w:hAnsi="Times New Roman"/>
          <w:b/>
          <w:sz w:val="24"/>
          <w:szCs w:val="24"/>
        </w:rPr>
        <w:t xml:space="preserve"> príjmov územnej samosprávy</w:t>
      </w:r>
      <w:r w:rsidRPr="00C15465">
        <w:rPr>
          <w:rFonts w:ascii="Times New Roman" w:hAnsi="Times New Roman"/>
          <w:sz w:val="24"/>
          <w:szCs w:val="24"/>
        </w:rPr>
        <w:t xml:space="preserve"> – väzba príjmov na vývoj celkových daňových príjmov verejnej správy (nie len jednej konkrétnej dane) prináša so sebou vyššiu stabilitu, nakoľko v súčasnosti zmena vo vývoji DPFO (z dôvodu ekonomického vývoja alebo legislatívy) priamoúmerne ovplyvňuje príjmy územnej samosprávy. V novom systéme sa vplyv zmien znižuje, nakoľko váha jednotlivých daní je nižšia. </w:t>
      </w:r>
    </w:p>
    <w:p w:rsidR="009D3306" w:rsidRPr="00C15465" w:rsidP="009D3306">
      <w:pPr>
        <w:pStyle w:val="ListParagraph"/>
        <w:bidi w:val="0"/>
        <w:spacing w:after="16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15465" w:rsidP="009D3306">
      <w:pPr>
        <w:bidi w:val="0"/>
        <w:spacing w:after="240"/>
        <w:ind w:firstLine="357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 xml:space="preserve">Východiskom pri kvantifikácii nového modelu fiškálnej decentralizácie podľa predloženého návrhu zákona je </w:t>
      </w:r>
      <w:r w:rsidR="0075116C">
        <w:rPr>
          <w:rFonts w:ascii="Times New Roman" w:hAnsi="Times New Roman"/>
        </w:rPr>
        <w:t>úprava</w:t>
      </w:r>
      <w:r w:rsidRPr="00C15465">
        <w:rPr>
          <w:rFonts w:ascii="Times New Roman" w:hAnsi="Times New Roman"/>
        </w:rPr>
        <w:t xml:space="preserve"> príjmov územnej samosprávy z dôvodu nutnej fiškálnej konsolidácie tak, aby rast jej príjmov z podielových daní dosiahol v roku 2012 medziročný nárast o 3%. </w:t>
      </w:r>
    </w:p>
    <w:p w:rsidR="009D3306" w:rsidP="00C15465">
      <w:pPr>
        <w:pStyle w:val="ListParagraph"/>
        <w:bidi w:val="0"/>
        <w:spacing w:after="24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C15465" w:rsidR="00C15465">
        <w:rPr>
          <w:rFonts w:ascii="Times New Roman" w:hAnsi="Times New Roman"/>
          <w:sz w:val="24"/>
          <w:szCs w:val="24"/>
        </w:rPr>
        <w:t xml:space="preserve">Nadväzne na východiskovú kvantifikáciu sa určilo percento príjmov územnej samosprávy z nových podielových daní tak, aby v roku 2012 tento výnos (vrátane zúčtovania za rok 2011) predstavoval 1 637 mil. eur a uvedené percento sa aplikovalo na ďalšie roky. </w:t>
      </w:r>
    </w:p>
    <w:p w:rsidR="009D3306" w:rsidP="00C15465">
      <w:pPr>
        <w:pStyle w:val="ListParagraph"/>
        <w:bidi w:val="0"/>
        <w:spacing w:after="24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C15465" w:rsidP="00C15465">
      <w:pPr>
        <w:pStyle w:val="ListParagraph"/>
        <w:bidi w:val="0"/>
        <w:spacing w:after="24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C15465">
        <w:rPr>
          <w:rFonts w:ascii="Times New Roman" w:hAnsi="Times New Roman"/>
          <w:sz w:val="24"/>
          <w:szCs w:val="24"/>
        </w:rPr>
        <w:t xml:space="preserve">Podiel územnej samosprávy na celkových príjmoch verejnej správy bol takto stanovený na úrovni </w:t>
      </w:r>
      <w:r w:rsidRPr="00C15465">
        <w:rPr>
          <w:rFonts w:ascii="Times New Roman" w:hAnsi="Times New Roman"/>
          <w:b/>
          <w:sz w:val="24"/>
          <w:szCs w:val="24"/>
        </w:rPr>
        <w:t xml:space="preserve">12,97%, z toho obce 9,72% a VÚC 3,25 %. </w:t>
      </w:r>
      <w:r w:rsidRPr="00D91AF4" w:rsidR="00D91AF4">
        <w:rPr>
          <w:rFonts w:ascii="Times New Roman" w:hAnsi="Times New Roman"/>
          <w:sz w:val="24"/>
          <w:szCs w:val="24"/>
        </w:rPr>
        <w:t>Pri stanovení %-álneho podielu obcí a VÚC sa vychádzalo z júlovej prognózy daňových príjmov; prípadná aktualizácia daňovej prognózy môže byť reflektovaná v ďalšom legislatívnom procese.</w:t>
      </w:r>
      <w:r w:rsidR="00D91AF4">
        <w:rPr>
          <w:rFonts w:ascii="Times New Roman" w:hAnsi="Times New Roman"/>
          <w:sz w:val="24"/>
          <w:szCs w:val="24"/>
        </w:rPr>
        <w:t xml:space="preserve"> </w:t>
      </w:r>
      <w:r w:rsidRPr="00C15465">
        <w:rPr>
          <w:rFonts w:ascii="Times New Roman" w:hAnsi="Times New Roman"/>
          <w:sz w:val="24"/>
          <w:szCs w:val="24"/>
        </w:rPr>
        <w:t>Návrh neuvažuje do ďalších rokov s ponechaním m</w:t>
      </w:r>
      <w:r w:rsidR="00A03DE3">
        <w:rPr>
          <w:rFonts w:ascii="Times New Roman" w:hAnsi="Times New Roman"/>
          <w:sz w:val="24"/>
          <w:szCs w:val="24"/>
        </w:rPr>
        <w:t>echanizmu marcového zúčtovania.</w:t>
      </w:r>
    </w:p>
    <w:p w:rsidR="009D3306" w:rsidP="00C15465">
      <w:pPr>
        <w:pStyle w:val="ListParagraph"/>
        <w:bidi w:val="0"/>
        <w:spacing w:after="24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9D3306" w:rsidP="00C15465">
      <w:pPr>
        <w:pStyle w:val="ListParagraph"/>
        <w:bidi w:val="0"/>
        <w:spacing w:after="24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C15465" w:rsidP="00C15465">
      <w:pPr>
        <w:bidi w:val="0"/>
        <w:spacing w:after="240"/>
        <w:ind w:firstLine="425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 xml:space="preserve">Skutočné príjmy územnej samosprávy z DPFO do roku 2011 a navrhované príjmy z podielových daní v rokoch 2012 – 2014 sú nasledovné : </w:t>
      </w:r>
    </w:p>
    <w:p w:rsidR="009D3306" w:rsidRPr="00C15465" w:rsidP="00C15465">
      <w:pPr>
        <w:bidi w:val="0"/>
        <w:spacing w:after="240"/>
        <w:ind w:firstLine="425"/>
        <w:jc w:val="both"/>
        <w:rPr>
          <w:rFonts w:ascii="Times New Roman" w:hAnsi="Times New Roman"/>
        </w:rPr>
      </w:pPr>
    </w:p>
    <w:tbl>
      <w:tblPr>
        <w:tblStyle w:val="TableNormal"/>
        <w:tblW w:w="9914" w:type="dxa"/>
        <w:tblInd w:w="10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0"/>
        <w:gridCol w:w="2357"/>
        <w:gridCol w:w="666"/>
        <w:gridCol w:w="667"/>
        <w:gridCol w:w="666"/>
        <w:gridCol w:w="667"/>
        <w:gridCol w:w="666"/>
        <w:gridCol w:w="667"/>
        <w:gridCol w:w="666"/>
        <w:gridCol w:w="667"/>
        <w:gridCol w:w="478"/>
        <w:gridCol w:w="188"/>
        <w:gridCol w:w="667"/>
        <w:gridCol w:w="582"/>
      </w:tblGrid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93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Daňové príjmy ÚS a ŠR</w:t>
            </w:r>
            <w:r w:rsidRPr="004157C7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-</w:t>
            </w:r>
            <w:r w:rsidRPr="004157C7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návrh podielu ÚS na úrovni 12,97%</w:t>
            </w:r>
            <w:r w:rsidRPr="004157C7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 (hotovostný princíp, so sankciami, v mil. eur)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Garamond" w:hAnsi="Garamond" w:cs="Arial"/>
                <w:sz w:val="18"/>
                <w:szCs w:val="18"/>
              </w:rPr>
            </w:pPr>
            <w:r w:rsidRPr="004157C7">
              <w:rPr>
                <w:rFonts w:ascii="Garamond" w:hAnsi="Garamond" w:cs="Arial"/>
                <w:sz w:val="18"/>
                <w:szCs w:val="18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4157C7">
              <w:rPr>
                <w:rFonts w:ascii="Garamond" w:hAnsi="Garamond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2011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2012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2013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2014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18"/>
              </w:rPr>
              <w:t>Daňové príjmy</w:t>
            </w:r>
            <w:r w:rsidRPr="004157C7">
              <w:rPr>
                <w:rFonts w:ascii="Arial Narrow" w:hAnsi="Arial Narrow" w:cs="Arial"/>
                <w:sz w:val="18"/>
                <w:szCs w:val="18"/>
              </w:rPr>
              <w:t xml:space="preserve"> ÚS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(len DPFO)</w:t>
            </w:r>
            <w:r w:rsidR="00B912C7">
              <w:rPr>
                <w:rFonts w:ascii="Arial Narrow" w:hAnsi="Arial Narrow" w:cs="Arial"/>
                <w:sz w:val="18"/>
                <w:szCs w:val="18"/>
              </w:rPr>
              <w:t>*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1 179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1 336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1 437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1 709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1 610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1 3</w:t>
            </w: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 xml:space="preserve">1 </w:t>
            </w:r>
            <w:r>
              <w:rPr>
                <w:rFonts w:ascii="Arial Narrow" w:hAnsi="Arial Narrow" w:cs="Arial"/>
                <w:sz w:val="18"/>
                <w:szCs w:val="18"/>
              </w:rPr>
              <w:t>589</w:t>
            </w:r>
          </w:p>
        </w:tc>
        <w:tc>
          <w:tcPr>
            <w:tcW w:w="667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1 6</w:t>
            </w:r>
            <w:r>
              <w:rPr>
                <w:rFonts w:ascii="Arial Narrow" w:hAnsi="Arial Narrow" w:cs="Arial"/>
                <w:sz w:val="18"/>
                <w:szCs w:val="18"/>
              </w:rPr>
              <w:t>37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 xml:space="preserve">1 </w:t>
            </w:r>
            <w:r>
              <w:rPr>
                <w:rFonts w:ascii="Arial Narrow" w:hAnsi="Arial Narrow" w:cs="Arial"/>
                <w:sz w:val="18"/>
                <w:szCs w:val="18"/>
              </w:rPr>
              <w:t>796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1 9</w:t>
            </w:r>
            <w:r>
              <w:rPr>
                <w:rFonts w:ascii="Arial Narrow" w:hAnsi="Arial Narrow" w:cs="Arial"/>
                <w:sz w:val="18"/>
                <w:szCs w:val="18"/>
              </w:rPr>
              <w:t>07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sz w:val="18"/>
                <w:szCs w:val="18"/>
              </w:rPr>
              <w:t xml:space="preserve">        rast y-o-y (v %)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13,4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7,5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19,0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-5,8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-17,</w:t>
            </w: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nil"/>
              <w:left w:val="dashed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r</w:t>
            </w:r>
            <w:r w:rsidRPr="004157C7">
              <w:rPr>
                <w:rFonts w:ascii="Arial Narrow" w:hAnsi="Arial Narrow" w:cs="Arial"/>
                <w:sz w:val="18"/>
                <w:szCs w:val="18"/>
              </w:rPr>
              <w:t>ast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od roku 2005</w:t>
            </w:r>
            <w:r w:rsidRPr="004157C7">
              <w:rPr>
                <w:rFonts w:ascii="Arial Narrow" w:hAnsi="Arial Narrow" w:cs="Arial"/>
                <w:sz w:val="18"/>
                <w:szCs w:val="18"/>
              </w:rPr>
              <w:t xml:space="preserve"> (v %)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13,4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21,9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45,0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36,6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dashed" w:sz="4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nil"/>
              <w:left w:val="dashed" w:sz="4" w:space="0" w:color="auto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38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9*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B912C7">
            <w:pPr>
              <w:bidi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Daňové príjmy </w:t>
            </w:r>
            <w:r w:rsidRPr="004157C7">
              <w:rPr>
                <w:rFonts w:ascii="Arial Narrow" w:hAnsi="Arial Narrow" w:cs="Arial"/>
                <w:sz w:val="18"/>
                <w:szCs w:val="18"/>
              </w:rPr>
              <w:t>ŠR</w:t>
            </w:r>
            <w:r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7 388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7 843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8 572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9 024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8 024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B912C7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7 9</w:t>
            </w:r>
            <w:r w:rsidR="00B912C7">
              <w:rPr>
                <w:rFonts w:ascii="Arial Narrow" w:hAnsi="Arial Narrow" w:cs="Arial"/>
                <w:sz w:val="18"/>
                <w:szCs w:val="18"/>
              </w:rPr>
              <w:t>62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dashed" w:sz="4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8 8</w:t>
            </w:r>
            <w:r>
              <w:rPr>
                <w:rFonts w:ascii="Arial Narrow" w:hAnsi="Arial Narrow" w:cs="Arial"/>
                <w:sz w:val="18"/>
                <w:szCs w:val="18"/>
              </w:rPr>
              <w:t>47</w:t>
            </w:r>
          </w:p>
        </w:tc>
        <w:tc>
          <w:tcPr>
            <w:tcW w:w="667" w:type="dxa"/>
            <w:tcBorders>
              <w:top w:val="nil"/>
              <w:left w:val="dashed" w:sz="4" w:space="0" w:color="auto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 xml:space="preserve">9 </w:t>
            </w:r>
            <w:r>
              <w:rPr>
                <w:rFonts w:ascii="Arial Narrow" w:hAnsi="Arial Narrow" w:cs="Arial"/>
                <w:sz w:val="18"/>
                <w:szCs w:val="18"/>
              </w:rPr>
              <w:t>649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 xml:space="preserve">10 </w:t>
            </w:r>
            <w:r>
              <w:rPr>
                <w:rFonts w:ascii="Arial Narrow" w:hAnsi="Arial Narrow" w:cs="Arial"/>
                <w:sz w:val="18"/>
                <w:szCs w:val="18"/>
              </w:rPr>
              <w:t>482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156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sz w:val="18"/>
                <w:szCs w:val="18"/>
              </w:rPr>
            </w:pPr>
            <w:r w:rsidRPr="004157C7">
              <w:rPr>
                <w:rFonts w:ascii="Arial Narrow" w:hAnsi="Arial Narrow" w:cs="Arial"/>
                <w:sz w:val="18"/>
                <w:szCs w:val="18"/>
              </w:rPr>
              <w:t xml:space="preserve">        rast y-o-y (v %)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6,2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9,3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5,3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-11,1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-0,8</w:t>
            </w:r>
          </w:p>
        </w:tc>
        <w:tc>
          <w:tcPr>
            <w:tcW w:w="666" w:type="dxa"/>
            <w:tcBorders>
              <w:top w:val="nil"/>
              <w:left w:val="nil"/>
              <w:bottom w:val="none" w:sz="0" w:space="0" w:color="auto"/>
              <w:right w:val="dashed" w:sz="4" w:space="0" w:color="auto"/>
            </w:tcBorders>
            <w:noWrap/>
            <w:textDirection w:val="lrTb"/>
            <w:vAlign w:val="center"/>
            <w:hideMark/>
          </w:tcPr>
          <w:p w:rsidR="00BC3D17" w:rsidRPr="00D214F8" w:rsidP="00B912C7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11,</w:t>
            </w:r>
            <w:r w:rsidR="00B912C7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dashed" w:sz="4" w:space="0" w:color="auto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6,</w:t>
            </w: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r</w:t>
            </w:r>
            <w:r w:rsidRPr="004157C7">
              <w:rPr>
                <w:rFonts w:ascii="Arial Narrow" w:hAnsi="Arial Narrow" w:cs="Arial"/>
                <w:sz w:val="18"/>
                <w:szCs w:val="18"/>
              </w:rPr>
              <w:t>ast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od roku 2005</w:t>
            </w:r>
            <w:r w:rsidRPr="004157C7">
              <w:rPr>
                <w:rFonts w:ascii="Arial Narrow" w:hAnsi="Arial Narrow" w:cs="Arial"/>
                <w:sz w:val="18"/>
                <w:szCs w:val="18"/>
              </w:rPr>
              <w:t xml:space="preserve"> (v %)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6,2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16,0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22,1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8,6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B912C7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214F8">
              <w:rPr>
                <w:rFonts w:ascii="Arial Narrow" w:hAnsi="Arial Narrow" w:cs="Arial"/>
                <w:sz w:val="18"/>
                <w:szCs w:val="18"/>
              </w:rPr>
              <w:t>7,</w:t>
            </w:r>
            <w:r w:rsidR="00B912C7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dashed" w:sz="4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none" w:sz="0" w:space="0" w:color="auto"/>
              <w:left w:val="dashed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6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41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51</w:t>
            </w:r>
            <w:r w:rsidRPr="00D214F8">
              <w:rPr>
                <w:rFonts w:ascii="Arial Narrow" w:hAnsi="Arial Narrow" w:cs="Arial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CPI v (%)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2,7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4,5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2,8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4,6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1,6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1,0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dashed" w:sz="4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4,1</w:t>
            </w:r>
          </w:p>
        </w:tc>
        <w:tc>
          <w:tcPr>
            <w:tcW w:w="667" w:type="dxa"/>
            <w:tcBorders>
              <w:top w:val="none" w:sz="0" w:space="0" w:color="auto"/>
              <w:left w:val="dashed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3,5</w:t>
            </w:r>
          </w:p>
        </w:tc>
        <w:tc>
          <w:tcPr>
            <w:tcW w:w="66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3,5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3,7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318"/>
        </w:trPr>
        <w:tc>
          <w:tcPr>
            <w:tcW w:w="310" w:type="dxa"/>
            <w:tcBorders>
              <w:top w:val="none" w:sz="0" w:space="0" w:color="auto"/>
              <w:left w:val="nil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P="00CC36D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r</w:t>
            </w:r>
            <w:r w:rsidRPr="004157C7">
              <w:rPr>
                <w:rFonts w:ascii="Arial Narrow" w:hAnsi="Arial Narrow" w:cs="Arial"/>
                <w:sz w:val="18"/>
                <w:szCs w:val="18"/>
              </w:rPr>
              <w:t>ast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od roku 2005</w:t>
            </w:r>
            <w:r w:rsidRPr="004157C7">
              <w:rPr>
                <w:rFonts w:ascii="Arial Narrow" w:hAnsi="Arial Narrow" w:cs="Arial"/>
                <w:sz w:val="18"/>
                <w:szCs w:val="18"/>
              </w:rPr>
              <w:t xml:space="preserve"> (v %)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4,5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7,4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12,4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14,2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15,3</w:t>
            </w:r>
          </w:p>
        </w:tc>
        <w:tc>
          <w:tcPr>
            <w:tcW w:w="66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dashed" w:sz="4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20,0</w:t>
            </w:r>
          </w:p>
        </w:tc>
        <w:tc>
          <w:tcPr>
            <w:tcW w:w="667" w:type="dxa"/>
            <w:tcBorders>
              <w:top w:val="none" w:sz="0" w:space="0" w:color="auto"/>
              <w:left w:val="dashed" w:sz="4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24,2</w:t>
            </w:r>
          </w:p>
        </w:tc>
        <w:tc>
          <w:tcPr>
            <w:tcW w:w="66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28,6</w:t>
            </w:r>
          </w:p>
        </w:tc>
        <w:tc>
          <w:tcPr>
            <w:tcW w:w="66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D214F8" w:rsidP="00CC36DA">
            <w:pPr>
              <w:bidi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33,3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27"/>
        </w:trPr>
        <w:tc>
          <w:tcPr>
            <w:tcW w:w="8477" w:type="dxa"/>
            <w:gridSpan w:val="11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912C7" w:rsidP="00CC36DA">
            <w:pPr>
              <w:bidi w:val="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*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v roku 2005 bola časť nároku  vo výške 60,3 mil. Eur  zadržaná na mimorozpočtovom účte a do obcí a VÚC bola odoslaná až v roku 2006</w:t>
            </w:r>
          </w:p>
          <w:p w:rsidR="00BC3D17" w:rsidRPr="003E6714" w:rsidP="00CC36DA">
            <w:pPr>
              <w:bidi w:val="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* po zohľadnení legislatívou určených nových úloh v oblasti neštátneho školstva (27,8 mil. eur) rast daňových príjmov ÚS predstavuje 36,5%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textDirection w:val="lrTb"/>
            <w:vAlign w:val="center"/>
          </w:tcPr>
          <w:p w:rsidR="00BC3D17" w:rsidRPr="004157C7" w:rsidP="00CC36DA">
            <w:pPr>
              <w:bidi w:val="0"/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4157C7">
              <w:rPr>
                <w:rFonts w:ascii="Arial Narrow" w:hAnsi="Arial Narrow" w:cs="Arial"/>
                <w:i/>
                <w:iCs/>
                <w:sz w:val="16"/>
                <w:szCs w:val="16"/>
              </w:rPr>
              <w:t>Zdroj: IFP</w:t>
            </w:r>
          </w:p>
        </w:tc>
        <w:tc>
          <w:tcPr>
            <w:tcW w:w="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227"/>
        </w:trPr>
        <w:tc>
          <w:tcPr>
            <w:tcW w:w="9332" w:type="dxa"/>
            <w:gridSpan w:val="1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** bez emisnej dane a vplyvu daňovo-odvodovej reformy</w:t>
            </w:r>
          </w:p>
        </w:tc>
      </w:tr>
      <w:tr>
        <w:tblPrEx>
          <w:tblW w:w="9914" w:type="dxa"/>
          <w:tblInd w:w="10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582" w:type="dxa"/>
          <w:trHeight w:val="227"/>
        </w:trPr>
        <w:tc>
          <w:tcPr>
            <w:tcW w:w="9332" w:type="dxa"/>
            <w:gridSpan w:val="1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C3D17" w:rsidRPr="004157C7" w:rsidP="00CC36DA">
            <w:pPr>
              <w:bidi w:val="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*** ak by sa rast podielových daní ÚS v jednotlivých rokoch vyvíjal rovnako ako daňové príjmy ŠR, ÚS by získala na daniach za celé obdobie menej o 982 mil. Eur v porovnaní so skutočnosťou. </w:t>
            </w:r>
          </w:p>
        </w:tc>
      </w:tr>
    </w:tbl>
    <w:p w:rsidR="00BC3D17" w:rsidP="00C15465">
      <w:pPr>
        <w:bidi w:val="0"/>
        <w:ind w:firstLine="708"/>
        <w:jc w:val="both"/>
        <w:rPr>
          <w:rFonts w:ascii="Times New Roman" w:hAnsi="Times New Roman"/>
        </w:rPr>
      </w:pPr>
    </w:p>
    <w:p w:rsidR="00C15465" w:rsidRPr="00C15465" w:rsidP="00C15465">
      <w:pPr>
        <w:bidi w:val="0"/>
        <w:ind w:firstLine="708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 xml:space="preserve">Nastavením nového mechanizmu podielových daní sa docieli, že od roku 2013 už budú príjmy z podielových daní územnej samosprávy rásť rovnakým tempom ako daňové príjmy štátneho rozpočtu. Mierny rozdiel v jednotlivých rokoch bude spôsobený mesačným posunom prevodu daní samospráve. Z uvedeného dôvodu sa kumulatívny rast podielových daní ÚS a ŠR priebežne vyrovnáva. V roku 2014 bude rast daňových príjmov z podielových daní územnej samosprávy oproti roku 2012 na úrovni 16,5% a rast daňových príjmov ŠR približne 15,6%. 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</w:p>
    <w:p w:rsidR="00C15465" w:rsidRPr="00C15465" w:rsidP="00C15465">
      <w:pPr>
        <w:bidi w:val="0"/>
        <w:ind w:firstLine="708"/>
        <w:jc w:val="both"/>
        <w:rPr>
          <w:rFonts w:ascii="Times New Roman" w:hAnsi="Times New Roman"/>
        </w:rPr>
      </w:pPr>
      <w:r w:rsidR="0018413C">
        <w:rPr>
          <w:rFonts w:ascii="Times New Roman" w:hAnsi="Times New Roman"/>
        </w:rPr>
        <w:t>V</w:t>
      </w:r>
      <w:r w:rsidRPr="00C15465" w:rsidR="0018413C">
        <w:rPr>
          <w:rFonts w:ascii="Times New Roman" w:hAnsi="Times New Roman"/>
        </w:rPr>
        <w:t>plyv</w:t>
      </w:r>
      <w:r w:rsidR="0018413C">
        <w:rPr>
          <w:rFonts w:ascii="Times New Roman" w:hAnsi="Times New Roman"/>
        </w:rPr>
        <w:t>y</w:t>
      </w:r>
      <w:r w:rsidRPr="00C15465" w:rsidR="0018413C">
        <w:rPr>
          <w:rFonts w:ascii="Times New Roman" w:hAnsi="Times New Roman"/>
        </w:rPr>
        <w:t xml:space="preserve"> </w:t>
      </w:r>
      <w:r w:rsidR="0018413C">
        <w:rPr>
          <w:rFonts w:ascii="Times New Roman" w:hAnsi="Times New Roman"/>
        </w:rPr>
        <w:t>n</w:t>
      </w:r>
      <w:r w:rsidRPr="00C15465">
        <w:rPr>
          <w:rFonts w:ascii="Times New Roman" w:hAnsi="Times New Roman"/>
        </w:rPr>
        <w:t>ávrh</w:t>
      </w:r>
      <w:r w:rsidR="0018413C">
        <w:rPr>
          <w:rFonts w:ascii="Times New Roman" w:hAnsi="Times New Roman"/>
        </w:rPr>
        <w:t>u</w:t>
      </w:r>
      <w:r w:rsidRPr="00C15465">
        <w:rPr>
          <w:rFonts w:ascii="Times New Roman" w:hAnsi="Times New Roman"/>
        </w:rPr>
        <w:t xml:space="preserve"> zákona </w:t>
      </w:r>
      <w:r w:rsidR="0018413C">
        <w:rPr>
          <w:rFonts w:ascii="Times New Roman" w:hAnsi="Times New Roman"/>
        </w:rPr>
        <w:t>na jednotlivé subjekty verejnej správy sú uvedené v Doložke vybraných vplyvov. Návrh zákona nemá vplyv na podnikateľské prostredie, sociálnu oblasť, životné prostredie a ani na informatizáciu spoločnosti</w:t>
      </w:r>
      <w:r w:rsidR="0075116C">
        <w:rPr>
          <w:rFonts w:ascii="Times New Roman" w:hAnsi="Times New Roman"/>
        </w:rPr>
        <w:t>.</w:t>
      </w:r>
      <w:r w:rsidR="0018413C">
        <w:rPr>
          <w:rFonts w:ascii="Times New Roman" w:hAnsi="Times New Roman"/>
        </w:rPr>
        <w:t xml:space="preserve"> 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</w:p>
    <w:p w:rsidR="00C15465" w:rsidRPr="00C15465" w:rsidP="00C15465">
      <w:pPr>
        <w:bidi w:val="0"/>
        <w:ind w:firstLine="708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>Návrh zákona je v súlade s Ústavou Slovenskej republiky, zákonmi a medzinárodnými zmluvami a inými medzinárodnými dokumentmi, ktorými</w:t>
      </w:r>
      <w:r w:rsidR="0018413C">
        <w:rPr>
          <w:rFonts w:ascii="Times New Roman" w:hAnsi="Times New Roman"/>
        </w:rPr>
        <w:t xml:space="preserve"> je Slovenská republika viazaná</w:t>
      </w:r>
      <w:r w:rsidRPr="00C15465">
        <w:rPr>
          <w:rFonts w:ascii="Times New Roman" w:hAnsi="Times New Roman"/>
        </w:rPr>
        <w:t xml:space="preserve"> </w:t>
      </w:r>
      <w:r w:rsidR="0099634C">
        <w:rPr>
          <w:rFonts w:ascii="Times New Roman" w:hAnsi="Times New Roman"/>
        </w:rPr>
        <w:t xml:space="preserve">a </w:t>
      </w:r>
      <w:r w:rsidRPr="00C15465">
        <w:rPr>
          <w:rFonts w:ascii="Times New Roman" w:hAnsi="Times New Roman"/>
        </w:rPr>
        <w:t xml:space="preserve">s právom Európskej únie. 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</w:p>
    <w:p w:rsidR="00C15465" w:rsidRPr="00657813" w:rsidP="00C15465">
      <w:pPr>
        <w:bidi w:val="0"/>
        <w:rPr>
          <w:rFonts w:ascii="Arial Narrow" w:hAnsi="Arial Narrow"/>
          <w:sz w:val="22"/>
          <w:szCs w:val="22"/>
        </w:rPr>
      </w:pPr>
    </w:p>
    <w:p w:rsidR="003A48BA" w:rsidP="003A48B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:rsidR="00C15465" w:rsidP="003A48BA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:rsidR="0006040A" w:rsidP="005E637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344BE" w:rsidP="005E637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C3D17" w:rsidP="005E637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C3D17" w:rsidP="005E637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C3D17" w:rsidP="005E637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33D23" w:rsidP="005E6378">
      <w:pPr>
        <w:bidi w:val="0"/>
        <w:jc w:val="both"/>
        <w:rPr>
          <w:rFonts w:ascii="Times New Roman" w:hAnsi="Times New Roman"/>
        </w:rPr>
      </w:pPr>
    </w:p>
    <w:p w:rsidR="00933D23" w:rsidP="005E6378">
      <w:pPr>
        <w:bidi w:val="0"/>
        <w:jc w:val="both"/>
        <w:rPr>
          <w:rFonts w:ascii="Times New Roman" w:hAnsi="Times New Roman"/>
        </w:rPr>
      </w:pPr>
    </w:p>
    <w:p w:rsidR="009D3306" w:rsidP="005E6378">
      <w:pPr>
        <w:bidi w:val="0"/>
        <w:jc w:val="both"/>
        <w:rPr>
          <w:rFonts w:ascii="Times New Roman" w:hAnsi="Times New Roman"/>
        </w:rPr>
      </w:pPr>
    </w:p>
    <w:p w:rsidR="009D3306" w:rsidP="005E6378">
      <w:pPr>
        <w:bidi w:val="0"/>
        <w:jc w:val="both"/>
        <w:rPr>
          <w:rFonts w:ascii="Times New Roman" w:hAnsi="Times New Roman"/>
        </w:rPr>
      </w:pPr>
    </w:p>
    <w:p w:rsidR="009D3306" w:rsidP="005E6378">
      <w:pPr>
        <w:bidi w:val="0"/>
        <w:jc w:val="both"/>
        <w:rPr>
          <w:rFonts w:ascii="Times New Roman" w:hAnsi="Times New Roman"/>
        </w:rPr>
      </w:pPr>
    </w:p>
    <w:p w:rsidR="009D3306" w:rsidP="005E6378">
      <w:pPr>
        <w:bidi w:val="0"/>
        <w:jc w:val="both"/>
        <w:rPr>
          <w:rFonts w:ascii="Times New Roman" w:hAnsi="Times New Roman"/>
        </w:rPr>
      </w:pPr>
    </w:p>
    <w:p w:rsidR="009A6BB9" w:rsidP="009A6B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9A6BB9" w:rsidRPr="00C01012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vybraných vplyvov</w:t>
      </w:r>
    </w:p>
    <w:p w:rsidR="009A6BB9" w:rsidP="009A6BB9">
      <w:pPr>
        <w:bidi w:val="0"/>
        <w:rPr>
          <w:rFonts w:ascii="Times New Roman" w:hAnsi="Times New Roman"/>
          <w:color w:val="000000"/>
        </w:rPr>
      </w:pPr>
    </w:p>
    <w:p w:rsidR="009A6BB9" w:rsidP="009A6BB9">
      <w:pPr>
        <w:bidi w:val="0"/>
        <w:rPr>
          <w:rFonts w:ascii="Times New Roman" w:hAnsi="Times New Roman"/>
          <w:color w:val="000000"/>
        </w:rPr>
      </w:pPr>
    </w:p>
    <w:p w:rsidR="009A6BB9" w:rsidRPr="00C01012" w:rsidP="009A6B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A.1. </w:t>
      </w:r>
      <w:r w:rsidRPr="00C01012">
        <w:rPr>
          <w:rFonts w:ascii="Times New Roman" w:hAnsi="Times New Roman"/>
          <w:b/>
          <w:bCs/>
          <w:color w:val="000000"/>
        </w:rPr>
        <w:t xml:space="preserve">Názov materiálu: </w:t>
      </w:r>
      <w:r w:rsidRPr="00C01012">
        <w:rPr>
          <w:rFonts w:ascii="Times New Roman" w:hAnsi="Times New Roman"/>
        </w:rPr>
        <w:t>Návrh zákona o rozpočtovom určení výnosu niektorých daní územnej samospráve</w:t>
      </w:r>
      <w:r>
        <w:rPr>
          <w:rFonts w:ascii="Times New Roman" w:hAnsi="Times New Roman"/>
        </w:rPr>
        <w:t>.</w:t>
      </w: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2704AC">
        <w:rPr>
          <w:rFonts w:ascii="Times New Roman" w:hAnsi="Times New Roman"/>
          <w:color w:val="000000"/>
        </w:rPr>
        <w:t xml:space="preserve"> -  </w:t>
      </w: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6BB9" w:rsidRPr="00C01012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C010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A6BB9" w:rsidRPr="00C01012" w:rsidP="00F0580C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A6BB9" w:rsidRPr="00C01012" w:rsidP="009A6BB9">
      <w:pPr>
        <w:bidi w:val="0"/>
        <w:rPr>
          <w:rFonts w:ascii="Times New Roman" w:hAnsi="Times New Roman"/>
          <w:color w:val="000000"/>
        </w:rPr>
      </w:pPr>
      <w:r w:rsidRPr="00C01012">
        <w:rPr>
          <w:rFonts w:ascii="Times New Roman" w:hAnsi="Times New Roman"/>
          <w:color w:val="000000"/>
        </w:rPr>
        <w:t> </w:t>
      </w:r>
    </w:p>
    <w:p w:rsidR="009A6BB9" w:rsidRPr="00C01012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6BB9" w:rsidRPr="00C01012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A.3. Poznámky</w:t>
      </w:r>
    </w:p>
    <w:p w:rsidR="009A6BB9" w:rsidRPr="00C01012" w:rsidP="009A6BB9">
      <w:pPr>
        <w:bidi w:val="0"/>
        <w:spacing w:after="280" w:afterAutospacing="1"/>
        <w:jc w:val="both"/>
        <w:rPr>
          <w:rFonts w:ascii="Times New Roman" w:hAnsi="Times New Roman"/>
          <w:color w:val="000000"/>
        </w:rPr>
      </w:pPr>
      <w:r w:rsidRPr="00C01012">
        <w:rPr>
          <w:rFonts w:ascii="Times New Roman" w:hAnsi="Times New Roman"/>
          <w:color w:val="000000"/>
        </w:rPr>
        <w:t> Návrh zákona nemá dopad na rozpočet verejnej správy, vzhľadom na to, že ide o vzájomne vykompenzovanú zmenu prerozdelenia daňových príjmov medzi štátnym rozpočtom a rozpočtami územnej samosprávy. Podľa prognózy na rok 2012 je dopad kvantifikovaný vo výške + 248 mil. € pre štátny rozpočet a -248 mil. € pre územnú samosprávu, z toho pre obce -186 mil. € a pre VÚC -62 mil. €. Pre rok 2013 je dopad kvantifikovaný vo výške + 2</w:t>
      </w:r>
      <w:r>
        <w:rPr>
          <w:rFonts w:ascii="Times New Roman" w:hAnsi="Times New Roman"/>
          <w:color w:val="000000"/>
        </w:rPr>
        <w:t>5</w:t>
      </w:r>
      <w:r w:rsidRPr="00C01012">
        <w:rPr>
          <w:rFonts w:ascii="Times New Roman" w:hAnsi="Times New Roman"/>
          <w:color w:val="000000"/>
        </w:rPr>
        <w:t>8 mil. € pre štátny rozpočet</w:t>
      </w:r>
      <w:r>
        <w:rPr>
          <w:rFonts w:ascii="Times New Roman" w:hAnsi="Times New Roman"/>
          <w:color w:val="000000"/>
        </w:rPr>
        <w:t xml:space="preserve"> a</w:t>
      </w:r>
      <w:r w:rsidRPr="00C01012">
        <w:rPr>
          <w:rFonts w:ascii="Times New Roman" w:hAnsi="Times New Roman"/>
          <w:color w:val="000000"/>
        </w:rPr>
        <w:t xml:space="preserve"> -258 mil. € pre územnú samosprávu, z toho pre obce -194 mil. € a pre VÚC -64 mil.</w:t>
      </w:r>
      <w:r>
        <w:rPr>
          <w:rFonts w:ascii="Times New Roman" w:hAnsi="Times New Roman"/>
          <w:color w:val="000000"/>
        </w:rPr>
        <w:t xml:space="preserve"> €.</w:t>
      </w:r>
      <w:r w:rsidRPr="00C0101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</w:t>
      </w:r>
      <w:r w:rsidRPr="00C01012">
        <w:rPr>
          <w:rFonts w:ascii="Times New Roman" w:hAnsi="Times New Roman"/>
          <w:color w:val="000000"/>
        </w:rPr>
        <w:t xml:space="preserve">re rok 2014 </w:t>
      </w:r>
      <w:r>
        <w:rPr>
          <w:rFonts w:ascii="Times New Roman" w:hAnsi="Times New Roman"/>
          <w:color w:val="000000"/>
        </w:rPr>
        <w:t xml:space="preserve">je dopad </w:t>
      </w:r>
      <w:r w:rsidRPr="00C01012">
        <w:rPr>
          <w:rFonts w:ascii="Times New Roman" w:hAnsi="Times New Roman"/>
          <w:color w:val="000000"/>
        </w:rPr>
        <w:t xml:space="preserve">+ </w:t>
      </w:r>
      <w:r>
        <w:rPr>
          <w:rFonts w:ascii="Times New Roman" w:hAnsi="Times New Roman"/>
          <w:color w:val="000000"/>
        </w:rPr>
        <w:t>351</w:t>
      </w:r>
      <w:r w:rsidRPr="00C01012">
        <w:rPr>
          <w:rFonts w:ascii="Times New Roman" w:hAnsi="Times New Roman"/>
          <w:color w:val="000000"/>
        </w:rPr>
        <w:t xml:space="preserve"> mil. € pre štátny rozpočet</w:t>
      </w:r>
      <w:r>
        <w:rPr>
          <w:rFonts w:ascii="Times New Roman" w:hAnsi="Times New Roman"/>
          <w:color w:val="000000"/>
        </w:rPr>
        <w:t>,</w:t>
      </w:r>
      <w:r w:rsidRPr="00C01012">
        <w:rPr>
          <w:rFonts w:ascii="Times New Roman" w:hAnsi="Times New Roman"/>
          <w:color w:val="000000"/>
        </w:rPr>
        <w:t xml:space="preserve"> -351 mil. €</w:t>
      </w:r>
      <w:r w:rsidRPr="00D444C7">
        <w:rPr>
          <w:rFonts w:ascii="Times New Roman" w:hAnsi="Times New Roman"/>
          <w:color w:val="000000"/>
        </w:rPr>
        <w:t xml:space="preserve"> </w:t>
      </w:r>
      <w:r w:rsidRPr="00C01012">
        <w:rPr>
          <w:rFonts w:ascii="Times New Roman" w:hAnsi="Times New Roman"/>
          <w:color w:val="000000"/>
        </w:rPr>
        <w:t>pre územnú samosprávu, z toho pre obce -263 mil. € a VÚC -88 mil. €</w:t>
      </w:r>
      <w:r>
        <w:rPr>
          <w:rFonts w:ascii="Times New Roman" w:hAnsi="Times New Roman"/>
          <w:color w:val="000000"/>
        </w:rPr>
        <w:t>.</w:t>
      </w:r>
    </w:p>
    <w:p w:rsidR="009A6BB9" w:rsidRPr="00C01012" w:rsidP="009A6BB9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C01012">
        <w:rPr>
          <w:rFonts w:ascii="Times New Roman" w:hAnsi="Times New Roman"/>
          <w:i/>
          <w:iCs/>
          <w:color w:val="000000"/>
        </w:rPr>
        <w:t xml:space="preserve">      </w:t>
      </w:r>
    </w:p>
    <w:p w:rsidR="009A6BB9" w:rsidRPr="00C01012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A.4. Alternatívne riešenia</w:t>
      </w:r>
    </w:p>
    <w:p w:rsidR="009A6BB9" w:rsidRPr="00C01012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color w:val="000000"/>
        </w:rPr>
        <w:t> </w:t>
      </w: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9391A">
        <w:rPr>
          <w:rFonts w:ascii="Times New Roman" w:hAnsi="Times New Roman"/>
          <w:bCs/>
          <w:color w:val="000000"/>
        </w:rPr>
        <w:t>Bez</w:t>
      </w:r>
      <w:r>
        <w:rPr>
          <w:rFonts w:ascii="Times New Roman" w:hAnsi="Times New Roman"/>
          <w:bCs/>
          <w:color w:val="000000"/>
        </w:rPr>
        <w:t>predmetné</w:t>
      </w: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6BB9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C01012">
        <w:rPr>
          <w:rFonts w:ascii="Times New Roman" w:hAnsi="Times New Roman"/>
          <w:b/>
          <w:bCs/>
          <w:color w:val="000000"/>
        </w:rPr>
        <w:t>A.5. Stanovisko gestorov</w:t>
      </w:r>
    </w:p>
    <w:p w:rsidR="009A6BB9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9A6BB9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5A547C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5A547C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5A547C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5A547C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5A547C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5A547C" w:rsidRPr="00B67EB2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9A6BB9" w:rsidRPr="00B67EB2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B67EB2">
        <w:rPr>
          <w:rFonts w:ascii="Times New Roman" w:hAnsi="Times New Roman"/>
          <w:b/>
          <w:bCs/>
          <w:color w:val="000000"/>
        </w:rPr>
        <w:t>Vplyvy na rozpočet verejnej správy,</w:t>
      </w:r>
    </w:p>
    <w:p w:rsidR="009A6BB9" w:rsidRPr="00B67EB2" w:rsidP="009A6BB9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B67EB2">
        <w:rPr>
          <w:rFonts w:ascii="Times New Roman" w:hAnsi="Times New Roman"/>
          <w:b/>
          <w:bCs/>
          <w:color w:val="000000"/>
        </w:rPr>
        <w:t>na zamestnanosť vo verejnej správe a financovanie návrhu</w:t>
      </w:r>
    </w:p>
    <w:p w:rsidR="009A6BB9" w:rsidP="009A6BB9">
      <w:pPr>
        <w:bidi w:val="0"/>
        <w:rPr>
          <w:rFonts w:ascii="Times New Roman" w:hAnsi="Times New Roman"/>
          <w:b/>
        </w:rPr>
      </w:pPr>
    </w:p>
    <w:p w:rsidR="009A6BB9" w:rsidRPr="00B67EB2" w:rsidP="009A6BB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Pr="00B67EB2">
        <w:rPr>
          <w:rFonts w:ascii="Times New Roman" w:hAnsi="Times New Roman"/>
          <w:b/>
        </w:rPr>
        <w:t>1. Zhrnutie vplyvov na rozpočet verejnej správy v návrhu</w:t>
      </w:r>
    </w:p>
    <w:p w:rsidR="009A6BB9" w:rsidRPr="00B67EB2" w:rsidP="009A6BB9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B67EB2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3864"/>
        <w:gridCol w:w="663"/>
        <w:gridCol w:w="1720"/>
        <w:gridCol w:w="1110"/>
        <w:gridCol w:w="105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A6BB9" w:rsidRPr="0059391A" w:rsidP="00F0580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Vplyvy na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rozpočet verejnej správy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Vplyv na rozpočet verejnej správy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(v tis.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eurách)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A6BB9" w:rsidRPr="0059391A" w:rsidP="00F0580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A6BB9" w:rsidRPr="0059391A" w:rsidP="00F0580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A6BB9" w:rsidRPr="0059391A" w:rsidP="00F0580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A6BB9" w:rsidRPr="0059391A" w:rsidP="00F0580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A6BB9" w:rsidRPr="0059391A" w:rsidP="00F0580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2014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Príjmy verejnej správy celkom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v tom: za každý subjekt verejnej správy zvlášť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z toho: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 vplyv na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+248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+258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+351000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 vplyv na územnú samosprávu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-248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-258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-351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z toho: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9A6BB9">
            <w:pPr>
              <w:widowControl w:val="0"/>
              <w:numPr>
                <w:numId w:val="3"/>
              </w:numPr>
              <w:bidi w:val="0"/>
              <w:adjustRightInd w:val="0"/>
              <w:spacing w:after="200" w:line="276" w:lineRule="auto"/>
              <w:ind w:left="163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obce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-186 000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-193 500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-263250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VÚC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-62 000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-64 500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-87 750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Výdavky verejnej správy celkom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v tom: ERDF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 xml:space="preserve">           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0   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z toho: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 vplyv na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- vplyv na územnú samosprávu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Celková zamestnanosť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i/>
                <w:sz w:val="20"/>
                <w:szCs w:val="20"/>
              </w:rPr>
              <w:t>- z toho vplyv na ŠR</w:t>
            </w:r>
            <w:r w:rsidRPr="005939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39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blPrEx>
          <w:tblW w:w="0" w:type="auto"/>
          <w:jc w:val="center"/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Financovanie zabezpečené v rozpočte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9A6BB9" w:rsidRPr="0059391A" w:rsidP="00F0580C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9A6BB9" w:rsidRPr="00C01012" w:rsidP="009A6BB9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9A6BB9">
      <w:pPr>
        <w:pStyle w:val="Zkladntext"/>
        <w:bidi w:val="0"/>
        <w:ind w:left="283" w:hanging="283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DOLOŽKA ZLUČITEĽNOSTI</w:t>
      </w:r>
    </w:p>
    <w:p w:rsidR="009A6BB9" w:rsidP="009A6BB9">
      <w:pPr>
        <w:pStyle w:val="Zkladntext"/>
        <w:pBdr>
          <w:bottom w:val="single" w:sz="12" w:space="1" w:color="auto"/>
        </w:pBdr>
        <w:bidi w:val="0"/>
        <w:ind w:firstLine="709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návrhu zákona o rozpočtovom určení výnosu niektorých daní územnej samospráve                                  s právom Európskej únie</w:t>
      </w:r>
    </w:p>
    <w:p w:rsidR="009A6BB9" w:rsidP="009A6BB9">
      <w:pPr>
        <w:pStyle w:val="Zkladntext"/>
        <w:bidi w:val="0"/>
        <w:jc w:val="both"/>
        <w:rPr>
          <w:rFonts w:ascii="Arial Narrow" w:hAnsi="Arial Narrow"/>
          <w:sz w:val="22"/>
        </w:rPr>
      </w:pPr>
    </w:p>
    <w:p w:rsidR="009A6BB9" w:rsidP="009A6BB9">
      <w:pPr>
        <w:pStyle w:val="Zkladntext"/>
        <w:bidi w:val="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1. Predkladateľ návrhu zákona:</w:t>
      </w:r>
    </w:p>
    <w:p w:rsidR="009A6BB9" w:rsidP="009A6BB9">
      <w:pPr>
        <w:pStyle w:val="Zkladntext"/>
        <w:bidi w:val="0"/>
        <w:jc w:val="both"/>
        <w:rPr>
          <w:rFonts w:ascii="Arial Narrow" w:hAnsi="Arial Narrow"/>
          <w:b/>
          <w:sz w:val="22"/>
        </w:rPr>
      </w:pPr>
    </w:p>
    <w:p w:rsidR="009A6BB9" w:rsidP="009A6BB9">
      <w:pPr>
        <w:pStyle w:val="Zkladntext"/>
        <w:tabs>
          <w:tab w:val="left" w:pos="360"/>
        </w:tabs>
        <w:bidi w:val="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  <w:tab/>
      </w:r>
      <w:r w:rsidRPr="00AF0B4B">
        <w:rPr>
          <w:rFonts w:ascii="Arial Narrow" w:hAnsi="Arial Narrow"/>
          <w:sz w:val="22"/>
        </w:rPr>
        <w:t>Vláda</w:t>
      </w:r>
      <w:r>
        <w:rPr>
          <w:rFonts w:ascii="Arial Narrow" w:hAnsi="Arial Narrow"/>
          <w:sz w:val="22"/>
        </w:rPr>
        <w:t xml:space="preserve"> Slovenskej republiky.</w:t>
      </w:r>
    </w:p>
    <w:p w:rsidR="009A6BB9" w:rsidP="009A6BB9">
      <w:pPr>
        <w:pStyle w:val="Zkladntext"/>
        <w:bidi w:val="0"/>
        <w:jc w:val="both"/>
        <w:rPr>
          <w:rFonts w:ascii="Arial Narrow" w:hAnsi="Arial Narrow"/>
          <w:sz w:val="22"/>
        </w:rPr>
      </w:pPr>
    </w:p>
    <w:p w:rsidR="009A6BB9" w:rsidP="009A6BB9">
      <w:pPr>
        <w:pStyle w:val="Zkladntext"/>
        <w:bidi w:val="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2. Názov návrhu zákona:</w:t>
      </w:r>
    </w:p>
    <w:p w:rsidR="009A6BB9" w:rsidP="009A6BB9">
      <w:pPr>
        <w:pStyle w:val="Zkladntext"/>
        <w:bidi w:val="0"/>
        <w:jc w:val="both"/>
        <w:rPr>
          <w:rFonts w:ascii="Arial Narrow" w:hAnsi="Arial Narrow"/>
          <w:b/>
          <w:sz w:val="22"/>
        </w:rPr>
      </w:pPr>
    </w:p>
    <w:p w:rsidR="009A6BB9" w:rsidP="009A6BB9">
      <w:pPr>
        <w:pStyle w:val="Zkladntext"/>
        <w:bidi w:val="0"/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Návrh zákona o rozpočtovom určení výnosu niektorých daní územnej samospráve.</w:t>
      </w:r>
    </w:p>
    <w:p w:rsidR="009A6BB9" w:rsidP="009A6BB9">
      <w:pPr>
        <w:pStyle w:val="Zkladntext"/>
        <w:tabs>
          <w:tab w:val="left" w:pos="284"/>
        </w:tabs>
        <w:bidi w:val="0"/>
        <w:jc w:val="both"/>
        <w:rPr>
          <w:rFonts w:ascii="Arial Narrow" w:hAnsi="Arial Narrow"/>
          <w:sz w:val="22"/>
        </w:rPr>
      </w:pPr>
    </w:p>
    <w:p w:rsidR="009A6BB9" w:rsidP="009A6BB9">
      <w:pPr>
        <w:pStyle w:val="Zkladntext"/>
        <w:bidi w:val="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3. Problematika návrhu zákona:</w:t>
      </w:r>
    </w:p>
    <w:p w:rsidR="009A6BB9" w:rsidP="009A6BB9">
      <w:pPr>
        <w:pStyle w:val="Zkladntext"/>
        <w:bidi w:val="0"/>
        <w:jc w:val="both"/>
        <w:rPr>
          <w:rFonts w:ascii="Arial Narrow" w:hAnsi="Arial Narrow"/>
          <w:b/>
          <w:sz w:val="22"/>
        </w:rPr>
      </w:pPr>
    </w:p>
    <w:p w:rsidR="009A6BB9" w:rsidP="009A6BB9">
      <w:pPr>
        <w:pStyle w:val="Zkladntext"/>
        <w:numPr>
          <w:numId w:val="4"/>
        </w:numPr>
        <w:bidi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nie je upravená v práve Európskej únie,</w:t>
      </w:r>
    </w:p>
    <w:p w:rsidR="009A6BB9" w:rsidP="009A6BB9">
      <w:pPr>
        <w:pStyle w:val="Zkladntext"/>
        <w:numPr>
          <w:numId w:val="4"/>
        </w:numPr>
        <w:bidi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nie je obsiahnutá v judikatúre </w:t>
      </w:r>
      <w:r w:rsidRPr="00DF1B43">
        <w:rPr>
          <w:rFonts w:ascii="Arial Narrow" w:hAnsi="Arial Narrow" w:cs="Arial Narrow"/>
          <w:color w:val="auto"/>
          <w:sz w:val="22"/>
          <w:szCs w:val="22"/>
        </w:rPr>
        <w:t>Súdneho dvora Európskej únie</w:t>
      </w:r>
      <w:r>
        <w:rPr>
          <w:rFonts w:ascii="Arial Narrow" w:hAnsi="Arial Narrow"/>
          <w:sz w:val="22"/>
        </w:rPr>
        <w:t>.</w:t>
      </w:r>
    </w:p>
    <w:p w:rsidR="009A6BB9" w:rsidP="009A6BB9">
      <w:pPr>
        <w:pStyle w:val="BodyTextIndent"/>
        <w:bidi w:val="0"/>
        <w:jc w:val="both"/>
        <w:rPr>
          <w:rFonts w:ascii="Arial Narrow" w:hAnsi="Arial Narrow"/>
          <w:b/>
          <w:bCs/>
          <w:sz w:val="22"/>
          <w:u w:val="single"/>
        </w:rPr>
      </w:pPr>
    </w:p>
    <w:p w:rsidR="009A6BB9" w:rsidP="009A6BB9">
      <w:pPr>
        <w:pStyle w:val="BodyTextIndent"/>
        <w:bidi w:val="0"/>
        <w:ind w:left="0"/>
        <w:jc w:val="both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Vzhľadom na vnútroštátny charakter navrhovaného právneho predpisu je bezpredmetné vyjadrovať sa k bodom 4., 5. a 6. doložky zlučiteľnosti.</w:t>
      </w:r>
    </w:p>
    <w:p w:rsidR="009A6BB9" w:rsidP="009A6BB9">
      <w:pPr>
        <w:pStyle w:val="BodyTextIndent"/>
        <w:bidi w:val="0"/>
        <w:jc w:val="both"/>
        <w:rPr>
          <w:rFonts w:ascii="Arial Narrow" w:hAnsi="Arial Narrow"/>
          <w:b/>
          <w:bCs/>
          <w:sz w:val="22"/>
          <w:u w:val="single"/>
        </w:rPr>
      </w:pPr>
    </w:p>
    <w:p w:rsidR="009A6BB9" w:rsidP="009A6BB9">
      <w:pPr>
        <w:pStyle w:val="BodyTextIndent"/>
        <w:bidi w:val="0"/>
        <w:jc w:val="both"/>
        <w:rPr>
          <w:rFonts w:ascii="Arial Narrow" w:hAnsi="Arial Narrow"/>
          <w:b/>
          <w:bCs/>
          <w:sz w:val="22"/>
          <w:u w:val="single"/>
        </w:rPr>
      </w:pPr>
    </w:p>
    <w:p w:rsidR="009A6BB9" w:rsidP="009A6BB9">
      <w:pPr>
        <w:pStyle w:val="BodyTextIndent"/>
        <w:bidi w:val="0"/>
        <w:jc w:val="both"/>
        <w:rPr>
          <w:rFonts w:ascii="Arial Narrow" w:hAnsi="Arial Narrow"/>
          <w:b/>
          <w:bCs/>
          <w:sz w:val="22"/>
          <w:u w:val="single"/>
        </w:rPr>
      </w:pPr>
    </w:p>
    <w:p w:rsidR="009A6BB9" w:rsidP="009A6BB9">
      <w:pPr>
        <w:pStyle w:val="BodyTextIndent"/>
        <w:bidi w:val="0"/>
        <w:jc w:val="both"/>
        <w:rPr>
          <w:rFonts w:ascii="Arial Narrow" w:hAnsi="Arial Narrow"/>
          <w:b/>
          <w:bCs/>
          <w:sz w:val="22"/>
          <w:u w:val="single"/>
        </w:rPr>
      </w:pPr>
    </w:p>
    <w:p w:rsidR="009A6BB9" w:rsidP="009A6BB9">
      <w:pPr>
        <w:bidi w:val="0"/>
        <w:rPr>
          <w:rFonts w:ascii="Times New Roman" w:hAnsi="Times New Roman"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9A6BB9" w:rsidP="005E6378">
      <w:pPr>
        <w:bidi w:val="0"/>
        <w:jc w:val="both"/>
        <w:rPr>
          <w:rFonts w:ascii="Times New Roman" w:hAnsi="Times New Roman"/>
          <w:b/>
        </w:rPr>
      </w:pPr>
    </w:p>
    <w:p w:rsidR="005A547C" w:rsidP="005E6378">
      <w:pPr>
        <w:bidi w:val="0"/>
        <w:jc w:val="both"/>
        <w:rPr>
          <w:rFonts w:ascii="Times New Roman" w:hAnsi="Times New Roman"/>
          <w:b/>
        </w:rPr>
      </w:pPr>
    </w:p>
    <w:p w:rsidR="005A547C" w:rsidP="005E6378">
      <w:pPr>
        <w:bidi w:val="0"/>
        <w:jc w:val="both"/>
        <w:rPr>
          <w:rFonts w:ascii="Times New Roman" w:hAnsi="Times New Roman"/>
          <w:b/>
        </w:rPr>
      </w:pPr>
    </w:p>
    <w:p w:rsidR="005E6378" w:rsidRPr="003A48BA" w:rsidP="005E6378">
      <w:pPr>
        <w:bidi w:val="0"/>
        <w:jc w:val="both"/>
        <w:rPr>
          <w:rFonts w:ascii="Times New Roman" w:hAnsi="Times New Roman"/>
          <w:b/>
        </w:rPr>
      </w:pPr>
      <w:r w:rsidR="000F4164">
        <w:rPr>
          <w:rFonts w:ascii="Times New Roman" w:hAnsi="Times New Roman"/>
          <w:b/>
        </w:rPr>
        <w:t>B. Osobitná časť</w:t>
      </w:r>
    </w:p>
    <w:p w:rsidR="005E6378" w:rsidRPr="003A48BA" w:rsidP="005E6378">
      <w:pPr>
        <w:bidi w:val="0"/>
        <w:jc w:val="both"/>
        <w:rPr>
          <w:rFonts w:ascii="Times New Roman" w:hAnsi="Times New Roman"/>
        </w:rPr>
      </w:pPr>
    </w:p>
    <w:p w:rsidR="00C15465" w:rsidP="00C15465">
      <w:pPr>
        <w:pStyle w:val="ListParagraph"/>
        <w:bidi w:val="0"/>
        <w:ind w:left="0"/>
        <w:rPr>
          <w:rFonts w:ascii="Times New Roman" w:hAnsi="Times New Roman"/>
          <w:b/>
          <w:sz w:val="24"/>
          <w:szCs w:val="24"/>
        </w:rPr>
      </w:pPr>
      <w:r w:rsidRPr="003A48BA" w:rsidR="001E6926">
        <w:rPr>
          <w:rFonts w:ascii="Times New Roman" w:hAnsi="Times New Roman"/>
          <w:b/>
          <w:sz w:val="24"/>
          <w:szCs w:val="24"/>
        </w:rPr>
        <w:t xml:space="preserve">K </w:t>
      </w:r>
      <w:r w:rsidR="00403147">
        <w:rPr>
          <w:rFonts w:ascii="Times New Roman" w:hAnsi="Times New Roman"/>
          <w:b/>
          <w:sz w:val="24"/>
          <w:szCs w:val="24"/>
        </w:rPr>
        <w:t>§ 1</w:t>
      </w:r>
    </w:p>
    <w:p w:rsidR="00C15465" w:rsidP="00C15465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5465">
        <w:rPr>
          <w:rFonts w:ascii="Times New Roman" w:hAnsi="Times New Roman"/>
          <w:sz w:val="24"/>
          <w:szCs w:val="24"/>
        </w:rPr>
        <w:t>Ustanovenie upravuje predmet navrhovaného zákon</w:t>
      </w:r>
      <w:r w:rsidR="00825803">
        <w:rPr>
          <w:rFonts w:ascii="Times New Roman" w:hAnsi="Times New Roman"/>
          <w:sz w:val="24"/>
          <w:szCs w:val="24"/>
        </w:rPr>
        <w:t>a. Stanovuje dan</w:t>
      </w:r>
      <w:r w:rsidR="0075116C">
        <w:rPr>
          <w:rFonts w:ascii="Times New Roman" w:hAnsi="Times New Roman"/>
          <w:sz w:val="24"/>
          <w:szCs w:val="24"/>
        </w:rPr>
        <w:t>e,</w:t>
      </w:r>
      <w:r w:rsidRPr="00C15465">
        <w:rPr>
          <w:rFonts w:ascii="Times New Roman" w:hAnsi="Times New Roman"/>
          <w:sz w:val="24"/>
          <w:szCs w:val="24"/>
        </w:rPr>
        <w:t xml:space="preserve"> pre potreby zákona definovan</w:t>
      </w:r>
      <w:r w:rsidR="0075116C">
        <w:rPr>
          <w:rFonts w:ascii="Times New Roman" w:hAnsi="Times New Roman"/>
          <w:sz w:val="24"/>
          <w:szCs w:val="24"/>
        </w:rPr>
        <w:t>é</w:t>
      </w:r>
      <w:r w:rsidRPr="00C15465">
        <w:rPr>
          <w:rFonts w:ascii="Times New Roman" w:hAnsi="Times New Roman"/>
          <w:sz w:val="24"/>
          <w:szCs w:val="24"/>
        </w:rPr>
        <w:t xml:space="preserve"> ako podielové dane, </w:t>
      </w:r>
      <w:r w:rsidR="0075116C">
        <w:rPr>
          <w:rFonts w:ascii="Times New Roman" w:hAnsi="Times New Roman"/>
          <w:sz w:val="24"/>
          <w:szCs w:val="24"/>
        </w:rPr>
        <w:t>ktorých výnos</w:t>
      </w:r>
      <w:r w:rsidR="00BD102C">
        <w:rPr>
          <w:rFonts w:ascii="Times New Roman" w:hAnsi="Times New Roman"/>
          <w:sz w:val="24"/>
          <w:szCs w:val="24"/>
        </w:rPr>
        <w:t>,</w:t>
      </w:r>
      <w:r w:rsidR="0075116C">
        <w:rPr>
          <w:rFonts w:ascii="Times New Roman" w:hAnsi="Times New Roman"/>
          <w:sz w:val="24"/>
          <w:szCs w:val="24"/>
        </w:rPr>
        <w:t xml:space="preserve"> </w:t>
      </w:r>
      <w:r w:rsidR="00BD102C">
        <w:rPr>
          <w:rFonts w:ascii="Times New Roman" w:hAnsi="Times New Roman"/>
          <w:sz w:val="24"/>
          <w:szCs w:val="24"/>
        </w:rPr>
        <w:t>vrátane vzťahujúcich sa sankcii,</w:t>
      </w:r>
      <w:r w:rsidRPr="00C15465" w:rsidR="00BD102C">
        <w:rPr>
          <w:rFonts w:ascii="Times New Roman" w:hAnsi="Times New Roman"/>
          <w:sz w:val="24"/>
          <w:szCs w:val="24"/>
        </w:rPr>
        <w:t xml:space="preserve"> </w:t>
      </w:r>
      <w:r w:rsidRPr="00C15465">
        <w:rPr>
          <w:rFonts w:ascii="Times New Roman" w:hAnsi="Times New Roman"/>
          <w:sz w:val="24"/>
          <w:szCs w:val="24"/>
        </w:rPr>
        <w:t>bude rozdeľovaný a poukazovaný do rozpočtov obcí a rozpočtov vyšších územných celkov. Na rozdiel od doterajšieho podielu rozpočtov obcí a VÚC len  na výnose dane z príjmov fyzických osôb sa navrhuje stanoviť ako podielové dane aj daň z príjmov právnických osôb, daň z príjmov vyberaná zrážkou, daň z pridanej hodnoty a spotrebné dane.</w:t>
      </w:r>
    </w:p>
    <w:p w:rsidR="00BD102C" w:rsidP="00BD102C">
      <w:pPr>
        <w:bidi w:val="0"/>
        <w:rPr>
          <w:rFonts w:ascii="Times New Roman" w:hAnsi="Times New Roman"/>
          <w:b/>
        </w:rPr>
      </w:pPr>
      <w:r w:rsidRPr="00C15465">
        <w:rPr>
          <w:rFonts w:ascii="Times New Roman" w:hAnsi="Times New Roman"/>
          <w:b/>
        </w:rPr>
        <w:t xml:space="preserve">K  § 2 </w:t>
      </w:r>
    </w:p>
    <w:p w:rsidR="00BD102C" w:rsidRPr="00BD102C" w:rsidP="00BD102C">
      <w:pPr>
        <w:bidi w:val="0"/>
        <w:rPr>
          <w:rFonts w:ascii="Times New Roman" w:hAnsi="Times New Roman"/>
        </w:rPr>
      </w:pPr>
      <w:r w:rsidRPr="00BD102C">
        <w:rPr>
          <w:rFonts w:ascii="Times New Roman" w:hAnsi="Times New Roman"/>
        </w:rPr>
        <w:t>Definuje výnos pre potreby tohto zákona</w:t>
      </w:r>
      <w:r w:rsidR="00487D2B">
        <w:rPr>
          <w:rFonts w:ascii="Times New Roman" w:hAnsi="Times New Roman"/>
        </w:rPr>
        <w:t>.</w:t>
      </w:r>
      <w:r w:rsidRPr="00BD102C">
        <w:rPr>
          <w:rFonts w:ascii="Times New Roman" w:hAnsi="Times New Roman"/>
        </w:rPr>
        <w:t xml:space="preserve">  </w:t>
      </w:r>
    </w:p>
    <w:p w:rsidR="00C15465" w:rsidRPr="00C15465" w:rsidP="00C15465">
      <w:pPr>
        <w:bidi w:val="0"/>
        <w:rPr>
          <w:rFonts w:ascii="Times New Roman" w:hAnsi="Times New Roman"/>
          <w:b/>
        </w:rPr>
      </w:pPr>
    </w:p>
    <w:p w:rsidR="00C15465" w:rsidRPr="00C15465" w:rsidP="00C15465">
      <w:pPr>
        <w:bidi w:val="0"/>
        <w:rPr>
          <w:rFonts w:ascii="Times New Roman" w:hAnsi="Times New Roman"/>
          <w:b/>
        </w:rPr>
      </w:pPr>
      <w:r w:rsidRPr="00C15465">
        <w:rPr>
          <w:rFonts w:ascii="Times New Roman" w:hAnsi="Times New Roman"/>
          <w:b/>
        </w:rPr>
        <w:t xml:space="preserve">K  § </w:t>
      </w:r>
      <w:r w:rsidR="00BD102C">
        <w:rPr>
          <w:rFonts w:ascii="Times New Roman" w:hAnsi="Times New Roman"/>
          <w:b/>
        </w:rPr>
        <w:t>3</w:t>
      </w:r>
      <w:r w:rsidRPr="00C15465">
        <w:rPr>
          <w:rFonts w:ascii="Times New Roman" w:hAnsi="Times New Roman"/>
          <w:b/>
        </w:rPr>
        <w:t xml:space="preserve"> 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 xml:space="preserve">Stanovuje sa  percentuálny podiel z výnosu podielových daní </w:t>
      </w:r>
      <w:r w:rsidR="00825803">
        <w:rPr>
          <w:rFonts w:ascii="Times New Roman" w:hAnsi="Times New Roman"/>
        </w:rPr>
        <w:t xml:space="preserve">do </w:t>
      </w:r>
      <w:r w:rsidRPr="00C15465">
        <w:rPr>
          <w:rFonts w:ascii="Times New Roman" w:hAnsi="Times New Roman"/>
        </w:rPr>
        <w:t>rozpočt</w:t>
      </w:r>
      <w:r w:rsidR="00825803">
        <w:rPr>
          <w:rFonts w:ascii="Times New Roman" w:hAnsi="Times New Roman"/>
        </w:rPr>
        <w:t>ov</w:t>
      </w:r>
      <w:r w:rsidRPr="00C15465">
        <w:rPr>
          <w:rFonts w:ascii="Times New Roman" w:hAnsi="Times New Roman"/>
        </w:rPr>
        <w:t xml:space="preserve"> obcí. 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</w:p>
    <w:p w:rsidR="00C15465" w:rsidRPr="00C15465" w:rsidP="00C15465">
      <w:pPr>
        <w:bidi w:val="0"/>
        <w:rPr>
          <w:rFonts w:ascii="Times New Roman" w:hAnsi="Times New Roman"/>
          <w:b/>
        </w:rPr>
      </w:pPr>
      <w:r w:rsidRPr="00C15465">
        <w:rPr>
          <w:rFonts w:ascii="Times New Roman" w:hAnsi="Times New Roman"/>
          <w:b/>
        </w:rPr>
        <w:t xml:space="preserve">K § </w:t>
      </w:r>
      <w:r w:rsidR="00BD102C">
        <w:rPr>
          <w:rFonts w:ascii="Times New Roman" w:hAnsi="Times New Roman"/>
          <w:b/>
        </w:rPr>
        <w:t>4</w:t>
      </w:r>
      <w:r w:rsidRPr="00C15465">
        <w:rPr>
          <w:rFonts w:ascii="Times New Roman" w:hAnsi="Times New Roman"/>
          <w:b/>
        </w:rPr>
        <w:t xml:space="preserve"> 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 xml:space="preserve">Stanovuje sa percentuálny podiel z výnosu podielových daní </w:t>
      </w:r>
      <w:r w:rsidR="00825803">
        <w:rPr>
          <w:rFonts w:ascii="Times New Roman" w:hAnsi="Times New Roman"/>
        </w:rPr>
        <w:t>do</w:t>
      </w:r>
      <w:r w:rsidRPr="00C15465">
        <w:rPr>
          <w:rFonts w:ascii="Times New Roman" w:hAnsi="Times New Roman"/>
        </w:rPr>
        <w:t xml:space="preserve"> rozpočt</w:t>
      </w:r>
      <w:r w:rsidR="00825803">
        <w:rPr>
          <w:rFonts w:ascii="Times New Roman" w:hAnsi="Times New Roman"/>
        </w:rPr>
        <w:t>ov</w:t>
      </w:r>
      <w:r w:rsidRPr="00C15465">
        <w:rPr>
          <w:rFonts w:ascii="Times New Roman" w:hAnsi="Times New Roman"/>
        </w:rPr>
        <w:t xml:space="preserve"> vyšších územných celkov. </w:t>
      </w:r>
    </w:p>
    <w:p w:rsidR="00C15465" w:rsidRPr="00C15465" w:rsidP="00C15465">
      <w:pPr>
        <w:bidi w:val="0"/>
        <w:jc w:val="both"/>
        <w:rPr>
          <w:rFonts w:ascii="Times New Roman" w:hAnsi="Times New Roman"/>
          <w:b/>
        </w:rPr>
      </w:pPr>
    </w:p>
    <w:p w:rsidR="00C15465" w:rsidRPr="00C15465" w:rsidP="00C15465">
      <w:pPr>
        <w:bidi w:val="0"/>
        <w:jc w:val="both"/>
        <w:rPr>
          <w:rFonts w:ascii="Times New Roman" w:hAnsi="Times New Roman"/>
          <w:b/>
        </w:rPr>
      </w:pPr>
      <w:bookmarkStart w:id="0" w:name="OLE_LINK1"/>
      <w:bookmarkStart w:id="1" w:name="OLE_LINK2"/>
      <w:r w:rsidR="000F4164">
        <w:rPr>
          <w:rFonts w:ascii="Times New Roman" w:hAnsi="Times New Roman"/>
          <w:b/>
        </w:rPr>
        <w:t xml:space="preserve">K § </w:t>
      </w:r>
      <w:r w:rsidR="00BD102C">
        <w:rPr>
          <w:rFonts w:ascii="Times New Roman" w:hAnsi="Times New Roman"/>
          <w:b/>
        </w:rPr>
        <w:t>5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>Kritéria pre rozdeľovanie a poukazovanie výnosu podielových daní do rozpočtov územnej samosprávy</w:t>
      </w:r>
      <w:r w:rsidR="003D455F">
        <w:rPr>
          <w:rFonts w:ascii="Times New Roman" w:hAnsi="Times New Roman"/>
        </w:rPr>
        <w:t xml:space="preserve"> ustanoví vláda</w:t>
      </w:r>
      <w:r w:rsidRPr="00C15465">
        <w:rPr>
          <w:rFonts w:ascii="Times New Roman" w:hAnsi="Times New Roman"/>
        </w:rPr>
        <w:t xml:space="preserve"> nariadením, podobne ako v doterajšom systéme.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>S republikovými združeniami obcí a so zástupcami vyšších územných celkov sa prerokujú návrhy kritéri</w:t>
      </w:r>
      <w:r w:rsidR="00487D2B">
        <w:rPr>
          <w:rFonts w:ascii="Times New Roman" w:hAnsi="Times New Roman"/>
        </w:rPr>
        <w:t xml:space="preserve">í, návrhy </w:t>
      </w:r>
      <w:r w:rsidRPr="00C15465">
        <w:rPr>
          <w:rFonts w:ascii="Times New Roman" w:hAnsi="Times New Roman"/>
        </w:rPr>
        <w:t>spôsob</w:t>
      </w:r>
      <w:r w:rsidR="00487D2B">
        <w:rPr>
          <w:rFonts w:ascii="Times New Roman" w:hAnsi="Times New Roman"/>
        </w:rPr>
        <w:t>u</w:t>
      </w:r>
      <w:r w:rsidRPr="00C15465">
        <w:rPr>
          <w:rFonts w:ascii="Times New Roman" w:hAnsi="Times New Roman"/>
        </w:rPr>
        <w:t xml:space="preserve"> rozdeľovania a poukazovania výnosu podielových daní</w:t>
      </w:r>
      <w:r w:rsidRPr="00487D2B" w:rsidR="00487D2B">
        <w:rPr>
          <w:rFonts w:ascii="Times New Roman" w:hAnsi="Times New Roman"/>
        </w:rPr>
        <w:t xml:space="preserve"> </w:t>
      </w:r>
      <w:r w:rsidRPr="00C15465" w:rsidR="00487D2B">
        <w:rPr>
          <w:rFonts w:ascii="Times New Roman" w:hAnsi="Times New Roman"/>
        </w:rPr>
        <w:t>a</w:t>
      </w:r>
      <w:r w:rsidR="00487D2B">
        <w:rPr>
          <w:rFonts w:ascii="Times New Roman" w:hAnsi="Times New Roman"/>
        </w:rPr>
        <w:t> ich zmeny</w:t>
      </w:r>
      <w:r w:rsidRPr="00C15465">
        <w:rPr>
          <w:rFonts w:ascii="Times New Roman" w:hAnsi="Times New Roman"/>
        </w:rPr>
        <w:t>; nevyžaduje sa dohoda.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>Rozdeľovanie a poukazovanie výnosu podielových daní budú zabezpečovať príslušné finančné úrady. Podobne ako v súčasnej právnej úprave ukladá sa Štatistickému úradu SR poskytnúť k zákonom stanovenému termínu vymenovaným subjektom potrebné údaje</w:t>
      </w:r>
      <w:r w:rsidR="006418F0">
        <w:rPr>
          <w:rFonts w:ascii="Times New Roman" w:hAnsi="Times New Roman"/>
        </w:rPr>
        <w:t xml:space="preserve"> pre nasledujúci rozpočtový rok</w:t>
      </w:r>
      <w:r w:rsidR="00FE42A4">
        <w:rPr>
          <w:rFonts w:ascii="Times New Roman" w:hAnsi="Times New Roman"/>
        </w:rPr>
        <w:t xml:space="preserve">. Oproti pôvodnej úprave pribudla možnosť zmeny týchto údajov, kde je možné uplatniť </w:t>
      </w:r>
      <w:r w:rsidR="00FB3C31">
        <w:rPr>
          <w:rFonts w:ascii="Times New Roman" w:hAnsi="Times New Roman"/>
        </w:rPr>
        <w:t xml:space="preserve">navrhovanú </w:t>
      </w:r>
      <w:r w:rsidR="00FE42A4">
        <w:rPr>
          <w:rFonts w:ascii="Times New Roman" w:hAnsi="Times New Roman"/>
        </w:rPr>
        <w:t>zmenu</w:t>
      </w:r>
      <w:r w:rsidR="00B80865">
        <w:rPr>
          <w:rFonts w:ascii="Times New Roman" w:hAnsi="Times New Roman"/>
        </w:rPr>
        <w:t>, ale</w:t>
      </w:r>
      <w:r w:rsidR="00FE42A4">
        <w:rPr>
          <w:rFonts w:ascii="Times New Roman" w:hAnsi="Times New Roman"/>
        </w:rPr>
        <w:t xml:space="preserve"> len so súhlasom ministerstva. Toto doplnenie umožňuje zmeny údajov napr. </w:t>
      </w:r>
      <w:r w:rsidR="00FB3C31">
        <w:rPr>
          <w:rFonts w:ascii="Times New Roman" w:hAnsi="Times New Roman"/>
        </w:rPr>
        <w:t xml:space="preserve">zmeny vyplývajúce zo schválenia zákonov alebo noviel zákonov, </w:t>
      </w:r>
      <w:r w:rsidR="00FE42A4">
        <w:rPr>
          <w:rFonts w:ascii="Times New Roman" w:hAnsi="Times New Roman"/>
        </w:rPr>
        <w:t>v prípade opravy nesprávnych údajov a podobných prípadov, ktoré prináša reá</w:t>
      </w:r>
      <w:r w:rsidR="006418F0">
        <w:rPr>
          <w:rFonts w:ascii="Times New Roman" w:hAnsi="Times New Roman"/>
        </w:rPr>
        <w:t>lna prax</w:t>
      </w:r>
      <w:r w:rsidR="00FE42A4">
        <w:rPr>
          <w:rFonts w:ascii="Times New Roman" w:hAnsi="Times New Roman"/>
        </w:rPr>
        <w:t>.</w:t>
      </w:r>
      <w:r w:rsidR="00791C8D">
        <w:rPr>
          <w:rFonts w:ascii="Times New Roman" w:hAnsi="Times New Roman"/>
        </w:rPr>
        <w:t xml:space="preserve"> Avšak aj v prípade zmeny údajov na základe súhlasu</w:t>
      </w:r>
      <w:r w:rsidR="00F10C92">
        <w:rPr>
          <w:rFonts w:ascii="Times New Roman" w:hAnsi="Times New Roman"/>
        </w:rPr>
        <w:t xml:space="preserve"> ministerstva sa</w:t>
      </w:r>
      <w:r w:rsidR="00791C8D">
        <w:rPr>
          <w:rFonts w:ascii="Times New Roman" w:hAnsi="Times New Roman"/>
        </w:rPr>
        <w:t xml:space="preserve"> </w:t>
      </w:r>
      <w:r w:rsidR="00F10C92">
        <w:rPr>
          <w:rFonts w:ascii="Times New Roman" w:hAnsi="Times New Roman"/>
        </w:rPr>
        <w:t>zachováva princíp, že zmenené údaje poskytne ministerstvu Š</w:t>
      </w:r>
      <w:r w:rsidR="00791C8D">
        <w:rPr>
          <w:rFonts w:ascii="Times New Roman" w:hAnsi="Times New Roman"/>
        </w:rPr>
        <w:t>tatistický úrad</w:t>
      </w:r>
      <w:r w:rsidR="00F10C92">
        <w:rPr>
          <w:rFonts w:ascii="Times New Roman" w:hAnsi="Times New Roman"/>
        </w:rPr>
        <w:t xml:space="preserve"> SR</w:t>
      </w:r>
      <w:r w:rsidR="00791C8D">
        <w:rPr>
          <w:rFonts w:ascii="Times New Roman" w:hAnsi="Times New Roman"/>
        </w:rPr>
        <w:t>.</w:t>
      </w:r>
      <w:r w:rsidR="00F10C92">
        <w:rPr>
          <w:rFonts w:ascii="Times New Roman" w:hAnsi="Times New Roman"/>
        </w:rPr>
        <w:t xml:space="preserve"> </w:t>
      </w:r>
      <w:r w:rsidR="00FE42A4">
        <w:rPr>
          <w:rFonts w:ascii="Times New Roman" w:hAnsi="Times New Roman"/>
        </w:rPr>
        <w:t>Z</w:t>
      </w:r>
      <w:r w:rsidRPr="00C15465">
        <w:rPr>
          <w:rFonts w:ascii="Times New Roman" w:hAnsi="Times New Roman"/>
        </w:rPr>
        <w:t>ároveň zaväzuje subjekty verejnej správy k poskytovaniu vybraných údajov pre potreby Štatistického úradu SR</w:t>
      </w:r>
      <w:r w:rsidR="00791C8D">
        <w:rPr>
          <w:rFonts w:ascii="Times New Roman" w:hAnsi="Times New Roman"/>
        </w:rPr>
        <w:t xml:space="preserve">, </w:t>
      </w:r>
      <w:r w:rsidR="00E97B1F">
        <w:rPr>
          <w:rFonts w:ascii="Times New Roman" w:hAnsi="Times New Roman"/>
        </w:rPr>
        <w:t xml:space="preserve">platí to </w:t>
      </w:r>
      <w:r w:rsidR="00791C8D">
        <w:rPr>
          <w:rFonts w:ascii="Times New Roman" w:hAnsi="Times New Roman"/>
        </w:rPr>
        <w:t xml:space="preserve">aj </w:t>
      </w:r>
      <w:r w:rsidR="00E97B1F">
        <w:rPr>
          <w:rFonts w:ascii="Times New Roman" w:hAnsi="Times New Roman"/>
        </w:rPr>
        <w:t xml:space="preserve">pre </w:t>
      </w:r>
      <w:r w:rsidR="00791C8D">
        <w:rPr>
          <w:rFonts w:ascii="Times New Roman" w:hAnsi="Times New Roman"/>
        </w:rPr>
        <w:t xml:space="preserve">prípad odsúhlaseného návrhu </w:t>
      </w:r>
      <w:r w:rsidR="00E97B1F">
        <w:rPr>
          <w:rFonts w:ascii="Times New Roman" w:hAnsi="Times New Roman"/>
        </w:rPr>
        <w:t xml:space="preserve">na </w:t>
      </w:r>
      <w:r w:rsidR="00791C8D">
        <w:rPr>
          <w:rFonts w:ascii="Times New Roman" w:hAnsi="Times New Roman"/>
        </w:rPr>
        <w:t>zmen</w:t>
      </w:r>
      <w:r w:rsidR="00E97B1F">
        <w:rPr>
          <w:rFonts w:ascii="Times New Roman" w:hAnsi="Times New Roman"/>
        </w:rPr>
        <w:t>u</w:t>
      </w:r>
      <w:r w:rsidRPr="00C15465">
        <w:rPr>
          <w:rFonts w:ascii="Times New Roman" w:hAnsi="Times New Roman"/>
        </w:rPr>
        <w:t xml:space="preserve">. 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>Návrh zákona nemení termín poukazovania výnosu podielových daní obciam a vyšším územným celkom; stanovuje sa  postup a termíny pre vysporiadani</w:t>
      </w:r>
      <w:r w:rsidR="00825803">
        <w:rPr>
          <w:rFonts w:ascii="Times New Roman" w:hAnsi="Times New Roman"/>
        </w:rPr>
        <w:t>e</w:t>
      </w:r>
      <w:r w:rsidRPr="00C15465">
        <w:rPr>
          <w:rFonts w:ascii="Times New Roman" w:hAnsi="Times New Roman"/>
        </w:rPr>
        <w:t xml:space="preserve"> zistených preplatkov i nedoplatkov. Ročné zúčtovanie už nebude potrebné vykonávať.</w:t>
      </w:r>
    </w:p>
    <w:p w:rsidR="00C15465" w:rsidRPr="00C15465" w:rsidP="00C15465">
      <w:pPr>
        <w:bidi w:val="0"/>
        <w:jc w:val="both"/>
        <w:rPr>
          <w:rFonts w:ascii="Times New Roman" w:hAnsi="Times New Roman"/>
          <w:b/>
        </w:rPr>
      </w:pPr>
      <w:bookmarkEnd w:id="0"/>
      <w:bookmarkEnd w:id="1"/>
    </w:p>
    <w:p w:rsidR="00C15465" w:rsidRPr="00C15465" w:rsidP="00C15465">
      <w:pPr>
        <w:bidi w:val="0"/>
        <w:jc w:val="both"/>
        <w:rPr>
          <w:rFonts w:ascii="Times New Roman" w:hAnsi="Times New Roman"/>
          <w:b/>
        </w:rPr>
      </w:pPr>
      <w:r w:rsidRPr="00C15465">
        <w:rPr>
          <w:rFonts w:ascii="Times New Roman" w:hAnsi="Times New Roman"/>
          <w:b/>
        </w:rPr>
        <w:t xml:space="preserve">K § </w:t>
      </w:r>
      <w:r w:rsidR="00BD102C">
        <w:rPr>
          <w:rFonts w:ascii="Times New Roman" w:hAnsi="Times New Roman"/>
          <w:b/>
        </w:rPr>
        <w:t>6</w:t>
      </w:r>
    </w:p>
    <w:p w:rsidR="00C15465" w:rsidRPr="00C15465" w:rsidP="00C15465">
      <w:pPr>
        <w:bidi w:val="0"/>
        <w:jc w:val="both"/>
        <w:rPr>
          <w:rFonts w:ascii="Times New Roman" w:hAnsi="Times New Roman"/>
        </w:rPr>
      </w:pPr>
      <w:r w:rsidRPr="00C15465">
        <w:rPr>
          <w:rStyle w:val="PlaceholderText"/>
          <w:color w:val="auto"/>
        </w:rPr>
        <w:t>Ide o prechodné ustanovenia pre rok 2012, ktoré upravujú</w:t>
      </w:r>
      <w:r w:rsidR="00F10C92">
        <w:rPr>
          <w:rStyle w:val="PlaceholderText"/>
          <w:color w:val="auto"/>
        </w:rPr>
        <w:t xml:space="preserve"> podmienky prevodu podielu výnosu  podielových daní</w:t>
      </w:r>
      <w:r w:rsidRPr="00C15465">
        <w:rPr>
          <w:rStyle w:val="PlaceholderText"/>
          <w:color w:val="auto"/>
        </w:rPr>
        <w:t xml:space="preserve"> </w:t>
      </w:r>
      <w:r w:rsidR="00F10C92">
        <w:rPr>
          <w:rStyle w:val="PlaceholderText"/>
          <w:color w:val="auto"/>
        </w:rPr>
        <w:t xml:space="preserve">v roku 2012, </w:t>
      </w:r>
      <w:r w:rsidRPr="00C15465">
        <w:rPr>
          <w:rStyle w:val="PlaceholderText"/>
          <w:color w:val="auto"/>
        </w:rPr>
        <w:t xml:space="preserve">podmienky prevodu </w:t>
      </w:r>
      <w:r w:rsidR="00F10C92">
        <w:rPr>
          <w:rStyle w:val="PlaceholderText"/>
          <w:color w:val="auto"/>
        </w:rPr>
        <w:t xml:space="preserve">podielu </w:t>
      </w:r>
      <w:r w:rsidRPr="00C15465">
        <w:rPr>
          <w:rStyle w:val="PlaceholderText"/>
          <w:color w:val="auto"/>
        </w:rPr>
        <w:t>výnosu dane z príjmov za december 2011 v januári 2012 a podmienky koncoročného zúčtovania podielu výnosu dane z príjmov za rok 2011 príslušnými daňovými úradmi.</w:t>
      </w:r>
    </w:p>
    <w:p w:rsidR="009A6BB9" w:rsidP="00C15465">
      <w:pPr>
        <w:bidi w:val="0"/>
        <w:jc w:val="both"/>
        <w:rPr>
          <w:rFonts w:ascii="Times New Roman" w:hAnsi="Times New Roman"/>
          <w:b/>
        </w:rPr>
      </w:pPr>
    </w:p>
    <w:p w:rsidR="009A6BB9" w:rsidP="00C15465">
      <w:pPr>
        <w:bidi w:val="0"/>
        <w:jc w:val="both"/>
        <w:rPr>
          <w:rFonts w:ascii="Times New Roman" w:hAnsi="Times New Roman"/>
          <w:b/>
        </w:rPr>
      </w:pPr>
    </w:p>
    <w:p w:rsidR="009A6BB9" w:rsidP="00C15465">
      <w:pPr>
        <w:bidi w:val="0"/>
        <w:jc w:val="both"/>
        <w:rPr>
          <w:rFonts w:ascii="Times New Roman" w:hAnsi="Times New Roman"/>
          <w:b/>
        </w:rPr>
      </w:pPr>
    </w:p>
    <w:p w:rsidR="009A6BB9" w:rsidP="00C15465">
      <w:pPr>
        <w:bidi w:val="0"/>
        <w:jc w:val="both"/>
        <w:rPr>
          <w:rFonts w:ascii="Times New Roman" w:hAnsi="Times New Roman"/>
          <w:b/>
        </w:rPr>
      </w:pPr>
    </w:p>
    <w:p w:rsidR="009A6BB9" w:rsidP="009A6BB9">
      <w:pPr>
        <w:bidi w:val="0"/>
        <w:jc w:val="both"/>
        <w:rPr>
          <w:rFonts w:ascii="Times New Roman" w:hAnsi="Times New Roman"/>
          <w:b/>
        </w:rPr>
      </w:pPr>
      <w:r w:rsidRPr="00C15465" w:rsidR="00C15465">
        <w:rPr>
          <w:rFonts w:ascii="Times New Roman" w:hAnsi="Times New Roman"/>
          <w:b/>
        </w:rPr>
        <w:t xml:space="preserve">K § </w:t>
      </w:r>
      <w:r w:rsidR="00BD102C">
        <w:rPr>
          <w:rFonts w:ascii="Times New Roman" w:hAnsi="Times New Roman"/>
          <w:b/>
        </w:rPr>
        <w:t>7</w:t>
      </w:r>
    </w:p>
    <w:p w:rsidR="005A547C" w:rsidRPr="00821DB9" w:rsidP="005A547C">
      <w:pPr>
        <w:bidi w:val="0"/>
        <w:contextualSpacing/>
        <w:jc w:val="both"/>
        <w:rPr>
          <w:rFonts w:ascii="Times New Roman" w:hAnsi="Times New Roman"/>
          <w:b/>
          <w:bCs/>
          <w:i/>
          <w:iCs/>
        </w:rPr>
      </w:pPr>
      <w:r w:rsidRPr="009A6BB9" w:rsidR="00C15465">
        <w:rPr>
          <w:rFonts w:ascii="Times New Roman" w:hAnsi="Times New Roman"/>
        </w:rPr>
        <w:t xml:space="preserve">Ruší sa </w:t>
      </w:r>
      <w:r w:rsidRPr="009A6BB9" w:rsidR="00487D2B">
        <w:rPr>
          <w:rFonts w:ascii="Times New Roman" w:hAnsi="Times New Roman"/>
        </w:rPr>
        <w:t>čl. I</w:t>
      </w:r>
      <w:r w:rsidRPr="009A6BB9" w:rsidR="00C15465">
        <w:rPr>
          <w:rFonts w:ascii="Times New Roman" w:hAnsi="Times New Roman"/>
        </w:rPr>
        <w:t xml:space="preserve"> zákona </w:t>
      </w:r>
      <w:r w:rsidRPr="009A6BB9" w:rsidR="00C15465">
        <w:rPr>
          <w:rStyle w:val="PlaceholderText"/>
          <w:bCs/>
          <w:iCs/>
          <w:color w:val="auto"/>
        </w:rPr>
        <w:t>č. 564/2004 Z. z. o rozpočtovom určení výnosu dane z príjmov územnej samospráve a o zmene a doplnení niektorých zákonov v znení čl. VI zákona č.</w:t>
      </w:r>
      <w:r w:rsidR="00CA59C2">
        <w:rPr>
          <w:rStyle w:val="PlaceholderText"/>
          <w:bCs/>
          <w:iCs/>
          <w:color w:val="auto"/>
        </w:rPr>
        <w:t xml:space="preserve"> </w:t>
      </w:r>
      <w:r w:rsidRPr="009A6BB9" w:rsidR="00C15465">
        <w:rPr>
          <w:rStyle w:val="PlaceholderText"/>
          <w:bCs/>
          <w:iCs/>
          <w:color w:val="auto"/>
        </w:rPr>
        <w:t>171/2005 Z. z.</w:t>
      </w:r>
      <w:r w:rsidRPr="009A6BB9" w:rsidR="00487D2B">
        <w:rPr>
          <w:rStyle w:val="PlaceholderText"/>
          <w:bCs/>
          <w:iCs/>
          <w:color w:val="auto"/>
        </w:rPr>
        <w:t>,</w:t>
      </w:r>
      <w:r w:rsidRPr="009A6BB9" w:rsidR="00C15465">
        <w:rPr>
          <w:rStyle w:val="PlaceholderText"/>
          <w:bCs/>
          <w:iCs/>
          <w:color w:val="auto"/>
        </w:rPr>
        <w:t> čl. II zákona č. 479/2009 Z. z.</w:t>
      </w:r>
      <w:r w:rsidRPr="009A6BB9" w:rsidR="00487D2B">
        <w:rPr>
          <w:rStyle w:val="PlaceholderText"/>
          <w:bCs/>
          <w:iCs/>
          <w:color w:val="auto"/>
        </w:rPr>
        <w:t xml:space="preserve"> a čl. III. zákona č. 38/2011 Z. z.</w:t>
      </w:r>
      <w:r>
        <w:rPr>
          <w:rStyle w:val="PlaceholderText"/>
          <w:bCs/>
          <w:iCs/>
          <w:color w:val="auto"/>
        </w:rPr>
        <w:t xml:space="preserve"> </w:t>
      </w:r>
      <w:r w:rsidRPr="005A547C">
        <w:rPr>
          <w:rStyle w:val="PlaceholderText"/>
          <w:bCs/>
          <w:iCs/>
          <w:color w:val="auto"/>
        </w:rPr>
        <w:t>Zároveň sa</w:t>
      </w:r>
      <w:r w:rsidRPr="005A547C">
        <w:rPr>
          <w:rStyle w:val="PlaceholderText"/>
          <w:bCs/>
          <w:i/>
          <w:iCs/>
          <w:color w:val="auto"/>
        </w:rPr>
        <w:t xml:space="preserve"> </w:t>
      </w:r>
      <w:r w:rsidRPr="005A547C">
        <w:rPr>
          <w:rStyle w:val="PlaceholderText"/>
          <w:bCs/>
          <w:iCs/>
          <w:color w:val="auto"/>
        </w:rPr>
        <w:t>ruší</w:t>
      </w:r>
      <w:r w:rsidRPr="005A547C">
        <w:rPr>
          <w:rStyle w:val="PlaceholderText"/>
          <w:bCs/>
          <w:i/>
          <w:iCs/>
          <w:color w:val="auto"/>
        </w:rPr>
        <w:t xml:space="preserve"> </w:t>
      </w:r>
      <w:r w:rsidRPr="005A547C">
        <w:rPr>
          <w:rFonts w:ascii="Times New Roman" w:hAnsi="Times New Roman"/>
        </w:rPr>
        <w:t>nariadenie vlády Slovenskej republiky č. 668/2004 Z. z. o rozdeľovaní výnosu dan</w:t>
      </w:r>
      <w:r w:rsidR="009E3A56">
        <w:rPr>
          <w:rFonts w:ascii="Times New Roman" w:hAnsi="Times New Roman"/>
        </w:rPr>
        <w:t>e</w:t>
      </w:r>
      <w:r w:rsidRPr="005A547C">
        <w:rPr>
          <w:rFonts w:ascii="Times New Roman" w:hAnsi="Times New Roman"/>
        </w:rPr>
        <w:t xml:space="preserve"> z príjmov územnej samospráve v znení neskorších predpisov.</w:t>
      </w:r>
    </w:p>
    <w:p w:rsidR="005A547C" w:rsidRPr="00C15465" w:rsidP="005A547C">
      <w:pPr>
        <w:pStyle w:val="Heading2"/>
        <w:bidi w:val="0"/>
        <w:spacing w:before="0"/>
        <w:jc w:val="both"/>
        <w:rPr>
          <w:rStyle w:val="PlaceholderText"/>
          <w:b w:val="0"/>
          <w:bCs w:val="0"/>
          <w:i w:val="0"/>
          <w:iCs w:val="0"/>
          <w:color w:val="auto"/>
          <w:sz w:val="24"/>
          <w:szCs w:val="24"/>
        </w:rPr>
      </w:pPr>
    </w:p>
    <w:p w:rsidR="005A547C" w:rsidP="005A547C">
      <w:pPr>
        <w:bidi w:val="0"/>
        <w:jc w:val="both"/>
        <w:rPr>
          <w:rFonts w:ascii="Times New Roman" w:hAnsi="Times New Roman"/>
        </w:rPr>
      </w:pPr>
    </w:p>
    <w:p w:rsidR="005A547C" w:rsidRPr="00C15465" w:rsidP="005A547C">
      <w:pPr>
        <w:bidi w:val="0"/>
        <w:jc w:val="both"/>
        <w:rPr>
          <w:rFonts w:ascii="Times New Roman" w:hAnsi="Times New Roman"/>
          <w:b/>
        </w:rPr>
      </w:pPr>
      <w:r w:rsidRPr="00C15465">
        <w:rPr>
          <w:rFonts w:ascii="Times New Roman" w:hAnsi="Times New Roman"/>
          <w:b/>
        </w:rPr>
        <w:t xml:space="preserve">K § </w:t>
      </w:r>
      <w:r>
        <w:rPr>
          <w:rFonts w:ascii="Times New Roman" w:hAnsi="Times New Roman"/>
          <w:b/>
        </w:rPr>
        <w:t>8</w:t>
      </w:r>
    </w:p>
    <w:p w:rsidR="005A547C" w:rsidRPr="005A547C" w:rsidP="005A547C">
      <w:pPr>
        <w:bidi w:val="0"/>
        <w:jc w:val="both"/>
        <w:rPr>
          <w:rFonts w:ascii="Times New Roman" w:hAnsi="Times New Roman"/>
        </w:rPr>
      </w:pPr>
      <w:r w:rsidRPr="00C15465">
        <w:rPr>
          <w:rFonts w:ascii="Times New Roman" w:hAnsi="Times New Roman"/>
        </w:rPr>
        <w:t xml:space="preserve">Ustanovuje </w:t>
      </w:r>
      <w:r>
        <w:rPr>
          <w:rFonts w:ascii="Times New Roman" w:hAnsi="Times New Roman"/>
        </w:rPr>
        <w:t xml:space="preserve">sa </w:t>
      </w:r>
      <w:r w:rsidRPr="00C15465">
        <w:rPr>
          <w:rFonts w:ascii="Times New Roman" w:hAnsi="Times New Roman"/>
        </w:rPr>
        <w:t>účinnosť zákona od 1. januára  2012</w:t>
      </w:r>
      <w:r>
        <w:rPr>
          <w:rFonts w:ascii="Times New Roman" w:hAnsi="Times New Roman"/>
        </w:rPr>
        <w:t xml:space="preserve"> </w:t>
      </w:r>
      <w:r w:rsidRPr="005A547C">
        <w:rPr>
          <w:rFonts w:ascii="Times New Roman" w:hAnsi="Times New Roman"/>
        </w:rPr>
        <w:t xml:space="preserve">okrem § 5 </w:t>
      </w:r>
      <w:r w:rsidRPr="005A547C">
        <w:rPr>
          <w:rFonts w:ascii="Times New Roman" w:hAnsi="Times New Roman"/>
          <w:color w:val="000000"/>
        </w:rPr>
        <w:t>ods. 2 a 6, ktoré nadobúdajú účinnosť 1. januára 2013.</w:t>
      </w:r>
      <w:r w:rsidRPr="005A547C">
        <w:rPr>
          <w:rFonts w:ascii="Times New Roman" w:hAnsi="Times New Roman"/>
        </w:rPr>
        <w:t xml:space="preserve"> </w:t>
      </w:r>
    </w:p>
    <w:p w:rsidR="00C15465" w:rsidRPr="009A6BB9" w:rsidP="009A6BB9">
      <w:pPr>
        <w:bidi w:val="0"/>
        <w:jc w:val="both"/>
        <w:rPr>
          <w:rStyle w:val="PlaceholderText"/>
          <w:color w:val="auto"/>
        </w:rPr>
      </w:pPr>
    </w:p>
    <w:p w:rsidR="00C15465" w:rsidP="00C15465">
      <w:pPr>
        <w:bidi w:val="0"/>
        <w:jc w:val="both"/>
        <w:rPr>
          <w:rFonts w:ascii="Times New Roman" w:hAnsi="Times New Roman"/>
        </w:rPr>
      </w:pPr>
    </w:p>
    <w:p w:rsidR="005A547C" w:rsidP="00C15465">
      <w:pPr>
        <w:bidi w:val="0"/>
        <w:jc w:val="both"/>
        <w:rPr>
          <w:rFonts w:ascii="Times New Roman" w:hAnsi="Times New Roman"/>
        </w:rPr>
      </w:pPr>
    </w:p>
    <w:p w:rsidR="00191205" w:rsidP="00191205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Schválené na rokovaní vlády Slovenskej republiky dňa 21. septembra 2011.</w:t>
      </w:r>
    </w:p>
    <w:p w:rsidR="00191205" w:rsidP="00191205">
      <w:pPr>
        <w:bidi w:val="0"/>
        <w:rPr>
          <w:rFonts w:ascii="Times New Roman" w:hAnsi="Times New Roman"/>
        </w:rPr>
      </w:pPr>
    </w:p>
    <w:p w:rsidR="00191205" w:rsidP="00191205">
      <w:pPr>
        <w:pStyle w:val="BodyTextIndent3"/>
        <w:bidi w:val="0"/>
        <w:ind w:left="0"/>
        <w:rPr>
          <w:sz w:val="24"/>
          <w:szCs w:val="24"/>
        </w:rPr>
      </w:pPr>
    </w:p>
    <w:p w:rsidR="00191205" w:rsidP="00191205">
      <w:pPr>
        <w:pStyle w:val="BodyTextIndent3"/>
        <w:bidi w:val="0"/>
        <w:ind w:left="0"/>
        <w:rPr>
          <w:sz w:val="24"/>
          <w:szCs w:val="24"/>
        </w:rPr>
      </w:pPr>
    </w:p>
    <w:p w:rsidR="00191205" w:rsidP="00191205">
      <w:pPr>
        <w:pStyle w:val="BodyTextIndent3"/>
        <w:bidi w:val="0"/>
        <w:ind w:left="0"/>
        <w:jc w:val="center"/>
        <w:rPr>
          <w:sz w:val="24"/>
          <w:szCs w:val="24"/>
        </w:rPr>
      </w:pPr>
    </w:p>
    <w:p w:rsidR="00191205" w:rsidRPr="00544EF3" w:rsidP="00191205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544EF3">
        <w:rPr>
          <w:rFonts w:ascii="Times New Roman" w:hAnsi="Times New Roman"/>
          <w:bCs/>
          <w:sz w:val="24"/>
          <w:szCs w:val="24"/>
        </w:rPr>
        <w:t>Iveta Radičová</w:t>
      </w:r>
      <w:r w:rsidR="005E7365">
        <w:rPr>
          <w:rFonts w:ascii="Times New Roman" w:hAnsi="Times New Roman"/>
          <w:bCs/>
          <w:sz w:val="24"/>
          <w:szCs w:val="24"/>
        </w:rPr>
        <w:t xml:space="preserve"> v. r.</w:t>
      </w:r>
    </w:p>
    <w:p w:rsidR="00191205" w:rsidRPr="005A547C" w:rsidP="00191205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5A547C">
        <w:rPr>
          <w:rFonts w:ascii="Times New Roman" w:hAnsi="Times New Roman"/>
          <w:bCs/>
          <w:sz w:val="24"/>
          <w:szCs w:val="24"/>
        </w:rPr>
        <w:t>predsedníčka vlády Slovenskej republiky</w:t>
      </w:r>
    </w:p>
    <w:p w:rsidR="00191205" w:rsidRPr="005A547C" w:rsidP="00191205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:rsidR="00191205" w:rsidRPr="00BA7997" w:rsidP="00191205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205" w:rsidRPr="00BA7997" w:rsidP="00191205">
      <w:pPr>
        <w:pStyle w:val="BodyTextIndent3"/>
        <w:bidi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205" w:rsidRPr="00544EF3" w:rsidP="00191205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544EF3">
        <w:rPr>
          <w:rFonts w:ascii="Times New Roman" w:hAnsi="Times New Roman"/>
          <w:bCs/>
          <w:sz w:val="24"/>
          <w:szCs w:val="24"/>
        </w:rPr>
        <w:t>Ivan Mikloš</w:t>
      </w:r>
      <w:r w:rsidR="005E7365">
        <w:rPr>
          <w:rFonts w:ascii="Times New Roman" w:hAnsi="Times New Roman"/>
          <w:bCs/>
          <w:sz w:val="24"/>
          <w:szCs w:val="24"/>
        </w:rPr>
        <w:t xml:space="preserve"> v. r.</w:t>
      </w:r>
    </w:p>
    <w:p w:rsidR="00191205" w:rsidRPr="005A547C" w:rsidP="00191205">
      <w:pPr>
        <w:pStyle w:val="BodyTextIndent3"/>
        <w:bidi w:val="0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5A547C">
        <w:rPr>
          <w:rFonts w:ascii="Times New Roman" w:hAnsi="Times New Roman"/>
          <w:bCs/>
          <w:sz w:val="24"/>
          <w:szCs w:val="24"/>
        </w:rPr>
        <w:t>podpredseda vlády a</w:t>
      </w:r>
    </w:p>
    <w:p w:rsidR="00191205" w:rsidRPr="005A547C" w:rsidP="00191205">
      <w:pPr>
        <w:pStyle w:val="BodyTextIndent3"/>
        <w:bidi w:val="0"/>
        <w:ind w:left="0"/>
        <w:jc w:val="center"/>
        <w:rPr>
          <w:bCs/>
          <w:sz w:val="24"/>
          <w:szCs w:val="24"/>
        </w:rPr>
      </w:pPr>
      <w:r w:rsidRPr="005A547C">
        <w:rPr>
          <w:rFonts w:ascii="Times New Roman" w:hAnsi="Times New Roman"/>
          <w:bCs/>
          <w:sz w:val="24"/>
          <w:szCs w:val="24"/>
        </w:rPr>
        <w:t>minister financií Slovenskej republiky</w:t>
      </w:r>
    </w:p>
    <w:p w:rsidR="00191205" w:rsidRPr="005A547C" w:rsidP="00191205">
      <w:pPr>
        <w:bidi w:val="0"/>
        <w:rPr>
          <w:rFonts w:ascii="Times New Roman" w:hAnsi="Times New Roman"/>
        </w:rPr>
      </w:pPr>
    </w:p>
    <w:p w:rsidR="00326210" w:rsidP="004E263D">
      <w:pPr>
        <w:pStyle w:val="ListParagraph"/>
        <w:bidi w:val="0"/>
        <w:spacing w:line="240" w:lineRule="auto"/>
        <w:ind w:left="360" w:firstLine="348"/>
        <w:jc w:val="both"/>
      </w:pPr>
    </w:p>
    <w:sectPr w:rsidSect="00BA4CFF">
      <w:pgSz w:w="11906" w:h="16838" w:code="9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97B"/>
    <w:multiLevelType w:val="hybridMultilevel"/>
    <w:tmpl w:val="04905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61249"/>
    <w:multiLevelType w:val="hybridMultilevel"/>
    <w:tmpl w:val="B8D673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856CAE"/>
    <w:multiLevelType w:val="hybridMultilevel"/>
    <w:tmpl w:val="6EE01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7ED17D6"/>
    <w:multiLevelType w:val="hybridMultilevel"/>
    <w:tmpl w:val="FBEE81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9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A4CFF"/>
    <w:rsid w:val="00007FA7"/>
    <w:rsid w:val="0006040A"/>
    <w:rsid w:val="000A31D8"/>
    <w:rsid w:val="000F400E"/>
    <w:rsid w:val="000F4164"/>
    <w:rsid w:val="00114187"/>
    <w:rsid w:val="00124B91"/>
    <w:rsid w:val="00152F85"/>
    <w:rsid w:val="0018413C"/>
    <w:rsid w:val="00190CD1"/>
    <w:rsid w:val="00191205"/>
    <w:rsid w:val="001B09F8"/>
    <w:rsid w:val="001C0BF8"/>
    <w:rsid w:val="001C1FC8"/>
    <w:rsid w:val="001C6175"/>
    <w:rsid w:val="001E6926"/>
    <w:rsid w:val="00222C30"/>
    <w:rsid w:val="002323AD"/>
    <w:rsid w:val="002704AC"/>
    <w:rsid w:val="00284DE7"/>
    <w:rsid w:val="002A216B"/>
    <w:rsid w:val="002C5770"/>
    <w:rsid w:val="002F07A3"/>
    <w:rsid w:val="00326210"/>
    <w:rsid w:val="003A48BA"/>
    <w:rsid w:val="003B6BCE"/>
    <w:rsid w:val="003C21C0"/>
    <w:rsid w:val="003D455F"/>
    <w:rsid w:val="003E52C9"/>
    <w:rsid w:val="003E6714"/>
    <w:rsid w:val="003F3400"/>
    <w:rsid w:val="003F60C4"/>
    <w:rsid w:val="00403147"/>
    <w:rsid w:val="00406A1F"/>
    <w:rsid w:val="0041162F"/>
    <w:rsid w:val="004157C7"/>
    <w:rsid w:val="00461FA7"/>
    <w:rsid w:val="00487D2B"/>
    <w:rsid w:val="004E263D"/>
    <w:rsid w:val="004E2937"/>
    <w:rsid w:val="00502E63"/>
    <w:rsid w:val="00525525"/>
    <w:rsid w:val="00532CD6"/>
    <w:rsid w:val="00544EF3"/>
    <w:rsid w:val="00591E47"/>
    <w:rsid w:val="0059391A"/>
    <w:rsid w:val="005963E1"/>
    <w:rsid w:val="005A547C"/>
    <w:rsid w:val="005D074E"/>
    <w:rsid w:val="005E6378"/>
    <w:rsid w:val="005E7365"/>
    <w:rsid w:val="00617BED"/>
    <w:rsid w:val="006418F0"/>
    <w:rsid w:val="00656BA6"/>
    <w:rsid w:val="00657813"/>
    <w:rsid w:val="00694713"/>
    <w:rsid w:val="006B3275"/>
    <w:rsid w:val="006E42C8"/>
    <w:rsid w:val="00711AD4"/>
    <w:rsid w:val="0072573C"/>
    <w:rsid w:val="0075116C"/>
    <w:rsid w:val="00781ECF"/>
    <w:rsid w:val="00790C34"/>
    <w:rsid w:val="00791C8D"/>
    <w:rsid w:val="00810609"/>
    <w:rsid w:val="00821DB9"/>
    <w:rsid w:val="00825803"/>
    <w:rsid w:val="008878E9"/>
    <w:rsid w:val="008968BC"/>
    <w:rsid w:val="008C2D9E"/>
    <w:rsid w:val="008E3A63"/>
    <w:rsid w:val="0092368D"/>
    <w:rsid w:val="00933D23"/>
    <w:rsid w:val="00985043"/>
    <w:rsid w:val="0099634C"/>
    <w:rsid w:val="009A2900"/>
    <w:rsid w:val="009A6BB9"/>
    <w:rsid w:val="009C0B73"/>
    <w:rsid w:val="009D3306"/>
    <w:rsid w:val="009E3A56"/>
    <w:rsid w:val="00A03DE3"/>
    <w:rsid w:val="00A35929"/>
    <w:rsid w:val="00A42294"/>
    <w:rsid w:val="00A51657"/>
    <w:rsid w:val="00A611AE"/>
    <w:rsid w:val="00A64D2D"/>
    <w:rsid w:val="00A74012"/>
    <w:rsid w:val="00AC2AF6"/>
    <w:rsid w:val="00AF0B4B"/>
    <w:rsid w:val="00B37487"/>
    <w:rsid w:val="00B507AF"/>
    <w:rsid w:val="00B67EB2"/>
    <w:rsid w:val="00B80865"/>
    <w:rsid w:val="00B912C7"/>
    <w:rsid w:val="00BA4CFF"/>
    <w:rsid w:val="00BA7997"/>
    <w:rsid w:val="00BC3D17"/>
    <w:rsid w:val="00BD102C"/>
    <w:rsid w:val="00BE2F17"/>
    <w:rsid w:val="00BE3E05"/>
    <w:rsid w:val="00C01012"/>
    <w:rsid w:val="00C15465"/>
    <w:rsid w:val="00CA59C2"/>
    <w:rsid w:val="00CC36DA"/>
    <w:rsid w:val="00D214F8"/>
    <w:rsid w:val="00D344BE"/>
    <w:rsid w:val="00D374E8"/>
    <w:rsid w:val="00D444C7"/>
    <w:rsid w:val="00D91AF4"/>
    <w:rsid w:val="00DB3DDC"/>
    <w:rsid w:val="00DD2D1D"/>
    <w:rsid w:val="00DE43A9"/>
    <w:rsid w:val="00DF1B43"/>
    <w:rsid w:val="00E73716"/>
    <w:rsid w:val="00E97B1F"/>
    <w:rsid w:val="00EC751C"/>
    <w:rsid w:val="00EF28E6"/>
    <w:rsid w:val="00F0580C"/>
    <w:rsid w:val="00F10C92"/>
    <w:rsid w:val="00FB3C31"/>
    <w:rsid w:val="00FB55AF"/>
    <w:rsid w:val="00FE42A4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3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C15465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C15465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1E692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A2900"/>
    <w:rPr>
      <w:lang w:val="sk-SK"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1Accent5">
    <w:name w:val="Medium Shading 1 Accent 5"/>
    <w:basedOn w:val="TableNormal"/>
    <w:uiPriority w:val="63"/>
    <w:rsid w:val="005963E1"/>
    <w:rPr>
      <w:lang w:val="sk-SK" w:eastAsia="sk-SK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color w:val="FFFFFF"/>
        <w:rtl w:val="0"/>
        <w:cs w:val="0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2EAF1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15465"/>
    <w:pPr>
      <w:spacing w:after="200" w:line="276" w:lineRule="auto"/>
      <w:jc w:val="left"/>
    </w:pPr>
    <w:rPr>
      <w:rFonts w:ascii="Calibri" w:hAnsi="Calibri"/>
      <w:sz w:val="20"/>
      <w:szCs w:val="20"/>
      <w:lang w:val="en-US"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15465"/>
    <w:rPr>
      <w:rFonts w:ascii="Calibri" w:hAnsi="Calibri" w:cs="Times New Roman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5465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C15465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4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455F"/>
    <w:rPr>
      <w:rFonts w:ascii="Tahoma" w:hAnsi="Tahoma" w:cs="Tahoma"/>
      <w:sz w:val="16"/>
      <w:szCs w:val="16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191205"/>
    <w:pPr>
      <w:ind w:left="360"/>
      <w:jc w:val="both"/>
    </w:pPr>
    <w:rPr>
      <w:rFonts w:ascii="Arial Narrow" w:hAnsi="Arial Narrow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191205"/>
    <w:rPr>
      <w:rFonts w:ascii="Arial Narrow" w:hAnsi="Arial Narrow" w:cs="Times New Roman"/>
      <w:sz w:val="22"/>
      <w:szCs w:val="22"/>
      <w:rtl w:val="0"/>
      <w:cs w:val="0"/>
      <w:lang w:val="sk-SK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A6BB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A6BB9"/>
    <w:rPr>
      <w:rFonts w:cs="Times New Roman"/>
      <w:sz w:val="24"/>
      <w:szCs w:val="24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A6BB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A6BB9"/>
    <w:rPr>
      <w:rFonts w:cs="Times New Roman"/>
      <w:sz w:val="24"/>
      <w:szCs w:val="24"/>
      <w:rtl w:val="0"/>
      <w:cs w:val="0"/>
      <w:lang w:val="sk-SK" w:eastAsia="sk-SK"/>
    </w:rPr>
  </w:style>
  <w:style w:type="paragraph" w:customStyle="1" w:styleId="Zkladntext">
    <w:name w:val="Základní text"/>
    <w:rsid w:val="009A6B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E4E7-2A28-452D-BAE9-A8FB65B9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7</Pages>
  <Words>1691</Words>
  <Characters>9238</Characters>
  <Application>Microsoft Office Word</Application>
  <DocSecurity>0</DocSecurity>
  <Lines>0</Lines>
  <Paragraphs>0</Paragraphs>
  <ScaleCrop>false</ScaleCrop>
  <Company>mfsr</Company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Vladimir kracalik</dc:creator>
  <cp:lastModifiedBy>mlipnicky</cp:lastModifiedBy>
  <cp:revision>2</cp:revision>
  <cp:lastPrinted>2011-09-22T07:46:00Z</cp:lastPrinted>
  <dcterms:created xsi:type="dcterms:W3CDTF">2011-09-22T12:03:00Z</dcterms:created>
  <dcterms:modified xsi:type="dcterms:W3CDTF">2011-09-22T12:03:00Z</dcterms:modified>
</cp:coreProperties>
</file>