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4C5A" w:rsidP="00A04C5A">
      <w:pPr>
        <w:bidi w:val="0"/>
      </w:pPr>
    </w:p>
    <w:p w:rsidR="00A04C5A" w:rsidP="00A04C5A">
      <w:pPr>
        <w:bidi w:val="0"/>
        <w:ind w:left="7079"/>
        <w:rPr>
          <w:b/>
        </w:rPr>
      </w:pPr>
      <w:r w:rsidRPr="009439EA">
        <w:rPr>
          <w:rFonts w:hint="default"/>
          <w:b/>
        </w:rPr>
        <w:t>Prí</w:t>
      </w:r>
      <w:r w:rsidRPr="009439EA">
        <w:rPr>
          <w:rFonts w:hint="default"/>
          <w:b/>
        </w:rPr>
        <w:t>loha č.</w:t>
      </w:r>
      <w:r>
        <w:rPr>
          <w:b/>
        </w:rPr>
        <w:t xml:space="preserve"> 5</w:t>
      </w:r>
    </w:p>
    <w:p w:rsidR="00A04C5A" w:rsidRPr="00C141AF" w:rsidP="00A04C5A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regionálny rozvoj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Agentú</w:t>
      </w:r>
      <w:r>
        <w:rPr>
          <w:rFonts w:hint="default"/>
        </w:rPr>
        <w:t>ra na podporu regioná</w:t>
      </w:r>
      <w:r>
        <w:rPr>
          <w:rFonts w:hint="default"/>
        </w:rPr>
        <w:t>lneho rozvoja</w:t>
      </w:r>
      <w:r w:rsidR="004B7272">
        <w:t xml:space="preserve"> (APRR)</w:t>
      </w:r>
      <w:r>
        <w:rPr>
          <w:rFonts w:hint="default"/>
        </w:rPr>
        <w:t xml:space="preserve"> zabezpeč</w:t>
      </w:r>
      <w:r>
        <w:rPr>
          <w:rFonts w:hint="default"/>
        </w:rPr>
        <w:t>uje realizá</w:t>
      </w:r>
      <w:r>
        <w:rPr>
          <w:rFonts w:hint="default"/>
        </w:rPr>
        <w:t>ciu Regioná</w:t>
      </w:r>
      <w:r>
        <w:rPr>
          <w:rFonts w:hint="default"/>
        </w:rPr>
        <w:t>lneho operač</w:t>
      </w:r>
      <w:r>
        <w:rPr>
          <w:rFonts w:hint="default"/>
        </w:rPr>
        <w:t>né</w:t>
      </w:r>
      <w:r>
        <w:rPr>
          <w:rFonts w:hint="default"/>
        </w:rPr>
        <w:t>ho programu, Operač</w:t>
      </w:r>
      <w:r>
        <w:rPr>
          <w:rFonts w:hint="default"/>
        </w:rPr>
        <w:t>né</w:t>
      </w:r>
      <w:r>
        <w:rPr>
          <w:rFonts w:hint="default"/>
        </w:rPr>
        <w:t>ho programu Bratislavský</w:t>
      </w:r>
      <w:r>
        <w:rPr>
          <w:rFonts w:hint="default"/>
        </w:rPr>
        <w:t xml:space="preserve"> kraj, operač</w:t>
      </w:r>
      <w:r>
        <w:rPr>
          <w:rFonts w:hint="default"/>
        </w:rPr>
        <w:t>ný</w:t>
      </w:r>
      <w:r>
        <w:rPr>
          <w:rFonts w:hint="default"/>
        </w:rPr>
        <w:t>ch programov cezhranič</w:t>
      </w:r>
      <w:r>
        <w:rPr>
          <w:rFonts w:hint="default"/>
        </w:rPr>
        <w:t>nej spoluprá</w:t>
      </w:r>
      <w:r>
        <w:rPr>
          <w:rFonts w:hint="default"/>
        </w:rPr>
        <w:t>ce a plní</w:t>
      </w:r>
      <w:r>
        <w:rPr>
          <w:rFonts w:hint="default"/>
        </w:rPr>
        <w:t xml:space="preserve"> ú</w:t>
      </w:r>
      <w:r>
        <w:rPr>
          <w:rFonts w:hint="default"/>
        </w:rPr>
        <w:t>lohy v oblasti monitorovani</w:t>
      </w:r>
      <w:r>
        <w:rPr>
          <w:rFonts w:hint="default"/>
        </w:rPr>
        <w:t>a a vyhodnocovania programov pomoci EÚ.</w:t>
      </w:r>
    </w:p>
    <w:p w:rsidR="00EC4C5A" w:rsidP="00EC4C5A">
      <w:pPr>
        <w:bidi w:val="0"/>
        <w:rPr>
          <w:rFonts w:hint="default"/>
        </w:rPr>
      </w:pPr>
      <w:r w:rsidR="004B7272">
        <w:t>APRR</w:t>
      </w:r>
      <w:r>
        <w:rPr>
          <w:rFonts w:hint="default"/>
        </w:rPr>
        <w:t xml:space="preserve"> bola do 30. 06. 2010 súč</w:t>
      </w:r>
      <w:r>
        <w:rPr>
          <w:rFonts w:hint="default"/>
        </w:rPr>
        <w:t>asť</w:t>
      </w:r>
      <w:r>
        <w:rPr>
          <w:rFonts w:hint="default"/>
        </w:rPr>
        <w:t>ou Ministerstva vý</w:t>
      </w:r>
      <w:r>
        <w:rPr>
          <w:rFonts w:hint="default"/>
        </w:rPr>
        <w:t>stavby a regioná</w:t>
      </w:r>
      <w:r>
        <w:rPr>
          <w:rFonts w:hint="default"/>
        </w:rPr>
        <w:t>lneho rozvoja SR. S úč</w:t>
      </w:r>
      <w:r>
        <w:rPr>
          <w:rFonts w:hint="default"/>
        </w:rPr>
        <w:t>innosť</w:t>
      </w:r>
      <w:r>
        <w:rPr>
          <w:rFonts w:hint="default"/>
        </w:rPr>
        <w:t>ou od 01. 07. 2010 bolo Ministerstvo vý</w:t>
      </w:r>
      <w:r>
        <w:rPr>
          <w:rFonts w:hint="default"/>
        </w:rPr>
        <w:t>stavby a regioná</w:t>
      </w:r>
      <w:r>
        <w:rPr>
          <w:rFonts w:hint="default"/>
        </w:rPr>
        <w:t>lneho rozvoja SR zruš</w:t>
      </w:r>
      <w:r>
        <w:rPr>
          <w:rFonts w:hint="default"/>
        </w:rPr>
        <w:t>ené</w:t>
      </w:r>
      <w:r>
        <w:rPr>
          <w:rFonts w:hint="default"/>
        </w:rPr>
        <w:t xml:space="preserve"> a APRR organizač</w:t>
      </w:r>
      <w:r>
        <w:rPr>
          <w:rFonts w:hint="default"/>
        </w:rPr>
        <w:t>ne zač</w:t>
      </w:r>
      <w:r>
        <w:rPr>
          <w:rFonts w:hint="default"/>
        </w:rPr>
        <w:t>lenená</w:t>
      </w:r>
      <w:r>
        <w:rPr>
          <w:rFonts w:hint="default"/>
        </w:rPr>
        <w:t xml:space="preserve"> pod Ministers</w:t>
      </w:r>
      <w:r>
        <w:rPr>
          <w:rFonts w:hint="default"/>
        </w:rPr>
        <w:t>tvo pô</w:t>
      </w:r>
      <w:r>
        <w:rPr>
          <w:rFonts w:hint="default"/>
        </w:rPr>
        <w:t>dohospodá</w:t>
      </w:r>
      <w:r>
        <w:rPr>
          <w:rFonts w:hint="default"/>
        </w:rPr>
        <w:t>rstva, ž</w:t>
      </w:r>
      <w:r>
        <w:rPr>
          <w:rFonts w:hint="default"/>
        </w:rPr>
        <w:t>ivotné</w:t>
      </w:r>
      <w:r>
        <w:rPr>
          <w:rFonts w:hint="default"/>
        </w:rPr>
        <w:t>ho prostredia a regioná</w:t>
      </w:r>
      <w:r>
        <w:rPr>
          <w:rFonts w:hint="default"/>
        </w:rPr>
        <w:t>lneho rozvoja SR. V sú</w:t>
      </w:r>
      <w:r>
        <w:rPr>
          <w:rFonts w:hint="default"/>
        </w:rPr>
        <w:t>vislosti s obnovou samostatné</w:t>
      </w:r>
      <w:r>
        <w:rPr>
          <w:rFonts w:hint="default"/>
        </w:rPr>
        <w:t>ho Ministerstva ž</w:t>
      </w:r>
      <w:r>
        <w:rPr>
          <w:rFonts w:hint="default"/>
        </w:rPr>
        <w:t>ivotné</w:t>
      </w:r>
      <w:r>
        <w:rPr>
          <w:rFonts w:hint="default"/>
        </w:rPr>
        <w:t>ho prostredia SR a zmenou zá</w:t>
      </w:r>
      <w:r>
        <w:rPr>
          <w:rFonts w:hint="default"/>
        </w:rPr>
        <w:t>kona č</w:t>
      </w:r>
      <w:r>
        <w:rPr>
          <w:rFonts w:hint="default"/>
        </w:rPr>
        <w:t>. 575/2001 Z. z. o organizá</w:t>
      </w:r>
      <w:r>
        <w:rPr>
          <w:rFonts w:hint="default"/>
        </w:rPr>
        <w:t>cii č</w:t>
      </w:r>
      <w:r>
        <w:rPr>
          <w:rFonts w:hint="default"/>
        </w:rPr>
        <w:t>innosti vlá</w:t>
      </w:r>
      <w:r>
        <w:rPr>
          <w:rFonts w:hint="default"/>
        </w:rPr>
        <w:t>dy a organizá</w:t>
      </w:r>
      <w:r>
        <w:rPr>
          <w:rFonts w:hint="default"/>
        </w:rPr>
        <w:t>cii ú</w:t>
      </w:r>
      <w:r>
        <w:rPr>
          <w:rFonts w:hint="default"/>
        </w:rPr>
        <w:t>strednej š</w:t>
      </w:r>
      <w:r>
        <w:rPr>
          <w:rFonts w:hint="default"/>
        </w:rPr>
        <w:t>tá</w:t>
      </w:r>
      <w:r>
        <w:rPr>
          <w:rFonts w:hint="default"/>
        </w:rPr>
        <w:t>tnej sprá</w:t>
      </w:r>
      <w:r>
        <w:rPr>
          <w:rFonts w:hint="default"/>
        </w:rPr>
        <w:t>vy v znení</w:t>
      </w:r>
      <w:r>
        <w:rPr>
          <w:rFonts w:hint="default"/>
        </w:rPr>
        <w:t xml:space="preserve"> ne</w:t>
      </w:r>
      <w:r>
        <w:rPr>
          <w:rFonts w:hint="default"/>
        </w:rPr>
        <w:t>s</w:t>
      </w:r>
      <w:r>
        <w:rPr>
          <w:rFonts w:hint="default"/>
        </w:rPr>
        <w:t>korší</w:t>
      </w:r>
      <w:r>
        <w:rPr>
          <w:rFonts w:hint="default"/>
        </w:rPr>
        <w:t>ch predpisov sa zmenil ná</w:t>
      </w:r>
      <w:r>
        <w:rPr>
          <w:rFonts w:hint="default"/>
        </w:rPr>
        <w:t>zov ministerstva na Ministerstvo pô</w:t>
      </w:r>
      <w:r>
        <w:rPr>
          <w:rFonts w:hint="default"/>
        </w:rPr>
        <w:t>dohospodá</w:t>
      </w:r>
      <w:r>
        <w:rPr>
          <w:rFonts w:hint="default"/>
        </w:rPr>
        <w:t>rstva a rozvoja vidieka SR.</w:t>
      </w:r>
    </w:p>
    <w:p w:rsidR="00EC4C5A" w:rsidP="004B7272">
      <w:pPr>
        <w:bidi w:val="0"/>
        <w:ind w:firstLine="0"/>
        <w:rPr>
          <w:rFonts w:hint="default"/>
        </w:rPr>
      </w:pPr>
      <w:r>
        <w:rPr>
          <w:rFonts w:hint="default"/>
        </w:rPr>
        <w:t>APRR sa vnú</w:t>
      </w:r>
      <w:r>
        <w:rPr>
          <w:rFonts w:hint="default"/>
        </w:rPr>
        <w:t>torne č</w:t>
      </w:r>
      <w:r>
        <w:rPr>
          <w:rFonts w:hint="default"/>
        </w:rPr>
        <w:t>lení</w:t>
      </w:r>
      <w:r>
        <w:rPr>
          <w:rFonts w:hint="default"/>
        </w:rPr>
        <w:t xml:space="preserve"> na nasledovné</w:t>
      </w:r>
      <w:r>
        <w:rPr>
          <w:rFonts w:hint="default"/>
        </w:rPr>
        <w:t xml:space="preserve"> odbory:</w:t>
      </w:r>
    </w:p>
    <w:p w:rsidR="00EC4C5A" w:rsidP="00EC4C5A">
      <w:pPr>
        <w:bidi w:val="0"/>
        <w:rPr>
          <w:rFonts w:hint="default"/>
        </w:rPr>
      </w:pPr>
      <w:r>
        <w:t>1.</w:t>
        <w:tab/>
      </w:r>
      <w:r>
        <w:rPr>
          <w:rFonts w:hint="default"/>
        </w:rPr>
        <w:t>Odbor realizá</w:t>
      </w:r>
      <w:r>
        <w:rPr>
          <w:rFonts w:hint="default"/>
        </w:rPr>
        <w:t>cie programov regioná</w:t>
      </w:r>
      <w:r>
        <w:rPr>
          <w:rFonts w:hint="default"/>
        </w:rPr>
        <w:t>lneho rozvoja</w:t>
      </w:r>
    </w:p>
    <w:p w:rsidR="00EC4C5A" w:rsidP="00EC4C5A">
      <w:pPr>
        <w:bidi w:val="0"/>
      </w:pPr>
      <w:r>
        <w:rPr>
          <w:rFonts w:hint="default"/>
        </w:rPr>
        <w:t>2.</w:t>
        <w:tab/>
        <w:t>Odbor r</w:t>
      </w:r>
      <w:r w:rsidR="00AE48B1">
        <w:rPr>
          <w:rFonts w:hint="default"/>
        </w:rPr>
        <w:t>iadenia pomoci pre Bratislavský</w:t>
      </w:r>
      <w:r w:rsidR="00AE48B1">
        <w:rPr>
          <w:rFonts w:hint="default"/>
        </w:rPr>
        <w:t xml:space="preserve"> </w:t>
      </w:r>
      <w:r>
        <w:t>kraj</w:t>
      </w:r>
    </w:p>
    <w:p w:rsidR="00EC4C5A" w:rsidP="00EC4C5A">
      <w:pPr>
        <w:bidi w:val="0"/>
        <w:rPr>
          <w:rFonts w:hint="default"/>
        </w:rPr>
      </w:pPr>
      <w:r>
        <w:t>3.</w:t>
        <w:tab/>
        <w:t>Odbor ce</w:t>
      </w:r>
      <w:r>
        <w:rPr>
          <w:rFonts w:hint="default"/>
        </w:rPr>
        <w:t>zhranič</w:t>
      </w:r>
      <w:r>
        <w:rPr>
          <w:rFonts w:hint="default"/>
        </w:rPr>
        <w:t>nej spoluprá</w:t>
      </w:r>
      <w:r>
        <w:rPr>
          <w:rFonts w:hint="default"/>
        </w:rPr>
        <w:t>ce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4.</w:t>
        <w:tab/>
      </w:r>
      <w:r>
        <w:rPr>
          <w:rFonts w:hint="default"/>
        </w:rPr>
        <w:t>Odbor finanč</w:t>
      </w:r>
      <w:r>
        <w:rPr>
          <w:rFonts w:hint="default"/>
        </w:rPr>
        <w:t>né</w:t>
      </w:r>
      <w:r>
        <w:rPr>
          <w:rFonts w:hint="default"/>
        </w:rPr>
        <w:t>ho riadenia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5.</w:t>
        <w:tab/>
      </w:r>
      <w:r>
        <w:rPr>
          <w:rFonts w:hint="default"/>
        </w:rPr>
        <w:t>Odbor monitorovania a koordiná</w:t>
      </w:r>
      <w:r>
        <w:rPr>
          <w:rFonts w:hint="default"/>
        </w:rPr>
        <w:t>cie programov regioná</w:t>
      </w:r>
      <w:r>
        <w:rPr>
          <w:rFonts w:hint="default"/>
        </w:rPr>
        <w:t>lneho rozvoja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Odbor realizá</w:t>
      </w:r>
      <w:r>
        <w:rPr>
          <w:rFonts w:hint="default"/>
        </w:rPr>
        <w:t>cie programov regioná</w:t>
      </w:r>
      <w:r>
        <w:rPr>
          <w:rFonts w:hint="default"/>
        </w:rPr>
        <w:t>lneho rozvoja zabezpeč</w:t>
      </w:r>
      <w:r>
        <w:rPr>
          <w:rFonts w:hint="default"/>
        </w:rPr>
        <w:t>uje vý</w:t>
      </w:r>
      <w:r>
        <w:rPr>
          <w:rFonts w:hint="default"/>
        </w:rPr>
        <w:t>kon ú</w:t>
      </w:r>
      <w:r>
        <w:rPr>
          <w:rFonts w:hint="default"/>
        </w:rPr>
        <w:t>loh Riadiaceho orgá</w:t>
      </w:r>
      <w:r>
        <w:rPr>
          <w:rFonts w:hint="default"/>
        </w:rPr>
        <w:t xml:space="preserve">nu pre </w:t>
      </w:r>
      <w:r w:rsidRPr="004B7272">
        <w:rPr>
          <w:rFonts w:hint="default"/>
          <w:b/>
        </w:rPr>
        <w:t>Regioná</w:t>
      </w:r>
      <w:r w:rsidRPr="004B7272">
        <w:rPr>
          <w:rFonts w:hint="default"/>
          <w:b/>
        </w:rPr>
        <w:t>lny operač</w:t>
      </w:r>
      <w:r w:rsidRPr="004B7272">
        <w:rPr>
          <w:rFonts w:hint="default"/>
          <w:b/>
        </w:rPr>
        <w:t>ný</w:t>
      </w:r>
      <w:r w:rsidRPr="004B7272">
        <w:rPr>
          <w:rFonts w:hint="default"/>
          <w:b/>
        </w:rPr>
        <w:t xml:space="preserve"> program</w:t>
      </w:r>
      <w:r>
        <w:t xml:space="preserve"> </w:t>
      </w:r>
      <w:r w:rsidRPr="004B7272">
        <w:rPr>
          <w:b/>
        </w:rPr>
        <w:t>(</w:t>
      </w:r>
      <w:r w:rsidRPr="004B7272" w:rsidR="004B7272">
        <w:rPr>
          <w:b/>
        </w:rPr>
        <w:t>ROP</w:t>
      </w:r>
      <w:r w:rsidRPr="004B7272">
        <w:rPr>
          <w:b/>
        </w:rPr>
        <w:t>)</w:t>
      </w:r>
      <w:r>
        <w:rPr>
          <w:rFonts w:hint="default"/>
        </w:rPr>
        <w:t>, ktorý</w:t>
      </w:r>
      <w:r>
        <w:rPr>
          <w:rFonts w:hint="default"/>
        </w:rPr>
        <w:t xml:space="preserve"> je </w:t>
      </w:r>
      <w:r>
        <w:rPr>
          <w:rFonts w:hint="default"/>
        </w:rPr>
        <w:t>z hľ</w:t>
      </w:r>
      <w:r>
        <w:rPr>
          <w:rFonts w:hint="default"/>
        </w:rPr>
        <w:t>adiska objemu finanč</w:t>
      </w:r>
      <w:r>
        <w:rPr>
          <w:rFonts w:hint="default"/>
        </w:rPr>
        <w:t>ný</w:t>
      </w:r>
      <w:r>
        <w:rPr>
          <w:rFonts w:hint="default"/>
        </w:rPr>
        <w:t>ch prostriedkov tretí</w:t>
      </w:r>
      <w:r>
        <w:rPr>
          <w:rFonts w:hint="default"/>
        </w:rPr>
        <w:t>m najväčší</w:t>
      </w:r>
      <w:r>
        <w:rPr>
          <w:rFonts w:hint="default"/>
        </w:rPr>
        <w:t>m z 11 operač</w:t>
      </w:r>
      <w:r>
        <w:rPr>
          <w:rFonts w:hint="default"/>
        </w:rPr>
        <w:t>ný</w:t>
      </w:r>
      <w:r>
        <w:rPr>
          <w:rFonts w:hint="default"/>
        </w:rPr>
        <w:t>ch programov v rá</w:t>
      </w:r>
      <w:r>
        <w:rPr>
          <w:rFonts w:hint="default"/>
        </w:rPr>
        <w:t>mci SR v programovom období</w:t>
      </w:r>
      <w:r>
        <w:rPr>
          <w:rFonts w:hint="default"/>
        </w:rPr>
        <w:t xml:space="preserve"> 2007 - 2013. </w:t>
      </w:r>
      <w:r w:rsidR="004B7272">
        <w:t>ROP</w:t>
      </w:r>
      <w:r>
        <w:rPr>
          <w:rFonts w:hint="default"/>
        </w:rPr>
        <w:t xml:space="preserve"> predstavuje strategický</w:t>
      </w:r>
      <w:r>
        <w:rPr>
          <w:rFonts w:hint="default"/>
        </w:rPr>
        <w:t xml:space="preserve"> dokument, prič</w:t>
      </w:r>
      <w:r>
        <w:rPr>
          <w:rFonts w:hint="default"/>
        </w:rPr>
        <w:t>om oprá</w:t>
      </w:r>
      <w:r>
        <w:rPr>
          <w:rFonts w:hint="default"/>
        </w:rPr>
        <w:t>vnený</w:t>
      </w:r>
      <w:r>
        <w:rPr>
          <w:rFonts w:hint="default"/>
        </w:rPr>
        <w:t>m ú</w:t>
      </w:r>
      <w:r>
        <w:rPr>
          <w:rFonts w:hint="default"/>
        </w:rPr>
        <w:t>zemí</w:t>
      </w:r>
      <w:r>
        <w:rPr>
          <w:rFonts w:hint="default"/>
        </w:rPr>
        <w:t>m na realizovanie intervencií</w:t>
      </w:r>
      <w:r>
        <w:rPr>
          <w:rFonts w:hint="default"/>
        </w:rPr>
        <w:t xml:space="preserve"> je ú</w:t>
      </w:r>
      <w:r>
        <w:rPr>
          <w:rFonts w:hint="default"/>
        </w:rPr>
        <w:t>zemie Slovenskej republiky s vý</w:t>
      </w:r>
      <w:r>
        <w:rPr>
          <w:rFonts w:hint="default"/>
        </w:rPr>
        <w:t>nimkou Bratislavské</w:t>
      </w:r>
      <w:r>
        <w:rPr>
          <w:rFonts w:hint="default"/>
        </w:rPr>
        <w:t>ho kraja.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Prostrední</w:t>
      </w:r>
      <w:r>
        <w:rPr>
          <w:rFonts w:hint="default"/>
        </w:rPr>
        <w:t>ctvom ROP je poskytovaná</w:t>
      </w:r>
      <w:r>
        <w:rPr>
          <w:rFonts w:hint="default"/>
        </w:rPr>
        <w:t xml:space="preserve"> </w:t>
      </w:r>
      <w:r w:rsidR="004B7272">
        <w:t>podpora</w:t>
      </w:r>
      <w:r>
        <w:rPr>
          <w:rFonts w:hint="default"/>
        </w:rPr>
        <w:t xml:space="preserve"> z Euró</w:t>
      </w:r>
      <w:r>
        <w:rPr>
          <w:rFonts w:hint="default"/>
        </w:rPr>
        <w:t>ps</w:t>
      </w:r>
      <w:r w:rsidR="004B7272">
        <w:rPr>
          <w:rFonts w:hint="default"/>
        </w:rPr>
        <w:t>keho fondu regioná</w:t>
      </w:r>
      <w:r w:rsidR="004B7272">
        <w:rPr>
          <w:rFonts w:hint="default"/>
        </w:rPr>
        <w:t>lneho rozvoja,</w:t>
      </w:r>
      <w:r>
        <w:t xml:space="preserve"> </w:t>
      </w:r>
      <w:r w:rsidR="004B7272">
        <w:rPr>
          <w:rFonts w:hint="default"/>
        </w:rPr>
        <w:t>zameraná</w:t>
      </w:r>
      <w:r>
        <w:rPr>
          <w:rFonts w:hint="default"/>
        </w:rPr>
        <w:t xml:space="preserve"> na realizá</w:t>
      </w:r>
      <w:r>
        <w:rPr>
          <w:rFonts w:hint="default"/>
        </w:rPr>
        <w:t>ciu investič</w:t>
      </w:r>
      <w:r>
        <w:rPr>
          <w:rFonts w:hint="default"/>
        </w:rPr>
        <w:t>ný</w:t>
      </w:r>
      <w:r>
        <w:rPr>
          <w:rFonts w:hint="default"/>
        </w:rPr>
        <w:t>ch projektov v oblasti regioná</w:t>
      </w:r>
      <w:r>
        <w:rPr>
          <w:rFonts w:hint="default"/>
        </w:rPr>
        <w:t>lnej infraš</w:t>
      </w:r>
      <w:r>
        <w:rPr>
          <w:rFonts w:hint="default"/>
        </w:rPr>
        <w:t>truktú</w:t>
      </w:r>
      <w:r>
        <w:rPr>
          <w:rFonts w:hint="default"/>
        </w:rPr>
        <w:t>ry (podpora infraš</w:t>
      </w:r>
      <w:r>
        <w:rPr>
          <w:rFonts w:hint="default"/>
        </w:rPr>
        <w:t>truktú</w:t>
      </w:r>
      <w:r>
        <w:rPr>
          <w:rFonts w:hint="default"/>
        </w:rPr>
        <w:t>ry vzdelá</w:t>
      </w:r>
      <w:r>
        <w:rPr>
          <w:rFonts w:hint="default"/>
        </w:rPr>
        <w:t>vania, sociá</w:t>
      </w:r>
      <w:r>
        <w:rPr>
          <w:rFonts w:hint="default"/>
        </w:rPr>
        <w:t>lnej infraš</w:t>
      </w:r>
      <w:r>
        <w:rPr>
          <w:rFonts w:hint="default"/>
        </w:rPr>
        <w:t>truktú</w:t>
      </w:r>
      <w:r w:rsidR="006A4588">
        <w:t>r</w:t>
      </w:r>
      <w:r w:rsidR="006A4588">
        <w:rPr>
          <w:rFonts w:hint="default"/>
        </w:rPr>
        <w:t>y, infraš</w:t>
      </w:r>
      <w:r w:rsidR="006A4588">
        <w:rPr>
          <w:rFonts w:hint="default"/>
        </w:rPr>
        <w:t>truktú</w:t>
      </w:r>
      <w:r w:rsidR="006A4588">
        <w:rPr>
          <w:rFonts w:hint="default"/>
        </w:rPr>
        <w:t>ry pamäť</w:t>
      </w:r>
      <w:r w:rsidR="006A4588">
        <w:rPr>
          <w:rFonts w:hint="default"/>
        </w:rPr>
        <w:t>ový</w:t>
      </w:r>
      <w:r w:rsidR="006A4588">
        <w:rPr>
          <w:rFonts w:hint="default"/>
        </w:rPr>
        <w:t>ch a </w:t>
      </w:r>
      <w:r>
        <w:rPr>
          <w:rFonts w:hint="default"/>
        </w:rPr>
        <w:t>fondový</w:t>
      </w:r>
      <w:r>
        <w:rPr>
          <w:rFonts w:hint="default"/>
        </w:rPr>
        <w:t>ch</w:t>
      </w:r>
      <w:r w:rsidR="006A4588">
        <w:rPr>
          <w:rFonts w:hint="default"/>
        </w:rPr>
        <w:t xml:space="preserve"> inš</w:t>
      </w:r>
      <w:r w:rsidR="006A4588">
        <w:rPr>
          <w:rFonts w:hint="default"/>
        </w:rPr>
        <w:t>titú</w:t>
      </w:r>
      <w:r w:rsidR="006A4588">
        <w:rPr>
          <w:rFonts w:hint="default"/>
        </w:rPr>
        <w:t>cií</w:t>
      </w:r>
      <w:r w:rsidR="006A4588">
        <w:rPr>
          <w:rFonts w:hint="default"/>
        </w:rPr>
        <w:t>, regenerá</w:t>
      </w:r>
      <w:r w:rsidR="006A4588">
        <w:rPr>
          <w:rFonts w:hint="default"/>
        </w:rPr>
        <w:t>cie sí</w:t>
      </w:r>
      <w:r w:rsidR="006A4588">
        <w:rPr>
          <w:rFonts w:hint="default"/>
        </w:rPr>
        <w:t>diel;</w:t>
      </w:r>
      <w:r>
        <w:t xml:space="preserve"> infra</w:t>
      </w:r>
      <w:r w:rsidR="006A4588">
        <w:rPr>
          <w:rFonts w:hint="default"/>
        </w:rPr>
        <w:t>š</w:t>
      </w:r>
      <w:r w:rsidR="006A4588">
        <w:rPr>
          <w:rFonts w:hint="default"/>
        </w:rPr>
        <w:t>truktú</w:t>
      </w:r>
      <w:r w:rsidR="006A4588">
        <w:rPr>
          <w:rFonts w:hint="default"/>
        </w:rPr>
        <w:t>r</w:t>
      </w:r>
      <w:r>
        <w:rPr>
          <w:rFonts w:hint="default"/>
        </w:rPr>
        <w:t xml:space="preserve"> nekomerč</w:t>
      </w:r>
      <w:r>
        <w:rPr>
          <w:rFonts w:hint="default"/>
        </w:rPr>
        <w:t>ný</w:t>
      </w:r>
      <w:r>
        <w:rPr>
          <w:rFonts w:hint="default"/>
        </w:rPr>
        <w:t>ch zá</w:t>
      </w:r>
      <w:r>
        <w:rPr>
          <w:rFonts w:hint="default"/>
        </w:rPr>
        <w:t>chranný</w:t>
      </w:r>
      <w:r>
        <w:rPr>
          <w:rFonts w:hint="default"/>
        </w:rPr>
        <w:t>ch služ</w:t>
      </w:r>
      <w:r>
        <w:rPr>
          <w:rFonts w:hint="default"/>
        </w:rPr>
        <w:t>ieb, podpora infraš</w:t>
      </w:r>
      <w:r>
        <w:rPr>
          <w:rFonts w:hint="default"/>
        </w:rPr>
        <w:t>truktú</w:t>
      </w:r>
      <w:r>
        <w:rPr>
          <w:rFonts w:hint="default"/>
        </w:rPr>
        <w:t>ry cestovné</w:t>
      </w:r>
      <w:r>
        <w:rPr>
          <w:rFonts w:hint="default"/>
        </w:rPr>
        <w:t>ho ruchu a regioná</w:t>
      </w:r>
      <w:r>
        <w:rPr>
          <w:rFonts w:hint="default"/>
        </w:rPr>
        <w:t>lnych komuniká</w:t>
      </w:r>
      <w:r>
        <w:rPr>
          <w:rFonts w:hint="default"/>
        </w:rPr>
        <w:t>cií</w:t>
      </w:r>
      <w:r>
        <w:rPr>
          <w:rFonts w:hint="default"/>
        </w:rPr>
        <w:t>).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Riadiaci orgá</w:t>
      </w:r>
      <w:r>
        <w:rPr>
          <w:rFonts w:hint="default"/>
        </w:rPr>
        <w:t>n pre ROP postupuje pri im</w:t>
      </w:r>
      <w:r w:rsidR="006A4588">
        <w:rPr>
          <w:rFonts w:hint="default"/>
        </w:rPr>
        <w:t>plementá</w:t>
      </w:r>
      <w:r w:rsidR="006A4588">
        <w:rPr>
          <w:rFonts w:hint="default"/>
        </w:rPr>
        <w:t>cii ROP podľ</w:t>
      </w:r>
      <w:r w:rsidR="006A4588">
        <w:rPr>
          <w:rFonts w:hint="default"/>
        </w:rPr>
        <w:t>a zá</w:t>
      </w:r>
      <w:r w:rsidR="006A4588">
        <w:rPr>
          <w:rFonts w:hint="default"/>
        </w:rPr>
        <w:t>kon</w:t>
      </w:r>
      <w:r w:rsidR="006A4588">
        <w:rPr>
          <w:rFonts w:hint="default"/>
        </w:rPr>
        <w:t>a č. </w:t>
      </w:r>
      <w:r w:rsidR="006A4588">
        <w:rPr>
          <w:rFonts w:hint="default"/>
        </w:rPr>
        <w:t>528/2008 </w:t>
      </w:r>
      <w:r>
        <w:t>Z.</w:t>
      </w:r>
      <w:r w:rsidR="006A4588">
        <w:t> </w:t>
      </w:r>
      <w:r>
        <w:rPr>
          <w:rFonts w:hint="default"/>
        </w:rPr>
        <w:t>z. o poskytovaní</w:t>
      </w:r>
      <w:r>
        <w:rPr>
          <w:rFonts w:hint="default"/>
        </w:rPr>
        <w:t xml:space="preserve"> pomoci a podpory z fondov Euró</w:t>
      </w:r>
      <w:r>
        <w:rPr>
          <w:rFonts w:hint="default"/>
        </w:rPr>
        <w:t>pskych spoloč</w:t>
      </w:r>
      <w:r>
        <w:rPr>
          <w:rFonts w:hint="default"/>
        </w:rPr>
        <w:t>e</w:t>
      </w:r>
      <w:r w:rsidR="006A4588">
        <w:t>nstiev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a v sú</w:t>
      </w:r>
      <w:r>
        <w:rPr>
          <w:rFonts w:hint="default"/>
        </w:rPr>
        <w:t>lade so Systé</w:t>
      </w:r>
      <w:r>
        <w:rPr>
          <w:rFonts w:hint="default"/>
        </w:rPr>
        <w:t>mom r</w:t>
      </w:r>
      <w:r w:rsidR="006A4588">
        <w:rPr>
          <w:rFonts w:hint="default"/>
        </w:rPr>
        <w:t>iadenia š</w:t>
      </w:r>
      <w:r w:rsidR="006A4588">
        <w:rPr>
          <w:rFonts w:hint="default"/>
        </w:rPr>
        <w:t>trukturá</w:t>
      </w:r>
      <w:r w:rsidR="006A4588">
        <w:rPr>
          <w:rFonts w:hint="default"/>
        </w:rPr>
        <w:t>lnych fondov a </w:t>
      </w:r>
      <w:r>
        <w:rPr>
          <w:rFonts w:hint="default"/>
        </w:rPr>
        <w:t>Kohé</w:t>
      </w:r>
      <w:r>
        <w:rPr>
          <w:rFonts w:hint="default"/>
        </w:rPr>
        <w:t>zneho fondu na programové</w:t>
      </w:r>
      <w:r>
        <w:rPr>
          <w:rFonts w:hint="default"/>
        </w:rPr>
        <w:t xml:space="preserve"> obdobie 2007 - 2013 v aktuá</w:t>
      </w:r>
      <w:r>
        <w:rPr>
          <w:rFonts w:hint="default"/>
        </w:rPr>
        <w:t>lnom znení</w:t>
      </w:r>
      <w:r>
        <w:rPr>
          <w:rFonts w:hint="default"/>
        </w:rPr>
        <w:t xml:space="preserve"> a Systé</w:t>
      </w:r>
      <w:r>
        <w:rPr>
          <w:rFonts w:hint="default"/>
        </w:rPr>
        <w:t>mom finanč</w:t>
      </w:r>
      <w:r>
        <w:rPr>
          <w:rFonts w:hint="default"/>
        </w:rPr>
        <w:t>n</w:t>
      </w:r>
      <w:r>
        <w:rPr>
          <w:rFonts w:hint="default"/>
        </w:rPr>
        <w:t>é</w:t>
      </w:r>
      <w:r>
        <w:rPr>
          <w:rFonts w:hint="default"/>
        </w:rPr>
        <w:t>ho riadenia š</w:t>
      </w:r>
      <w:r>
        <w:rPr>
          <w:rFonts w:hint="default"/>
        </w:rPr>
        <w:t>trukturá</w:t>
      </w:r>
      <w:r>
        <w:rPr>
          <w:rFonts w:hint="default"/>
        </w:rPr>
        <w:t>lnych fondov a Kohé</w:t>
      </w:r>
      <w:r>
        <w:rPr>
          <w:rFonts w:hint="default"/>
        </w:rPr>
        <w:t>zneho fondu na programové</w:t>
      </w:r>
      <w:r>
        <w:rPr>
          <w:rFonts w:hint="default"/>
        </w:rPr>
        <w:t xml:space="preserve"> obdobie 200</w:t>
      </w:r>
      <w:r w:rsidR="006A4588">
        <w:t>7 </w:t>
      </w:r>
      <w:r w:rsidR="006A4588">
        <w:noBreakHyphen/>
        <w:t> </w:t>
      </w:r>
      <w:r>
        <w:rPr>
          <w:rFonts w:hint="default"/>
        </w:rPr>
        <w:t>2013 v platnom znení.</w:t>
      </w:r>
    </w:p>
    <w:p w:rsidR="00054415" w:rsidP="00EC4C5A">
      <w:pPr>
        <w:bidi w:val="0"/>
      </w:pPr>
      <w:r w:rsidR="00EC4C5A">
        <w:rPr>
          <w:rFonts w:hint="default"/>
        </w:rPr>
        <w:t>Majoritný</w:t>
      </w:r>
      <w:r w:rsidR="00EC4C5A">
        <w:rPr>
          <w:rFonts w:hint="default"/>
        </w:rPr>
        <w:t>mi prijí</w:t>
      </w:r>
      <w:r w:rsidR="00EC4C5A">
        <w:rPr>
          <w:rFonts w:hint="default"/>
        </w:rPr>
        <w:t>mateľ</w:t>
      </w:r>
      <w:r w:rsidR="00EC4C5A">
        <w:rPr>
          <w:rFonts w:hint="default"/>
        </w:rPr>
        <w:t>mi pomoci z ROP sú</w:t>
      </w:r>
      <w:r w:rsidR="00EC4C5A">
        <w:rPr>
          <w:rFonts w:hint="default"/>
        </w:rPr>
        <w:t xml:space="preserve"> obc</w:t>
      </w:r>
      <w:r w:rsidR="006A4588">
        <w:rPr>
          <w:rFonts w:hint="default"/>
        </w:rPr>
        <w:t>e, mestá</w:t>
      </w:r>
      <w:r w:rsidR="006A4588">
        <w:rPr>
          <w:rFonts w:hint="default"/>
        </w:rPr>
        <w:t>, vyšš</w:t>
      </w:r>
      <w:r w:rsidR="006A4588">
        <w:rPr>
          <w:rFonts w:hint="default"/>
        </w:rPr>
        <w:t>ie ú</w:t>
      </w:r>
      <w:r w:rsidR="006A4588">
        <w:rPr>
          <w:rFonts w:hint="default"/>
        </w:rPr>
        <w:t>zemné</w:t>
      </w:r>
      <w:r w:rsidR="006A4588">
        <w:rPr>
          <w:rFonts w:hint="default"/>
        </w:rPr>
        <w:t xml:space="preserve"> celky a </w:t>
      </w:r>
      <w:r w:rsidR="00EC4C5A">
        <w:rPr>
          <w:rFonts w:hint="default"/>
        </w:rPr>
        <w:t>orgá</w:t>
      </w:r>
      <w:r w:rsidR="00EC4C5A">
        <w:rPr>
          <w:rFonts w:hint="default"/>
        </w:rPr>
        <w:t>ny š</w:t>
      </w:r>
      <w:r w:rsidR="00EC4C5A">
        <w:rPr>
          <w:rFonts w:hint="default"/>
        </w:rPr>
        <w:t>tá</w:t>
      </w:r>
      <w:r w:rsidR="00EC4C5A">
        <w:rPr>
          <w:rFonts w:hint="default"/>
        </w:rPr>
        <w:t>tnej sprá</w:t>
      </w:r>
      <w:r w:rsidR="00EC4C5A">
        <w:rPr>
          <w:rFonts w:hint="default"/>
        </w:rPr>
        <w:t>vy. Zo sú</w:t>
      </w:r>
      <w:r w:rsidR="00EC4C5A">
        <w:rPr>
          <w:rFonts w:hint="default"/>
        </w:rPr>
        <w:t>kromné</w:t>
      </w:r>
      <w:r w:rsidR="00EC4C5A">
        <w:rPr>
          <w:rFonts w:hint="default"/>
        </w:rPr>
        <w:t>ho sektora sú</w:t>
      </w:r>
      <w:r w:rsidR="00EC4C5A">
        <w:rPr>
          <w:rFonts w:hint="default"/>
        </w:rPr>
        <w:t xml:space="preserve"> podporované</w:t>
      </w:r>
      <w:r w:rsidR="00EC4C5A">
        <w:rPr>
          <w:rFonts w:hint="default"/>
        </w:rPr>
        <w:t xml:space="preserve"> subjekty, ktoré</w:t>
      </w:r>
      <w:r w:rsidR="00EC4C5A">
        <w:rPr>
          <w:rFonts w:hint="default"/>
        </w:rPr>
        <w:t xml:space="preserve"> </w:t>
      </w:r>
      <w:r w:rsidR="00EC4C5A">
        <w:rPr>
          <w:rFonts w:hint="default"/>
        </w:rPr>
        <w:t>neboli zriadené</w:t>
      </w:r>
      <w:r w:rsidR="00EC4C5A">
        <w:rPr>
          <w:rFonts w:hint="default"/>
        </w:rPr>
        <w:t xml:space="preserve"> za úč</w:t>
      </w:r>
      <w:r w:rsidR="00EC4C5A">
        <w:rPr>
          <w:rFonts w:hint="default"/>
        </w:rPr>
        <w:t>elom podnikania (napr. neziskové</w:t>
      </w:r>
      <w:r w:rsidR="00EC4C5A">
        <w:rPr>
          <w:rFonts w:hint="default"/>
        </w:rPr>
        <w:t xml:space="preserve"> organizá</w:t>
      </w:r>
      <w:r w:rsidR="00EC4C5A">
        <w:rPr>
          <w:rFonts w:hint="default"/>
        </w:rPr>
        <w:t>cie, obč</w:t>
      </w:r>
      <w:r w:rsidR="00EC4C5A">
        <w:rPr>
          <w:rFonts w:hint="default"/>
        </w:rPr>
        <w:t>ianske združ</w:t>
      </w:r>
      <w:r w:rsidR="00EC4C5A">
        <w:rPr>
          <w:rFonts w:hint="default"/>
        </w:rPr>
        <w:t>enia a pod.).</w:t>
      </w:r>
      <w:r>
        <w:t xml:space="preserve">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Do implementá</w:t>
      </w:r>
      <w:r>
        <w:rPr>
          <w:rFonts w:hint="default"/>
        </w:rPr>
        <w:t>cie ROP sú</w:t>
      </w:r>
      <w:r>
        <w:rPr>
          <w:rFonts w:hint="default"/>
        </w:rPr>
        <w:t xml:space="preserve"> zapojené</w:t>
      </w:r>
      <w:r>
        <w:rPr>
          <w:rFonts w:hint="default"/>
        </w:rPr>
        <w:t xml:space="preserve"> samosprá</w:t>
      </w:r>
      <w:r>
        <w:rPr>
          <w:rFonts w:hint="default"/>
        </w:rPr>
        <w:t>vne kraje (7 VÚ</w:t>
      </w:r>
      <w:r>
        <w:rPr>
          <w:rFonts w:hint="default"/>
        </w:rPr>
        <w:t>C s vý</w:t>
      </w:r>
      <w:r>
        <w:rPr>
          <w:rFonts w:hint="default"/>
        </w:rPr>
        <w:t>nimkou Bratislavské</w:t>
      </w:r>
      <w:r>
        <w:rPr>
          <w:rFonts w:hint="default"/>
        </w:rPr>
        <w:t>ho samosprá</w:t>
      </w:r>
      <w:r>
        <w:rPr>
          <w:rFonts w:hint="default"/>
        </w:rPr>
        <w:t>vneho kraja), ktoré</w:t>
      </w:r>
      <w:r>
        <w:rPr>
          <w:rFonts w:hint="default"/>
        </w:rPr>
        <w:t xml:space="preserve"> vo vymedzenom rozsahu plnia ú</w:t>
      </w:r>
      <w:r>
        <w:rPr>
          <w:rFonts w:hint="default"/>
        </w:rPr>
        <w:t>lohy sprostredkova</w:t>
      </w:r>
      <w:r>
        <w:rPr>
          <w:rFonts w:hint="default"/>
        </w:rPr>
        <w:t>teľ</w:t>
      </w:r>
      <w:r>
        <w:rPr>
          <w:rFonts w:hint="default"/>
        </w:rPr>
        <w:t>ský</w:t>
      </w:r>
      <w:r>
        <w:rPr>
          <w:rFonts w:hint="default"/>
        </w:rPr>
        <w:t>ch orgá</w:t>
      </w:r>
      <w:r>
        <w:rPr>
          <w:rFonts w:hint="default"/>
        </w:rPr>
        <w:t>nov pod Riadiacim orgá</w:t>
      </w:r>
      <w:r>
        <w:rPr>
          <w:rFonts w:hint="default"/>
        </w:rPr>
        <w:t>nom pre ROP.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V roku 2010 vyhlá</w:t>
      </w:r>
      <w:r>
        <w:rPr>
          <w:rFonts w:hint="default"/>
        </w:rPr>
        <w:t>sil Riadiaci orgá</w:t>
      </w:r>
      <w:r>
        <w:rPr>
          <w:rFonts w:hint="default"/>
        </w:rPr>
        <w:t>n pre ROP 7 vý</w:t>
      </w:r>
      <w:r w:rsidR="006A4588">
        <w:rPr>
          <w:rFonts w:hint="default"/>
        </w:rPr>
        <w:t>ziev na predkladanie ž</w:t>
      </w:r>
      <w:r w:rsidR="006A4588">
        <w:rPr>
          <w:rFonts w:hint="default"/>
        </w:rPr>
        <w:t>iadostí</w:t>
      </w:r>
      <w:r w:rsidR="006A4588">
        <w:rPr>
          <w:rFonts w:hint="default"/>
        </w:rPr>
        <w:t xml:space="preserve"> o </w:t>
      </w:r>
      <w:r>
        <w:rPr>
          <w:rFonts w:hint="default"/>
        </w:rPr>
        <w:t>nená</w:t>
      </w:r>
      <w:r>
        <w:rPr>
          <w:rFonts w:hint="default"/>
        </w:rPr>
        <w:t>vratný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spevok. Z hľ</w:t>
      </w:r>
      <w:r>
        <w:rPr>
          <w:rFonts w:hint="default"/>
        </w:rPr>
        <w:t>adiska č</w:t>
      </w:r>
      <w:r>
        <w:rPr>
          <w:rFonts w:hint="default"/>
        </w:rPr>
        <w:t>erpania finanč</w:t>
      </w:r>
      <w:r>
        <w:rPr>
          <w:rFonts w:hint="default"/>
        </w:rPr>
        <w:t>ný</w:t>
      </w:r>
      <w:r>
        <w:rPr>
          <w:rFonts w:hint="default"/>
        </w:rPr>
        <w:t>ch prostriedkov, patrí</w:t>
      </w:r>
      <w:r>
        <w:rPr>
          <w:rFonts w:hint="default"/>
        </w:rPr>
        <w:t xml:space="preserve"> ROP dlhodobo k najú</w:t>
      </w:r>
      <w:r>
        <w:rPr>
          <w:rFonts w:hint="default"/>
        </w:rPr>
        <w:t>speš</w:t>
      </w:r>
      <w:r>
        <w:rPr>
          <w:rFonts w:hint="default"/>
        </w:rPr>
        <w:t>nejší</w:t>
      </w:r>
      <w:r>
        <w:rPr>
          <w:rFonts w:hint="default"/>
        </w:rPr>
        <w:t>m operač</w:t>
      </w:r>
      <w:r>
        <w:rPr>
          <w:rFonts w:hint="default"/>
        </w:rPr>
        <w:t>ný</w:t>
      </w:r>
      <w:r>
        <w:rPr>
          <w:rFonts w:hint="default"/>
        </w:rPr>
        <w:t>m progra</w:t>
      </w:r>
      <w:r>
        <w:rPr>
          <w:rFonts w:hint="default"/>
        </w:rPr>
        <w:t>mom. K 31. 12. 2010 bolo v rá</w:t>
      </w:r>
      <w:r>
        <w:rPr>
          <w:rFonts w:hint="default"/>
        </w:rPr>
        <w:t>mci ROP zazmluvnený</w:t>
      </w:r>
      <w:r>
        <w:rPr>
          <w:rFonts w:hint="default"/>
        </w:rPr>
        <w:t>ch 1558 projektov v celkovom objeme 1 389 463 549,87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. </w:t>
      </w:r>
      <w:r w:rsidR="006A4588">
        <w:rPr>
          <w:rFonts w:hint="default"/>
        </w:rPr>
        <w:t>V porovnaní</w:t>
      </w:r>
      <w:r w:rsidR="006A4588">
        <w:rPr>
          <w:rFonts w:hint="default"/>
        </w:rPr>
        <w:t xml:space="preserve"> s </w:t>
      </w:r>
      <w:r>
        <w:rPr>
          <w:rFonts w:hint="default"/>
        </w:rPr>
        <w:t>ostatný</w:t>
      </w:r>
      <w:r>
        <w:rPr>
          <w:rFonts w:hint="default"/>
        </w:rPr>
        <w:t>mi operač</w:t>
      </w:r>
      <w:r>
        <w:rPr>
          <w:rFonts w:hint="default"/>
        </w:rPr>
        <w:t>ný</w:t>
      </w:r>
      <w:r>
        <w:rPr>
          <w:rFonts w:hint="default"/>
        </w:rPr>
        <w:t>mi programami bol ROP v roku 20</w:t>
      </w:r>
      <w:r w:rsidR="006A4588">
        <w:rPr>
          <w:rFonts w:hint="default"/>
        </w:rPr>
        <w:t>10 druhý</w:t>
      </w:r>
      <w:r w:rsidR="006A4588">
        <w:rPr>
          <w:rFonts w:hint="default"/>
        </w:rPr>
        <w:t>m operač</w:t>
      </w:r>
      <w:r w:rsidR="006A4588">
        <w:rPr>
          <w:rFonts w:hint="default"/>
        </w:rPr>
        <w:t>ný</w:t>
      </w:r>
      <w:r w:rsidR="006A4588">
        <w:rPr>
          <w:rFonts w:hint="default"/>
        </w:rPr>
        <w:t>m programom s </w:t>
      </w:r>
      <w:r w:rsidR="00054415">
        <w:rPr>
          <w:rFonts w:hint="default"/>
        </w:rPr>
        <w:t>najvyšš</w:t>
      </w:r>
      <w:r w:rsidR="00054415">
        <w:rPr>
          <w:rFonts w:hint="default"/>
        </w:rPr>
        <w:t>ou mierou č</w:t>
      </w:r>
      <w:r w:rsidR="00054415">
        <w:rPr>
          <w:rFonts w:hint="default"/>
        </w:rPr>
        <w:t>erpania (21,3 </w:t>
      </w:r>
      <w:r>
        <w:rPr>
          <w:rFonts w:hint="default"/>
        </w:rPr>
        <w:t>% z celé</w:t>
      </w:r>
      <w:r>
        <w:rPr>
          <w:rFonts w:hint="default"/>
        </w:rPr>
        <w:t>ho zá</w:t>
      </w:r>
      <w:r>
        <w:rPr>
          <w:rFonts w:hint="default"/>
        </w:rPr>
        <w:t>vä</w:t>
      </w:r>
      <w:r>
        <w:rPr>
          <w:rFonts w:hint="default"/>
        </w:rPr>
        <w:t>zku na pro</w:t>
      </w:r>
      <w:r>
        <w:rPr>
          <w:rFonts w:hint="default"/>
        </w:rPr>
        <w:t>gramové</w:t>
      </w:r>
      <w:r>
        <w:rPr>
          <w:rFonts w:hint="default"/>
        </w:rPr>
        <w:t xml:space="preserve"> obdobie 2007-2013). Objem zazmluvnený</w:t>
      </w:r>
      <w:r>
        <w:rPr>
          <w:rFonts w:hint="default"/>
        </w:rPr>
        <w:t>ch prostriedkov (viac ako 80</w:t>
      </w:r>
      <w:r w:rsidR="006A4588">
        <w:t> </w:t>
      </w:r>
      <w:r>
        <w:rPr>
          <w:rFonts w:hint="default"/>
        </w:rPr>
        <w:t>% programu) vytvá</w:t>
      </w:r>
      <w:r>
        <w:rPr>
          <w:rFonts w:hint="default"/>
        </w:rPr>
        <w:t>ra vhodné</w:t>
      </w:r>
      <w:r>
        <w:rPr>
          <w:rFonts w:hint="default"/>
        </w:rPr>
        <w:t xml:space="preserve"> predpoklady pre ú</w:t>
      </w:r>
      <w:r>
        <w:rPr>
          <w:rFonts w:hint="default"/>
        </w:rPr>
        <w:t>speš</w:t>
      </w:r>
      <w:r>
        <w:rPr>
          <w:rFonts w:hint="default"/>
        </w:rPr>
        <w:t>nú</w:t>
      </w:r>
      <w:r>
        <w:rPr>
          <w:rFonts w:hint="default"/>
        </w:rPr>
        <w:t xml:space="preserve"> realizá</w:t>
      </w:r>
      <w:r>
        <w:rPr>
          <w:rFonts w:hint="default"/>
        </w:rPr>
        <w:t>ciu ROP v programovom období</w:t>
      </w:r>
      <w:r>
        <w:rPr>
          <w:rFonts w:hint="default"/>
        </w:rPr>
        <w:t xml:space="preserve"> 2007-2013.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V októ</w:t>
      </w:r>
      <w:r>
        <w:rPr>
          <w:rFonts w:hint="default"/>
        </w:rPr>
        <w:t>bri 2010 Riadiaci orgá</w:t>
      </w:r>
      <w:r>
        <w:rPr>
          <w:rFonts w:hint="default"/>
        </w:rPr>
        <w:t>n pre ROP pripravil ná</w:t>
      </w:r>
      <w:r>
        <w:rPr>
          <w:rFonts w:hint="default"/>
        </w:rPr>
        <w:t>vrh reví</w:t>
      </w:r>
      <w:r>
        <w:rPr>
          <w:rFonts w:hint="default"/>
        </w:rPr>
        <w:t>zie ROP, ktorý</w:t>
      </w:r>
      <w:r>
        <w:rPr>
          <w:rFonts w:hint="default"/>
        </w:rPr>
        <w:t xml:space="preserve"> po schvá</w:t>
      </w:r>
      <w:r>
        <w:rPr>
          <w:rFonts w:hint="default"/>
        </w:rPr>
        <w:t>len</w:t>
      </w:r>
      <w:r>
        <w:rPr>
          <w:rFonts w:hint="default"/>
        </w:rPr>
        <w:t>í</w:t>
      </w:r>
      <w:r>
        <w:rPr>
          <w:rFonts w:hint="default"/>
        </w:rPr>
        <w:t xml:space="preserve"> na ná</w:t>
      </w:r>
      <w:r>
        <w:rPr>
          <w:rFonts w:hint="default"/>
        </w:rPr>
        <w:t>rodnej ú</w:t>
      </w:r>
      <w:r>
        <w:rPr>
          <w:rFonts w:hint="default"/>
        </w:rPr>
        <w:t>rovni (Monitorovací</w:t>
      </w:r>
      <w:r>
        <w:rPr>
          <w:rFonts w:hint="default"/>
        </w:rPr>
        <w:t>m vý</w:t>
      </w:r>
      <w:r>
        <w:rPr>
          <w:rFonts w:hint="default"/>
        </w:rPr>
        <w:t>borom pre ROP) predlož</w:t>
      </w:r>
      <w:r>
        <w:rPr>
          <w:rFonts w:hint="default"/>
        </w:rPr>
        <w:t>il dň</w:t>
      </w:r>
      <w:r>
        <w:rPr>
          <w:rFonts w:hint="default"/>
        </w:rPr>
        <w:t>a 29. 10. 2010 na schvá</w:t>
      </w:r>
      <w:r>
        <w:rPr>
          <w:rFonts w:hint="default"/>
        </w:rPr>
        <w:t>lenie Euró</w:t>
      </w:r>
      <w:r>
        <w:rPr>
          <w:rFonts w:hint="default"/>
        </w:rPr>
        <w:t>pskej komisii. Na zá</w:t>
      </w:r>
      <w:r>
        <w:rPr>
          <w:rFonts w:hint="default"/>
        </w:rPr>
        <w:t>klade revidované</w:t>
      </w:r>
      <w:r>
        <w:rPr>
          <w:rFonts w:hint="default"/>
        </w:rPr>
        <w:t>ho ROP bude umož</w:t>
      </w:r>
      <w:r>
        <w:rPr>
          <w:rFonts w:hint="default"/>
        </w:rPr>
        <w:t>nená</w:t>
      </w:r>
      <w:r>
        <w:rPr>
          <w:rFonts w:hint="default"/>
        </w:rPr>
        <w:t xml:space="preserve"> predovš</w:t>
      </w:r>
      <w:r>
        <w:rPr>
          <w:rFonts w:hint="default"/>
        </w:rPr>
        <w:t>etký</w:t>
      </w:r>
      <w:r>
        <w:rPr>
          <w:rFonts w:hint="default"/>
        </w:rPr>
        <w:t>m:</w:t>
      </w:r>
    </w:p>
    <w:p w:rsidR="00EC4C5A" w:rsidP="00054415">
      <w:pPr>
        <w:pStyle w:val="ListParagraph"/>
        <w:numPr>
          <w:numId w:val="19"/>
        </w:numPr>
        <w:bidi w:val="0"/>
        <w:ind w:left="397" w:hanging="397"/>
      </w:pPr>
      <w:r>
        <w:rPr>
          <w:rFonts w:hint="default"/>
        </w:rPr>
        <w:t>podpora investič</w:t>
      </w:r>
      <w:r>
        <w:rPr>
          <w:rFonts w:hint="default"/>
        </w:rPr>
        <w:t>ný</w:t>
      </w:r>
      <w:r>
        <w:rPr>
          <w:rFonts w:hint="default"/>
        </w:rPr>
        <w:t>ch projektov Euró</w:t>
      </w:r>
      <w:r>
        <w:rPr>
          <w:rFonts w:hint="default"/>
        </w:rPr>
        <w:t>pske</w:t>
      </w:r>
      <w:r w:rsidR="006A4588">
        <w:rPr>
          <w:rFonts w:hint="default"/>
        </w:rPr>
        <w:t xml:space="preserve"> hlavné</w:t>
      </w:r>
      <w:r w:rsidR="006A4588">
        <w:rPr>
          <w:rFonts w:hint="default"/>
        </w:rPr>
        <w:t xml:space="preserve"> mesto kultú</w:t>
      </w:r>
      <w:r w:rsidR="006A4588">
        <w:rPr>
          <w:rFonts w:hint="default"/>
        </w:rPr>
        <w:t xml:space="preserve">ry </w:t>
      </w:r>
      <w:r w:rsidR="006A4588">
        <w:rPr>
          <w:rFonts w:hint="default"/>
        </w:rPr>
        <w:t>–</w:t>
      </w:r>
      <w:r w:rsidR="006A4588">
        <w:rPr>
          <w:rFonts w:hint="default"/>
        </w:rPr>
        <w:t xml:space="preserve"> Koš</w:t>
      </w:r>
      <w:r w:rsidR="006A4588">
        <w:rPr>
          <w:rFonts w:hint="default"/>
        </w:rPr>
        <w:t xml:space="preserve">ice </w:t>
      </w:r>
      <w:r>
        <w:t>2013;</w:t>
      </w:r>
    </w:p>
    <w:p w:rsidR="00EC4C5A" w:rsidP="00054415">
      <w:pPr>
        <w:pStyle w:val="ListParagraph"/>
        <w:numPr>
          <w:numId w:val="19"/>
        </w:numPr>
        <w:bidi w:val="0"/>
        <w:ind w:left="397" w:hanging="397"/>
        <w:rPr>
          <w:rFonts w:hint="default"/>
        </w:rPr>
      </w:pPr>
      <w:r>
        <w:t>podpora inf</w:t>
      </w:r>
      <w:r>
        <w:rPr>
          <w:rFonts w:hint="default"/>
        </w:rPr>
        <w:t>raš</w:t>
      </w:r>
      <w:r>
        <w:rPr>
          <w:rFonts w:hint="default"/>
        </w:rPr>
        <w:t>truktú</w:t>
      </w:r>
      <w:r>
        <w:rPr>
          <w:rFonts w:hint="default"/>
        </w:rPr>
        <w:t>ry bý</w:t>
      </w:r>
      <w:r>
        <w:rPr>
          <w:rFonts w:hint="default"/>
        </w:rPr>
        <w:t>vania prostrední</w:t>
      </w:r>
      <w:r>
        <w:rPr>
          <w:rFonts w:hint="default"/>
        </w:rPr>
        <w:t>ctvom inovatí</w:t>
      </w:r>
      <w:r>
        <w:rPr>
          <w:rFonts w:hint="default"/>
        </w:rPr>
        <w:t>vneho finanč</w:t>
      </w:r>
      <w:r>
        <w:rPr>
          <w:rFonts w:hint="default"/>
        </w:rPr>
        <w:t>né</w:t>
      </w:r>
      <w:r>
        <w:rPr>
          <w:rFonts w:hint="default"/>
        </w:rPr>
        <w:t>ho mechanizmu JESSICA (Joint European Support for Sustainable Investment in City Areas t.j.  iniciatí</w:t>
      </w:r>
      <w:r>
        <w:rPr>
          <w:rFonts w:hint="default"/>
        </w:rPr>
        <w:t>va Euró</w:t>
      </w:r>
      <w:r>
        <w:rPr>
          <w:rFonts w:hint="default"/>
        </w:rPr>
        <w:t>pskej ú</w:t>
      </w:r>
      <w:r>
        <w:rPr>
          <w:rFonts w:hint="default"/>
        </w:rPr>
        <w:t>nie zameraná</w:t>
      </w:r>
      <w:r>
        <w:rPr>
          <w:rFonts w:hint="default"/>
        </w:rPr>
        <w:t xml:space="preserve"> na podporu udrž</w:t>
      </w:r>
      <w:r>
        <w:rPr>
          <w:rFonts w:hint="default"/>
        </w:rPr>
        <w:t>ateľ</w:t>
      </w:r>
      <w:r>
        <w:rPr>
          <w:rFonts w:hint="default"/>
        </w:rPr>
        <w:t>ný</w:t>
      </w:r>
      <w:r>
        <w:rPr>
          <w:rFonts w:hint="default"/>
        </w:rPr>
        <w:t>ch investí</w:t>
      </w:r>
      <w:r>
        <w:rPr>
          <w:rFonts w:hint="default"/>
        </w:rPr>
        <w:t>cií</w:t>
      </w:r>
      <w:r>
        <w:rPr>
          <w:rFonts w:hint="default"/>
        </w:rPr>
        <w:t xml:space="preserve"> v mestský</w:t>
      </w:r>
      <w:r>
        <w:rPr>
          <w:rFonts w:hint="default"/>
        </w:rPr>
        <w:t>ch oblastiach);</w:t>
      </w:r>
    </w:p>
    <w:p w:rsidR="00EC4C5A" w:rsidP="00054415">
      <w:pPr>
        <w:pStyle w:val="ListParagraph"/>
        <w:numPr>
          <w:numId w:val="19"/>
        </w:numPr>
        <w:bidi w:val="0"/>
        <w:ind w:left="397" w:hanging="397"/>
        <w:rPr>
          <w:rFonts w:hint="default"/>
        </w:rPr>
      </w:pPr>
      <w:r>
        <w:rPr>
          <w:rFonts w:hint="default"/>
        </w:rPr>
        <w:t>odstraň</w:t>
      </w:r>
      <w:r>
        <w:rPr>
          <w:rFonts w:hint="default"/>
        </w:rPr>
        <w:t>ovan</w:t>
      </w:r>
      <w:r>
        <w:rPr>
          <w:rFonts w:hint="default"/>
        </w:rPr>
        <w:t>ie š</w:t>
      </w:r>
      <w:r>
        <w:rPr>
          <w:rFonts w:hint="default"/>
        </w:rPr>
        <w:t>kô</w:t>
      </w:r>
      <w:r>
        <w:rPr>
          <w:rFonts w:hint="default"/>
        </w:rPr>
        <w:t>d spô</w:t>
      </w:r>
      <w:r>
        <w:rPr>
          <w:rFonts w:hint="default"/>
        </w:rPr>
        <w:t>sobený</w:t>
      </w:r>
      <w:r>
        <w:rPr>
          <w:rFonts w:hint="default"/>
        </w:rPr>
        <w:t>ch povodň</w:t>
      </w:r>
      <w:r>
        <w:rPr>
          <w:rFonts w:hint="default"/>
        </w:rPr>
        <w:t>ami v roku 2010</w:t>
      </w:r>
      <w:r w:rsidR="006A4588">
        <w:rPr>
          <w:rFonts w:hint="default"/>
        </w:rPr>
        <w:t xml:space="preserve"> na verejný</w:t>
      </w:r>
      <w:r w:rsidR="006A4588">
        <w:rPr>
          <w:rFonts w:hint="default"/>
        </w:rPr>
        <w:t>ch priestranstvá</w:t>
      </w:r>
      <w:r w:rsidR="006A4588">
        <w:rPr>
          <w:rFonts w:hint="default"/>
        </w:rPr>
        <w:t>ch a </w:t>
      </w:r>
      <w:r>
        <w:rPr>
          <w:rFonts w:hint="default"/>
        </w:rPr>
        <w:t>infraš</w:t>
      </w:r>
      <w:r>
        <w:rPr>
          <w:rFonts w:hint="default"/>
        </w:rPr>
        <w:t>truktú</w:t>
      </w:r>
      <w:r>
        <w:rPr>
          <w:rFonts w:hint="default"/>
        </w:rPr>
        <w:t>re regioná</w:t>
      </w:r>
      <w:r>
        <w:rPr>
          <w:rFonts w:hint="default"/>
        </w:rPr>
        <w:t>lnych ciest II. a III. triedy.</w:t>
      </w:r>
    </w:p>
    <w:p w:rsidR="00EC4C5A" w:rsidP="00EC4C5A">
      <w:pPr>
        <w:bidi w:val="0"/>
      </w:pPr>
      <w:r>
        <w:rPr>
          <w:rFonts w:hint="default"/>
        </w:rPr>
        <w:t>Na zá</w:t>
      </w:r>
      <w:r>
        <w:rPr>
          <w:rFonts w:hint="default"/>
        </w:rPr>
        <w:t>klade rokovaní</w:t>
      </w:r>
      <w:r>
        <w:rPr>
          <w:rFonts w:hint="default"/>
        </w:rPr>
        <w:t xml:space="preserve"> s Euró</w:t>
      </w:r>
      <w:r>
        <w:rPr>
          <w:rFonts w:hint="default"/>
        </w:rPr>
        <w:t>pskou komisiou sa o</w:t>
      </w:r>
      <w:r w:rsidR="006A4588">
        <w:rPr>
          <w:rFonts w:hint="default"/>
        </w:rPr>
        <w:t>č</w:t>
      </w:r>
      <w:r w:rsidR="006A4588">
        <w:rPr>
          <w:rFonts w:hint="default"/>
        </w:rPr>
        <w:t>aká</w:t>
      </w:r>
      <w:r w:rsidR="006A4588">
        <w:rPr>
          <w:rFonts w:hint="default"/>
        </w:rPr>
        <w:t>va schvá</w:t>
      </w:r>
      <w:r w:rsidR="006A4588">
        <w:rPr>
          <w:rFonts w:hint="default"/>
        </w:rPr>
        <w:t>lenie reví</w:t>
      </w:r>
      <w:r w:rsidR="006A4588">
        <w:rPr>
          <w:rFonts w:hint="default"/>
        </w:rPr>
        <w:t xml:space="preserve">zie ROP </w:t>
      </w:r>
      <w:r w:rsidRPr="00137172" w:rsidR="006A4588">
        <w:t>v </w:t>
      </w:r>
      <w:r w:rsidRPr="00137172">
        <w:t xml:space="preserve">priebehu </w:t>
      </w:r>
      <w:r w:rsidRPr="00137172" w:rsidR="00137172">
        <w:rPr>
          <w:rFonts w:hint="default"/>
        </w:rPr>
        <w:t>jú</w:t>
      </w:r>
      <w:r w:rsidRPr="00137172" w:rsidR="00137172">
        <w:rPr>
          <w:rFonts w:hint="default"/>
        </w:rPr>
        <w:t>na</w:t>
      </w:r>
      <w:r w:rsidRPr="00137172">
        <w:t xml:space="preserve"> 2011.</w:t>
      </w:r>
    </w:p>
    <w:p w:rsidR="00EC4C5A" w:rsidP="00EC4C5A">
      <w:pPr>
        <w:bidi w:val="0"/>
        <w:rPr>
          <w:rFonts w:hint="default"/>
        </w:rPr>
      </w:pPr>
      <w:r>
        <w:t>Odbor riadenia pomoci pre Bratisl</w:t>
      </w:r>
      <w:r>
        <w:rPr>
          <w:rFonts w:hint="default"/>
        </w:rPr>
        <w:t>avský</w:t>
      </w:r>
      <w:r>
        <w:rPr>
          <w:rFonts w:hint="default"/>
        </w:rPr>
        <w:t xml:space="preserve"> kraj zabezpeč</w:t>
      </w:r>
      <w:r>
        <w:rPr>
          <w:rFonts w:hint="default"/>
        </w:rPr>
        <w:t>uje vý</w:t>
      </w:r>
      <w:r>
        <w:rPr>
          <w:rFonts w:hint="default"/>
        </w:rPr>
        <w:t>kon ú</w:t>
      </w:r>
      <w:r>
        <w:rPr>
          <w:rFonts w:hint="default"/>
        </w:rPr>
        <w:t>loh Riadiaceho orgá</w:t>
      </w:r>
      <w:r>
        <w:rPr>
          <w:rFonts w:hint="default"/>
        </w:rPr>
        <w:t xml:space="preserve">nu pre </w:t>
      </w:r>
      <w:r w:rsidRPr="00054415">
        <w:rPr>
          <w:rFonts w:hint="default"/>
          <w:b/>
        </w:rPr>
        <w:t>Operač</w:t>
      </w:r>
      <w:r w:rsidRPr="00054415">
        <w:rPr>
          <w:rFonts w:hint="default"/>
          <w:b/>
        </w:rPr>
        <w:t>ný</w:t>
      </w:r>
      <w:r w:rsidRPr="00054415">
        <w:rPr>
          <w:rFonts w:hint="default"/>
          <w:b/>
        </w:rPr>
        <w:t xml:space="preserve"> program Bratislavský</w:t>
      </w:r>
      <w:r w:rsidRPr="00054415">
        <w:rPr>
          <w:rFonts w:hint="default"/>
          <w:b/>
        </w:rPr>
        <w:t xml:space="preserve"> kraj</w:t>
      </w:r>
      <w:r w:rsidR="00054415">
        <w:t xml:space="preserve"> </w:t>
      </w:r>
      <w:r w:rsidRPr="00054415" w:rsidR="00054415">
        <w:rPr>
          <w:b/>
        </w:rPr>
        <w:t>(OPBK</w:t>
      </w:r>
      <w:r w:rsidRPr="00054415">
        <w:rPr>
          <w:b/>
        </w:rPr>
        <w:t>)</w:t>
      </w:r>
      <w:r>
        <w:rPr>
          <w:rFonts w:hint="default"/>
        </w:rPr>
        <w:t>. OPBK predstavuje strategický</w:t>
      </w:r>
      <w:r>
        <w:rPr>
          <w:rFonts w:hint="default"/>
        </w:rPr>
        <w:t xml:space="preserve"> dokument, prič</w:t>
      </w:r>
      <w:r>
        <w:rPr>
          <w:rFonts w:hint="default"/>
        </w:rPr>
        <w:t>om oprá</w:t>
      </w:r>
      <w:r>
        <w:rPr>
          <w:rFonts w:hint="default"/>
        </w:rPr>
        <w:t>vnený</w:t>
      </w:r>
      <w:r>
        <w:rPr>
          <w:rFonts w:hint="default"/>
        </w:rPr>
        <w:t>m ú</w:t>
      </w:r>
      <w:r>
        <w:rPr>
          <w:rFonts w:hint="default"/>
        </w:rPr>
        <w:t>zemí</w:t>
      </w:r>
      <w:r>
        <w:rPr>
          <w:rFonts w:hint="default"/>
        </w:rPr>
        <w:t>m na realizovanie intervencií</w:t>
      </w:r>
      <w:r>
        <w:rPr>
          <w:rFonts w:hint="default"/>
        </w:rPr>
        <w:t xml:space="preserve"> je ú</w:t>
      </w:r>
      <w:r>
        <w:rPr>
          <w:rFonts w:hint="default"/>
        </w:rPr>
        <w:t>zemie Bratislavské</w:t>
      </w:r>
      <w:r>
        <w:rPr>
          <w:rFonts w:hint="default"/>
        </w:rPr>
        <w:t>ho kraja.</w:t>
      </w:r>
    </w:p>
    <w:p w:rsidR="00EC4C5A" w:rsidP="00EC4C5A">
      <w:pPr>
        <w:bidi w:val="0"/>
      </w:pPr>
      <w:r>
        <w:rPr>
          <w:rFonts w:hint="default"/>
        </w:rPr>
        <w:t>Na zá</w:t>
      </w:r>
      <w:r>
        <w:rPr>
          <w:rFonts w:hint="default"/>
        </w:rPr>
        <w:t>klade analý</w:t>
      </w:r>
      <w:r>
        <w:rPr>
          <w:rFonts w:hint="default"/>
        </w:rPr>
        <w:t>z š</w:t>
      </w:r>
      <w:r>
        <w:rPr>
          <w:rFonts w:hint="default"/>
        </w:rPr>
        <w:t>truktú</w:t>
      </w:r>
      <w:r>
        <w:rPr>
          <w:rFonts w:hint="default"/>
        </w:rPr>
        <w:t>ry finan</w:t>
      </w:r>
      <w:r>
        <w:rPr>
          <w:rFonts w:hint="default"/>
        </w:rPr>
        <w:t>č</w:t>
      </w:r>
      <w:r>
        <w:rPr>
          <w:rFonts w:hint="default"/>
        </w:rPr>
        <w:t>ný</w:t>
      </w:r>
      <w:r>
        <w:rPr>
          <w:rFonts w:hint="default"/>
        </w:rPr>
        <w:t>ch potrieb v sektorový</w:t>
      </w:r>
      <w:r>
        <w:rPr>
          <w:rFonts w:hint="default"/>
        </w:rPr>
        <w:t>ch č</w:t>
      </w:r>
      <w:r>
        <w:rPr>
          <w:rFonts w:hint="default"/>
        </w:rPr>
        <w:t>astiach Ná</w:t>
      </w:r>
      <w:r>
        <w:rPr>
          <w:rFonts w:hint="default"/>
        </w:rPr>
        <w:t>rodné</w:t>
      </w:r>
      <w:r>
        <w:rPr>
          <w:rFonts w:hint="default"/>
        </w:rPr>
        <w:t>ho strategické</w:t>
      </w:r>
      <w:r>
        <w:rPr>
          <w:rFonts w:hint="default"/>
        </w:rPr>
        <w:t>ho referenč</w:t>
      </w:r>
      <w:r>
        <w:rPr>
          <w:rFonts w:hint="default"/>
        </w:rPr>
        <w:t>né</w:t>
      </w:r>
      <w:r>
        <w:rPr>
          <w:rFonts w:hint="default"/>
        </w:rPr>
        <w:t>ho rá</w:t>
      </w:r>
      <w:r>
        <w:rPr>
          <w:rFonts w:hint="default"/>
        </w:rPr>
        <w:t>mca boli pre OPBK s</w:t>
      </w:r>
      <w:r w:rsidR="00231DF1">
        <w:rPr>
          <w:rFonts w:hint="default"/>
        </w:rPr>
        <w:t>chvá</w:t>
      </w:r>
      <w:r w:rsidR="00231DF1">
        <w:rPr>
          <w:rFonts w:hint="default"/>
        </w:rPr>
        <w:t>lené</w:t>
      </w:r>
      <w:r w:rsidR="00231DF1">
        <w:rPr>
          <w:rFonts w:hint="default"/>
        </w:rPr>
        <w:t xml:space="preserve"> finanč</w:t>
      </w:r>
      <w:r w:rsidR="00231DF1">
        <w:rPr>
          <w:rFonts w:hint="default"/>
        </w:rPr>
        <w:t>né</w:t>
      </w:r>
      <w:r w:rsidR="00231DF1">
        <w:rPr>
          <w:rFonts w:hint="default"/>
        </w:rPr>
        <w:t xml:space="preserve"> prostriedky z </w:t>
      </w:r>
      <w:r>
        <w:rPr>
          <w:rFonts w:hint="default"/>
        </w:rPr>
        <w:t>Euró</w:t>
      </w:r>
      <w:r>
        <w:rPr>
          <w:rFonts w:hint="default"/>
        </w:rPr>
        <w:t>pskeho fondu regioná</w:t>
      </w:r>
      <w:r>
        <w:rPr>
          <w:rFonts w:hint="default"/>
        </w:rPr>
        <w:t>lneho rozvoja (</w:t>
      </w:r>
      <w:r w:rsidR="0074242A">
        <w:t>ERDF</w:t>
      </w:r>
      <w:r>
        <w:rPr>
          <w:rFonts w:hint="default"/>
        </w:rPr>
        <w:t>) vo výš</w:t>
      </w:r>
      <w:r>
        <w:rPr>
          <w:rFonts w:hint="default"/>
        </w:rPr>
        <w:t>ke 87 000 000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. </w:t>
      </w:r>
      <w:r>
        <w:rPr>
          <w:rFonts w:hint="default"/>
        </w:rPr>
        <w:t>Uznesení</w:t>
      </w:r>
      <w:r>
        <w:rPr>
          <w:rFonts w:hint="default"/>
        </w:rPr>
        <w:t>m vlá</w:t>
      </w:r>
      <w:r>
        <w:rPr>
          <w:rFonts w:hint="default"/>
        </w:rPr>
        <w:t>dy SR č</w:t>
      </w:r>
      <w:r>
        <w:rPr>
          <w:rFonts w:hint="default"/>
        </w:rPr>
        <w:t>. 678 zo dň</w:t>
      </w:r>
      <w:r>
        <w:rPr>
          <w:rFonts w:hint="default"/>
        </w:rPr>
        <w:t>a 6. októ</w:t>
      </w:r>
      <w:r>
        <w:rPr>
          <w:rFonts w:hint="default"/>
        </w:rPr>
        <w:t>bra 2010 bola pre OPB</w:t>
      </w:r>
      <w:r>
        <w:rPr>
          <w:rFonts w:hint="default"/>
        </w:rPr>
        <w:t>K pridelená</w:t>
      </w:r>
      <w:r>
        <w:rPr>
          <w:rFonts w:hint="default"/>
        </w:rPr>
        <w:t xml:space="preserve"> dodatoč</w:t>
      </w:r>
      <w:r>
        <w:rPr>
          <w:rFonts w:hint="default"/>
        </w:rPr>
        <w:t>ná</w:t>
      </w:r>
      <w:r>
        <w:rPr>
          <w:rFonts w:hint="default"/>
        </w:rPr>
        <w:t xml:space="preserve"> finanč</w:t>
      </w:r>
      <w:r>
        <w:rPr>
          <w:rFonts w:hint="default"/>
        </w:rPr>
        <w:t>ná</w:t>
      </w:r>
      <w:r>
        <w:rPr>
          <w:rFonts w:hint="default"/>
        </w:rPr>
        <w:t xml:space="preserve"> aloká</w:t>
      </w:r>
      <w:r>
        <w:rPr>
          <w:rFonts w:hint="default"/>
        </w:rPr>
        <w:t>cia vo výš</w:t>
      </w:r>
      <w:r>
        <w:rPr>
          <w:rFonts w:hint="default"/>
        </w:rPr>
        <w:t>ke 8 262 693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 </w:t>
      </w:r>
      <w:r>
        <w:rPr>
          <w:rFonts w:hint="default"/>
        </w:rPr>
        <w:t>(Euró</w:t>
      </w:r>
      <w:r>
        <w:rPr>
          <w:rFonts w:hint="default"/>
        </w:rPr>
        <w:t>pska komisia v sú</w:t>
      </w:r>
      <w:r>
        <w:rPr>
          <w:rFonts w:hint="default"/>
        </w:rPr>
        <w:t>lade s č</w:t>
      </w:r>
      <w:r>
        <w:rPr>
          <w:rFonts w:hint="default"/>
        </w:rPr>
        <w:t>l. 16 a 17 medziinš</w:t>
      </w:r>
      <w:r>
        <w:rPr>
          <w:rFonts w:hint="default"/>
        </w:rPr>
        <w:t>titucioná</w:t>
      </w:r>
      <w:r>
        <w:rPr>
          <w:rFonts w:hint="default"/>
        </w:rPr>
        <w:t>lnej dohody zo 17. má</w:t>
      </w:r>
      <w:r>
        <w:rPr>
          <w:rFonts w:hint="default"/>
        </w:rPr>
        <w:t>ja 2006 navýš</w:t>
      </w:r>
      <w:r>
        <w:rPr>
          <w:rFonts w:hint="default"/>
        </w:rPr>
        <w:t>ila disponibilné</w:t>
      </w:r>
      <w:r>
        <w:rPr>
          <w:rFonts w:hint="default"/>
        </w:rPr>
        <w:t xml:space="preserve"> prostriedky pre Slovenskú</w:t>
      </w:r>
      <w:r>
        <w:rPr>
          <w:rFonts w:hint="default"/>
        </w:rPr>
        <w:t xml:space="preserve"> republiku). Na zá</w:t>
      </w:r>
      <w:r>
        <w:rPr>
          <w:rFonts w:hint="default"/>
        </w:rPr>
        <w:t>klade listu Euró</w:t>
      </w:r>
      <w:r>
        <w:rPr>
          <w:rFonts w:hint="default"/>
        </w:rPr>
        <w:t>pskej komisie č</w:t>
      </w:r>
      <w:r>
        <w:rPr>
          <w:rFonts w:hint="default"/>
        </w:rPr>
        <w:t>. CB/D (2010</w:t>
      </w:r>
      <w:r>
        <w:rPr>
          <w:rFonts w:hint="default"/>
        </w:rPr>
        <w:t>) 622 zo dň</w:t>
      </w:r>
      <w:r>
        <w:rPr>
          <w:rFonts w:hint="default"/>
        </w:rPr>
        <w:t>a</w:t>
      </w:r>
      <w:r w:rsidR="00231DF1">
        <w:t xml:space="preserve"> 13. </w:t>
      </w:r>
      <w:r>
        <w:t>10.</w:t>
      </w:r>
      <w:r w:rsidR="00231DF1">
        <w:t> </w:t>
      </w:r>
      <w:r>
        <w:rPr>
          <w:rFonts w:hint="default"/>
        </w:rPr>
        <w:t>2010 bola uvedená</w:t>
      </w:r>
      <w:r>
        <w:rPr>
          <w:rFonts w:hint="default"/>
        </w:rPr>
        <w:t xml:space="preserve"> suma upravená</w:t>
      </w:r>
      <w:r>
        <w:rPr>
          <w:rFonts w:hint="default"/>
        </w:rPr>
        <w:t xml:space="preserve"> na koneč</w:t>
      </w:r>
      <w:r>
        <w:rPr>
          <w:rFonts w:hint="default"/>
        </w:rPr>
        <w:t>nú</w:t>
      </w:r>
      <w:r>
        <w:rPr>
          <w:rFonts w:hint="default"/>
        </w:rPr>
        <w:t xml:space="preserve"> hodnotu 8 207 607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. </w:t>
      </w:r>
      <w:r>
        <w:rPr>
          <w:rFonts w:hint="default"/>
        </w:rPr>
        <w:t>Celková</w:t>
      </w:r>
      <w:r>
        <w:rPr>
          <w:rFonts w:hint="default"/>
        </w:rPr>
        <w:t xml:space="preserve"> výš</w:t>
      </w:r>
      <w:r>
        <w:rPr>
          <w:rFonts w:hint="default"/>
        </w:rPr>
        <w:t>ka finanč</w:t>
      </w:r>
      <w:r>
        <w:rPr>
          <w:rFonts w:hint="default"/>
        </w:rPr>
        <w:t>ný</w:t>
      </w:r>
      <w:r>
        <w:rPr>
          <w:rFonts w:hint="default"/>
        </w:rPr>
        <w:t xml:space="preserve">ch prostriedkov z </w:t>
      </w:r>
      <w:r w:rsidR="005A456D">
        <w:t xml:space="preserve">ERDF predstavuje </w:t>
      </w:r>
      <w:r w:rsidR="006E59E4">
        <w:t xml:space="preserve"> tak </w:t>
      </w:r>
      <w:r w:rsidR="005A456D">
        <w:t xml:space="preserve">sumu 95 </w:t>
      </w:r>
      <w:r w:rsidRPr="009200DF" w:rsidR="005A456D">
        <w:t>207 60</w:t>
      </w:r>
      <w:r w:rsidRPr="009200DF" w:rsidR="000E019C">
        <w:t>7</w:t>
      </w:r>
      <w:r w:rsidR="005A456D">
        <w:t> </w:t>
      </w:r>
      <w:r w:rsidR="005A456D">
        <w:rPr>
          <w:rFonts w:hint="default"/>
        </w:rPr>
        <w:t>€</w:t>
      </w:r>
      <w:r>
        <w:t>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Globá</w:t>
      </w:r>
      <w:r>
        <w:rPr>
          <w:rFonts w:hint="default"/>
        </w:rPr>
        <w:t>lnym cieľ</w:t>
      </w:r>
      <w:r>
        <w:rPr>
          <w:rFonts w:hint="default"/>
        </w:rPr>
        <w:t>om OPBK je posilnenie konkurenč</w:t>
      </w:r>
      <w:r>
        <w:rPr>
          <w:rFonts w:hint="default"/>
        </w:rPr>
        <w:t>nej schopnosti regió</w:t>
      </w:r>
      <w:r>
        <w:rPr>
          <w:rFonts w:hint="default"/>
        </w:rPr>
        <w:t>nu rozvojom vedomostnej e</w:t>
      </w:r>
      <w:r>
        <w:rPr>
          <w:rFonts w:hint="default"/>
        </w:rPr>
        <w:t>konomiky a budovaní</w:t>
      </w:r>
      <w:r>
        <w:rPr>
          <w:rFonts w:hint="default"/>
        </w:rPr>
        <w:t>m regió</w:t>
      </w:r>
      <w:r>
        <w:rPr>
          <w:rFonts w:hint="default"/>
        </w:rPr>
        <w:t>nu atraktí</w:t>
      </w:r>
      <w:r>
        <w:rPr>
          <w:rFonts w:hint="default"/>
        </w:rPr>
        <w:t>vneho pre ž</w:t>
      </w:r>
      <w:r>
        <w:rPr>
          <w:rFonts w:hint="default"/>
        </w:rPr>
        <w:t>ivot. Š</w:t>
      </w:r>
      <w:r>
        <w:rPr>
          <w:rFonts w:hint="default"/>
        </w:rPr>
        <w:t>pecifické</w:t>
      </w:r>
      <w:r>
        <w:rPr>
          <w:rFonts w:hint="default"/>
        </w:rPr>
        <w:t xml:space="preserve"> ciele OPBK sú</w:t>
      </w:r>
      <w:r>
        <w:rPr>
          <w:rFonts w:hint="default"/>
        </w:rPr>
        <w:t xml:space="preserve"> napĺň</w:t>
      </w:r>
      <w:r>
        <w:rPr>
          <w:rFonts w:hint="default"/>
        </w:rPr>
        <w:t>ané</w:t>
      </w:r>
      <w:r>
        <w:rPr>
          <w:rFonts w:hint="default"/>
        </w:rPr>
        <w:t xml:space="preserve"> prostrední</w:t>
      </w:r>
      <w:r>
        <w:rPr>
          <w:rFonts w:hint="default"/>
        </w:rPr>
        <w:t>ctvom dvoch prioritný</w:t>
      </w:r>
      <w:r>
        <w:rPr>
          <w:rFonts w:hint="default"/>
        </w:rPr>
        <w:t>ch osí</w:t>
      </w:r>
      <w:r>
        <w:rPr>
          <w:rFonts w:hint="default"/>
        </w:rPr>
        <w:t xml:space="preserve"> OPBK: Infraš</w:t>
      </w:r>
      <w:r>
        <w:rPr>
          <w:rFonts w:hint="default"/>
        </w:rPr>
        <w:t>truktú</w:t>
      </w:r>
      <w:r>
        <w:rPr>
          <w:rFonts w:hint="default"/>
        </w:rPr>
        <w:t>ra a Vedomostná</w:t>
      </w:r>
      <w:r>
        <w:rPr>
          <w:rFonts w:hint="default"/>
        </w:rPr>
        <w:t xml:space="preserve"> ekonomika. V rá</w:t>
      </w:r>
      <w:r>
        <w:rPr>
          <w:rFonts w:hint="default"/>
        </w:rPr>
        <w:t>mci OPBK sú</w:t>
      </w:r>
      <w:r>
        <w:rPr>
          <w:rFonts w:hint="default"/>
        </w:rPr>
        <w:t xml:space="preserve"> verejné</w:t>
      </w:r>
      <w:r>
        <w:rPr>
          <w:rFonts w:hint="default"/>
        </w:rPr>
        <w:t xml:space="preserve"> prostriedky (š</w:t>
      </w:r>
      <w:r>
        <w:rPr>
          <w:rFonts w:hint="default"/>
        </w:rPr>
        <w:t>tá</w:t>
      </w:r>
      <w:r>
        <w:rPr>
          <w:rFonts w:hint="default"/>
        </w:rPr>
        <w:t>tny rozpoč</w:t>
      </w:r>
      <w:r>
        <w:rPr>
          <w:rFonts w:hint="default"/>
        </w:rPr>
        <w:t>et a rozpoč</w:t>
      </w:r>
      <w:r>
        <w:rPr>
          <w:rFonts w:hint="default"/>
        </w:rPr>
        <w:t>et ú</w:t>
      </w:r>
      <w:r>
        <w:rPr>
          <w:rFonts w:hint="default"/>
        </w:rPr>
        <w:t>zemnej samosprá</w:t>
      </w:r>
      <w:r>
        <w:rPr>
          <w:rFonts w:hint="default"/>
        </w:rPr>
        <w:t xml:space="preserve">vy), </w:t>
      </w:r>
      <w:r>
        <w:rPr>
          <w:rFonts w:hint="default"/>
        </w:rPr>
        <w:t>s</w:t>
      </w:r>
      <w:r>
        <w:rPr>
          <w:rFonts w:hint="default"/>
        </w:rPr>
        <w:t>ú</w:t>
      </w:r>
      <w:r>
        <w:rPr>
          <w:rFonts w:hint="default"/>
        </w:rPr>
        <w:t>kromné</w:t>
      </w:r>
      <w:r>
        <w:rPr>
          <w:rFonts w:hint="default"/>
        </w:rPr>
        <w:t xml:space="preserve"> zdroje a prostriedky ERDF sú</w:t>
      </w:r>
      <w:r>
        <w:rPr>
          <w:rFonts w:hint="default"/>
        </w:rPr>
        <w:t>streden</w:t>
      </w:r>
      <w:r w:rsidR="006A4588">
        <w:rPr>
          <w:rFonts w:hint="default"/>
        </w:rPr>
        <w:t>é</w:t>
      </w:r>
      <w:r w:rsidR="006A4588">
        <w:rPr>
          <w:rFonts w:hint="default"/>
        </w:rPr>
        <w:t xml:space="preserve"> na š</w:t>
      </w:r>
      <w:r w:rsidR="006A4588">
        <w:rPr>
          <w:rFonts w:hint="default"/>
        </w:rPr>
        <w:t>tyri zá</w:t>
      </w:r>
      <w:r w:rsidR="006A4588">
        <w:rPr>
          <w:rFonts w:hint="default"/>
        </w:rPr>
        <w:t>kladné</w:t>
      </w:r>
      <w:r w:rsidR="006A4588">
        <w:rPr>
          <w:rFonts w:hint="default"/>
        </w:rPr>
        <w:t xml:space="preserve"> opatrenia v </w:t>
      </w:r>
      <w:r>
        <w:rPr>
          <w:rFonts w:hint="default"/>
        </w:rPr>
        <w:t>prioritný</w:t>
      </w:r>
      <w:r>
        <w:rPr>
          <w:rFonts w:hint="default"/>
        </w:rPr>
        <w:t>ch osiach. V Prioritnej osi 1 Infraš</w:t>
      </w:r>
      <w:r>
        <w:rPr>
          <w:rFonts w:hint="default"/>
        </w:rPr>
        <w:t>truktú</w:t>
      </w:r>
      <w:r>
        <w:rPr>
          <w:rFonts w:hint="default"/>
        </w:rPr>
        <w:t>ra na opatrenie 1.1 Regenerá</w:t>
      </w:r>
      <w:r>
        <w:rPr>
          <w:rFonts w:hint="default"/>
        </w:rPr>
        <w:t>cia sí</w:t>
      </w:r>
      <w:r>
        <w:rPr>
          <w:rFonts w:hint="default"/>
        </w:rPr>
        <w:t>diel a</w:t>
      </w:r>
      <w:r w:rsidR="006A4588">
        <w:t> </w:t>
      </w:r>
      <w:r>
        <w:rPr>
          <w:rFonts w:hint="default"/>
        </w:rPr>
        <w:t>opatrenie 1.2 Regioná</w:t>
      </w:r>
      <w:r>
        <w:rPr>
          <w:rFonts w:hint="default"/>
        </w:rPr>
        <w:t>lna a mestská</w:t>
      </w:r>
      <w:r>
        <w:rPr>
          <w:rFonts w:hint="default"/>
        </w:rPr>
        <w:t xml:space="preserve"> hromadná</w:t>
      </w:r>
      <w:r>
        <w:rPr>
          <w:rFonts w:hint="default"/>
        </w:rPr>
        <w:t xml:space="preserve"> doprava.  V Prioritnej osi 2 Vedomostná</w:t>
      </w:r>
      <w:r>
        <w:rPr>
          <w:rFonts w:hint="default"/>
        </w:rPr>
        <w:t xml:space="preserve"> ekono</w:t>
      </w:r>
      <w:r>
        <w:rPr>
          <w:rFonts w:hint="default"/>
        </w:rPr>
        <w:t>mika na opatrenie 2.1 Inová</w:t>
      </w:r>
      <w:r>
        <w:rPr>
          <w:rFonts w:hint="default"/>
        </w:rPr>
        <w:t>cie a technologické</w:t>
      </w:r>
      <w:r>
        <w:rPr>
          <w:rFonts w:hint="default"/>
        </w:rPr>
        <w:t xml:space="preserve"> transfery a opatrenie 2.2 Informatizá</w:t>
      </w:r>
      <w:r>
        <w:rPr>
          <w:rFonts w:hint="default"/>
        </w:rPr>
        <w:t>cia spoloč</w:t>
      </w:r>
      <w:r>
        <w:rPr>
          <w:rFonts w:hint="default"/>
        </w:rPr>
        <w:t>nosti.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Prvá</w:t>
      </w:r>
      <w:r>
        <w:rPr>
          <w:rFonts w:hint="default"/>
        </w:rPr>
        <w:t xml:space="preserve"> prioritná</w:t>
      </w:r>
      <w:r>
        <w:rPr>
          <w:rFonts w:hint="default"/>
        </w:rPr>
        <w:t xml:space="preserve"> os „</w:t>
      </w:r>
      <w:r>
        <w:rPr>
          <w:rFonts w:hint="default"/>
        </w:rPr>
        <w:t>Infraš</w:t>
      </w:r>
      <w:r>
        <w:rPr>
          <w:rFonts w:hint="default"/>
        </w:rPr>
        <w:t>truktú</w:t>
      </w:r>
      <w:r>
        <w:rPr>
          <w:rFonts w:hint="default"/>
        </w:rPr>
        <w:t>ra“</w:t>
      </w:r>
      <w:r>
        <w:rPr>
          <w:rFonts w:hint="default"/>
        </w:rPr>
        <w:t xml:space="preserve"> je zameraná</w:t>
      </w:r>
      <w:r>
        <w:rPr>
          <w:rFonts w:hint="default"/>
        </w:rPr>
        <w:t xml:space="preserve"> n</w:t>
      </w:r>
      <w:r w:rsidR="006A4588">
        <w:rPr>
          <w:rFonts w:hint="default"/>
        </w:rPr>
        <w:t>a podporu budovania moderné</w:t>
      </w:r>
      <w:r w:rsidR="006A4588">
        <w:rPr>
          <w:rFonts w:hint="default"/>
        </w:rPr>
        <w:t>ho a </w:t>
      </w:r>
      <w:r>
        <w:rPr>
          <w:rFonts w:hint="default"/>
        </w:rPr>
        <w:t>atraktí</w:t>
      </w:r>
      <w:r>
        <w:rPr>
          <w:rFonts w:hint="default"/>
        </w:rPr>
        <w:t>vneho regió</w:t>
      </w:r>
      <w:r>
        <w:rPr>
          <w:rFonts w:hint="default"/>
        </w:rPr>
        <w:t>nu pre obč</w:t>
      </w:r>
      <w:r>
        <w:rPr>
          <w:rFonts w:hint="default"/>
        </w:rPr>
        <w:t>anov, ná</w:t>
      </w:r>
      <w:r>
        <w:rPr>
          <w:rFonts w:hint="default"/>
        </w:rPr>
        <w:t>vš</w:t>
      </w:r>
      <w:r>
        <w:rPr>
          <w:rFonts w:hint="default"/>
        </w:rPr>
        <w:t>tevní</w:t>
      </w:r>
      <w:r>
        <w:rPr>
          <w:rFonts w:hint="default"/>
        </w:rPr>
        <w:t>kov a investorov. Druhá</w:t>
      </w:r>
      <w:r>
        <w:rPr>
          <w:rFonts w:hint="default"/>
        </w:rPr>
        <w:t xml:space="preserve"> prioritn</w:t>
      </w:r>
      <w:r>
        <w:rPr>
          <w:rFonts w:hint="default"/>
        </w:rPr>
        <w:t>á</w:t>
      </w:r>
      <w:r>
        <w:rPr>
          <w:rFonts w:hint="default"/>
        </w:rPr>
        <w:t xml:space="preserve"> os „</w:t>
      </w:r>
      <w:r>
        <w:rPr>
          <w:rFonts w:hint="default"/>
        </w:rPr>
        <w:t>Vedomostná</w:t>
      </w:r>
      <w:r>
        <w:rPr>
          <w:rFonts w:hint="default"/>
        </w:rPr>
        <w:t xml:space="preserve"> ekonomika“</w:t>
      </w:r>
      <w:r>
        <w:rPr>
          <w:rFonts w:hint="default"/>
        </w:rPr>
        <w:t xml:space="preserve"> podporuje v rá</w:t>
      </w:r>
      <w:r>
        <w:rPr>
          <w:rFonts w:hint="default"/>
        </w:rPr>
        <w:t>mci OPBK inová</w:t>
      </w:r>
      <w:r>
        <w:rPr>
          <w:rFonts w:hint="default"/>
        </w:rPr>
        <w:t>cie a informatizá</w:t>
      </w:r>
      <w:r>
        <w:rPr>
          <w:rFonts w:hint="default"/>
        </w:rPr>
        <w:t>ciu spoloč</w:t>
      </w:r>
      <w:r>
        <w:rPr>
          <w:rFonts w:hint="default"/>
        </w:rPr>
        <w:t>nosti ako kľúč</w:t>
      </w:r>
      <w:r>
        <w:rPr>
          <w:rFonts w:hint="default"/>
        </w:rPr>
        <w:t>ové</w:t>
      </w:r>
      <w:r>
        <w:rPr>
          <w:rFonts w:hint="default"/>
        </w:rPr>
        <w:t xml:space="preserve"> tematické</w:t>
      </w:r>
      <w:r>
        <w:rPr>
          <w:rFonts w:hint="default"/>
        </w:rPr>
        <w:t xml:space="preserve"> okruhy pre zabezpeč</w:t>
      </w:r>
      <w:r>
        <w:rPr>
          <w:rFonts w:hint="default"/>
        </w:rPr>
        <w:t>enie dlhodobej konkurencieschopnosti regió</w:t>
      </w:r>
      <w:r>
        <w:rPr>
          <w:rFonts w:hint="default"/>
        </w:rPr>
        <w:t>nu.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OPBK stanovuje straté</w:t>
      </w:r>
      <w:r>
        <w:rPr>
          <w:rFonts w:hint="default"/>
        </w:rPr>
        <w:t>giu a prioritné</w:t>
      </w:r>
      <w:r>
        <w:rPr>
          <w:rFonts w:hint="default"/>
        </w:rPr>
        <w:t xml:space="preserve"> osi podporované</w:t>
      </w:r>
      <w:r>
        <w:rPr>
          <w:rFonts w:hint="default"/>
        </w:rPr>
        <w:t xml:space="preserve"> zo š</w:t>
      </w:r>
      <w:r>
        <w:rPr>
          <w:rFonts w:hint="default"/>
        </w:rPr>
        <w:t>trukturá</w:t>
      </w:r>
      <w:r>
        <w:rPr>
          <w:rFonts w:hint="default"/>
        </w:rPr>
        <w:t xml:space="preserve">lnych fondov a </w:t>
      </w:r>
      <w:r>
        <w:rPr>
          <w:rFonts w:hint="default"/>
        </w:rPr>
        <w:t>zo zdrojov č</w:t>
      </w:r>
      <w:r>
        <w:rPr>
          <w:rFonts w:hint="default"/>
        </w:rPr>
        <w:t>lenské</w:t>
      </w:r>
      <w:r>
        <w:rPr>
          <w:rFonts w:hint="default"/>
        </w:rPr>
        <w:t>ho š</w:t>
      </w:r>
      <w:r>
        <w:rPr>
          <w:rFonts w:hint="default"/>
        </w:rPr>
        <w:t>tá</w:t>
      </w:r>
      <w:r>
        <w:rPr>
          <w:rFonts w:hint="default"/>
        </w:rPr>
        <w:t>tu, ich š</w:t>
      </w:r>
      <w:r>
        <w:rPr>
          <w:rFonts w:hint="default"/>
        </w:rPr>
        <w:t>pecifické</w:t>
      </w:r>
      <w:r>
        <w:rPr>
          <w:rFonts w:hint="default"/>
        </w:rPr>
        <w:t xml:space="preserve"> ciele, prí</w:t>
      </w:r>
      <w:r>
        <w:rPr>
          <w:rFonts w:hint="default"/>
        </w:rPr>
        <w:t>spevok zo š</w:t>
      </w:r>
      <w:r>
        <w:rPr>
          <w:rFonts w:hint="default"/>
        </w:rPr>
        <w:t>trukturá</w:t>
      </w:r>
      <w:r>
        <w:rPr>
          <w:rFonts w:hint="default"/>
        </w:rPr>
        <w:t>lnych fondov a ostatné</w:t>
      </w:r>
      <w:r>
        <w:rPr>
          <w:rFonts w:hint="default"/>
        </w:rPr>
        <w:t xml:space="preserve"> f</w:t>
      </w:r>
      <w:r w:rsidR="006A4588">
        <w:rPr>
          <w:rFonts w:hint="default"/>
        </w:rPr>
        <w:t>inanč</w:t>
      </w:r>
      <w:r w:rsidR="006A4588">
        <w:rPr>
          <w:rFonts w:hint="default"/>
        </w:rPr>
        <w:t>né</w:t>
      </w:r>
      <w:r w:rsidR="006A4588">
        <w:rPr>
          <w:rFonts w:hint="default"/>
        </w:rPr>
        <w:t xml:space="preserve"> prostriedky v sú</w:t>
      </w:r>
      <w:r w:rsidR="006A4588">
        <w:rPr>
          <w:rFonts w:hint="default"/>
        </w:rPr>
        <w:t>lade s n</w:t>
      </w:r>
      <w:r>
        <w:rPr>
          <w:rFonts w:hint="default"/>
        </w:rPr>
        <w:t>ariadení</w:t>
      </w:r>
      <w:r>
        <w:rPr>
          <w:rFonts w:hint="default"/>
        </w:rPr>
        <w:t>m Rady (ES) č</w:t>
      </w:r>
      <w:r>
        <w:rPr>
          <w:rFonts w:hint="default"/>
        </w:rPr>
        <w:t>. 1083/2006 z 11. jú</w:t>
      </w:r>
      <w:r>
        <w:rPr>
          <w:rFonts w:hint="default"/>
        </w:rPr>
        <w:t>la 2006, ktorý</w:t>
      </w:r>
      <w:r>
        <w:rPr>
          <w:rFonts w:hint="default"/>
        </w:rPr>
        <w:t>m sa ustanovujú</w:t>
      </w:r>
      <w:r>
        <w:rPr>
          <w:rFonts w:hint="default"/>
        </w:rPr>
        <w:t xml:space="preserve"> vš</w:t>
      </w:r>
      <w:r>
        <w:rPr>
          <w:rFonts w:hint="default"/>
        </w:rPr>
        <w:t>eobecné</w:t>
      </w:r>
      <w:r>
        <w:rPr>
          <w:rFonts w:hint="default"/>
        </w:rPr>
        <w:t xml:space="preserve"> ustanovenia o Euró</w:t>
      </w:r>
      <w:r>
        <w:rPr>
          <w:rFonts w:hint="default"/>
        </w:rPr>
        <w:t>pskom fonde regioná</w:t>
      </w:r>
      <w:r>
        <w:rPr>
          <w:rFonts w:hint="default"/>
        </w:rPr>
        <w:t>lneho rozv</w:t>
      </w:r>
      <w:r>
        <w:rPr>
          <w:rFonts w:hint="default"/>
        </w:rPr>
        <w:t>oja, Euró</w:t>
      </w:r>
      <w:r>
        <w:rPr>
          <w:rFonts w:hint="default"/>
        </w:rPr>
        <w:t>pskom sociá</w:t>
      </w:r>
      <w:r>
        <w:rPr>
          <w:rFonts w:hint="default"/>
        </w:rPr>
        <w:t>lnom fonde a Kohé</w:t>
      </w:r>
      <w:r>
        <w:rPr>
          <w:rFonts w:hint="default"/>
        </w:rPr>
        <w:t>znom fonde</w:t>
      </w:r>
      <w:r w:rsidR="006A4588">
        <w:t>,</w:t>
      </w:r>
      <w:r>
        <w:rPr>
          <w:rFonts w:hint="default"/>
        </w:rPr>
        <w:t xml:space="preserve"> a ktorý</w:t>
      </w:r>
      <w:r>
        <w:rPr>
          <w:rFonts w:hint="default"/>
        </w:rPr>
        <w:t>m sa zruš</w:t>
      </w:r>
      <w:r>
        <w:rPr>
          <w:rFonts w:hint="default"/>
        </w:rPr>
        <w:t>uje nariadenie (ES) č</w:t>
      </w:r>
      <w:r>
        <w:rPr>
          <w:rFonts w:hint="default"/>
        </w:rPr>
        <w:t>.1260/1999 („</w:t>
      </w:r>
      <w:r>
        <w:rPr>
          <w:rFonts w:hint="default"/>
        </w:rPr>
        <w:t>vš</w:t>
      </w:r>
      <w:r>
        <w:rPr>
          <w:rFonts w:hint="default"/>
        </w:rPr>
        <w:t>eob</w:t>
      </w:r>
      <w:r w:rsidR="006A4588">
        <w:rPr>
          <w:rFonts w:hint="default"/>
        </w:rPr>
        <w:t>ecné</w:t>
      </w:r>
      <w:r w:rsidR="006A4588">
        <w:rPr>
          <w:rFonts w:hint="default"/>
        </w:rPr>
        <w:t xml:space="preserve"> nariadenie“</w:t>
      </w:r>
      <w:r w:rsidR="006A4588">
        <w:rPr>
          <w:rFonts w:hint="default"/>
        </w:rPr>
        <w:t>) a v sú</w:t>
      </w:r>
      <w:r w:rsidR="006A4588">
        <w:rPr>
          <w:rFonts w:hint="default"/>
        </w:rPr>
        <w:t>lade s n</w:t>
      </w:r>
      <w:r>
        <w:rPr>
          <w:rFonts w:hint="default"/>
        </w:rPr>
        <w:t>ariadení</w:t>
      </w:r>
      <w:r>
        <w:rPr>
          <w:rFonts w:hint="default"/>
        </w:rPr>
        <w:t>m Komisie (ES) č</w:t>
      </w:r>
      <w:r>
        <w:rPr>
          <w:rFonts w:hint="default"/>
        </w:rPr>
        <w:t>. 1828/2006 z</w:t>
      </w:r>
      <w:r w:rsidR="006A4588">
        <w:t> </w:t>
      </w:r>
      <w:r w:rsidR="006A4588">
        <w:t>8. decembra </w:t>
      </w:r>
      <w:r>
        <w:rPr>
          <w:rFonts w:hint="default"/>
        </w:rPr>
        <w:t>2006, ktorý</w:t>
      </w:r>
      <w:r>
        <w:rPr>
          <w:rFonts w:hint="default"/>
        </w:rPr>
        <w:t>m sa stanovujú</w:t>
      </w:r>
      <w:r>
        <w:rPr>
          <w:rFonts w:hint="default"/>
        </w:rPr>
        <w:t xml:space="preserve"> vykoná</w:t>
      </w:r>
      <w:r>
        <w:rPr>
          <w:rFonts w:hint="default"/>
        </w:rPr>
        <w:t>vacie p</w:t>
      </w:r>
      <w:r w:rsidR="006A4588">
        <w:rPr>
          <w:rFonts w:hint="default"/>
        </w:rPr>
        <w:t>ravidlá</w:t>
      </w:r>
      <w:r w:rsidR="006A4588">
        <w:rPr>
          <w:rFonts w:hint="default"/>
        </w:rPr>
        <w:t xml:space="preserve"> nariadenia Rady (ES) č. </w:t>
      </w:r>
      <w:r>
        <w:rPr>
          <w:rFonts w:hint="default"/>
        </w:rPr>
        <w:t>1083/2006, ktorý</w:t>
      </w:r>
      <w:r>
        <w:rPr>
          <w:rFonts w:hint="default"/>
        </w:rPr>
        <w:t>m sa ustanovujú</w:t>
      </w:r>
      <w:r>
        <w:rPr>
          <w:rFonts w:hint="default"/>
        </w:rPr>
        <w:t xml:space="preserve"> vš</w:t>
      </w:r>
      <w:r>
        <w:rPr>
          <w:rFonts w:hint="default"/>
        </w:rPr>
        <w:t>eobecné</w:t>
      </w:r>
      <w:r>
        <w:rPr>
          <w:rFonts w:hint="default"/>
        </w:rPr>
        <w:t xml:space="preserve"> ustanovenia o Euró</w:t>
      </w:r>
      <w:r>
        <w:rPr>
          <w:rFonts w:hint="default"/>
        </w:rPr>
        <w:t>pskom fonde regioná</w:t>
      </w:r>
      <w:r>
        <w:rPr>
          <w:rFonts w:hint="default"/>
        </w:rPr>
        <w:t>lneho rozvoja, Euró</w:t>
      </w:r>
      <w:r>
        <w:rPr>
          <w:rFonts w:hint="default"/>
        </w:rPr>
        <w:t>pskom sociá</w:t>
      </w:r>
      <w:r>
        <w:rPr>
          <w:rFonts w:hint="default"/>
        </w:rPr>
        <w:t>lnom fonde a Kohé</w:t>
      </w:r>
      <w:r>
        <w:rPr>
          <w:rFonts w:hint="default"/>
        </w:rPr>
        <w:t>znom fonde a nariadenia Euró</w:t>
      </w:r>
      <w:r>
        <w:rPr>
          <w:rFonts w:hint="default"/>
        </w:rPr>
        <w:t>pskeho parlamentu a Rady (ES) č</w:t>
      </w:r>
      <w:r>
        <w:rPr>
          <w:rFonts w:hint="default"/>
        </w:rPr>
        <w:t>. 1080/2006 o Euró</w:t>
      </w:r>
      <w:r>
        <w:rPr>
          <w:rFonts w:hint="default"/>
        </w:rPr>
        <w:t>pskom fonde regioná</w:t>
      </w:r>
      <w:r>
        <w:rPr>
          <w:rFonts w:hint="default"/>
        </w:rPr>
        <w:t>lneho rozvoja v znení</w:t>
      </w:r>
      <w:r>
        <w:rPr>
          <w:rFonts w:hint="default"/>
        </w:rPr>
        <w:t xml:space="preserve"> neskorší</w:t>
      </w:r>
      <w:r>
        <w:rPr>
          <w:rFonts w:hint="default"/>
        </w:rPr>
        <w:t xml:space="preserve">ch </w:t>
      </w:r>
      <w:r>
        <w:rPr>
          <w:rFonts w:hint="default"/>
        </w:rPr>
        <w:t>zmien a doplnení</w:t>
      </w:r>
      <w:r>
        <w:rPr>
          <w:rFonts w:hint="default"/>
        </w:rPr>
        <w:t xml:space="preserve"> („</w:t>
      </w:r>
      <w:r>
        <w:rPr>
          <w:rFonts w:hint="default"/>
        </w:rPr>
        <w:t>vykoná</w:t>
      </w:r>
      <w:r>
        <w:rPr>
          <w:rFonts w:hint="default"/>
        </w:rPr>
        <w:t>vacie nariadenie“</w:t>
      </w:r>
      <w:r>
        <w:rPr>
          <w:rFonts w:hint="default"/>
        </w:rPr>
        <w:t>). Okrem toho Riadiaci orgá</w:t>
      </w:r>
      <w:r>
        <w:rPr>
          <w:rFonts w:hint="default"/>
        </w:rPr>
        <w:t>n pre OPBK postupuje pri implementá</w:t>
      </w:r>
      <w:r>
        <w:rPr>
          <w:rFonts w:hint="default"/>
        </w:rPr>
        <w:t>cii OPBK v s</w:t>
      </w:r>
      <w:r w:rsidR="006A4588">
        <w:rPr>
          <w:rFonts w:hint="default"/>
        </w:rPr>
        <w:t>ú</w:t>
      </w:r>
      <w:r w:rsidR="006A4588">
        <w:rPr>
          <w:rFonts w:hint="default"/>
        </w:rPr>
        <w:t>lade s ď</w:t>
      </w:r>
      <w:r w:rsidR="006A4588">
        <w:rPr>
          <w:rFonts w:hint="default"/>
        </w:rPr>
        <w:t>alší</w:t>
      </w:r>
      <w:r w:rsidR="006A4588">
        <w:rPr>
          <w:rFonts w:hint="default"/>
        </w:rPr>
        <w:t>mi nariadeniami EÚ</w:t>
      </w:r>
      <w:r>
        <w:rPr>
          <w:rFonts w:hint="default"/>
        </w:rPr>
        <w:t>/ES, platný</w:t>
      </w:r>
      <w:r>
        <w:rPr>
          <w:rFonts w:hint="default"/>
        </w:rPr>
        <w:t>mi prá</w:t>
      </w:r>
      <w:r>
        <w:rPr>
          <w:rFonts w:hint="default"/>
        </w:rPr>
        <w:t>vnymi predpismi Slovenskej republiky, najmä</w:t>
      </w:r>
      <w:r>
        <w:rPr>
          <w:rFonts w:hint="default"/>
        </w:rPr>
        <w:t xml:space="preserve"> podľ</w:t>
      </w:r>
      <w:r>
        <w:rPr>
          <w:rFonts w:hint="default"/>
        </w:rPr>
        <w:t>a zá</w:t>
      </w:r>
      <w:r>
        <w:rPr>
          <w:rFonts w:hint="default"/>
        </w:rPr>
        <w:t>kona č</w:t>
      </w:r>
      <w:r>
        <w:rPr>
          <w:rFonts w:hint="default"/>
        </w:rPr>
        <w:t>. 528/2008 Z.</w:t>
      </w:r>
      <w:r w:rsidR="00A46EEB">
        <w:t xml:space="preserve"> </w:t>
      </w:r>
      <w:r>
        <w:rPr>
          <w:rFonts w:hint="default"/>
        </w:rPr>
        <w:t>z. o poskytovaní</w:t>
      </w:r>
      <w:r>
        <w:rPr>
          <w:rFonts w:hint="default"/>
        </w:rPr>
        <w:t xml:space="preserve"> pom</w:t>
      </w:r>
      <w:r>
        <w:rPr>
          <w:rFonts w:hint="default"/>
        </w:rPr>
        <w:t>oci a podpory z fondov Euró</w:t>
      </w:r>
      <w:r>
        <w:rPr>
          <w:rFonts w:hint="default"/>
        </w:rPr>
        <w:t>pskych spoloč</w:t>
      </w:r>
      <w:r>
        <w:rPr>
          <w:rFonts w:hint="default"/>
        </w:rPr>
        <w:t>enstiev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predpisov, ako aj ď</w:t>
      </w:r>
      <w:r>
        <w:rPr>
          <w:rFonts w:hint="default"/>
        </w:rPr>
        <w:t>alší</w:t>
      </w:r>
      <w:r>
        <w:rPr>
          <w:rFonts w:hint="default"/>
        </w:rPr>
        <w:t>mi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>mi dokumentmi, najmä</w:t>
      </w:r>
      <w:r>
        <w:rPr>
          <w:rFonts w:hint="default"/>
        </w:rPr>
        <w:t xml:space="preserve"> </w:t>
      </w:r>
      <w:r w:rsidR="006E59E4">
        <w:t>v </w:t>
      </w:r>
      <w:r>
        <w:rPr>
          <w:rFonts w:hint="default"/>
        </w:rPr>
        <w:t>sú</w:t>
      </w:r>
      <w:r>
        <w:rPr>
          <w:rFonts w:hint="default"/>
        </w:rPr>
        <w:t>lade so Systé</w:t>
      </w:r>
      <w:r>
        <w:rPr>
          <w:rFonts w:hint="default"/>
        </w:rPr>
        <w:t>mom riadenia š</w:t>
      </w:r>
      <w:r>
        <w:rPr>
          <w:rFonts w:hint="default"/>
        </w:rPr>
        <w:t>trukturá</w:t>
      </w:r>
      <w:r>
        <w:rPr>
          <w:rFonts w:hint="default"/>
        </w:rPr>
        <w:t>lnych fondov a Kohé</w:t>
      </w:r>
      <w:r>
        <w:rPr>
          <w:rFonts w:hint="default"/>
        </w:rPr>
        <w:t>zneho fondu na programové</w:t>
      </w:r>
      <w:r>
        <w:rPr>
          <w:rFonts w:hint="default"/>
        </w:rPr>
        <w:t xml:space="preserve"> obdobie 2007-2013 v aktuá</w:t>
      </w:r>
      <w:r>
        <w:rPr>
          <w:rFonts w:hint="default"/>
        </w:rPr>
        <w:t>lnom znení</w:t>
      </w:r>
      <w:r>
        <w:rPr>
          <w:rFonts w:hint="default"/>
        </w:rPr>
        <w:t xml:space="preserve"> a Systé</w:t>
      </w:r>
      <w:r>
        <w:rPr>
          <w:rFonts w:hint="default"/>
        </w:rPr>
        <w:t>mom fina</w:t>
      </w:r>
      <w:r>
        <w:rPr>
          <w:rFonts w:hint="default"/>
        </w:rPr>
        <w:t>nč</w:t>
      </w:r>
      <w:r>
        <w:rPr>
          <w:rFonts w:hint="default"/>
        </w:rPr>
        <w:t>né</w:t>
      </w:r>
      <w:r>
        <w:rPr>
          <w:rFonts w:hint="default"/>
        </w:rPr>
        <w:t>ho riadenia š</w:t>
      </w:r>
      <w:r>
        <w:rPr>
          <w:rFonts w:hint="default"/>
        </w:rPr>
        <w:t>trukturá</w:t>
      </w:r>
      <w:r>
        <w:rPr>
          <w:rFonts w:hint="default"/>
        </w:rPr>
        <w:t>lnych fondov a Kohé</w:t>
      </w:r>
      <w:r>
        <w:rPr>
          <w:rFonts w:hint="default"/>
        </w:rPr>
        <w:t>zneho fondu na programové</w:t>
      </w:r>
      <w:r>
        <w:rPr>
          <w:rFonts w:hint="default"/>
        </w:rPr>
        <w:t xml:space="preserve"> obdobie 2007-2013 v platnom znení.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Prijí</w:t>
      </w:r>
      <w:r>
        <w:rPr>
          <w:rFonts w:hint="default"/>
        </w:rPr>
        <w:t>mateľ</w:t>
      </w:r>
      <w:r>
        <w:rPr>
          <w:rFonts w:hint="default"/>
        </w:rPr>
        <w:t>mi pomoci z OPBK sú</w:t>
      </w:r>
      <w:r>
        <w:rPr>
          <w:rFonts w:hint="default"/>
        </w:rPr>
        <w:t xml:space="preserve"> obce a mestá</w:t>
      </w:r>
      <w:r>
        <w:rPr>
          <w:rFonts w:hint="default"/>
        </w:rPr>
        <w:t xml:space="preserve"> Bratislavské</w:t>
      </w:r>
      <w:r>
        <w:rPr>
          <w:rFonts w:hint="default"/>
        </w:rPr>
        <w:t>ho kraja založ</w:t>
      </w:r>
      <w:r>
        <w:rPr>
          <w:rFonts w:hint="default"/>
        </w:rPr>
        <w:t>ené</w:t>
      </w:r>
      <w:r>
        <w:rPr>
          <w:rFonts w:hint="default"/>
        </w:rPr>
        <w:t xml:space="preserve"> v zmysle zá</w:t>
      </w:r>
      <w:r>
        <w:rPr>
          <w:rFonts w:hint="default"/>
        </w:rPr>
        <w:t>kona č</w:t>
      </w:r>
      <w:r>
        <w:rPr>
          <w:rFonts w:hint="default"/>
        </w:rPr>
        <w:t>. 369/1990 Zb. o obecnom zriadení</w:t>
      </w:r>
      <w:r>
        <w:rPr>
          <w:rFonts w:hint="default"/>
        </w:rPr>
        <w:t xml:space="preserve">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</w:t>
      </w:r>
      <w:r>
        <w:rPr>
          <w:rFonts w:hint="default"/>
        </w:rPr>
        <w:t>v; Bratislavský</w:t>
      </w:r>
      <w:r>
        <w:rPr>
          <w:rFonts w:hint="default"/>
        </w:rPr>
        <w:t xml:space="preserve"> samosprá</w:t>
      </w:r>
      <w:r>
        <w:rPr>
          <w:rFonts w:hint="default"/>
        </w:rPr>
        <w:t>vny kraj, založ</w:t>
      </w:r>
      <w:r>
        <w:rPr>
          <w:rFonts w:hint="default"/>
        </w:rPr>
        <w:t>ený</w:t>
      </w:r>
      <w:r>
        <w:rPr>
          <w:rFonts w:hint="default"/>
        </w:rPr>
        <w:t xml:space="preserve"> v zmysle zá</w:t>
      </w:r>
      <w:r>
        <w:rPr>
          <w:rFonts w:hint="default"/>
        </w:rPr>
        <w:t>kona č</w:t>
      </w:r>
      <w:r>
        <w:rPr>
          <w:rFonts w:hint="default"/>
        </w:rPr>
        <w:t>. 302/2001 Z. z. o samosprá</w:t>
      </w:r>
      <w:r>
        <w:rPr>
          <w:rFonts w:hint="default"/>
        </w:rPr>
        <w:t>ve vyšší</w:t>
      </w:r>
      <w:r>
        <w:rPr>
          <w:rFonts w:hint="default"/>
        </w:rPr>
        <w:t>ch ú</w:t>
      </w:r>
      <w:r>
        <w:rPr>
          <w:rFonts w:hint="default"/>
        </w:rPr>
        <w:t>zemný</w:t>
      </w:r>
      <w:r>
        <w:rPr>
          <w:rFonts w:hint="default"/>
        </w:rPr>
        <w:t>ch celkov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predpisov, Hlavné</w:t>
      </w:r>
      <w:r>
        <w:rPr>
          <w:rFonts w:hint="default"/>
        </w:rPr>
        <w:t xml:space="preserve"> mesto SR Bratislava a jeho mestské</w:t>
      </w:r>
      <w:r>
        <w:rPr>
          <w:rFonts w:hint="default"/>
        </w:rPr>
        <w:t xml:space="preserve"> č</w:t>
      </w:r>
      <w:r>
        <w:rPr>
          <w:rFonts w:hint="default"/>
        </w:rPr>
        <w:t>asti v zmysle zá</w:t>
      </w:r>
      <w:r>
        <w:rPr>
          <w:rFonts w:hint="default"/>
        </w:rPr>
        <w:t>kona č</w:t>
      </w:r>
      <w:r>
        <w:rPr>
          <w:rFonts w:hint="default"/>
        </w:rPr>
        <w:t xml:space="preserve">. 377/1990 Zb. o hlavnom  meste SR Bratislave </w:t>
      </w:r>
      <w:r>
        <w:rPr>
          <w:rFonts w:hint="default"/>
        </w:rPr>
        <w:t>v</w:t>
      </w:r>
      <w:r>
        <w:rPr>
          <w:rFonts w:hint="default"/>
        </w:rPr>
        <w:t xml:space="preserve">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predpisov; Združ</w:t>
      </w:r>
      <w:r>
        <w:rPr>
          <w:rFonts w:hint="default"/>
        </w:rPr>
        <w:t>enia miest a obcí</w:t>
      </w:r>
      <w:r>
        <w:rPr>
          <w:rFonts w:hint="default"/>
        </w:rPr>
        <w:t xml:space="preserve"> založ</w:t>
      </w:r>
      <w:r>
        <w:rPr>
          <w:rFonts w:hint="default"/>
        </w:rPr>
        <w:t>ené</w:t>
      </w:r>
      <w:r>
        <w:rPr>
          <w:rFonts w:hint="default"/>
        </w:rPr>
        <w:t xml:space="preserve"> v zmysle zá</w:t>
      </w:r>
      <w:r>
        <w:rPr>
          <w:rFonts w:hint="default"/>
        </w:rPr>
        <w:t>kona č</w:t>
      </w:r>
      <w:r>
        <w:rPr>
          <w:rFonts w:hint="default"/>
        </w:rPr>
        <w:t>. 369/1990 Zb. o obecnom zriadení</w:t>
      </w:r>
      <w:r>
        <w:rPr>
          <w:rFonts w:hint="default"/>
        </w:rPr>
        <w:t xml:space="preserve">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predpisov; Subjekt sprá</w:t>
      </w:r>
      <w:r>
        <w:rPr>
          <w:rFonts w:hint="default"/>
        </w:rPr>
        <w:t>vy b</w:t>
      </w:r>
      <w:r w:rsidR="006A4588">
        <w:rPr>
          <w:rFonts w:hint="default"/>
        </w:rPr>
        <w:t>ytové</w:t>
      </w:r>
      <w:r w:rsidR="006A4588">
        <w:rPr>
          <w:rFonts w:hint="default"/>
        </w:rPr>
        <w:t>ho domu v zmysle zá</w:t>
      </w:r>
      <w:r w:rsidR="006A4588">
        <w:rPr>
          <w:rFonts w:hint="default"/>
        </w:rPr>
        <w:t>kona č. </w:t>
      </w:r>
      <w:r>
        <w:rPr>
          <w:rFonts w:hint="default"/>
        </w:rPr>
        <w:t>182/1993 Z. z. o vlastní</w:t>
      </w:r>
      <w:r>
        <w:rPr>
          <w:rFonts w:hint="default"/>
        </w:rPr>
        <w:t>ctve bytov a nebytový</w:t>
      </w:r>
      <w:r>
        <w:rPr>
          <w:rFonts w:hint="default"/>
        </w:rPr>
        <w:t xml:space="preserve">ch priestorov </w:t>
      </w:r>
      <w:r w:rsidR="006A4588">
        <w:rPr>
          <w:rFonts w:hint="default"/>
        </w:rPr>
        <w:t>v znení</w:t>
      </w:r>
      <w:r w:rsidR="006A4588">
        <w:rPr>
          <w:rFonts w:hint="default"/>
        </w:rPr>
        <w:t xml:space="preserve"> neskorší</w:t>
      </w:r>
      <w:r w:rsidR="006A4588">
        <w:rPr>
          <w:rFonts w:hint="default"/>
        </w:rPr>
        <w:t>ch predpisov; a m</w:t>
      </w:r>
      <w:r>
        <w:rPr>
          <w:rFonts w:hint="default"/>
        </w:rPr>
        <w:t>ikro, malí</w:t>
      </w:r>
      <w:r>
        <w:rPr>
          <w:rFonts w:hint="default"/>
        </w:rPr>
        <w:t xml:space="preserve"> a strední</w:t>
      </w:r>
      <w:r>
        <w:rPr>
          <w:rFonts w:hint="default"/>
        </w:rPr>
        <w:t xml:space="preserve"> podnikatelia (MSP) - fyzické</w:t>
      </w:r>
      <w:r>
        <w:rPr>
          <w:rFonts w:hint="default"/>
        </w:rPr>
        <w:t xml:space="preserve"> aleb</w:t>
      </w:r>
      <w:r w:rsidR="006A4588">
        <w:rPr>
          <w:rFonts w:hint="default"/>
        </w:rPr>
        <w:t>o prá</w:t>
      </w:r>
      <w:r w:rsidR="006A4588">
        <w:rPr>
          <w:rFonts w:hint="default"/>
        </w:rPr>
        <w:t>vnické</w:t>
      </w:r>
      <w:r w:rsidR="006A4588">
        <w:rPr>
          <w:rFonts w:hint="default"/>
        </w:rPr>
        <w:t xml:space="preserve"> osoby podnikajú</w:t>
      </w:r>
      <w:r w:rsidR="006A4588">
        <w:rPr>
          <w:rFonts w:hint="default"/>
        </w:rPr>
        <w:t>ce v </w:t>
      </w:r>
      <w:r>
        <w:rPr>
          <w:rFonts w:hint="default"/>
        </w:rPr>
        <w:t>oblasti vý</w:t>
      </w:r>
      <w:r>
        <w:rPr>
          <w:rFonts w:hint="default"/>
        </w:rPr>
        <w:t>roby</w:t>
      </w:r>
      <w:r w:rsidR="006A4588">
        <w:t>,</w:t>
      </w:r>
      <w:r>
        <w:rPr>
          <w:rFonts w:hint="default"/>
        </w:rPr>
        <w:t xml:space="preserve"> oprá</w:t>
      </w:r>
      <w:r>
        <w:rPr>
          <w:rFonts w:hint="default"/>
        </w:rPr>
        <w:t>vnené</w:t>
      </w:r>
      <w:r>
        <w:rPr>
          <w:rFonts w:hint="default"/>
        </w:rPr>
        <w:t xml:space="preserve"> na podnikanie v zmysle §</w:t>
      </w:r>
      <w:r>
        <w:rPr>
          <w:rFonts w:hint="default"/>
        </w:rPr>
        <w:t xml:space="preserve"> 2 ods. 2 pí</w:t>
      </w:r>
      <w:r>
        <w:rPr>
          <w:rFonts w:hint="default"/>
        </w:rPr>
        <w:t>sm. a) a b) Obchodné</w:t>
      </w:r>
      <w:r>
        <w:rPr>
          <w:rFonts w:hint="default"/>
        </w:rPr>
        <w:t>ho zá</w:t>
      </w:r>
      <w:r>
        <w:rPr>
          <w:rFonts w:hint="default"/>
        </w:rPr>
        <w:t>konní</w:t>
      </w:r>
      <w:r>
        <w:rPr>
          <w:rFonts w:hint="default"/>
        </w:rPr>
        <w:t>ka, registrované</w:t>
      </w:r>
      <w:r>
        <w:rPr>
          <w:rFonts w:hint="default"/>
        </w:rPr>
        <w:t xml:space="preserve"> na ú</w:t>
      </w:r>
      <w:r>
        <w:rPr>
          <w:rFonts w:hint="default"/>
        </w:rPr>
        <w:t>zemí</w:t>
      </w:r>
      <w:r>
        <w:rPr>
          <w:rFonts w:hint="default"/>
        </w:rPr>
        <w:t xml:space="preserve"> SR.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Do implementá</w:t>
      </w:r>
      <w:r>
        <w:rPr>
          <w:rFonts w:hint="default"/>
        </w:rPr>
        <w:t>cie OPBK</w:t>
      </w:r>
      <w:r>
        <w:rPr>
          <w:rFonts w:hint="default"/>
        </w:rPr>
        <w:t xml:space="preserve"> je aktí</w:t>
      </w:r>
      <w:r>
        <w:rPr>
          <w:rFonts w:hint="default"/>
        </w:rPr>
        <w:t>vne zapojený</w:t>
      </w:r>
      <w:r>
        <w:rPr>
          <w:rFonts w:hint="default"/>
        </w:rPr>
        <w:t xml:space="preserve"> aj Bratislavský</w:t>
      </w:r>
      <w:r>
        <w:rPr>
          <w:rFonts w:hint="default"/>
        </w:rPr>
        <w:t xml:space="preserve"> samosprá</w:t>
      </w:r>
      <w:r>
        <w:rPr>
          <w:rFonts w:hint="default"/>
        </w:rPr>
        <w:t>vny kraj,</w:t>
      </w:r>
      <w:r>
        <w:rPr>
          <w:rFonts w:hint="default"/>
        </w:rPr>
        <w:t xml:space="preserve"> ktorý</w:t>
      </w:r>
      <w:r>
        <w:rPr>
          <w:rFonts w:hint="default"/>
        </w:rPr>
        <w:t xml:space="preserve"> vo vymedzenom rozsahu plní</w:t>
      </w:r>
      <w:r>
        <w:rPr>
          <w:rFonts w:hint="default"/>
        </w:rPr>
        <w:t xml:space="preserve"> ú</w:t>
      </w:r>
      <w:r>
        <w:rPr>
          <w:rFonts w:hint="default"/>
        </w:rPr>
        <w:t>lohy sprostredkovateľ</w:t>
      </w:r>
      <w:r>
        <w:rPr>
          <w:rFonts w:hint="default"/>
        </w:rPr>
        <w:t>ské</w:t>
      </w:r>
      <w:r>
        <w:rPr>
          <w:rFonts w:hint="default"/>
        </w:rPr>
        <w:t>ho orgá</w:t>
      </w:r>
      <w:r>
        <w:rPr>
          <w:rFonts w:hint="default"/>
        </w:rPr>
        <w:t>nu pod Riadiacim orgá</w:t>
      </w:r>
      <w:r>
        <w:rPr>
          <w:rFonts w:hint="default"/>
        </w:rPr>
        <w:t xml:space="preserve">nom pre OPBK.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V roku 2010 vyhlá</w:t>
      </w:r>
      <w:r>
        <w:rPr>
          <w:rFonts w:hint="default"/>
        </w:rPr>
        <w:t>sil Riadiaci orgá</w:t>
      </w:r>
      <w:r>
        <w:rPr>
          <w:rFonts w:hint="default"/>
        </w:rPr>
        <w:t>n pre OPBK 3 v</w:t>
      </w:r>
      <w:r w:rsidR="008B0BAC">
        <w:rPr>
          <w:rFonts w:hint="default"/>
        </w:rPr>
        <w:t>ý</w:t>
      </w:r>
      <w:r w:rsidR="008B0BAC">
        <w:rPr>
          <w:rFonts w:hint="default"/>
        </w:rPr>
        <w:t>zvy na predkladanie ž</w:t>
      </w:r>
      <w:r w:rsidR="008B0BAC">
        <w:rPr>
          <w:rFonts w:hint="default"/>
        </w:rPr>
        <w:t>iadostí</w:t>
      </w:r>
      <w:r w:rsidR="008B0BAC">
        <w:rPr>
          <w:rFonts w:hint="default"/>
        </w:rPr>
        <w:t xml:space="preserve"> o </w:t>
      </w:r>
      <w:r>
        <w:rPr>
          <w:rFonts w:hint="default"/>
        </w:rPr>
        <w:t>nená</w:t>
      </w:r>
      <w:r>
        <w:rPr>
          <w:rFonts w:hint="default"/>
        </w:rPr>
        <w:t>vratný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 xml:space="preserve"> prí</w:t>
      </w:r>
      <w:r>
        <w:rPr>
          <w:rFonts w:hint="default"/>
        </w:rPr>
        <w:t>spevok pre opatrenia 1.2 Regioná</w:t>
      </w:r>
      <w:r>
        <w:rPr>
          <w:rFonts w:hint="default"/>
        </w:rPr>
        <w:t>lna a mestská</w:t>
      </w:r>
      <w:r>
        <w:rPr>
          <w:rFonts w:hint="default"/>
        </w:rPr>
        <w:t xml:space="preserve"> hroma</w:t>
      </w:r>
      <w:r>
        <w:rPr>
          <w:rFonts w:hint="default"/>
        </w:rPr>
        <w:t>dná</w:t>
      </w:r>
      <w:r>
        <w:rPr>
          <w:rFonts w:hint="default"/>
        </w:rPr>
        <w:t xml:space="preserve"> doprava, opatrenie 2.1 Inová</w:t>
      </w:r>
      <w:r>
        <w:rPr>
          <w:rFonts w:hint="default"/>
        </w:rPr>
        <w:t>cie a technologické</w:t>
      </w:r>
      <w:r>
        <w:rPr>
          <w:rFonts w:hint="default"/>
        </w:rPr>
        <w:t xml:space="preserve"> transfery a opatrenie 2.2 Informatizá</w:t>
      </w:r>
      <w:r>
        <w:rPr>
          <w:rFonts w:hint="default"/>
        </w:rPr>
        <w:t>cia spoloč</w:t>
      </w:r>
      <w:r>
        <w:rPr>
          <w:rFonts w:hint="default"/>
        </w:rPr>
        <w:t>nosti.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K 31.12.2010 bolo v rá</w:t>
      </w:r>
      <w:r>
        <w:rPr>
          <w:rFonts w:hint="default"/>
        </w:rPr>
        <w:t>mci OPBK zazmluvnený</w:t>
      </w:r>
      <w:r>
        <w:rPr>
          <w:rFonts w:hint="default"/>
        </w:rPr>
        <w:t>ch 142 projektov v celkovom objeme 32 018 702,89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 </w:t>
      </w:r>
      <w:r>
        <w:t xml:space="preserve">(NFP = </w:t>
      </w:r>
      <w:r w:rsidR="006E59E4">
        <w:rPr>
          <w:rFonts w:hint="default"/>
        </w:rPr>
        <w:t>ERDF + Š</w:t>
      </w:r>
      <w:r w:rsidR="006E59E4">
        <w:rPr>
          <w:rFonts w:hint="default"/>
        </w:rPr>
        <w:t>R), č</w:t>
      </w:r>
      <w:r w:rsidR="006E59E4">
        <w:rPr>
          <w:rFonts w:hint="default"/>
        </w:rPr>
        <w:t>o predstavuje 31,3 </w:t>
      </w:r>
      <w:r>
        <w:rPr>
          <w:rFonts w:hint="default"/>
        </w:rPr>
        <w:t>% z celkové</w:t>
      </w:r>
      <w:r>
        <w:rPr>
          <w:rFonts w:hint="default"/>
        </w:rPr>
        <w:t>ho obje</w:t>
      </w:r>
      <w:r>
        <w:rPr>
          <w:rFonts w:hint="default"/>
        </w:rPr>
        <w:t>mu pô</w:t>
      </w:r>
      <w:r>
        <w:rPr>
          <w:rFonts w:hint="default"/>
        </w:rPr>
        <w:t>vodne urč</w:t>
      </w:r>
      <w:r>
        <w:rPr>
          <w:rFonts w:hint="default"/>
        </w:rPr>
        <w:t xml:space="preserve">enej </w:t>
      </w:r>
      <w:r w:rsidR="00AE48B1">
        <w:rPr>
          <w:rFonts w:hint="default"/>
        </w:rPr>
        <w:t>finanč</w:t>
      </w:r>
      <w:r w:rsidR="00AE48B1">
        <w:rPr>
          <w:rFonts w:hint="default"/>
        </w:rPr>
        <w:t>nej aloká</w:t>
      </w:r>
      <w:r w:rsidR="00AE48B1">
        <w:rPr>
          <w:rFonts w:hint="default"/>
        </w:rPr>
        <w:t>cie (102 352 942 </w:t>
      </w:r>
      <w:r w:rsidR="00AE48B1">
        <w:rPr>
          <w:rFonts w:hint="default"/>
        </w:rPr>
        <w:t>€</w:t>
      </w:r>
      <w:r>
        <w:t>)  na</w:t>
      </w:r>
      <w:r w:rsidR="006E59E4">
        <w:rPr>
          <w:rFonts w:hint="default"/>
        </w:rPr>
        <w:t xml:space="preserve"> programové</w:t>
      </w:r>
      <w:r w:rsidR="006E59E4">
        <w:rPr>
          <w:rFonts w:hint="default"/>
        </w:rPr>
        <w:t xml:space="preserve"> obdobie </w:t>
      </w:r>
      <w:r w:rsidR="004D0C58">
        <w:t>2007 - 2013 (NFP = </w:t>
      </w:r>
      <w:r>
        <w:rPr>
          <w:rFonts w:hint="default"/>
        </w:rPr>
        <w:t>ERDF + Š</w:t>
      </w:r>
      <w:r>
        <w:rPr>
          <w:rFonts w:hint="default"/>
        </w:rPr>
        <w:t xml:space="preserve">R).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Hlavný</w:t>
      </w:r>
      <w:r>
        <w:rPr>
          <w:rFonts w:hint="default"/>
        </w:rPr>
        <w:t>mi ú</w:t>
      </w:r>
      <w:r>
        <w:rPr>
          <w:rFonts w:hint="default"/>
        </w:rPr>
        <w:t>lohami OPBK odvodený</w:t>
      </w:r>
      <w:r>
        <w:rPr>
          <w:rFonts w:hint="default"/>
        </w:rPr>
        <w:t>mi z programové</w:t>
      </w:r>
      <w:r>
        <w:rPr>
          <w:rFonts w:hint="default"/>
        </w:rPr>
        <w:t>ho vyhlá</w:t>
      </w:r>
      <w:r>
        <w:rPr>
          <w:rFonts w:hint="default"/>
        </w:rPr>
        <w:t>senia vlá</w:t>
      </w:r>
      <w:r>
        <w:rPr>
          <w:rFonts w:hint="default"/>
        </w:rPr>
        <w:t>dy SR na rok 2010 bolo:</w:t>
      </w:r>
    </w:p>
    <w:p w:rsidR="00EC4C5A" w:rsidRPr="004D0C58" w:rsidP="006E59E4">
      <w:pPr>
        <w:bidi w:val="0"/>
        <w:ind w:firstLine="397"/>
        <w:rPr>
          <w:rFonts w:hint="default"/>
        </w:rPr>
      </w:pPr>
      <w:r>
        <w:t>•</w:t>
        <w:tab/>
      </w:r>
      <w:r w:rsidRPr="004D0C58">
        <w:rPr>
          <w:rFonts w:hint="default"/>
        </w:rPr>
        <w:t>vykonať</w:t>
      </w:r>
      <w:r w:rsidRPr="004D0C58">
        <w:rPr>
          <w:rFonts w:hint="default"/>
        </w:rPr>
        <w:t xml:space="preserve"> reví</w:t>
      </w:r>
      <w:r w:rsidRPr="004D0C58">
        <w:rPr>
          <w:rFonts w:hint="default"/>
        </w:rPr>
        <w:t>ziu Operač</w:t>
      </w:r>
      <w:r w:rsidRPr="004D0C58">
        <w:rPr>
          <w:rFonts w:hint="default"/>
        </w:rPr>
        <w:t>né</w:t>
      </w:r>
      <w:r w:rsidRPr="004D0C58">
        <w:rPr>
          <w:rFonts w:hint="default"/>
        </w:rPr>
        <w:t>ho programu Bratislavský</w:t>
      </w:r>
      <w:r w:rsidRPr="004D0C58">
        <w:rPr>
          <w:rFonts w:hint="default"/>
        </w:rPr>
        <w:t xml:space="preserve"> kraj 2010 </w:t>
      </w:r>
      <w:r w:rsidRPr="004D0C58">
        <w:rPr>
          <w:rFonts w:hint="default"/>
        </w:rPr>
        <w:t>so zameraní</w:t>
      </w:r>
      <w:r w:rsidRPr="004D0C58">
        <w:rPr>
          <w:rFonts w:hint="default"/>
        </w:rPr>
        <w:t>m na posilnenie najefektí</w:t>
      </w:r>
      <w:r w:rsidRPr="004D0C58">
        <w:rPr>
          <w:rFonts w:hint="default"/>
        </w:rPr>
        <w:t>vnejší</w:t>
      </w:r>
      <w:r w:rsidRPr="004D0C58">
        <w:rPr>
          <w:rFonts w:hint="default"/>
        </w:rPr>
        <w:t>ch a najž</w:t>
      </w:r>
      <w:r w:rsidRPr="004D0C58">
        <w:rPr>
          <w:rFonts w:hint="default"/>
        </w:rPr>
        <w:t>iadanejší</w:t>
      </w:r>
      <w:r w:rsidRPr="004D0C58">
        <w:rPr>
          <w:rFonts w:hint="default"/>
        </w:rPr>
        <w:t>ch oblastí</w:t>
      </w:r>
      <w:r w:rsidRPr="004D0C58">
        <w:rPr>
          <w:rFonts w:hint="default"/>
        </w:rPr>
        <w:t xml:space="preserve"> podpory</w:t>
      </w:r>
    </w:p>
    <w:p w:rsidR="00EC4C5A" w:rsidRPr="004D0C58" w:rsidP="006E59E4">
      <w:pPr>
        <w:bidi w:val="0"/>
        <w:ind w:firstLine="397"/>
        <w:rPr>
          <w:rFonts w:hint="default"/>
        </w:rPr>
      </w:pPr>
      <w:r w:rsidRPr="004D0C58">
        <w:rPr>
          <w:rFonts w:hint="default"/>
        </w:rPr>
        <w:t>•</w:t>
        <w:tab/>
      </w:r>
      <w:r w:rsidRPr="004D0C58">
        <w:rPr>
          <w:rFonts w:hint="default"/>
        </w:rPr>
        <w:t>vo vzť</w:t>
      </w:r>
      <w:r w:rsidRPr="004D0C58">
        <w:rPr>
          <w:rFonts w:hint="default"/>
        </w:rPr>
        <w:t>ahu k oprá</w:t>
      </w:r>
      <w:r w:rsidRPr="004D0C58">
        <w:rPr>
          <w:rFonts w:hint="default"/>
        </w:rPr>
        <w:t>vnenosti vý</w:t>
      </w:r>
      <w:r w:rsidRPr="004D0C58">
        <w:rPr>
          <w:rFonts w:hint="default"/>
        </w:rPr>
        <w:t>davkov vykoná</w:t>
      </w:r>
      <w:r w:rsidRPr="004D0C58">
        <w:rPr>
          <w:rFonts w:hint="default"/>
        </w:rPr>
        <w:t>vať</w:t>
      </w:r>
      <w:r w:rsidRPr="004D0C58">
        <w:rPr>
          <w:rFonts w:hint="default"/>
        </w:rPr>
        <w:t xml:space="preserve"> 100</w:t>
      </w:r>
      <w:r w:rsidR="00250AD1">
        <w:t> </w:t>
      </w:r>
      <w:r w:rsidRPr="004D0C58">
        <w:rPr>
          <w:rFonts w:hint="default"/>
        </w:rPr>
        <w:t>%-nú</w:t>
      </w:r>
      <w:r w:rsidRPr="004D0C58">
        <w:rPr>
          <w:rFonts w:hint="default"/>
        </w:rPr>
        <w:t xml:space="preserve"> administratí</w:t>
      </w:r>
      <w:r w:rsidRPr="004D0C58">
        <w:rPr>
          <w:rFonts w:hint="default"/>
        </w:rPr>
        <w:t>vnu kontrolu a kontrolu na mieste na kaž</w:t>
      </w:r>
      <w:r w:rsidRPr="004D0C58">
        <w:rPr>
          <w:rFonts w:hint="default"/>
        </w:rPr>
        <w:t>dom investič</w:t>
      </w:r>
      <w:r w:rsidRPr="004D0C58">
        <w:rPr>
          <w:rFonts w:hint="default"/>
        </w:rPr>
        <w:t>nom projekte.</w:t>
      </w:r>
    </w:p>
    <w:p w:rsidR="00EC4C5A" w:rsidP="00EC4C5A">
      <w:pPr>
        <w:bidi w:val="0"/>
      </w:pPr>
      <w:r>
        <w:rPr>
          <w:rFonts w:hint="default"/>
        </w:rPr>
        <w:t>Vý</w:t>
      </w:r>
      <w:r>
        <w:rPr>
          <w:rFonts w:hint="default"/>
        </w:rPr>
        <w:t>chodiskom pre vypracovanie Ná</w:t>
      </w:r>
      <w:r>
        <w:rPr>
          <w:rFonts w:hint="default"/>
        </w:rPr>
        <w:t>vrhu reví</w:t>
      </w:r>
      <w:r>
        <w:rPr>
          <w:rFonts w:hint="default"/>
        </w:rPr>
        <w:t xml:space="preserve">zie </w:t>
      </w:r>
      <w:r w:rsidR="006E59E4">
        <w:t>OPBK</w:t>
      </w:r>
      <w:r>
        <w:rPr>
          <w:rFonts w:hint="default"/>
        </w:rPr>
        <w:t xml:space="preserve"> boli vý</w:t>
      </w:r>
      <w:r>
        <w:rPr>
          <w:rFonts w:hint="default"/>
        </w:rPr>
        <w:t>sledky externé</w:t>
      </w:r>
      <w:r>
        <w:rPr>
          <w:rFonts w:hint="default"/>
        </w:rPr>
        <w:t>ho hodnotenia OPBK v roku 2010 a schvá</w:t>
      </w:r>
      <w:r>
        <w:rPr>
          <w:rFonts w:hint="default"/>
        </w:rPr>
        <w:t>lenie pridelenia dodatoč</w:t>
      </w:r>
      <w:r>
        <w:rPr>
          <w:rFonts w:hint="default"/>
        </w:rPr>
        <w:t>ný</w:t>
      </w:r>
      <w:r>
        <w:rPr>
          <w:rFonts w:hint="default"/>
        </w:rPr>
        <w:t>ch finanč</w:t>
      </w:r>
      <w:r>
        <w:rPr>
          <w:rFonts w:hint="default"/>
        </w:rPr>
        <w:t>ný</w:t>
      </w:r>
      <w:r>
        <w:rPr>
          <w:rFonts w:hint="default"/>
        </w:rPr>
        <w:t>ch prostriedkov Uznesení</w:t>
      </w:r>
      <w:r>
        <w:rPr>
          <w:rFonts w:hint="default"/>
        </w:rPr>
        <w:t>m vlá</w:t>
      </w:r>
      <w:r>
        <w:rPr>
          <w:rFonts w:hint="default"/>
        </w:rPr>
        <w:t>dy SR č</w:t>
      </w:r>
      <w:r>
        <w:rPr>
          <w:rFonts w:hint="default"/>
        </w:rPr>
        <w:t>. 678 zo dň</w:t>
      </w:r>
      <w:r>
        <w:rPr>
          <w:rFonts w:hint="default"/>
        </w:rPr>
        <w:t>a 6. októ</w:t>
      </w:r>
      <w:r>
        <w:rPr>
          <w:rFonts w:hint="default"/>
        </w:rPr>
        <w:t>bra 2010, na zá</w:t>
      </w:r>
      <w:r>
        <w:rPr>
          <w:rFonts w:hint="default"/>
        </w:rPr>
        <w:t>klade ktoré</w:t>
      </w:r>
      <w:r>
        <w:rPr>
          <w:rFonts w:hint="default"/>
        </w:rPr>
        <w:t>ho bola pridelená</w:t>
      </w:r>
      <w:r>
        <w:rPr>
          <w:rFonts w:hint="default"/>
        </w:rPr>
        <w:t xml:space="preserve"> pre OPBK dodatoč</w:t>
      </w:r>
      <w:r>
        <w:rPr>
          <w:rFonts w:hint="default"/>
        </w:rPr>
        <w:t>ná</w:t>
      </w:r>
      <w:r>
        <w:rPr>
          <w:rFonts w:hint="default"/>
        </w:rPr>
        <w:t xml:space="preserve"> finanč</w:t>
      </w:r>
      <w:r>
        <w:rPr>
          <w:rFonts w:hint="default"/>
        </w:rPr>
        <w:t>ná</w:t>
      </w:r>
      <w:r>
        <w:rPr>
          <w:rFonts w:hint="default"/>
        </w:rPr>
        <w:t xml:space="preserve"> aloká</w:t>
      </w:r>
      <w:r>
        <w:rPr>
          <w:rFonts w:hint="default"/>
        </w:rPr>
        <w:t>cia vo výš</w:t>
      </w:r>
      <w:r>
        <w:rPr>
          <w:rFonts w:hint="default"/>
        </w:rPr>
        <w:t>ke 8 262 693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 </w:t>
      </w:r>
      <w:r>
        <w:rPr>
          <w:rFonts w:hint="default"/>
        </w:rPr>
        <w:t>(Euró</w:t>
      </w:r>
      <w:r>
        <w:rPr>
          <w:rFonts w:hint="default"/>
        </w:rPr>
        <w:t>pska komisia v sú</w:t>
      </w:r>
      <w:r>
        <w:rPr>
          <w:rFonts w:hint="default"/>
        </w:rPr>
        <w:t>lade s č</w:t>
      </w:r>
      <w:r>
        <w:rPr>
          <w:rFonts w:hint="default"/>
        </w:rPr>
        <w:t>l. 16 a 17 medziinš</w:t>
      </w:r>
      <w:r>
        <w:rPr>
          <w:rFonts w:hint="default"/>
        </w:rPr>
        <w:t>titucioná</w:t>
      </w:r>
      <w:r>
        <w:rPr>
          <w:rFonts w:hint="default"/>
        </w:rPr>
        <w:t>lnej dohody  zo 17. má</w:t>
      </w:r>
      <w:r>
        <w:rPr>
          <w:rFonts w:hint="default"/>
        </w:rPr>
        <w:t>ja 2006 navýš</w:t>
      </w:r>
      <w:r>
        <w:rPr>
          <w:rFonts w:hint="default"/>
        </w:rPr>
        <w:t>ila disponibilné</w:t>
      </w:r>
      <w:r>
        <w:rPr>
          <w:rFonts w:hint="default"/>
        </w:rPr>
        <w:t xml:space="preserve"> prostriedky pre Slovenskú</w:t>
      </w:r>
      <w:r>
        <w:rPr>
          <w:rFonts w:hint="default"/>
        </w:rPr>
        <w:t xml:space="preserve"> republiku). Na zá</w:t>
      </w:r>
      <w:r>
        <w:rPr>
          <w:rFonts w:hint="default"/>
        </w:rPr>
        <w:t>klade listu Euró</w:t>
      </w:r>
      <w:r>
        <w:rPr>
          <w:rFonts w:hint="default"/>
        </w:rPr>
        <w:t>pskej komisie č</w:t>
      </w:r>
      <w:r>
        <w:rPr>
          <w:rFonts w:hint="default"/>
        </w:rPr>
        <w:t>. CB/D (2010)622 zo dň</w:t>
      </w:r>
      <w:r>
        <w:rPr>
          <w:rFonts w:hint="default"/>
        </w:rPr>
        <w:t>a 13.10.2010 bola uvedená</w:t>
      </w:r>
      <w:r>
        <w:rPr>
          <w:rFonts w:hint="default"/>
        </w:rPr>
        <w:t xml:space="preserve"> suma upravená</w:t>
      </w:r>
      <w:r>
        <w:rPr>
          <w:rFonts w:hint="default"/>
        </w:rPr>
        <w:t xml:space="preserve"> na kone</w:t>
      </w:r>
      <w:r>
        <w:rPr>
          <w:rFonts w:hint="default"/>
        </w:rPr>
        <w:t>č</w:t>
      </w:r>
      <w:r>
        <w:rPr>
          <w:rFonts w:hint="default"/>
        </w:rPr>
        <w:t>nú</w:t>
      </w:r>
      <w:r>
        <w:rPr>
          <w:rFonts w:hint="default"/>
        </w:rPr>
        <w:t xml:space="preserve"> hodnotu 8 207 607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. </w:t>
      </w:r>
      <w:r>
        <w:rPr>
          <w:rFonts w:hint="default"/>
        </w:rPr>
        <w:t>Ná</w:t>
      </w:r>
      <w:r>
        <w:rPr>
          <w:rFonts w:hint="default"/>
        </w:rPr>
        <w:t>vrh reví</w:t>
      </w:r>
      <w:r>
        <w:rPr>
          <w:rFonts w:hint="default"/>
        </w:rPr>
        <w:t>zie OPBK bol schvá</w:t>
      </w:r>
      <w:r>
        <w:rPr>
          <w:rFonts w:hint="default"/>
        </w:rPr>
        <w:t>lený</w:t>
      </w:r>
      <w:r>
        <w:rPr>
          <w:rFonts w:hint="default"/>
        </w:rPr>
        <w:t xml:space="preserve"> Monitorovací</w:t>
      </w:r>
      <w:r>
        <w:rPr>
          <w:rFonts w:hint="default"/>
        </w:rPr>
        <w:t>m vý</w:t>
      </w:r>
      <w:r>
        <w:rPr>
          <w:rFonts w:hint="default"/>
        </w:rPr>
        <w:t>borom pre OPBK dň</w:t>
      </w:r>
      <w:r>
        <w:rPr>
          <w:rFonts w:hint="default"/>
        </w:rPr>
        <w:t>a 25. októ</w:t>
      </w:r>
      <w:r>
        <w:rPr>
          <w:rFonts w:hint="default"/>
        </w:rPr>
        <w:t>bra 2010 na jeho zasadnutí</w:t>
      </w:r>
      <w:r>
        <w:rPr>
          <w:rFonts w:hint="default"/>
        </w:rPr>
        <w:t>. Ná</w:t>
      </w:r>
      <w:r>
        <w:rPr>
          <w:rFonts w:hint="default"/>
        </w:rPr>
        <w:t>sledne dň</w:t>
      </w:r>
      <w:r>
        <w:rPr>
          <w:rFonts w:hint="default"/>
        </w:rPr>
        <w:t>a 29. októ</w:t>
      </w:r>
      <w:r>
        <w:rPr>
          <w:rFonts w:hint="default"/>
        </w:rPr>
        <w:t>bra 2010 zaslal Riadiaci orgá</w:t>
      </w:r>
      <w:r>
        <w:rPr>
          <w:rFonts w:hint="default"/>
        </w:rPr>
        <w:t>n pre OPBK ná</w:t>
      </w:r>
      <w:r>
        <w:rPr>
          <w:rFonts w:hint="default"/>
        </w:rPr>
        <w:t>vrh reví</w:t>
      </w:r>
      <w:r>
        <w:rPr>
          <w:rFonts w:hint="default"/>
        </w:rPr>
        <w:t>zie OPBK na posú</w:t>
      </w:r>
      <w:r>
        <w:rPr>
          <w:rFonts w:hint="default"/>
        </w:rPr>
        <w:t>denie Euró</w:t>
      </w:r>
      <w:r>
        <w:rPr>
          <w:rFonts w:hint="default"/>
        </w:rPr>
        <w:t>pskej komisii prostrední</w:t>
      </w:r>
      <w:r>
        <w:rPr>
          <w:rFonts w:hint="default"/>
        </w:rPr>
        <w:t xml:space="preserve">ctvom </w:t>
      </w:r>
      <w:r>
        <w:rPr>
          <w:rFonts w:hint="default"/>
        </w:rPr>
        <w:t>elektronické</w:t>
      </w:r>
      <w:r>
        <w:rPr>
          <w:rFonts w:hint="default"/>
        </w:rPr>
        <w:t>ho systé</w:t>
      </w:r>
      <w:r>
        <w:rPr>
          <w:rFonts w:hint="default"/>
        </w:rPr>
        <w:t>mu SFC2007. Euró</w:t>
      </w:r>
      <w:r>
        <w:rPr>
          <w:rFonts w:hint="default"/>
        </w:rPr>
        <w:t>pska komisia zaslala dň</w:t>
      </w:r>
      <w:r>
        <w:rPr>
          <w:rFonts w:hint="default"/>
        </w:rPr>
        <w:t>a 4. februá</w:t>
      </w:r>
      <w:r>
        <w:rPr>
          <w:rFonts w:hint="default"/>
        </w:rPr>
        <w:t>ra 2011 pripomienky k ná</w:t>
      </w:r>
      <w:r>
        <w:rPr>
          <w:rFonts w:hint="default"/>
        </w:rPr>
        <w:t>vrhu reví</w:t>
      </w:r>
      <w:r>
        <w:rPr>
          <w:rFonts w:hint="default"/>
        </w:rPr>
        <w:t>zie OPBK. Po zapracovaní</w:t>
      </w:r>
      <w:r>
        <w:rPr>
          <w:rFonts w:hint="default"/>
        </w:rPr>
        <w:t xml:space="preserve"> pripomienok EK v ná</w:t>
      </w:r>
      <w:r>
        <w:rPr>
          <w:rFonts w:hint="default"/>
        </w:rPr>
        <w:t>vrhu reví</w:t>
      </w:r>
      <w:r>
        <w:rPr>
          <w:rFonts w:hint="default"/>
        </w:rPr>
        <w:t>zie OPBK odoslal RO OPBK prepracovaný</w:t>
      </w:r>
      <w:r>
        <w:rPr>
          <w:rFonts w:hint="default"/>
        </w:rPr>
        <w:t xml:space="preserve"> dokument spolu so zapracovaný</w:t>
      </w:r>
      <w:r>
        <w:rPr>
          <w:rFonts w:hint="default"/>
        </w:rPr>
        <w:t>mi pripomienkami EK na opä</w:t>
      </w:r>
      <w:r>
        <w:rPr>
          <w:rFonts w:hint="default"/>
        </w:rPr>
        <w:t>tovné</w:t>
      </w:r>
      <w:r>
        <w:rPr>
          <w:rFonts w:hint="default"/>
        </w:rPr>
        <w:t xml:space="preserve"> </w:t>
      </w:r>
      <w:r>
        <w:rPr>
          <w:rFonts w:hint="default"/>
        </w:rPr>
        <w:t>p</w:t>
      </w:r>
      <w:r>
        <w:rPr>
          <w:rFonts w:hint="default"/>
        </w:rPr>
        <w:t>osú</w:t>
      </w:r>
      <w:r>
        <w:rPr>
          <w:rFonts w:hint="default"/>
        </w:rPr>
        <w:t xml:space="preserve">denie </w:t>
      </w:r>
      <w:r w:rsidR="006E59E4">
        <w:rPr>
          <w:rFonts w:hint="default"/>
        </w:rPr>
        <w:t>EK prostrední</w:t>
      </w:r>
      <w:r w:rsidR="006E59E4">
        <w:rPr>
          <w:rFonts w:hint="default"/>
        </w:rPr>
        <w:t>ctvom SFC2007 dň</w:t>
      </w:r>
      <w:r w:rsidR="006E59E4">
        <w:rPr>
          <w:rFonts w:hint="default"/>
        </w:rPr>
        <w:t xml:space="preserve">a 1. </w:t>
      </w:r>
      <w:r>
        <w:t xml:space="preserve">4. 2011.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Kontrola projektov je vykoná</w:t>
      </w:r>
      <w:r>
        <w:rPr>
          <w:rFonts w:hint="default"/>
        </w:rPr>
        <w:t>vaná</w:t>
      </w:r>
      <w:r>
        <w:rPr>
          <w:rFonts w:hint="default"/>
        </w:rPr>
        <w:t xml:space="preserve"> ako administratí</w:t>
      </w:r>
      <w:r>
        <w:rPr>
          <w:rFonts w:hint="default"/>
        </w:rPr>
        <w:t>vna kontrola a kontrola na mieste. Riadiaci orgá</w:t>
      </w:r>
      <w:r>
        <w:rPr>
          <w:rFonts w:hint="default"/>
        </w:rPr>
        <w:t>n pre OPBK vykoná</w:t>
      </w:r>
      <w:r>
        <w:rPr>
          <w:rFonts w:hint="default"/>
        </w:rPr>
        <w:t>va 100</w:t>
      </w:r>
      <w:r w:rsidR="00250AD1">
        <w:t> </w:t>
      </w:r>
      <w:r>
        <w:rPr>
          <w:rFonts w:hint="default"/>
        </w:rPr>
        <w:t>% administratí</w:t>
      </w:r>
      <w:r>
        <w:rPr>
          <w:rFonts w:hint="default"/>
        </w:rPr>
        <w:t>vnu kontrolu a kontrolu na mieste. Riadiaci orgá</w:t>
      </w:r>
      <w:r>
        <w:rPr>
          <w:rFonts w:hint="default"/>
        </w:rPr>
        <w:t>n pre OPBK vykoná</w:t>
      </w:r>
      <w:r>
        <w:rPr>
          <w:rFonts w:hint="default"/>
        </w:rPr>
        <w:t xml:space="preserve"> ko</w:t>
      </w:r>
      <w:r>
        <w:rPr>
          <w:rFonts w:hint="default"/>
        </w:rPr>
        <w:t>ntrolu na mieste kaž</w:t>
      </w:r>
      <w:r>
        <w:rPr>
          <w:rFonts w:hint="default"/>
        </w:rPr>
        <w:t>dé</w:t>
      </w:r>
      <w:r>
        <w:rPr>
          <w:rFonts w:hint="default"/>
        </w:rPr>
        <w:t>ho realizované</w:t>
      </w:r>
      <w:r>
        <w:rPr>
          <w:rFonts w:hint="default"/>
        </w:rPr>
        <w:t>ho (investič</w:t>
      </w:r>
      <w:r>
        <w:rPr>
          <w:rFonts w:hint="default"/>
        </w:rPr>
        <w:t>né</w:t>
      </w:r>
      <w:r>
        <w:rPr>
          <w:rFonts w:hint="default"/>
        </w:rPr>
        <w:t>ho aj neinvestič</w:t>
      </w:r>
      <w:r>
        <w:rPr>
          <w:rFonts w:hint="default"/>
        </w:rPr>
        <w:t>né</w:t>
      </w:r>
      <w:r>
        <w:rPr>
          <w:rFonts w:hint="default"/>
        </w:rPr>
        <w:t>ho) projektu minimá</w:t>
      </w:r>
      <w:r>
        <w:rPr>
          <w:rFonts w:hint="default"/>
        </w:rPr>
        <w:t>lne jedenkrá</w:t>
      </w:r>
      <w:r>
        <w:rPr>
          <w:rFonts w:hint="default"/>
        </w:rPr>
        <w:t>t poč</w:t>
      </w:r>
      <w:r>
        <w:rPr>
          <w:rFonts w:hint="default"/>
        </w:rPr>
        <w:t>as realizá</w:t>
      </w:r>
      <w:r>
        <w:rPr>
          <w:rFonts w:hint="default"/>
        </w:rPr>
        <w:t>cie projektu najneskô</w:t>
      </w:r>
      <w:r>
        <w:rPr>
          <w:rFonts w:hint="default"/>
        </w:rPr>
        <w:t>r vš</w:t>
      </w:r>
      <w:r>
        <w:rPr>
          <w:rFonts w:hint="default"/>
        </w:rPr>
        <w:t>ak pri zá</w:t>
      </w:r>
      <w:r>
        <w:rPr>
          <w:rFonts w:hint="default"/>
        </w:rPr>
        <w:t>vereč</w:t>
      </w:r>
      <w:r>
        <w:rPr>
          <w:rFonts w:hint="default"/>
        </w:rPr>
        <w:t>nej ž</w:t>
      </w:r>
      <w:r>
        <w:rPr>
          <w:rFonts w:hint="default"/>
        </w:rPr>
        <w:t>iadosti o platbu.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Odbor cezhranič</w:t>
      </w:r>
      <w:r>
        <w:rPr>
          <w:rFonts w:hint="default"/>
        </w:rPr>
        <w:t>nej spoluprá</w:t>
      </w:r>
      <w:r>
        <w:rPr>
          <w:rFonts w:hint="default"/>
        </w:rPr>
        <w:t>ce je zodpovedný</w:t>
      </w:r>
      <w:r>
        <w:rPr>
          <w:rFonts w:hint="default"/>
        </w:rPr>
        <w:t xml:space="preserve"> za implementá</w:t>
      </w:r>
      <w:r>
        <w:rPr>
          <w:rFonts w:hint="default"/>
        </w:rPr>
        <w:t xml:space="preserve">ciu </w:t>
      </w:r>
      <w:r w:rsidRPr="006E59E4">
        <w:rPr>
          <w:rFonts w:hint="default"/>
          <w:b/>
        </w:rPr>
        <w:t>programov cezhranič</w:t>
      </w:r>
      <w:r w:rsidRPr="006E59E4">
        <w:rPr>
          <w:rFonts w:hint="default"/>
          <w:b/>
        </w:rPr>
        <w:t>nej spoluprá</w:t>
      </w:r>
      <w:r w:rsidRPr="006E59E4">
        <w:rPr>
          <w:rFonts w:hint="default"/>
          <w:b/>
        </w:rPr>
        <w:t>ce</w:t>
      </w:r>
      <w:r>
        <w:rPr>
          <w:rFonts w:hint="default"/>
        </w:rPr>
        <w:t>, v rá</w:t>
      </w:r>
      <w:r>
        <w:rPr>
          <w:rFonts w:hint="default"/>
        </w:rPr>
        <w:t>mci ktorý</w:t>
      </w:r>
      <w:r>
        <w:rPr>
          <w:rFonts w:hint="default"/>
        </w:rPr>
        <w:t>ch sú</w:t>
      </w:r>
      <w:r>
        <w:rPr>
          <w:rFonts w:hint="default"/>
        </w:rPr>
        <w:t xml:space="preserve"> podporované</w:t>
      </w:r>
      <w:r>
        <w:rPr>
          <w:rFonts w:hint="default"/>
        </w:rPr>
        <w:t xml:space="preserve"> projekty z Euró</w:t>
      </w:r>
      <w:r>
        <w:rPr>
          <w:rFonts w:hint="default"/>
        </w:rPr>
        <w:t>pskeho fondu regioná</w:t>
      </w:r>
      <w:r>
        <w:rPr>
          <w:rFonts w:hint="default"/>
        </w:rPr>
        <w:t>lneho rozvoja (ERDF) a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 zúč</w:t>
      </w:r>
      <w:r>
        <w:rPr>
          <w:rFonts w:hint="default"/>
        </w:rPr>
        <w:t>astnený</w:t>
      </w:r>
      <w:r>
        <w:rPr>
          <w:rFonts w:hint="default"/>
        </w:rPr>
        <w:t>ch krají</w:t>
      </w:r>
      <w:r>
        <w:rPr>
          <w:rFonts w:hint="default"/>
        </w:rPr>
        <w:t>n. Odbor plní</w:t>
      </w:r>
      <w:r>
        <w:rPr>
          <w:rFonts w:hint="default"/>
        </w:rPr>
        <w:t xml:space="preserve"> ú</w:t>
      </w:r>
      <w:r>
        <w:rPr>
          <w:rFonts w:hint="default"/>
        </w:rPr>
        <w:t>lohy Riadiaceho orgá</w:t>
      </w:r>
      <w:r>
        <w:rPr>
          <w:rFonts w:hint="default"/>
        </w:rPr>
        <w:t>nu pre operač</w:t>
      </w:r>
      <w:r>
        <w:rPr>
          <w:rFonts w:hint="default"/>
        </w:rPr>
        <w:t>ný</w:t>
      </w:r>
      <w:r>
        <w:rPr>
          <w:rFonts w:hint="default"/>
        </w:rPr>
        <w:t xml:space="preserve"> program cezhranič</w:t>
      </w:r>
      <w:r>
        <w:rPr>
          <w:rFonts w:hint="default"/>
        </w:rPr>
        <w:t>nej</w:t>
      </w:r>
      <w:r w:rsidR="004D0C58">
        <w:rPr>
          <w:rFonts w:hint="default"/>
        </w:rPr>
        <w:t xml:space="preserve"> spoluprá</w:t>
      </w:r>
      <w:r w:rsidR="004D0C58">
        <w:rPr>
          <w:rFonts w:hint="default"/>
        </w:rPr>
        <w:t>ce Slovenská</w:t>
      </w:r>
      <w:r w:rsidR="004D0C58">
        <w:rPr>
          <w:rFonts w:hint="default"/>
        </w:rPr>
        <w:t xml:space="preserve"> republika </w:t>
      </w:r>
      <w:r w:rsidR="004D0C58">
        <w:rPr>
          <w:rFonts w:hint="default"/>
        </w:rPr>
        <w:noBreakHyphen/>
        <w:t> </w:t>
      </w:r>
      <w:r>
        <w:rPr>
          <w:rFonts w:hint="default"/>
        </w:rPr>
        <w:t>Č</w:t>
      </w:r>
      <w:r>
        <w:rPr>
          <w:rFonts w:hint="default"/>
        </w:rPr>
        <w:t>eská</w:t>
      </w:r>
      <w:r>
        <w:rPr>
          <w:rFonts w:hint="default"/>
        </w:rPr>
        <w:t xml:space="preserve"> repu</w:t>
      </w:r>
      <w:r>
        <w:rPr>
          <w:rFonts w:hint="default"/>
        </w:rPr>
        <w:t>blika 2007 - 2013 a ú</w:t>
      </w:r>
      <w:r>
        <w:rPr>
          <w:rFonts w:hint="default"/>
        </w:rPr>
        <w:t>lohy Ná</w:t>
      </w:r>
      <w:r>
        <w:rPr>
          <w:rFonts w:hint="default"/>
        </w:rPr>
        <w:t>rodné</w:t>
      </w:r>
      <w:r>
        <w:rPr>
          <w:rFonts w:hint="default"/>
        </w:rPr>
        <w:t>ho orgá</w:t>
      </w:r>
      <w:r>
        <w:rPr>
          <w:rFonts w:hint="default"/>
        </w:rPr>
        <w:t>nu, resp. Ná</w:t>
      </w:r>
      <w:r>
        <w:rPr>
          <w:rFonts w:hint="default"/>
        </w:rPr>
        <w:t>rodné</w:t>
      </w:r>
      <w:r>
        <w:rPr>
          <w:rFonts w:hint="default"/>
        </w:rPr>
        <w:t>ho koordiná</w:t>
      </w:r>
      <w:r>
        <w:rPr>
          <w:rFonts w:hint="default"/>
        </w:rPr>
        <w:t>tora pre Program cezhranič</w:t>
      </w:r>
      <w:r>
        <w:rPr>
          <w:rFonts w:hint="default"/>
        </w:rPr>
        <w:t>nej spoluprá</w:t>
      </w:r>
      <w:r>
        <w:rPr>
          <w:rFonts w:hint="default"/>
        </w:rPr>
        <w:t>ce Slovenská</w:t>
      </w:r>
      <w:r>
        <w:rPr>
          <w:rFonts w:hint="default"/>
        </w:rPr>
        <w:t xml:space="preserve"> republika </w:t>
      </w:r>
      <w:r>
        <w:rPr>
          <w:rFonts w:hint="default"/>
        </w:rPr>
        <w:t>–</w:t>
      </w:r>
      <w:r>
        <w:rPr>
          <w:rFonts w:hint="default"/>
        </w:rPr>
        <w:t xml:space="preserve"> Rakú</w:t>
      </w:r>
      <w:r>
        <w:rPr>
          <w:rFonts w:hint="default"/>
        </w:rPr>
        <w:t>sko, Program cezhranič</w:t>
      </w:r>
      <w:r>
        <w:rPr>
          <w:rFonts w:hint="default"/>
        </w:rPr>
        <w:t>nej spoluprá</w:t>
      </w:r>
      <w:r>
        <w:rPr>
          <w:rFonts w:hint="default"/>
        </w:rPr>
        <w:t>ce Maď</w:t>
      </w:r>
      <w:r>
        <w:rPr>
          <w:rFonts w:hint="default"/>
        </w:rPr>
        <w:t xml:space="preserve">arsko </w:t>
      </w:r>
      <w:r>
        <w:rPr>
          <w:rFonts w:hint="default"/>
        </w:rPr>
        <w:t>–</w:t>
      </w:r>
      <w:r>
        <w:rPr>
          <w:rFonts w:hint="default"/>
        </w:rPr>
        <w:t xml:space="preserve"> Slovenská</w:t>
      </w:r>
      <w:r>
        <w:rPr>
          <w:rFonts w:hint="default"/>
        </w:rPr>
        <w:t xml:space="preserve"> republika, Program cezhranič</w:t>
      </w:r>
      <w:r>
        <w:rPr>
          <w:rFonts w:hint="default"/>
        </w:rPr>
        <w:t>nej spoluprá</w:t>
      </w:r>
      <w:r>
        <w:rPr>
          <w:rFonts w:hint="default"/>
        </w:rPr>
        <w:t>ce Poľ</w:t>
      </w:r>
      <w:r>
        <w:rPr>
          <w:rFonts w:hint="default"/>
        </w:rPr>
        <w:t xml:space="preserve">sko </w:t>
      </w:r>
      <w:r>
        <w:rPr>
          <w:rFonts w:hint="default"/>
        </w:rPr>
        <w:t>–</w:t>
      </w:r>
      <w:r>
        <w:rPr>
          <w:rFonts w:hint="default"/>
        </w:rPr>
        <w:t xml:space="preserve"> Slovenská</w:t>
      </w:r>
      <w:r>
        <w:rPr>
          <w:rFonts w:hint="default"/>
        </w:rPr>
        <w:t xml:space="preserve"> </w:t>
      </w:r>
      <w:r>
        <w:rPr>
          <w:rFonts w:hint="default"/>
        </w:rPr>
        <w:t>r</w:t>
      </w:r>
      <w:r>
        <w:rPr>
          <w:rFonts w:hint="default"/>
        </w:rPr>
        <w:t>epublika a operač</w:t>
      </w:r>
      <w:r>
        <w:rPr>
          <w:rFonts w:hint="default"/>
        </w:rPr>
        <w:t>né</w:t>
      </w:r>
      <w:r>
        <w:rPr>
          <w:rFonts w:hint="default"/>
        </w:rPr>
        <w:t>ho progr</w:t>
      </w:r>
      <w:r w:rsidR="004D0C58">
        <w:rPr>
          <w:rFonts w:hint="default"/>
        </w:rPr>
        <w:t>amu ENPI Maď</w:t>
      </w:r>
      <w:r w:rsidR="004D0C58">
        <w:rPr>
          <w:rFonts w:hint="default"/>
        </w:rPr>
        <w:t>arsko </w:t>
      </w:r>
      <w:r w:rsidR="004D0C58">
        <w:rPr>
          <w:rFonts w:hint="default"/>
        </w:rPr>
        <w:noBreakHyphen/>
        <w:t> Slovensko </w:t>
      </w:r>
      <w:r w:rsidR="004D0C58">
        <w:rPr>
          <w:rFonts w:hint="default"/>
        </w:rPr>
        <w:noBreakHyphen/>
        <w:t> </w:t>
      </w:r>
      <w:r>
        <w:t xml:space="preserve">Rumunsko </w:t>
      </w:r>
      <w:r>
        <w:rPr>
          <w:rFonts w:hint="default"/>
        </w:rPr>
        <w:t>–</w:t>
      </w:r>
      <w:r>
        <w:rPr>
          <w:rFonts w:hint="default"/>
        </w:rPr>
        <w:t xml:space="preserve"> Ukrajina  2007 - 2013.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Programy sú</w:t>
      </w:r>
      <w:r>
        <w:rPr>
          <w:rFonts w:hint="default"/>
        </w:rPr>
        <w:t xml:space="preserve"> zamerané</w:t>
      </w:r>
      <w:r>
        <w:rPr>
          <w:rFonts w:hint="default"/>
        </w:rPr>
        <w:t xml:space="preserve"> na zvýš</w:t>
      </w:r>
      <w:r>
        <w:rPr>
          <w:rFonts w:hint="default"/>
        </w:rPr>
        <w:t>enie ú</w:t>
      </w:r>
      <w:r>
        <w:rPr>
          <w:rFonts w:hint="default"/>
        </w:rPr>
        <w:t>rovne hospod</w:t>
      </w:r>
      <w:r w:rsidR="008A655F">
        <w:rPr>
          <w:rFonts w:hint="default"/>
        </w:rPr>
        <w:t>á</w:t>
      </w:r>
      <w:r w:rsidR="008A655F">
        <w:rPr>
          <w:rFonts w:hint="default"/>
        </w:rPr>
        <w:t>rskej a sociá</w:t>
      </w:r>
      <w:r w:rsidR="008A655F">
        <w:rPr>
          <w:rFonts w:hint="default"/>
        </w:rPr>
        <w:t>lnej integrá</w:t>
      </w:r>
      <w:r w:rsidR="008A655F">
        <w:rPr>
          <w:rFonts w:hint="default"/>
        </w:rPr>
        <w:t>cie v </w:t>
      </w:r>
      <w:r>
        <w:rPr>
          <w:rFonts w:hint="default"/>
        </w:rPr>
        <w:t>prihranič</w:t>
      </w:r>
      <w:r>
        <w:rPr>
          <w:rFonts w:hint="default"/>
        </w:rPr>
        <w:t>ný</w:t>
      </w:r>
      <w:r>
        <w:rPr>
          <w:rFonts w:hint="default"/>
        </w:rPr>
        <w:t>ch oblastiach dotknutý</w:t>
      </w:r>
      <w:r>
        <w:rPr>
          <w:rFonts w:hint="default"/>
        </w:rPr>
        <w:t>ch krají</w:t>
      </w:r>
      <w:r>
        <w:rPr>
          <w:rFonts w:hint="default"/>
        </w:rPr>
        <w:t>n, posilnenie hospo</w:t>
      </w:r>
      <w:r w:rsidR="008A655F">
        <w:rPr>
          <w:rFonts w:hint="default"/>
        </w:rPr>
        <w:t>dá</w:t>
      </w:r>
      <w:r w:rsidR="008A655F">
        <w:rPr>
          <w:rFonts w:hint="default"/>
        </w:rPr>
        <w:t>rskej konkurencieschop</w:t>
      </w:r>
      <w:r w:rsidR="008A655F">
        <w:rPr>
          <w:rFonts w:hint="default"/>
        </w:rPr>
        <w:t>nosti a </w:t>
      </w:r>
      <w:r>
        <w:rPr>
          <w:rFonts w:hint="default"/>
        </w:rPr>
        <w:t>zlepš</w:t>
      </w:r>
      <w:r>
        <w:rPr>
          <w:rFonts w:hint="default"/>
        </w:rPr>
        <w:t>enie dostupnosti prihranič</w:t>
      </w:r>
      <w:r>
        <w:rPr>
          <w:rFonts w:hint="default"/>
        </w:rPr>
        <w:t>ný</w:t>
      </w:r>
      <w:r>
        <w:rPr>
          <w:rFonts w:hint="default"/>
        </w:rPr>
        <w:t>ch oblastí</w:t>
      </w:r>
      <w:r>
        <w:rPr>
          <w:rFonts w:hint="default"/>
        </w:rPr>
        <w:t xml:space="preserve"> a zvýš</w:t>
      </w:r>
      <w:r>
        <w:rPr>
          <w:rFonts w:hint="default"/>
        </w:rPr>
        <w:t>enie sociá</w:t>
      </w:r>
      <w:r>
        <w:rPr>
          <w:rFonts w:hint="default"/>
        </w:rPr>
        <w:t>lnej a kultú</w:t>
      </w:r>
      <w:r>
        <w:rPr>
          <w:rFonts w:hint="default"/>
        </w:rPr>
        <w:t>rnej sú</w:t>
      </w:r>
      <w:r>
        <w:rPr>
          <w:rFonts w:hint="default"/>
        </w:rPr>
        <w:t>drž</w:t>
      </w:r>
      <w:r>
        <w:rPr>
          <w:rFonts w:hint="default"/>
        </w:rPr>
        <w:t>nosti dotknutý</w:t>
      </w:r>
      <w:r>
        <w:rPr>
          <w:rFonts w:hint="default"/>
        </w:rPr>
        <w:t>ch regió</w:t>
      </w:r>
      <w:r>
        <w:rPr>
          <w:rFonts w:hint="default"/>
        </w:rPr>
        <w:t xml:space="preserve">nov.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Oprá</w:t>
      </w:r>
      <w:r>
        <w:rPr>
          <w:rFonts w:hint="default"/>
        </w:rPr>
        <w:t>vnený</w:t>
      </w:r>
      <w:r>
        <w:rPr>
          <w:rFonts w:hint="default"/>
        </w:rPr>
        <w:t>mi prijí</w:t>
      </w:r>
      <w:r>
        <w:rPr>
          <w:rFonts w:hint="default"/>
        </w:rPr>
        <w:t>mateľ</w:t>
      </w:r>
      <w:r>
        <w:rPr>
          <w:rFonts w:hint="default"/>
        </w:rPr>
        <w:t>mi finanč</w:t>
      </w:r>
      <w:r>
        <w:rPr>
          <w:rFonts w:hint="default"/>
        </w:rPr>
        <w:t>ný</w:t>
      </w:r>
      <w:r>
        <w:rPr>
          <w:rFonts w:hint="default"/>
        </w:rPr>
        <w:t>ch prostriedkov sú</w:t>
      </w:r>
      <w:r>
        <w:rPr>
          <w:rFonts w:hint="default"/>
        </w:rPr>
        <w:t xml:space="preserve"> organizač</w:t>
      </w:r>
      <w:r>
        <w:rPr>
          <w:rFonts w:hint="default"/>
        </w:rPr>
        <w:t>né</w:t>
      </w:r>
      <w:r>
        <w:rPr>
          <w:rFonts w:hint="default"/>
        </w:rPr>
        <w:t xml:space="preserve"> zlož</w:t>
      </w:r>
      <w:r>
        <w:rPr>
          <w:rFonts w:hint="default"/>
        </w:rPr>
        <w:t>ky ú</w:t>
      </w:r>
      <w:r>
        <w:rPr>
          <w:rFonts w:hint="default"/>
        </w:rPr>
        <w:t>zemnej samosprá</w:t>
      </w:r>
      <w:r>
        <w:rPr>
          <w:rFonts w:hint="default"/>
        </w:rPr>
        <w:t>vy (samosprá</w:t>
      </w:r>
      <w:r>
        <w:rPr>
          <w:rFonts w:hint="default"/>
        </w:rPr>
        <w:t>vne kraje, obce, mestá</w:t>
      </w:r>
      <w:r>
        <w:rPr>
          <w:rFonts w:hint="default"/>
        </w:rPr>
        <w:t>, združ</w:t>
      </w:r>
      <w:r>
        <w:rPr>
          <w:rFonts w:hint="default"/>
        </w:rPr>
        <w:t>enia obcí,</w:t>
      </w:r>
      <w:r>
        <w:rPr>
          <w:rFonts w:hint="default"/>
        </w:rPr>
        <w:t xml:space="preserve"> mestské</w:t>
      </w:r>
      <w:r>
        <w:rPr>
          <w:rFonts w:hint="default"/>
        </w:rPr>
        <w:t xml:space="preserve"> č</w:t>
      </w:r>
      <w:r>
        <w:rPr>
          <w:rFonts w:hint="default"/>
        </w:rPr>
        <w:t>asti) a ich</w:t>
      </w:r>
      <w:r w:rsidR="008A655F">
        <w:rPr>
          <w:rFonts w:hint="default"/>
        </w:rPr>
        <w:t xml:space="preserve"> prí</w:t>
      </w:r>
      <w:r w:rsidR="008A655F">
        <w:rPr>
          <w:rFonts w:hint="default"/>
        </w:rPr>
        <w:t>spevkové</w:t>
      </w:r>
      <w:r w:rsidR="008A655F">
        <w:rPr>
          <w:rFonts w:hint="default"/>
        </w:rPr>
        <w:t xml:space="preserve"> a rozpoč</w:t>
      </w:r>
      <w:r w:rsidR="008A655F">
        <w:rPr>
          <w:rFonts w:hint="default"/>
        </w:rPr>
        <w:t>tové</w:t>
      </w:r>
      <w:r w:rsidR="008A655F">
        <w:rPr>
          <w:rFonts w:hint="default"/>
        </w:rPr>
        <w:t xml:space="preserve"> </w:t>
      </w:r>
      <w:r>
        <w:rPr>
          <w:rFonts w:hint="default"/>
        </w:rPr>
        <w:t>organizá</w:t>
      </w:r>
      <w:r>
        <w:rPr>
          <w:rFonts w:hint="default"/>
        </w:rPr>
        <w:t>cie ako aj š</w:t>
      </w:r>
      <w:r>
        <w:rPr>
          <w:rFonts w:hint="default"/>
        </w:rPr>
        <w:t>koly, neziskové</w:t>
      </w:r>
      <w:r>
        <w:rPr>
          <w:rFonts w:hint="default"/>
        </w:rPr>
        <w:t xml:space="preserve"> organizá</w:t>
      </w:r>
      <w:r>
        <w:rPr>
          <w:rFonts w:hint="default"/>
        </w:rPr>
        <w:t>cie, zá</w:t>
      </w:r>
      <w:r>
        <w:rPr>
          <w:rFonts w:hint="default"/>
        </w:rPr>
        <w:t>ujmové</w:t>
      </w:r>
      <w:r>
        <w:rPr>
          <w:rFonts w:hint="default"/>
        </w:rPr>
        <w:t xml:space="preserve"> združ</w:t>
      </w:r>
      <w:r>
        <w:rPr>
          <w:rFonts w:hint="default"/>
        </w:rPr>
        <w:t>enia prá</w:t>
      </w:r>
      <w:r>
        <w:rPr>
          <w:rFonts w:hint="default"/>
        </w:rPr>
        <w:t>vnický</w:t>
      </w:r>
      <w:r>
        <w:rPr>
          <w:rFonts w:hint="default"/>
        </w:rPr>
        <w:t>ch osô</w:t>
      </w:r>
      <w:r>
        <w:rPr>
          <w:rFonts w:hint="default"/>
        </w:rPr>
        <w:t>b, obč</w:t>
      </w:r>
      <w:r>
        <w:rPr>
          <w:rFonts w:hint="default"/>
        </w:rPr>
        <w:t>ianske združ</w:t>
      </w:r>
      <w:r>
        <w:rPr>
          <w:rFonts w:hint="default"/>
        </w:rPr>
        <w:t>enia a ď</w:t>
      </w:r>
      <w:r>
        <w:rPr>
          <w:rFonts w:hint="default"/>
        </w:rPr>
        <w:t>alš</w:t>
      </w:r>
      <w:r>
        <w:rPr>
          <w:rFonts w:hint="default"/>
        </w:rPr>
        <w:t>ie subjekty. Š</w:t>
      </w:r>
      <w:r>
        <w:rPr>
          <w:rFonts w:hint="default"/>
        </w:rPr>
        <w:t>pecifikom programov voč</w:t>
      </w:r>
      <w:r>
        <w:rPr>
          <w:rFonts w:hint="default"/>
        </w:rPr>
        <w:t>i iný</w:t>
      </w:r>
      <w:r>
        <w:rPr>
          <w:rFonts w:hint="default"/>
        </w:rPr>
        <w:t>m ná</w:t>
      </w:r>
      <w:r>
        <w:rPr>
          <w:rFonts w:hint="default"/>
        </w:rPr>
        <w:t>rodný</w:t>
      </w:r>
      <w:r>
        <w:rPr>
          <w:rFonts w:hint="default"/>
        </w:rPr>
        <w:t>m operač</w:t>
      </w:r>
      <w:r>
        <w:rPr>
          <w:rFonts w:hint="default"/>
        </w:rPr>
        <w:t>ný</w:t>
      </w:r>
      <w:r>
        <w:rPr>
          <w:rFonts w:hint="default"/>
        </w:rPr>
        <w:t>m programom je podmienka spoloč</w:t>
      </w:r>
      <w:r>
        <w:rPr>
          <w:rFonts w:hint="default"/>
        </w:rPr>
        <w:t>nej r</w:t>
      </w:r>
      <w:r>
        <w:rPr>
          <w:rFonts w:hint="default"/>
        </w:rPr>
        <w:t>ealizá</w:t>
      </w:r>
      <w:r>
        <w:rPr>
          <w:rFonts w:hint="default"/>
        </w:rPr>
        <w:t>cie konkré</w:t>
      </w:r>
      <w:r>
        <w:rPr>
          <w:rFonts w:hint="default"/>
        </w:rPr>
        <w:t>tneho projektové</w:t>
      </w:r>
      <w:r>
        <w:rPr>
          <w:rFonts w:hint="default"/>
        </w:rPr>
        <w:t>ho zá</w:t>
      </w:r>
      <w:r>
        <w:rPr>
          <w:rFonts w:hint="default"/>
        </w:rPr>
        <w:t>meru minimá</w:t>
      </w:r>
      <w:r>
        <w:rPr>
          <w:rFonts w:hint="default"/>
        </w:rPr>
        <w:t>lne dvoma projektový</w:t>
      </w:r>
      <w:r>
        <w:rPr>
          <w:rFonts w:hint="default"/>
        </w:rPr>
        <w:t>mi partnermi z kaž</w:t>
      </w:r>
      <w:r>
        <w:rPr>
          <w:rFonts w:hint="default"/>
        </w:rPr>
        <w:t>dej strany hranice a podmienka preuká</w:t>
      </w:r>
      <w:r>
        <w:rPr>
          <w:rFonts w:hint="default"/>
        </w:rPr>
        <w:t>zateľ</w:t>
      </w:r>
      <w:r>
        <w:rPr>
          <w:rFonts w:hint="default"/>
        </w:rPr>
        <w:t>né</w:t>
      </w:r>
      <w:r>
        <w:rPr>
          <w:rFonts w:hint="default"/>
        </w:rPr>
        <w:t>ho cezhranič</w:t>
      </w:r>
      <w:r>
        <w:rPr>
          <w:rFonts w:hint="default"/>
        </w:rPr>
        <w:t>né</w:t>
      </w:r>
      <w:r>
        <w:rPr>
          <w:rFonts w:hint="default"/>
        </w:rPr>
        <w:t>ho dopadu.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Oprá</w:t>
      </w:r>
      <w:r>
        <w:rPr>
          <w:rFonts w:hint="default"/>
        </w:rPr>
        <w:t>vnené</w:t>
      </w:r>
      <w:r>
        <w:rPr>
          <w:rFonts w:hint="default"/>
        </w:rPr>
        <w:t xml:space="preserve"> ú</w:t>
      </w:r>
      <w:r>
        <w:rPr>
          <w:rFonts w:hint="default"/>
        </w:rPr>
        <w:t>zemia, v rá</w:t>
      </w:r>
      <w:r>
        <w:rPr>
          <w:rFonts w:hint="default"/>
        </w:rPr>
        <w:t>mci ktorý</w:t>
      </w:r>
      <w:r>
        <w:rPr>
          <w:rFonts w:hint="default"/>
        </w:rPr>
        <w:t>ch je mož</w:t>
      </w:r>
      <w:r>
        <w:rPr>
          <w:rFonts w:hint="default"/>
        </w:rPr>
        <w:t>né</w:t>
      </w:r>
      <w:r>
        <w:rPr>
          <w:rFonts w:hint="default"/>
        </w:rPr>
        <w:t xml:space="preserve"> realizovať</w:t>
      </w:r>
      <w:r>
        <w:rPr>
          <w:rFonts w:hint="default"/>
        </w:rPr>
        <w:t xml:space="preserve"> projekty s finanč</w:t>
      </w:r>
      <w:r>
        <w:rPr>
          <w:rFonts w:hint="default"/>
        </w:rPr>
        <w:t>nou podporou niektoré</w:t>
      </w:r>
      <w:r>
        <w:rPr>
          <w:rFonts w:hint="default"/>
        </w:rPr>
        <w:t>ho z prog</w:t>
      </w:r>
      <w:r>
        <w:rPr>
          <w:rFonts w:hint="default"/>
        </w:rPr>
        <w:t>ramov sú</w:t>
      </w:r>
      <w:r>
        <w:rPr>
          <w:rFonts w:hint="default"/>
        </w:rPr>
        <w:t xml:space="preserve"> urč</w:t>
      </w:r>
      <w:r>
        <w:rPr>
          <w:rFonts w:hint="default"/>
        </w:rPr>
        <w:t>ené</w:t>
      </w:r>
      <w:r>
        <w:rPr>
          <w:rFonts w:hint="default"/>
        </w:rPr>
        <w:t xml:space="preserve"> podľ</w:t>
      </w:r>
      <w:r>
        <w:rPr>
          <w:rFonts w:hint="default"/>
        </w:rPr>
        <w:t>a geografickej orientá</w:t>
      </w:r>
      <w:r>
        <w:rPr>
          <w:rFonts w:hint="default"/>
        </w:rPr>
        <w:t>cie programu na ú</w:t>
      </w:r>
      <w:r>
        <w:rPr>
          <w:rFonts w:hint="default"/>
        </w:rPr>
        <w:t>rovni NUTS III v rá</w:t>
      </w:r>
      <w:r>
        <w:rPr>
          <w:rFonts w:hint="default"/>
        </w:rPr>
        <w:t>mci susediacich regió</w:t>
      </w:r>
      <w:r>
        <w:rPr>
          <w:rFonts w:hint="default"/>
        </w:rPr>
        <w:t>nov zúč</w:t>
      </w:r>
      <w:r>
        <w:rPr>
          <w:rFonts w:hint="default"/>
        </w:rPr>
        <w:t>astnený</w:t>
      </w:r>
      <w:r>
        <w:rPr>
          <w:rFonts w:hint="default"/>
        </w:rPr>
        <w:t>ch š</w:t>
      </w:r>
      <w:r>
        <w:rPr>
          <w:rFonts w:hint="default"/>
        </w:rPr>
        <w:t>tá</w:t>
      </w:r>
      <w:r>
        <w:rPr>
          <w:rFonts w:hint="default"/>
        </w:rPr>
        <w:t xml:space="preserve">tov. 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Vý</w:t>
      </w:r>
      <w:r>
        <w:rPr>
          <w:rFonts w:hint="default"/>
        </w:rPr>
        <w:t>zvy na predkladanie ž</w:t>
      </w:r>
      <w:r>
        <w:rPr>
          <w:rFonts w:hint="default"/>
        </w:rPr>
        <w:t>iadostí</w:t>
      </w:r>
      <w:r>
        <w:rPr>
          <w:rFonts w:hint="default"/>
        </w:rPr>
        <w:t xml:space="preserve"> o poskytnutie finanč</w:t>
      </w:r>
      <w:r>
        <w:rPr>
          <w:rFonts w:hint="default"/>
        </w:rPr>
        <w:t>né</w:t>
      </w:r>
      <w:r>
        <w:rPr>
          <w:rFonts w:hint="default"/>
        </w:rPr>
        <w:t>ho prí</w:t>
      </w:r>
      <w:r>
        <w:rPr>
          <w:rFonts w:hint="default"/>
        </w:rPr>
        <w:t>spevku z ERDF sú</w:t>
      </w:r>
      <w:r>
        <w:rPr>
          <w:rFonts w:hint="default"/>
        </w:rPr>
        <w:t xml:space="preserve"> vyhlasované</w:t>
      </w:r>
      <w:r>
        <w:rPr>
          <w:rFonts w:hint="default"/>
        </w:rPr>
        <w:t xml:space="preserve"> priebež</w:t>
      </w:r>
      <w:r>
        <w:rPr>
          <w:rFonts w:hint="default"/>
        </w:rPr>
        <w:t>ne. V rá</w:t>
      </w:r>
      <w:r>
        <w:rPr>
          <w:rFonts w:hint="default"/>
        </w:rPr>
        <w:t>mci programu cezhranič</w:t>
      </w:r>
      <w:r>
        <w:rPr>
          <w:rFonts w:hint="default"/>
        </w:rPr>
        <w:t>nej s</w:t>
      </w:r>
      <w:r>
        <w:rPr>
          <w:rFonts w:hint="default"/>
        </w:rPr>
        <w:t>poluprá</w:t>
      </w:r>
      <w:r>
        <w:rPr>
          <w:rFonts w:hint="default"/>
        </w:rPr>
        <w:t>ce SR-Č</w:t>
      </w:r>
      <w:r>
        <w:rPr>
          <w:rFonts w:hint="default"/>
        </w:rPr>
        <w:t>R 2007 - 2013 boli doteraz vyhlá</w:t>
      </w:r>
      <w:r>
        <w:rPr>
          <w:rFonts w:hint="default"/>
        </w:rPr>
        <w:t>sené</w:t>
      </w:r>
      <w:r>
        <w:rPr>
          <w:rFonts w:hint="default"/>
        </w:rPr>
        <w:t xml:space="preserve"> 3 kolá</w:t>
      </w:r>
      <w:r>
        <w:rPr>
          <w:rFonts w:hint="default"/>
        </w:rPr>
        <w:t xml:space="preserve"> vý</w:t>
      </w:r>
      <w:r>
        <w:rPr>
          <w:rFonts w:hint="default"/>
        </w:rPr>
        <w:t>z</w:t>
      </w:r>
      <w:r w:rsidR="006E59E4">
        <w:t>iev</w:t>
      </w:r>
      <w:r>
        <w:rPr>
          <w:rFonts w:hint="default"/>
        </w:rPr>
        <w:t xml:space="preserve"> na predkladanie ž</w:t>
      </w:r>
      <w:r>
        <w:rPr>
          <w:rFonts w:hint="default"/>
        </w:rPr>
        <w:t>iadostí</w:t>
      </w:r>
      <w:r>
        <w:rPr>
          <w:rFonts w:hint="default"/>
        </w:rPr>
        <w:t xml:space="preserve"> o poskytnutie finanč</w:t>
      </w:r>
      <w:r>
        <w:rPr>
          <w:rFonts w:hint="default"/>
        </w:rPr>
        <w:t>né</w:t>
      </w:r>
      <w:r>
        <w:rPr>
          <w:rFonts w:hint="default"/>
        </w:rPr>
        <w:t>ho prí</w:t>
      </w:r>
      <w:r>
        <w:rPr>
          <w:rFonts w:hint="default"/>
        </w:rPr>
        <w:t>spevku (</w:t>
      </w:r>
      <w:r w:rsidR="006E59E4">
        <w:t>FP</w:t>
      </w:r>
      <w:r>
        <w:t xml:space="preserve">) z ERDF. K 31. 12. 2010 </w:t>
      </w:r>
      <w:r w:rsidR="00023F95">
        <w:t>bolo</w:t>
      </w:r>
      <w:r>
        <w:rPr>
          <w:rFonts w:hint="default"/>
        </w:rPr>
        <w:t xml:space="preserve"> schvá</w:t>
      </w:r>
      <w:r>
        <w:rPr>
          <w:rFonts w:hint="default"/>
        </w:rPr>
        <w:t>lený</w:t>
      </w:r>
      <w:r>
        <w:rPr>
          <w:rFonts w:hint="default"/>
        </w:rPr>
        <w:t xml:space="preserve">ch </w:t>
      </w:r>
      <w:r w:rsidR="00023F95">
        <w:t>174 </w:t>
      </w:r>
      <w:r>
        <w:rPr>
          <w:rFonts w:hint="default"/>
        </w:rPr>
        <w:t>projektov vo výš</w:t>
      </w:r>
      <w:r>
        <w:rPr>
          <w:rFonts w:hint="default"/>
        </w:rPr>
        <w:t>ke takmer 73,5 mil.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 </w:t>
      </w:r>
      <w:r>
        <w:rPr>
          <w:rFonts w:hint="default"/>
        </w:rPr>
        <w:t>a 146 zmlú</w:t>
      </w:r>
      <w:r>
        <w:rPr>
          <w:rFonts w:hint="default"/>
        </w:rPr>
        <w:t>v o poskytnutí</w:t>
      </w:r>
      <w:r>
        <w:rPr>
          <w:rFonts w:hint="default"/>
        </w:rPr>
        <w:t xml:space="preserve"> FP z ERDF v celkove</w:t>
      </w:r>
      <w:r>
        <w:rPr>
          <w:rFonts w:hint="default"/>
        </w:rPr>
        <w:t>j výš</w:t>
      </w:r>
      <w:r>
        <w:rPr>
          <w:rFonts w:hint="default"/>
        </w:rPr>
        <w:t>ke takmer 54,9 mil.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 </w:t>
      </w:r>
      <w:r>
        <w:rPr>
          <w:rFonts w:hint="default"/>
        </w:rPr>
        <w:t>(za zdroj ERDF). K uvedené</w:t>
      </w:r>
      <w:r>
        <w:rPr>
          <w:rFonts w:hint="default"/>
        </w:rPr>
        <w:t>mu obdobiu</w:t>
      </w:r>
      <w:r w:rsidR="008A655F">
        <w:rPr>
          <w:rFonts w:hint="default"/>
        </w:rPr>
        <w:t xml:space="preserve"> bolo prijí</w:t>
      </w:r>
      <w:r w:rsidR="008A655F">
        <w:rPr>
          <w:rFonts w:hint="default"/>
        </w:rPr>
        <w:t>mateľ</w:t>
      </w:r>
      <w:r w:rsidR="008A655F">
        <w:rPr>
          <w:rFonts w:hint="default"/>
        </w:rPr>
        <w:t>om vyplatený</w:t>
      </w:r>
      <w:r w:rsidR="008A655F">
        <w:rPr>
          <w:rFonts w:hint="default"/>
        </w:rPr>
        <w:t xml:space="preserve">ch </w:t>
      </w:r>
      <w:r>
        <w:t>16 876 891,62</w:t>
      </w:r>
      <w:r w:rsidR="00AE48B1">
        <w:t> </w:t>
      </w:r>
      <w:r w:rsidR="00AE48B1">
        <w:rPr>
          <w:rFonts w:hint="default"/>
        </w:rPr>
        <w:t>€</w:t>
      </w:r>
      <w:r w:rsidR="00AE48B1">
        <w:rPr>
          <w:rFonts w:hint="default"/>
        </w:rPr>
        <w:t xml:space="preserve"> </w:t>
      </w:r>
      <w:r>
        <w:rPr>
          <w:rFonts w:hint="default"/>
        </w:rPr>
        <w:t>(za zdroj ERDF), č</w:t>
      </w:r>
      <w:r>
        <w:rPr>
          <w:rFonts w:hint="default"/>
        </w:rPr>
        <w:t>o tvorí</w:t>
      </w:r>
      <w:r>
        <w:rPr>
          <w:rFonts w:hint="default"/>
        </w:rPr>
        <w:t xml:space="preserve"> 18,2</w:t>
      </w:r>
      <w:r w:rsidR="00250AD1">
        <w:t> </w:t>
      </w:r>
      <w:r>
        <w:rPr>
          <w:rFonts w:hint="default"/>
        </w:rPr>
        <w:t>% z celé</w:t>
      </w:r>
      <w:r>
        <w:rPr>
          <w:rFonts w:hint="default"/>
        </w:rPr>
        <w:t>ho zá</w:t>
      </w:r>
      <w:r>
        <w:rPr>
          <w:rFonts w:hint="default"/>
        </w:rPr>
        <w:t>vä</w:t>
      </w:r>
      <w:r>
        <w:rPr>
          <w:rFonts w:hint="default"/>
        </w:rPr>
        <w:t>zku pre program. Dô</w:t>
      </w:r>
      <w:r>
        <w:rPr>
          <w:rFonts w:hint="default"/>
        </w:rPr>
        <w:t>kazom ú</w:t>
      </w:r>
      <w:r>
        <w:rPr>
          <w:rFonts w:hint="default"/>
        </w:rPr>
        <w:t>speš</w:t>
      </w:r>
      <w:r>
        <w:rPr>
          <w:rFonts w:hint="default"/>
        </w:rPr>
        <w:t>nej implementá</w:t>
      </w:r>
      <w:r>
        <w:rPr>
          <w:rFonts w:hint="default"/>
        </w:rPr>
        <w:t>cie programu je splnenie pravidla N+3, ktoré</w:t>
      </w:r>
      <w:r>
        <w:rPr>
          <w:rFonts w:hint="default"/>
        </w:rPr>
        <w:t xml:space="preserve"> v praxi zna</w:t>
      </w:r>
      <w:r>
        <w:rPr>
          <w:rFonts w:hint="default"/>
        </w:rPr>
        <w:t>mená</w:t>
      </w:r>
      <w:r>
        <w:rPr>
          <w:rFonts w:hint="default"/>
        </w:rPr>
        <w:t xml:space="preserve"> ž</w:t>
      </w:r>
      <w:r>
        <w:rPr>
          <w:rFonts w:hint="default"/>
        </w:rPr>
        <w:t>e finanč</w:t>
      </w:r>
      <w:r>
        <w:rPr>
          <w:rFonts w:hint="default"/>
        </w:rPr>
        <w:t>né</w:t>
      </w:r>
      <w:r>
        <w:rPr>
          <w:rFonts w:hint="default"/>
        </w:rPr>
        <w:t xml:space="preserve"> prostriedky z ERDF alokované</w:t>
      </w:r>
      <w:r>
        <w:rPr>
          <w:rFonts w:hint="default"/>
        </w:rPr>
        <w:t xml:space="preserve"> na roky 2008 a 2009 budú</w:t>
      </w:r>
      <w:r>
        <w:rPr>
          <w:rFonts w:hint="default"/>
        </w:rPr>
        <w:t xml:space="preserve"> plne využ</w:t>
      </w:r>
      <w:r>
        <w:rPr>
          <w:rFonts w:hint="default"/>
        </w:rPr>
        <w:t>ité</w:t>
      </w:r>
      <w:r>
        <w:rPr>
          <w:rFonts w:hint="default"/>
        </w:rPr>
        <w:t xml:space="preserve"> pre naplnenie cieľ</w:t>
      </w:r>
      <w:r>
        <w:rPr>
          <w:rFonts w:hint="default"/>
        </w:rPr>
        <w:t>ov programu a pre podporu jednotlivý</w:t>
      </w:r>
      <w:r>
        <w:rPr>
          <w:rFonts w:hint="default"/>
        </w:rPr>
        <w:t>ch projektový</w:t>
      </w:r>
      <w:r>
        <w:rPr>
          <w:rFonts w:hint="default"/>
        </w:rPr>
        <w:t>ch zá</w:t>
      </w:r>
      <w:r>
        <w:rPr>
          <w:rFonts w:hint="default"/>
        </w:rPr>
        <w:t xml:space="preserve">merov.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V rá</w:t>
      </w:r>
      <w:r>
        <w:rPr>
          <w:rFonts w:hint="default"/>
        </w:rPr>
        <w:t>mci ostatný</w:t>
      </w:r>
      <w:r>
        <w:rPr>
          <w:rFonts w:hint="default"/>
        </w:rPr>
        <w:t>ch programov odbor cezhranič</w:t>
      </w:r>
      <w:r>
        <w:rPr>
          <w:rFonts w:hint="default"/>
        </w:rPr>
        <w:t>nej spoluprá</w:t>
      </w:r>
      <w:r>
        <w:rPr>
          <w:rFonts w:hint="default"/>
        </w:rPr>
        <w:t>ce plní</w:t>
      </w:r>
      <w:r>
        <w:rPr>
          <w:rFonts w:hint="default"/>
        </w:rPr>
        <w:t xml:space="preserve"> ú</w:t>
      </w:r>
      <w:r>
        <w:rPr>
          <w:rFonts w:hint="default"/>
        </w:rPr>
        <w:t>lohu Ná</w:t>
      </w:r>
      <w:r>
        <w:rPr>
          <w:rFonts w:hint="default"/>
        </w:rPr>
        <w:t>rodné</w:t>
      </w:r>
      <w:r>
        <w:rPr>
          <w:rFonts w:hint="default"/>
        </w:rPr>
        <w:t>ho orgá</w:t>
      </w:r>
      <w:r>
        <w:rPr>
          <w:rFonts w:hint="default"/>
        </w:rPr>
        <w:t>nu, resp.</w:t>
      </w:r>
      <w:r>
        <w:rPr>
          <w:rFonts w:hint="default"/>
        </w:rPr>
        <w:t xml:space="preserve"> Ná</w:t>
      </w:r>
      <w:r>
        <w:rPr>
          <w:rFonts w:hint="default"/>
        </w:rPr>
        <w:t>rodné</w:t>
      </w:r>
      <w:r>
        <w:rPr>
          <w:rFonts w:hint="default"/>
        </w:rPr>
        <w:t>ho koordiná</w:t>
      </w:r>
      <w:r>
        <w:rPr>
          <w:rFonts w:hint="default"/>
        </w:rPr>
        <w:t>tora a spolupracuje s Riadiacimi orgá</w:t>
      </w:r>
      <w:r>
        <w:rPr>
          <w:rFonts w:hint="default"/>
        </w:rPr>
        <w:t>nmi, Spoloč</w:t>
      </w:r>
      <w:r>
        <w:rPr>
          <w:rFonts w:hint="default"/>
        </w:rPr>
        <w:t>ný</w:t>
      </w:r>
      <w:r>
        <w:rPr>
          <w:rFonts w:hint="default"/>
        </w:rPr>
        <w:t>mi technický</w:t>
      </w:r>
      <w:r>
        <w:rPr>
          <w:rFonts w:hint="default"/>
        </w:rPr>
        <w:t>mi sekretariá</w:t>
      </w:r>
      <w:r>
        <w:rPr>
          <w:rFonts w:hint="default"/>
        </w:rPr>
        <w:t>tmi a organizá</w:t>
      </w:r>
      <w:r>
        <w:rPr>
          <w:rFonts w:hint="default"/>
        </w:rPr>
        <w:t>ciami podieľ</w:t>
      </w:r>
      <w:r>
        <w:rPr>
          <w:rFonts w:hint="default"/>
        </w:rPr>
        <w:t>ajú</w:t>
      </w:r>
      <w:r>
        <w:rPr>
          <w:rFonts w:hint="default"/>
        </w:rPr>
        <w:t xml:space="preserve">cimi </w:t>
      </w:r>
      <w:r w:rsidR="008A655F">
        <w:rPr>
          <w:rFonts w:hint="default"/>
        </w:rPr>
        <w:t>sa na implementá</w:t>
      </w:r>
      <w:r w:rsidR="008A655F">
        <w:rPr>
          <w:rFonts w:hint="default"/>
        </w:rPr>
        <w:t>cii programov z </w:t>
      </w:r>
      <w:r>
        <w:rPr>
          <w:rFonts w:hint="default"/>
        </w:rPr>
        <w:t>partnerský</w:t>
      </w:r>
      <w:r>
        <w:rPr>
          <w:rFonts w:hint="default"/>
        </w:rPr>
        <w:t>ch krají</w:t>
      </w:r>
      <w:r>
        <w:rPr>
          <w:rFonts w:hint="default"/>
        </w:rPr>
        <w:t>n. K 31. 12. 2010 sa č</w:t>
      </w:r>
      <w:r>
        <w:rPr>
          <w:rFonts w:hint="default"/>
        </w:rPr>
        <w:t>erpanie tý</w:t>
      </w:r>
      <w:r>
        <w:rPr>
          <w:rFonts w:hint="default"/>
        </w:rPr>
        <w:t>chto programov pohy</w:t>
      </w:r>
      <w:r w:rsidR="00023F95">
        <w:rPr>
          <w:rFonts w:hint="default"/>
        </w:rPr>
        <w:t>bovalo v rozmedzí</w:t>
      </w:r>
      <w:r w:rsidR="00023F95">
        <w:rPr>
          <w:rFonts w:hint="default"/>
        </w:rPr>
        <w:t xml:space="preserve"> od 1,6 do</w:t>
      </w:r>
      <w:r w:rsidR="00023F95">
        <w:rPr>
          <w:rFonts w:hint="default"/>
        </w:rPr>
        <w:t xml:space="preserve"> 9,9 </w:t>
      </w:r>
      <w:r>
        <w:rPr>
          <w:rFonts w:hint="default"/>
        </w:rPr>
        <w:t>%, prič</w:t>
      </w:r>
      <w:r>
        <w:rPr>
          <w:rFonts w:hint="default"/>
        </w:rPr>
        <w:t>om vykazuje rastú</w:t>
      </w:r>
      <w:r>
        <w:rPr>
          <w:rFonts w:hint="default"/>
        </w:rPr>
        <w:t>ci trend. Z hľ</w:t>
      </w:r>
      <w:r>
        <w:rPr>
          <w:rFonts w:hint="default"/>
        </w:rPr>
        <w:t>adiska implementá</w:t>
      </w:r>
      <w:r>
        <w:rPr>
          <w:rFonts w:hint="default"/>
        </w:rPr>
        <w:t>cie tý</w:t>
      </w:r>
      <w:r>
        <w:rPr>
          <w:rFonts w:hint="default"/>
        </w:rPr>
        <w:t>chto operač</w:t>
      </w:r>
      <w:r>
        <w:rPr>
          <w:rFonts w:hint="default"/>
        </w:rPr>
        <w:t>ný</w:t>
      </w:r>
      <w:r>
        <w:rPr>
          <w:rFonts w:hint="default"/>
        </w:rPr>
        <w:t>ch programov predstavuje rok 2010 míľ</w:t>
      </w:r>
      <w:r>
        <w:rPr>
          <w:rFonts w:hint="default"/>
        </w:rPr>
        <w:t>nik, keďž</w:t>
      </w:r>
      <w:r>
        <w:rPr>
          <w:rFonts w:hint="default"/>
        </w:rPr>
        <w:t>e pre viaceré</w:t>
      </w:r>
      <w:r>
        <w:rPr>
          <w:rFonts w:hint="default"/>
        </w:rPr>
        <w:t xml:space="preserve"> z nich znamenal naš</w:t>
      </w:r>
      <w:r>
        <w:rPr>
          <w:rFonts w:hint="default"/>
        </w:rPr>
        <w:t>tartovanie prvotné</w:t>
      </w:r>
      <w:r>
        <w:rPr>
          <w:rFonts w:hint="default"/>
        </w:rPr>
        <w:t>ho č</w:t>
      </w:r>
      <w:r>
        <w:rPr>
          <w:rFonts w:hint="default"/>
        </w:rPr>
        <w:t>erpania FP z ERDF. V ď</w:t>
      </w:r>
      <w:r>
        <w:rPr>
          <w:rFonts w:hint="default"/>
        </w:rPr>
        <w:t>alší</w:t>
      </w:r>
      <w:r>
        <w:rPr>
          <w:rFonts w:hint="default"/>
        </w:rPr>
        <w:t>ch rokoch sa oč</w:t>
      </w:r>
      <w:r>
        <w:rPr>
          <w:rFonts w:hint="default"/>
        </w:rPr>
        <w:t>aká</w:t>
      </w:r>
      <w:r>
        <w:rPr>
          <w:rFonts w:hint="default"/>
        </w:rPr>
        <w:t>va jeho zvýš</w:t>
      </w:r>
      <w:r>
        <w:rPr>
          <w:rFonts w:hint="default"/>
        </w:rPr>
        <w:t xml:space="preserve">enie.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Spoluprá</w:t>
      </w:r>
      <w:r>
        <w:rPr>
          <w:rFonts w:hint="default"/>
        </w:rPr>
        <w:t>ca od</w:t>
      </w:r>
      <w:r>
        <w:rPr>
          <w:rFonts w:hint="default"/>
        </w:rPr>
        <w:t>boru s partnerský</w:t>
      </w:r>
      <w:r>
        <w:rPr>
          <w:rFonts w:hint="default"/>
        </w:rPr>
        <w:t>mi krajinami je u</w:t>
      </w:r>
      <w:r w:rsidR="008A655F">
        <w:rPr>
          <w:rFonts w:hint="default"/>
        </w:rPr>
        <w:t>spokojivá</w:t>
      </w:r>
      <w:r w:rsidR="008A655F">
        <w:rPr>
          <w:rFonts w:hint="default"/>
        </w:rPr>
        <w:t xml:space="preserve"> a efektí</w:t>
      </w:r>
      <w:r w:rsidR="008A655F">
        <w:rPr>
          <w:rFonts w:hint="default"/>
        </w:rPr>
        <w:t>vna, prič</w:t>
      </w:r>
      <w:r w:rsidR="008A655F">
        <w:rPr>
          <w:rFonts w:hint="default"/>
        </w:rPr>
        <w:t>om v </w:t>
      </w:r>
      <w:r>
        <w:rPr>
          <w:rFonts w:hint="default"/>
        </w:rPr>
        <w:t>podmienkach viacerý</w:t>
      </w:r>
      <w:r>
        <w:rPr>
          <w:rFonts w:hint="default"/>
        </w:rPr>
        <w:t>ch operač</w:t>
      </w:r>
      <w:r>
        <w:rPr>
          <w:rFonts w:hint="default"/>
        </w:rPr>
        <w:t>ný</w:t>
      </w:r>
      <w:r>
        <w:rPr>
          <w:rFonts w:hint="default"/>
        </w:rPr>
        <w:t>ch programov predstavuje už</w:t>
      </w:r>
      <w:r>
        <w:rPr>
          <w:rFonts w:hint="default"/>
        </w:rPr>
        <w:t xml:space="preserve"> dlhoroč</w:t>
      </w:r>
      <w:r>
        <w:rPr>
          <w:rFonts w:hint="default"/>
        </w:rPr>
        <w:t>nú</w:t>
      </w:r>
      <w:r>
        <w:rPr>
          <w:rFonts w:hint="default"/>
        </w:rPr>
        <w:t xml:space="preserve"> tradí</w:t>
      </w:r>
      <w:r>
        <w:rPr>
          <w:rFonts w:hint="default"/>
        </w:rPr>
        <w:t>ciu.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Odbor monitorovania a koordiná</w:t>
      </w:r>
      <w:r>
        <w:rPr>
          <w:rFonts w:hint="default"/>
        </w:rPr>
        <w:t>cie programov regioná</w:t>
      </w:r>
      <w:r>
        <w:rPr>
          <w:rFonts w:hint="default"/>
        </w:rPr>
        <w:t>lneho rozvoja zabezpeč</w:t>
      </w:r>
      <w:r>
        <w:rPr>
          <w:rFonts w:hint="default"/>
        </w:rPr>
        <w:t>uje vý</w:t>
      </w:r>
      <w:r>
        <w:rPr>
          <w:rFonts w:hint="default"/>
        </w:rPr>
        <w:t>kon ú</w:t>
      </w:r>
      <w:r>
        <w:rPr>
          <w:rFonts w:hint="default"/>
        </w:rPr>
        <w:t>loh sprostredkovateľ</w:t>
      </w:r>
      <w:r>
        <w:rPr>
          <w:rFonts w:hint="default"/>
        </w:rPr>
        <w:t>ské</w:t>
      </w:r>
      <w:r>
        <w:rPr>
          <w:rFonts w:hint="default"/>
        </w:rPr>
        <w:t>ho or</w:t>
      </w:r>
      <w:r>
        <w:rPr>
          <w:rFonts w:hint="default"/>
        </w:rPr>
        <w:t>gá</w:t>
      </w:r>
      <w:r>
        <w:rPr>
          <w:rFonts w:hint="default"/>
        </w:rPr>
        <w:t>nu pod riadiacim orgá</w:t>
      </w:r>
      <w:r>
        <w:rPr>
          <w:rFonts w:hint="default"/>
        </w:rPr>
        <w:t>nom pre Prioritu 3 Operač</w:t>
      </w:r>
      <w:r>
        <w:rPr>
          <w:rFonts w:hint="default"/>
        </w:rPr>
        <w:t>né</w:t>
      </w:r>
      <w:r>
        <w:rPr>
          <w:rFonts w:hint="default"/>
        </w:rPr>
        <w:t>ho programu Zá</w:t>
      </w:r>
      <w:r>
        <w:rPr>
          <w:rFonts w:hint="default"/>
        </w:rPr>
        <w:t>kladná</w:t>
      </w:r>
      <w:r>
        <w:rPr>
          <w:rFonts w:hint="default"/>
        </w:rPr>
        <w:t xml:space="preserve"> infraš</w:t>
      </w:r>
      <w:r>
        <w:rPr>
          <w:rFonts w:hint="default"/>
        </w:rPr>
        <w:t>truktú</w:t>
      </w:r>
      <w:r>
        <w:rPr>
          <w:rFonts w:hint="default"/>
        </w:rPr>
        <w:t>ra a zá</w:t>
      </w:r>
      <w:r>
        <w:rPr>
          <w:rFonts w:hint="default"/>
        </w:rPr>
        <w:t>roveň</w:t>
      </w:r>
      <w:r>
        <w:rPr>
          <w:rFonts w:hint="default"/>
        </w:rPr>
        <w:t xml:space="preserve"> zabezpeč</w:t>
      </w:r>
      <w:r>
        <w:rPr>
          <w:rFonts w:hint="default"/>
        </w:rPr>
        <w:t>uje ex post monitorovací</w:t>
      </w:r>
      <w:r>
        <w:rPr>
          <w:rFonts w:hint="default"/>
        </w:rPr>
        <w:t xml:space="preserve"> mechanizmus ukonč</w:t>
      </w:r>
      <w:r>
        <w:rPr>
          <w:rFonts w:hint="default"/>
        </w:rPr>
        <w:t>ený</w:t>
      </w:r>
      <w:r>
        <w:rPr>
          <w:rFonts w:hint="default"/>
        </w:rPr>
        <w:t>ch projektov implementovaný</w:t>
      </w:r>
      <w:r>
        <w:rPr>
          <w:rFonts w:hint="default"/>
        </w:rPr>
        <w:t>ch Agentú</w:t>
      </w:r>
      <w:r>
        <w:rPr>
          <w:rFonts w:hint="default"/>
        </w:rPr>
        <w:t>rou na</w:t>
      </w:r>
      <w:r w:rsidR="008A655F">
        <w:rPr>
          <w:rFonts w:hint="default"/>
        </w:rPr>
        <w:t xml:space="preserve"> podporu regioná</w:t>
      </w:r>
      <w:r w:rsidR="008A655F">
        <w:rPr>
          <w:rFonts w:hint="default"/>
        </w:rPr>
        <w:t>lneho rozvoja v </w:t>
      </w:r>
      <w:r>
        <w:rPr>
          <w:rFonts w:hint="default"/>
        </w:rPr>
        <w:t>rá</w:t>
      </w:r>
      <w:r>
        <w:rPr>
          <w:rFonts w:hint="default"/>
        </w:rPr>
        <w:t>mci č</w:t>
      </w:r>
      <w:r>
        <w:rPr>
          <w:rFonts w:hint="default"/>
        </w:rPr>
        <w:t>erpania finanč</w:t>
      </w:r>
      <w:r>
        <w:rPr>
          <w:rFonts w:hint="default"/>
        </w:rPr>
        <w:t xml:space="preserve">nej  pomoci </w:t>
      </w:r>
      <w:r>
        <w:rPr>
          <w:rFonts w:hint="default"/>
        </w:rPr>
        <w:t xml:space="preserve"> EÚ</w:t>
      </w:r>
      <w:r>
        <w:rPr>
          <w:rFonts w:hint="default"/>
        </w:rPr>
        <w:t>, vrá</w:t>
      </w:r>
      <w:r>
        <w:rPr>
          <w:rFonts w:hint="default"/>
        </w:rPr>
        <w:t>tane agendy administratí</w:t>
      </w:r>
      <w:r>
        <w:rPr>
          <w:rFonts w:hint="default"/>
        </w:rPr>
        <w:t>vnych č</w:t>
      </w:r>
      <w:r>
        <w:rPr>
          <w:rFonts w:hint="default"/>
        </w:rPr>
        <w:t>inností</w:t>
      </w:r>
      <w:r>
        <w:rPr>
          <w:rFonts w:hint="default"/>
        </w:rPr>
        <w:t xml:space="preserve"> vo vzť</w:t>
      </w:r>
      <w:r>
        <w:rPr>
          <w:rFonts w:hint="default"/>
        </w:rPr>
        <w:t>ahu k predvstupové</w:t>
      </w:r>
      <w:r>
        <w:rPr>
          <w:rFonts w:hint="default"/>
        </w:rPr>
        <w:t xml:space="preserve">ho programu PHARE.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Cieľ</w:t>
      </w:r>
      <w:r>
        <w:rPr>
          <w:rFonts w:hint="default"/>
        </w:rPr>
        <w:t>om č</w:t>
      </w:r>
      <w:r>
        <w:rPr>
          <w:rFonts w:hint="default"/>
        </w:rPr>
        <w:t>innosti odboru v roku 2010 bolo predovš</w:t>
      </w:r>
      <w:r>
        <w:rPr>
          <w:rFonts w:hint="default"/>
        </w:rPr>
        <w:t>etký</w:t>
      </w:r>
      <w:r>
        <w:rPr>
          <w:rFonts w:hint="default"/>
        </w:rPr>
        <w:t>m ex post monitorovanie ukonč</w:t>
      </w:r>
      <w:r>
        <w:rPr>
          <w:rFonts w:hint="default"/>
        </w:rPr>
        <w:t>ený</w:t>
      </w:r>
      <w:r>
        <w:rPr>
          <w:rFonts w:hint="default"/>
        </w:rPr>
        <w:t>ch projektov za úč</w:t>
      </w:r>
      <w:r>
        <w:rPr>
          <w:rFonts w:hint="default"/>
        </w:rPr>
        <w:t>elom zí</w:t>
      </w:r>
      <w:r>
        <w:rPr>
          <w:rFonts w:hint="default"/>
        </w:rPr>
        <w:t>skania poznatkov o úč</w:t>
      </w:r>
      <w:r>
        <w:rPr>
          <w:rFonts w:hint="default"/>
        </w:rPr>
        <w:t>elnosti a hospodá</w:t>
      </w:r>
      <w:r>
        <w:rPr>
          <w:rFonts w:hint="default"/>
        </w:rPr>
        <w:t>rnosti poskytnutý</w:t>
      </w:r>
      <w:r>
        <w:rPr>
          <w:rFonts w:hint="default"/>
        </w:rPr>
        <w:t>ch</w:t>
      </w:r>
      <w:r>
        <w:rPr>
          <w:rFonts w:hint="default"/>
        </w:rPr>
        <w:t xml:space="preserve"> finanč</w:t>
      </w:r>
      <w:r>
        <w:rPr>
          <w:rFonts w:hint="default"/>
        </w:rPr>
        <w:t>ný</w:t>
      </w:r>
      <w:r>
        <w:rPr>
          <w:rFonts w:hint="default"/>
        </w:rPr>
        <w:t>ch prostriedkov EÚ</w:t>
      </w:r>
      <w:r>
        <w:rPr>
          <w:rFonts w:hint="default"/>
        </w:rPr>
        <w:t xml:space="preserve"> a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tu, a to v rá</w:t>
      </w:r>
      <w:r>
        <w:rPr>
          <w:rFonts w:hint="default"/>
        </w:rPr>
        <w:t>mci Operač</w:t>
      </w:r>
      <w:r>
        <w:rPr>
          <w:rFonts w:hint="default"/>
        </w:rPr>
        <w:t>né</w:t>
      </w:r>
      <w:r>
        <w:rPr>
          <w:rFonts w:hint="default"/>
        </w:rPr>
        <w:t>ho programu Zá</w:t>
      </w:r>
      <w:r>
        <w:rPr>
          <w:rFonts w:hint="default"/>
        </w:rPr>
        <w:t>kladná</w:t>
      </w:r>
      <w:r>
        <w:rPr>
          <w:rFonts w:hint="default"/>
        </w:rPr>
        <w:t xml:space="preserve"> infraš</w:t>
      </w:r>
      <w:r>
        <w:rPr>
          <w:rFonts w:hint="default"/>
        </w:rPr>
        <w:t>truktú</w:t>
      </w:r>
      <w:r>
        <w:rPr>
          <w:rFonts w:hint="default"/>
        </w:rPr>
        <w:t>ra Priorita 3 Loká</w:t>
      </w:r>
      <w:r>
        <w:rPr>
          <w:rFonts w:hint="default"/>
        </w:rPr>
        <w:t>lna infraš</w:t>
      </w:r>
      <w:r>
        <w:rPr>
          <w:rFonts w:hint="default"/>
        </w:rPr>
        <w:t>truktú</w:t>
      </w:r>
      <w:r>
        <w:rPr>
          <w:rFonts w:hint="default"/>
        </w:rPr>
        <w:t>ra, Jednotné</w:t>
      </w:r>
      <w:r>
        <w:rPr>
          <w:rFonts w:hint="default"/>
        </w:rPr>
        <w:t>ho programové</w:t>
      </w:r>
      <w:r>
        <w:rPr>
          <w:rFonts w:hint="default"/>
        </w:rPr>
        <w:t>ho dokumentu NUTS II - Bratislava Cieľ</w:t>
      </w:r>
      <w:r>
        <w:rPr>
          <w:rFonts w:hint="default"/>
        </w:rPr>
        <w:t xml:space="preserve"> 2 a programov cezhranič</w:t>
      </w:r>
      <w:r>
        <w:rPr>
          <w:rFonts w:hint="default"/>
        </w:rPr>
        <w:t>nej spoluprá</w:t>
      </w:r>
      <w:r>
        <w:rPr>
          <w:rFonts w:hint="default"/>
        </w:rPr>
        <w:t>ce Iniciatí</w:t>
      </w:r>
      <w:r>
        <w:rPr>
          <w:rFonts w:hint="default"/>
        </w:rPr>
        <w:t>vy Spolo</w:t>
      </w:r>
      <w:r>
        <w:rPr>
          <w:rFonts w:hint="default"/>
        </w:rPr>
        <w:t>č</w:t>
      </w:r>
      <w:r>
        <w:rPr>
          <w:rFonts w:hint="default"/>
        </w:rPr>
        <w:t xml:space="preserve">enstva INTERREG IIIA. </w:t>
      </w:r>
      <w:r w:rsidR="008A655F">
        <w:t>V </w:t>
      </w:r>
      <w:r>
        <w:t xml:space="preserve"> roku 2010</w:t>
      </w:r>
      <w:r w:rsidR="008A655F">
        <w:t xml:space="preserve"> bolo</w:t>
      </w:r>
      <w:r>
        <w:t xml:space="preserve"> </w:t>
      </w:r>
      <w:r w:rsidR="008A655F">
        <w:t xml:space="preserve">spolu </w:t>
      </w:r>
      <w:r>
        <w:rPr>
          <w:rFonts w:hint="default"/>
        </w:rPr>
        <w:t>vykonaný</w:t>
      </w:r>
      <w:r>
        <w:rPr>
          <w:rFonts w:hint="default"/>
        </w:rPr>
        <w:t>ch 161 ex post monitorovací</w:t>
      </w:r>
      <w:r>
        <w:rPr>
          <w:rFonts w:hint="default"/>
        </w:rPr>
        <w:t>ch  kontrol na mieste a zadministrovaný</w:t>
      </w:r>
      <w:r>
        <w:rPr>
          <w:rFonts w:hint="default"/>
        </w:rPr>
        <w:t>ch za rok 2010 vi</w:t>
      </w:r>
      <w:r w:rsidR="002909CA">
        <w:rPr>
          <w:rFonts w:hint="default"/>
        </w:rPr>
        <w:t>ac ako 950 sprá</w:t>
      </w:r>
      <w:r w:rsidR="002909CA">
        <w:rPr>
          <w:rFonts w:hint="default"/>
        </w:rPr>
        <w:t>v</w:t>
      </w:r>
      <w:r w:rsidR="008A655F">
        <w:t xml:space="preserve"> a </w:t>
      </w:r>
      <w:r>
        <w:rPr>
          <w:rFonts w:hint="default"/>
        </w:rPr>
        <w:t>dotazní</w:t>
      </w:r>
      <w:r>
        <w:rPr>
          <w:rFonts w:hint="default"/>
        </w:rPr>
        <w:t>kov,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koneč</w:t>
      </w:r>
      <w:r>
        <w:rPr>
          <w:rFonts w:hint="default"/>
        </w:rPr>
        <w:t>ní</w:t>
      </w:r>
      <w:r>
        <w:rPr>
          <w:rFonts w:hint="default"/>
        </w:rPr>
        <w:t xml:space="preserve"> prijí</w:t>
      </w:r>
      <w:r>
        <w:rPr>
          <w:rFonts w:hint="default"/>
        </w:rPr>
        <w:t>matelia povinní</w:t>
      </w:r>
      <w:r>
        <w:rPr>
          <w:rFonts w:hint="default"/>
        </w:rPr>
        <w:t xml:space="preserve"> predkladať</w:t>
      </w:r>
      <w:r>
        <w:rPr>
          <w:rFonts w:hint="default"/>
        </w:rPr>
        <w:t xml:space="preserve"> ministerstvu po skonč</w:t>
      </w:r>
      <w:r>
        <w:rPr>
          <w:rFonts w:hint="default"/>
        </w:rPr>
        <w:t>ení</w:t>
      </w:r>
      <w:r>
        <w:rPr>
          <w:rFonts w:hint="default"/>
        </w:rPr>
        <w:t xml:space="preserve"> realizá</w:t>
      </w:r>
      <w:r>
        <w:rPr>
          <w:rFonts w:hint="default"/>
        </w:rPr>
        <w:t>cie pro</w:t>
      </w:r>
      <w:r>
        <w:rPr>
          <w:rFonts w:hint="default"/>
        </w:rPr>
        <w:t>jektu.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Odbor finanč</w:t>
      </w:r>
      <w:r>
        <w:rPr>
          <w:rFonts w:hint="default"/>
        </w:rPr>
        <w:t>né</w:t>
      </w:r>
      <w:r>
        <w:rPr>
          <w:rFonts w:hint="default"/>
        </w:rPr>
        <w:t>ho riadenia zabezpeč</w:t>
      </w:r>
      <w:r>
        <w:rPr>
          <w:rFonts w:hint="default"/>
        </w:rPr>
        <w:t>uje funkciu platobnej jednotky pre Regioná</w:t>
      </w:r>
      <w:r>
        <w:rPr>
          <w:rFonts w:hint="default"/>
        </w:rPr>
        <w:t>lny operač</w:t>
      </w:r>
      <w:r>
        <w:rPr>
          <w:rFonts w:hint="default"/>
        </w:rPr>
        <w:t>ný</w:t>
      </w:r>
      <w:r>
        <w:rPr>
          <w:rFonts w:hint="default"/>
        </w:rPr>
        <w:t xml:space="preserve"> program, Operač</w:t>
      </w:r>
      <w:r>
        <w:rPr>
          <w:rFonts w:hint="default"/>
        </w:rPr>
        <w:t>ný</w:t>
      </w:r>
      <w:r>
        <w:rPr>
          <w:rFonts w:hint="default"/>
        </w:rPr>
        <w:t xml:space="preserve"> program Bratislavský</w:t>
      </w:r>
      <w:r>
        <w:rPr>
          <w:rFonts w:hint="default"/>
        </w:rPr>
        <w:t xml:space="preserve"> kraj a programy cezhranič</w:t>
      </w:r>
      <w:r>
        <w:rPr>
          <w:rFonts w:hint="default"/>
        </w:rPr>
        <w:t>nej spoluprá</w:t>
      </w:r>
      <w:r>
        <w:rPr>
          <w:rFonts w:hint="default"/>
        </w:rPr>
        <w:t>ce Maď</w:t>
      </w:r>
      <w:r>
        <w:rPr>
          <w:rFonts w:hint="default"/>
        </w:rPr>
        <w:t>arská</w:t>
      </w:r>
      <w:r>
        <w:rPr>
          <w:rFonts w:hint="default"/>
        </w:rPr>
        <w:t xml:space="preserve"> republika - Slovenská</w:t>
      </w:r>
      <w:r>
        <w:rPr>
          <w:rFonts w:hint="default"/>
        </w:rPr>
        <w:t xml:space="preserve"> republika, Č</w:t>
      </w:r>
      <w:r>
        <w:rPr>
          <w:rFonts w:hint="default"/>
        </w:rPr>
        <w:t>eská</w:t>
      </w:r>
      <w:r>
        <w:rPr>
          <w:rFonts w:hint="default"/>
        </w:rPr>
        <w:t xml:space="preserve"> republika</w:t>
      </w:r>
      <w:r w:rsidR="008A655F">
        <w:rPr>
          <w:rFonts w:hint="default"/>
        </w:rPr>
        <w:t xml:space="preserve"> - Slovenská</w:t>
      </w:r>
      <w:r w:rsidR="008A655F">
        <w:rPr>
          <w:rFonts w:hint="default"/>
        </w:rPr>
        <w:t xml:space="preserve"> republika, </w:t>
      </w:r>
      <w:r w:rsidR="008A655F">
        <w:rPr>
          <w:rFonts w:hint="default"/>
        </w:rPr>
        <w:t>Rakú</w:t>
      </w:r>
      <w:r w:rsidR="008A655F">
        <w:rPr>
          <w:rFonts w:hint="default"/>
        </w:rPr>
        <w:t>sko </w:t>
      </w:r>
      <w:r w:rsidR="008A655F">
        <w:rPr>
          <w:rFonts w:hint="default"/>
        </w:rPr>
        <w:noBreakHyphen/>
        <w:t> </w:t>
      </w:r>
      <w:r>
        <w:rPr>
          <w:rFonts w:hint="default"/>
        </w:rPr>
        <w:t>Slovenská</w:t>
      </w:r>
      <w:r>
        <w:rPr>
          <w:rFonts w:hint="default"/>
        </w:rPr>
        <w:t xml:space="preserve"> republika, Poľ</w:t>
      </w:r>
      <w:r>
        <w:rPr>
          <w:rFonts w:hint="default"/>
        </w:rPr>
        <w:t>sko - Slovensko a program cezhranič</w:t>
      </w:r>
      <w:r>
        <w:rPr>
          <w:rFonts w:hint="default"/>
        </w:rPr>
        <w:t>nej spoluprá</w:t>
      </w:r>
      <w:r>
        <w:rPr>
          <w:rFonts w:hint="default"/>
        </w:rPr>
        <w:t>ce ENPI Maď</w:t>
      </w:r>
      <w:r>
        <w:rPr>
          <w:rFonts w:hint="default"/>
        </w:rPr>
        <w:t xml:space="preserve">arsko </w:t>
      </w:r>
      <w:r>
        <w:rPr>
          <w:rFonts w:hint="default"/>
        </w:rPr>
        <w:t>–</w:t>
      </w:r>
      <w:r>
        <w:rPr>
          <w:rFonts w:hint="default"/>
        </w:rPr>
        <w:t xml:space="preserve"> Slovensko </w:t>
      </w:r>
      <w:r>
        <w:rPr>
          <w:rFonts w:hint="default"/>
        </w:rPr>
        <w:t>–</w:t>
      </w:r>
      <w:r>
        <w:rPr>
          <w:rFonts w:hint="default"/>
        </w:rPr>
        <w:t xml:space="preserve"> Rumunsko </w:t>
      </w:r>
      <w:r>
        <w:rPr>
          <w:rFonts w:hint="default"/>
        </w:rPr>
        <w:t>–</w:t>
      </w:r>
      <w:r>
        <w:rPr>
          <w:rFonts w:hint="default"/>
        </w:rPr>
        <w:t xml:space="preserve"> Ukrajina 2007 - 2013 v pô</w:t>
      </w:r>
      <w:r>
        <w:rPr>
          <w:rFonts w:hint="default"/>
        </w:rPr>
        <w:t>sobnosti Agentú</w:t>
      </w:r>
      <w:r>
        <w:rPr>
          <w:rFonts w:hint="default"/>
        </w:rPr>
        <w:t>ry na podporu regioná</w:t>
      </w:r>
      <w:r>
        <w:rPr>
          <w:rFonts w:hint="default"/>
        </w:rPr>
        <w:t>lneho rozvoja.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Zá</w:t>
      </w:r>
      <w:r>
        <w:rPr>
          <w:rFonts w:hint="default"/>
        </w:rPr>
        <w:t>kladnou ú</w:t>
      </w:r>
      <w:r>
        <w:rPr>
          <w:rFonts w:hint="default"/>
        </w:rPr>
        <w:t>lohou je zabezpeč</w:t>
      </w:r>
      <w:r>
        <w:rPr>
          <w:rFonts w:hint="default"/>
        </w:rPr>
        <w:t>iť</w:t>
      </w:r>
      <w:r>
        <w:rPr>
          <w:rFonts w:hint="default"/>
        </w:rPr>
        <w:t xml:space="preserve"> prevod finanč</w:t>
      </w:r>
      <w:r>
        <w:rPr>
          <w:rFonts w:hint="default"/>
        </w:rPr>
        <w:t>ný</w:t>
      </w:r>
      <w:r>
        <w:rPr>
          <w:rFonts w:hint="default"/>
        </w:rPr>
        <w:t>ch prostrie</w:t>
      </w:r>
      <w:r>
        <w:rPr>
          <w:rFonts w:hint="default"/>
        </w:rPr>
        <w:t>dkov Euró</w:t>
      </w:r>
      <w:r>
        <w:rPr>
          <w:rFonts w:hint="default"/>
        </w:rPr>
        <w:t>psk</w:t>
      </w:r>
      <w:r w:rsidR="008A655F">
        <w:rPr>
          <w:rFonts w:hint="default"/>
        </w:rPr>
        <w:t>ej ú</w:t>
      </w:r>
      <w:r w:rsidR="008A655F">
        <w:rPr>
          <w:rFonts w:hint="default"/>
        </w:rPr>
        <w:t>nie a </w:t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 na spolufinancovanie prijí</w:t>
      </w:r>
      <w:r>
        <w:rPr>
          <w:rFonts w:hint="default"/>
        </w:rPr>
        <w:t>mateľ</w:t>
      </w:r>
      <w:r>
        <w:rPr>
          <w:rFonts w:hint="default"/>
        </w:rPr>
        <w:t>ovi v sú</w:t>
      </w:r>
      <w:r>
        <w:rPr>
          <w:rFonts w:hint="default"/>
        </w:rPr>
        <w:t>lade</w:t>
      </w:r>
      <w:r w:rsidR="008A655F">
        <w:rPr>
          <w:rFonts w:hint="default"/>
        </w:rPr>
        <w:t xml:space="preserve"> so zá</w:t>
      </w:r>
      <w:r w:rsidR="008A655F">
        <w:rPr>
          <w:rFonts w:hint="default"/>
        </w:rPr>
        <w:t>konom č</w:t>
      </w:r>
      <w:r w:rsidR="008A655F">
        <w:rPr>
          <w:rFonts w:hint="default"/>
        </w:rPr>
        <w:t>. 523/2004 Z. z. o </w:t>
      </w:r>
      <w:r>
        <w:rPr>
          <w:rFonts w:hint="default"/>
        </w:rPr>
        <w:t>rozpoč</w:t>
      </w:r>
      <w:r>
        <w:rPr>
          <w:rFonts w:hint="default"/>
        </w:rPr>
        <w:t>tový</w:t>
      </w:r>
      <w:r>
        <w:rPr>
          <w:rFonts w:hint="default"/>
        </w:rPr>
        <w:t>ch pravidlá</w:t>
      </w:r>
      <w:r>
        <w:rPr>
          <w:rFonts w:hint="default"/>
        </w:rPr>
        <w:t>ch verejnej sprá</w:t>
      </w:r>
      <w:r>
        <w:rPr>
          <w:rFonts w:hint="default"/>
        </w:rPr>
        <w:t>vy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predpisov.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Vo vzť</w:t>
      </w:r>
      <w:r>
        <w:rPr>
          <w:rFonts w:hint="default"/>
        </w:rPr>
        <w:t>ahu k finanč</w:t>
      </w:r>
      <w:r>
        <w:rPr>
          <w:rFonts w:hint="default"/>
        </w:rPr>
        <w:t>né</w:t>
      </w:r>
      <w:r>
        <w:rPr>
          <w:rFonts w:hint="default"/>
        </w:rPr>
        <w:t>mu riadeniu</w:t>
      </w:r>
      <w:r>
        <w:rPr>
          <w:rFonts w:hint="default"/>
        </w:rPr>
        <w:t xml:space="preserve"> š</w:t>
      </w:r>
      <w:r>
        <w:rPr>
          <w:rFonts w:hint="default"/>
        </w:rPr>
        <w:t>trukturá</w:t>
      </w:r>
      <w:r>
        <w:rPr>
          <w:rFonts w:hint="default"/>
        </w:rPr>
        <w:t>lnych fondov a Kohé</w:t>
      </w:r>
      <w:r>
        <w:rPr>
          <w:rFonts w:hint="default"/>
        </w:rPr>
        <w:t>zneho fondu pre programové</w:t>
      </w:r>
      <w:r>
        <w:rPr>
          <w:rFonts w:hint="default"/>
        </w:rPr>
        <w:t xml:space="preserve"> obdobie  2007-2013 odbor finanč</w:t>
      </w:r>
      <w:r>
        <w:rPr>
          <w:rFonts w:hint="default"/>
        </w:rPr>
        <w:t>né</w:t>
      </w:r>
      <w:r>
        <w:rPr>
          <w:rFonts w:hint="default"/>
        </w:rPr>
        <w:t>ho riadenia plní</w:t>
      </w:r>
      <w:r>
        <w:rPr>
          <w:rFonts w:hint="default"/>
        </w:rPr>
        <w:t xml:space="preserve"> aj iné</w:t>
      </w:r>
      <w:r>
        <w:rPr>
          <w:rFonts w:hint="default"/>
        </w:rPr>
        <w:t xml:space="preserve"> ú</w:t>
      </w:r>
      <w:r>
        <w:rPr>
          <w:rFonts w:hint="default"/>
        </w:rPr>
        <w:t xml:space="preserve">lohy. </w:t>
      </w:r>
    </w:p>
    <w:p w:rsidR="00EC4C5A" w:rsidP="00EC4C5A">
      <w:pPr>
        <w:bidi w:val="0"/>
        <w:rPr>
          <w:rFonts w:hint="default"/>
        </w:rPr>
      </w:pPr>
      <w:r>
        <w:rPr>
          <w:rFonts w:hint="default"/>
        </w:rPr>
        <w:t>K hlavný</w:t>
      </w:r>
      <w:r>
        <w:rPr>
          <w:rFonts w:hint="default"/>
        </w:rPr>
        <w:t>m povinnostiam patrí</w:t>
      </w:r>
      <w:r>
        <w:rPr>
          <w:rFonts w:hint="default"/>
        </w:rPr>
        <w:t xml:space="preserve"> zodpovednosť</w:t>
      </w:r>
      <w:r>
        <w:rPr>
          <w:rFonts w:hint="default"/>
        </w:rPr>
        <w:t xml:space="preserve"> za vý</w:t>
      </w:r>
      <w:r>
        <w:rPr>
          <w:rFonts w:hint="default"/>
        </w:rPr>
        <w:t>kon predbež</w:t>
      </w:r>
      <w:r>
        <w:rPr>
          <w:rFonts w:hint="default"/>
        </w:rPr>
        <w:t>nej finanč</w:t>
      </w:r>
      <w:r>
        <w:rPr>
          <w:rFonts w:hint="default"/>
        </w:rPr>
        <w:t>nej kontroly ž</w:t>
      </w:r>
      <w:r>
        <w:rPr>
          <w:rFonts w:hint="default"/>
        </w:rPr>
        <w:t>iadostí</w:t>
      </w:r>
      <w:r>
        <w:rPr>
          <w:rFonts w:hint="default"/>
        </w:rPr>
        <w:t xml:space="preserve"> o platbu a matematickej kontroly vý</w:t>
      </w:r>
      <w:r>
        <w:rPr>
          <w:rFonts w:hint="default"/>
        </w:rPr>
        <w:t>poč</w:t>
      </w:r>
      <w:r>
        <w:rPr>
          <w:rFonts w:hint="default"/>
        </w:rPr>
        <w:t>tu oprá</w:t>
      </w:r>
      <w:r>
        <w:rPr>
          <w:rFonts w:hint="default"/>
        </w:rPr>
        <w:t>vnenej sumy zo ž</w:t>
      </w:r>
      <w:r>
        <w:rPr>
          <w:rFonts w:hint="default"/>
        </w:rPr>
        <w:t>iadostí</w:t>
      </w:r>
      <w:r>
        <w:rPr>
          <w:rFonts w:hint="default"/>
        </w:rPr>
        <w:t xml:space="preserve"> o platbu. Vyhotovuje a predkladá</w:t>
      </w:r>
      <w:r>
        <w:rPr>
          <w:rFonts w:hint="default"/>
        </w:rPr>
        <w:t xml:space="preserve"> ú</w:t>
      </w:r>
      <w:r>
        <w:rPr>
          <w:rFonts w:hint="default"/>
        </w:rPr>
        <w:t>daje finanč</w:t>
      </w:r>
      <w:r>
        <w:rPr>
          <w:rFonts w:hint="default"/>
        </w:rPr>
        <w:t>ný</w:t>
      </w:r>
      <w:r>
        <w:rPr>
          <w:rFonts w:hint="default"/>
        </w:rPr>
        <w:t>ch vý</w:t>
      </w:r>
      <w:r>
        <w:rPr>
          <w:rFonts w:hint="default"/>
        </w:rPr>
        <w:t>kazov  podľ</w:t>
      </w:r>
      <w:r>
        <w:rPr>
          <w:rFonts w:hint="default"/>
        </w:rPr>
        <w:t>a osobitný</w:t>
      </w:r>
      <w:r>
        <w:rPr>
          <w:rFonts w:hint="default"/>
        </w:rPr>
        <w:t>ch predpisov za platobnú</w:t>
      </w:r>
      <w:r>
        <w:rPr>
          <w:rFonts w:hint="default"/>
        </w:rPr>
        <w:t xml:space="preserve"> jednotku a vedie úč</w:t>
      </w:r>
      <w:r>
        <w:rPr>
          <w:rFonts w:hint="default"/>
        </w:rPr>
        <w:t>tovní</w:t>
      </w:r>
      <w:r>
        <w:rPr>
          <w:rFonts w:hint="default"/>
        </w:rPr>
        <w:t>ctvo o stave a pohybe pohľ</w:t>
      </w:r>
      <w:r>
        <w:rPr>
          <w:rFonts w:hint="default"/>
        </w:rPr>
        <w:t>adá</w:t>
      </w:r>
      <w:r>
        <w:rPr>
          <w:rFonts w:hint="default"/>
        </w:rPr>
        <w:t>vok, zá</w:t>
      </w:r>
      <w:r>
        <w:rPr>
          <w:rFonts w:hint="default"/>
        </w:rPr>
        <w:t>vä</w:t>
      </w:r>
      <w:r>
        <w:rPr>
          <w:rFonts w:hint="default"/>
        </w:rPr>
        <w:t>zkov a peň</w:t>
      </w:r>
      <w:r>
        <w:rPr>
          <w:rFonts w:hint="default"/>
        </w:rPr>
        <w:t>až</w:t>
      </w:r>
      <w:r>
        <w:rPr>
          <w:rFonts w:hint="default"/>
        </w:rPr>
        <w:t>ný</w:t>
      </w:r>
      <w:r>
        <w:rPr>
          <w:rFonts w:hint="default"/>
        </w:rPr>
        <w:t>ch prostriedkov spojený</w:t>
      </w:r>
      <w:r>
        <w:rPr>
          <w:rFonts w:hint="default"/>
        </w:rPr>
        <w:t>ch s poskytovaní</w:t>
      </w:r>
      <w:r>
        <w:rPr>
          <w:rFonts w:hint="default"/>
        </w:rPr>
        <w:t>m prostriedkov EÚ</w:t>
      </w:r>
      <w:r>
        <w:rPr>
          <w:rFonts w:hint="default"/>
        </w:rPr>
        <w:t xml:space="preserve"> </w:t>
      </w:r>
      <w:r>
        <w:rPr>
          <w:rFonts w:hint="default"/>
        </w:rPr>
        <w:t>a</w:t>
      </w:r>
      <w:r>
        <w:rPr>
          <w:rFonts w:hint="default"/>
        </w:rPr>
        <w:t xml:space="preserve">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 na spolufinancovanie, vrá</w:t>
      </w:r>
      <w:r>
        <w:rPr>
          <w:rFonts w:hint="default"/>
        </w:rPr>
        <w:t>tane vyhotovovania a predkladania ú</w:t>
      </w:r>
      <w:r>
        <w:rPr>
          <w:rFonts w:hint="default"/>
        </w:rPr>
        <w:t>dajov úč</w:t>
      </w:r>
      <w:r>
        <w:rPr>
          <w:rFonts w:hint="default"/>
        </w:rPr>
        <w:t>tovnej zá</w:t>
      </w:r>
      <w:r>
        <w:rPr>
          <w:rFonts w:hint="default"/>
        </w:rPr>
        <w:t>vierky za platobnú</w:t>
      </w:r>
      <w:r>
        <w:rPr>
          <w:rFonts w:hint="default"/>
        </w:rPr>
        <w:t xml:space="preserve"> jednotku. Odbor finanč</w:t>
      </w:r>
      <w:r>
        <w:rPr>
          <w:rFonts w:hint="default"/>
        </w:rPr>
        <w:t>né</w:t>
      </w:r>
      <w:r>
        <w:rPr>
          <w:rFonts w:hint="default"/>
        </w:rPr>
        <w:t>ho riadenia spravuje prí</w:t>
      </w:r>
      <w:r>
        <w:rPr>
          <w:rFonts w:hint="default"/>
        </w:rPr>
        <w:t>jmové</w:t>
      </w:r>
      <w:r>
        <w:rPr>
          <w:rFonts w:hint="default"/>
        </w:rPr>
        <w:t xml:space="preserve"> úč</w:t>
      </w:r>
      <w:r>
        <w:rPr>
          <w:rFonts w:hint="default"/>
        </w:rPr>
        <w:t>ty a vý</w:t>
      </w:r>
      <w:r>
        <w:rPr>
          <w:rFonts w:hint="default"/>
        </w:rPr>
        <w:t>davkové</w:t>
      </w:r>
      <w:r>
        <w:rPr>
          <w:rFonts w:hint="default"/>
        </w:rPr>
        <w:t xml:space="preserve"> úč</w:t>
      </w:r>
      <w:r>
        <w:rPr>
          <w:rFonts w:hint="default"/>
        </w:rPr>
        <w:t>ty platobnej jednotky v Š</w:t>
      </w:r>
      <w:r>
        <w:rPr>
          <w:rFonts w:hint="default"/>
        </w:rPr>
        <w:t>tá</w:t>
      </w:r>
      <w:r>
        <w:rPr>
          <w:rFonts w:hint="default"/>
        </w:rPr>
        <w:t>tnej pokladnici a rozpoč</w:t>
      </w:r>
      <w:r>
        <w:rPr>
          <w:rFonts w:hint="default"/>
        </w:rPr>
        <w:t>tuje prostriedky</w:t>
      </w:r>
      <w:r>
        <w:rPr>
          <w:rFonts w:hint="default"/>
        </w:rPr>
        <w:t xml:space="preserve"> </w:t>
      </w:r>
      <w:r>
        <w:rPr>
          <w:rFonts w:hint="default"/>
        </w:rPr>
        <w:t>š</w:t>
      </w:r>
      <w:r>
        <w:rPr>
          <w:rFonts w:hint="default"/>
        </w:rPr>
        <w:t>trukturá</w:t>
      </w:r>
      <w:r>
        <w:rPr>
          <w:rFonts w:hint="default"/>
        </w:rPr>
        <w:t>lny</w:t>
      </w:r>
      <w:r w:rsidR="008A655F">
        <w:t>ch fondov a </w:t>
      </w:r>
      <w:r>
        <w:rPr>
          <w:rFonts w:hint="default"/>
        </w:rPr>
        <w:t>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 na spolufinancovanie v š</w:t>
      </w:r>
      <w:r>
        <w:rPr>
          <w:rFonts w:hint="default"/>
        </w:rPr>
        <w:t>tá</w:t>
      </w:r>
      <w:r>
        <w:rPr>
          <w:rFonts w:hint="default"/>
        </w:rPr>
        <w:t>tnom rozpoč</w:t>
      </w:r>
      <w:r>
        <w:rPr>
          <w:rFonts w:hint="default"/>
        </w:rPr>
        <w:t>te pre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 rok. Zabezpeč</w:t>
      </w:r>
      <w:r>
        <w:rPr>
          <w:rFonts w:hint="default"/>
        </w:rPr>
        <w:t>uje zostavenie a zaslanie sú</w:t>
      </w:r>
      <w:r>
        <w:rPr>
          <w:rFonts w:hint="default"/>
        </w:rPr>
        <w:t>hrnný</w:t>
      </w:r>
      <w:r>
        <w:rPr>
          <w:rFonts w:hint="default"/>
        </w:rPr>
        <w:t>ch ž</w:t>
      </w:r>
      <w:r>
        <w:rPr>
          <w:rFonts w:hint="default"/>
        </w:rPr>
        <w:t>iadostí</w:t>
      </w:r>
      <w:r>
        <w:rPr>
          <w:rFonts w:hint="default"/>
        </w:rPr>
        <w:t xml:space="preserve"> o platbu a č</w:t>
      </w:r>
      <w:r>
        <w:rPr>
          <w:rFonts w:hint="default"/>
        </w:rPr>
        <w:t>iastkový</w:t>
      </w:r>
      <w:r>
        <w:rPr>
          <w:rFonts w:hint="default"/>
        </w:rPr>
        <w:t>ch vý</w:t>
      </w:r>
      <w:r>
        <w:rPr>
          <w:rFonts w:hint="default"/>
        </w:rPr>
        <w:t>kazov vý</w:t>
      </w:r>
      <w:r>
        <w:rPr>
          <w:rFonts w:hint="default"/>
        </w:rPr>
        <w:t>davkov certifikač</w:t>
      </w:r>
      <w:r>
        <w:rPr>
          <w:rFonts w:hint="default"/>
        </w:rPr>
        <w:t>né</w:t>
      </w:r>
      <w:r>
        <w:rPr>
          <w:rFonts w:hint="default"/>
        </w:rPr>
        <w:t>mu orgá</w:t>
      </w:r>
      <w:r>
        <w:rPr>
          <w:rFonts w:hint="default"/>
        </w:rPr>
        <w:t>nu podľ</w:t>
      </w:r>
      <w:r>
        <w:rPr>
          <w:rFonts w:hint="default"/>
        </w:rPr>
        <w:t>a stanovený</w:t>
      </w:r>
      <w:r>
        <w:rPr>
          <w:rFonts w:hint="default"/>
        </w:rPr>
        <w:t>ch termí</w:t>
      </w:r>
      <w:r>
        <w:rPr>
          <w:rFonts w:hint="default"/>
        </w:rPr>
        <w:t>nov osobitne za k</w:t>
      </w:r>
      <w:r>
        <w:rPr>
          <w:rFonts w:hint="default"/>
        </w:rPr>
        <w:t>až</w:t>
      </w:r>
      <w:r>
        <w:rPr>
          <w:rFonts w:hint="default"/>
        </w:rPr>
        <w:t>dý</w:t>
      </w:r>
      <w:r>
        <w:rPr>
          <w:rFonts w:hint="default"/>
        </w:rPr>
        <w:t xml:space="preserve"> fond.</w:t>
      </w:r>
    </w:p>
    <w:p w:rsidR="00EC4C5A" w:rsidP="00EC4C5A">
      <w:pPr>
        <w:bidi w:val="0"/>
        <w:rPr>
          <w:rFonts w:hint="default"/>
        </w:rPr>
      </w:pPr>
    </w:p>
    <w:p w:rsidR="00EC4C5A" w:rsidP="0037662E">
      <w:pPr>
        <w:keepNext/>
        <w:bidi w:val="0"/>
        <w:spacing w:after="0" w:line="240" w:lineRule="auto"/>
        <w:ind w:firstLine="0"/>
        <w:rPr>
          <w:b/>
          <w:sz w:val="22"/>
          <w:szCs w:val="22"/>
        </w:rPr>
      </w:pPr>
      <w:r w:rsidRPr="00EC4C5A">
        <w:rPr>
          <w:rFonts w:hint="default"/>
          <w:b/>
          <w:sz w:val="22"/>
          <w:szCs w:val="22"/>
        </w:rPr>
        <w:t>Č</w:t>
      </w:r>
      <w:r w:rsidRPr="00EC4C5A">
        <w:rPr>
          <w:rFonts w:hint="default"/>
          <w:b/>
          <w:sz w:val="22"/>
          <w:szCs w:val="22"/>
        </w:rPr>
        <w:t>erpani</w:t>
      </w:r>
      <w:r w:rsidR="00023F95">
        <w:rPr>
          <w:rFonts w:hint="default"/>
          <w:b/>
          <w:sz w:val="22"/>
          <w:szCs w:val="22"/>
        </w:rPr>
        <w:t>e  finanč</w:t>
      </w:r>
      <w:r w:rsidR="00023F95">
        <w:rPr>
          <w:rFonts w:hint="default"/>
          <w:b/>
          <w:sz w:val="22"/>
          <w:szCs w:val="22"/>
        </w:rPr>
        <w:t>ný</w:t>
      </w:r>
      <w:r w:rsidR="00023F95">
        <w:rPr>
          <w:rFonts w:hint="default"/>
          <w:b/>
          <w:sz w:val="22"/>
          <w:szCs w:val="22"/>
        </w:rPr>
        <w:t>ch prostriedkov za roku 2010 v </w:t>
      </w:r>
      <w:r w:rsidR="00023F95">
        <w:rPr>
          <w:rFonts w:hint="default"/>
          <w:b/>
          <w:sz w:val="22"/>
          <w:szCs w:val="22"/>
        </w:rPr>
        <w:t>€</w:t>
      </w:r>
    </w:p>
    <w:p w:rsidR="00EC4C5A" w:rsidRPr="00EC4C5A" w:rsidP="0037662E">
      <w:pPr>
        <w:keepNext/>
        <w:bidi w:val="0"/>
        <w:spacing w:after="0" w:line="240" w:lineRule="auto"/>
        <w:ind w:left="3540" w:firstLine="708"/>
        <w:jc w:val="right"/>
      </w:pPr>
      <w:r w:rsidRPr="00EC4C5A">
        <w:rPr>
          <w:rFonts w:hint="default"/>
          <w:sz w:val="22"/>
          <w:szCs w:val="22"/>
        </w:rPr>
        <w:t>Tabuľ</w:t>
      </w:r>
      <w:r w:rsidRPr="00EC4C5A">
        <w:rPr>
          <w:rFonts w:hint="default"/>
          <w:sz w:val="22"/>
          <w:szCs w:val="22"/>
        </w:rPr>
        <w:t>ka č.</w:t>
      </w:r>
      <w:r w:rsidR="002B45CD">
        <w:rPr>
          <w:sz w:val="22"/>
          <w:szCs w:val="22"/>
        </w:rPr>
        <w:t>1</w:t>
      </w:r>
    </w:p>
    <w:tbl>
      <w:tblPr>
        <w:tblStyle w:val="TableNormal"/>
        <w:tblW w:w="9229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</w:tblPr>
      <w:tblGrid>
        <w:gridCol w:w="4410"/>
        <w:gridCol w:w="1701"/>
        <w:gridCol w:w="1559"/>
        <w:gridCol w:w="1559"/>
      </w:tblGrid>
      <w:tr>
        <w:tblPrEx>
          <w:tblW w:w="9229" w:type="dxa"/>
          <w:tblInd w:w="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0" w:type="dxa"/>
            <w:tcBorders>
              <w:top w:val="single" w:sz="12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8000"/>
            <w:noWrap/>
            <w:textDirection w:val="lrTb"/>
            <w:vAlign w:val="center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0D491F">
              <w:rPr>
                <w:rFonts w:hint="default"/>
                <w:bCs/>
                <w:color w:val="FFFFFF"/>
                <w:sz w:val="22"/>
                <w:szCs w:val="22"/>
              </w:rPr>
              <w:t>Programový</w:t>
            </w:r>
            <w:r w:rsidRPr="000D491F">
              <w:rPr>
                <w:rFonts w:hint="default"/>
                <w:bCs/>
                <w:color w:val="FFFFFF"/>
                <w:sz w:val="22"/>
                <w:szCs w:val="22"/>
              </w:rPr>
              <w:t xml:space="preserve"> dokument</w:t>
            </w:r>
          </w:p>
        </w:tc>
        <w:tc>
          <w:tcPr>
            <w:tcW w:w="1701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0D491F">
              <w:rPr>
                <w:bCs/>
                <w:color w:val="FFFFFF"/>
                <w:sz w:val="22"/>
                <w:szCs w:val="22"/>
              </w:rPr>
              <w:t>ERDF</w:t>
            </w:r>
          </w:p>
        </w:tc>
        <w:tc>
          <w:tcPr>
            <w:tcW w:w="1559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8000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0D491F">
              <w:rPr>
                <w:rFonts w:hint="default"/>
                <w:bCs/>
                <w:color w:val="FFFFFF"/>
                <w:sz w:val="22"/>
                <w:szCs w:val="22"/>
              </w:rPr>
              <w:t>Š</w:t>
            </w:r>
            <w:r w:rsidRPr="000D491F">
              <w:rPr>
                <w:rFonts w:hint="default"/>
                <w:bCs/>
                <w:color w:val="FFFFFF"/>
                <w:sz w:val="22"/>
                <w:szCs w:val="22"/>
              </w:rPr>
              <w:t>R</w:t>
            </w:r>
          </w:p>
        </w:tc>
        <w:tc>
          <w:tcPr>
            <w:tcW w:w="1559" w:type="dxa"/>
            <w:tcBorders>
              <w:top w:val="single" w:sz="12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008000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center"/>
              <w:rPr>
                <w:bCs/>
                <w:color w:val="FFFFFF"/>
              </w:rPr>
            </w:pPr>
            <w:r w:rsidRPr="000D491F" w:rsidR="00023F95">
              <w:rPr>
                <w:bCs/>
                <w:color w:val="FFFFFF"/>
                <w:sz w:val="22"/>
                <w:szCs w:val="22"/>
              </w:rPr>
              <w:t>Spolu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1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CCFF99"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</w:pPr>
            <w:r w:rsidRPr="000D491F">
              <w:rPr>
                <w:rFonts w:hint="default"/>
                <w:sz w:val="22"/>
                <w:szCs w:val="22"/>
              </w:rPr>
              <w:t>Regioná</w:t>
            </w:r>
            <w:r w:rsidRPr="000D491F">
              <w:rPr>
                <w:rFonts w:hint="default"/>
                <w:sz w:val="22"/>
                <w:szCs w:val="22"/>
              </w:rPr>
              <w:t>lny operač</w:t>
            </w:r>
            <w:r w:rsidRPr="000D491F">
              <w:rPr>
                <w:rFonts w:hint="default"/>
                <w:sz w:val="22"/>
                <w:szCs w:val="22"/>
              </w:rPr>
              <w:t>ný</w:t>
            </w:r>
            <w:r w:rsidRPr="000D491F">
              <w:rPr>
                <w:rFonts w:hint="default"/>
                <w:sz w:val="22"/>
                <w:szCs w:val="22"/>
              </w:rPr>
              <w:t xml:space="preserve"> program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249 111 458,47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29 965 529,80</w:t>
            </w:r>
          </w:p>
        </w:tc>
        <w:tc>
          <w:tcPr>
            <w:tcW w:w="1559" w:type="dxa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279 076 988,27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CFF99"/>
            <w:textDirection w:val="lrTb"/>
            <w:vAlign w:val="bottom"/>
          </w:tcPr>
          <w:p w:rsidR="00EC4C5A" w:rsidRPr="000D491F" w:rsidP="00314BC1">
            <w:pPr>
              <w:keepNext/>
              <w:bidi w:val="0"/>
              <w:spacing w:after="0" w:line="240" w:lineRule="auto"/>
              <w:ind w:firstLine="0"/>
            </w:pPr>
            <w:r w:rsidRPr="000D491F">
              <w:rPr>
                <w:rFonts w:hint="default"/>
                <w:sz w:val="22"/>
                <w:szCs w:val="22"/>
              </w:rPr>
              <w:t>Operač</w:t>
            </w:r>
            <w:r w:rsidRPr="000D491F">
              <w:rPr>
                <w:rFonts w:hint="default"/>
                <w:sz w:val="22"/>
                <w:szCs w:val="22"/>
              </w:rPr>
              <w:t>ný</w:t>
            </w:r>
            <w:r w:rsidRPr="000D491F">
              <w:rPr>
                <w:rFonts w:hint="default"/>
                <w:sz w:val="22"/>
                <w:szCs w:val="22"/>
              </w:rPr>
              <w:t xml:space="preserve"> program Technická</w:t>
            </w:r>
            <w:r w:rsidRPr="000D491F">
              <w:rPr>
                <w:rFonts w:hint="default"/>
                <w:sz w:val="22"/>
                <w:szCs w:val="22"/>
              </w:rPr>
              <w:t xml:space="preserve"> pomoc</w:t>
            </w:r>
            <w:r w:rsidRPr="000D491F" w:rsidR="00023F95">
              <w:rPr>
                <w:sz w:val="22"/>
                <w:szCs w:val="22"/>
              </w:rPr>
              <w:t>*</w:t>
            </w:r>
            <w:r w:rsidRPr="000D49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6 131 242,50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1 409 384,12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7 540 626,62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CFF99"/>
            <w:textDirection w:val="lrTb"/>
            <w:vAlign w:val="bottom"/>
          </w:tcPr>
          <w:p w:rsidR="00EC4C5A" w:rsidRPr="000D491F" w:rsidP="00314BC1">
            <w:pPr>
              <w:keepNext/>
              <w:bidi w:val="0"/>
              <w:spacing w:after="0" w:line="240" w:lineRule="auto"/>
              <w:ind w:firstLine="0"/>
            </w:pPr>
            <w:r w:rsidRPr="000D491F">
              <w:rPr>
                <w:rFonts w:hint="default"/>
                <w:sz w:val="22"/>
                <w:szCs w:val="22"/>
              </w:rPr>
              <w:t>Operač</w:t>
            </w:r>
            <w:r w:rsidRPr="000D491F">
              <w:rPr>
                <w:rFonts w:hint="default"/>
                <w:sz w:val="22"/>
                <w:szCs w:val="22"/>
              </w:rPr>
              <w:t>ný</w:t>
            </w:r>
            <w:r w:rsidRPr="000D491F">
              <w:rPr>
                <w:rFonts w:hint="default"/>
                <w:sz w:val="22"/>
                <w:szCs w:val="22"/>
              </w:rPr>
              <w:t xml:space="preserve"> program Bratislavský</w:t>
            </w:r>
            <w:r w:rsidRPr="000D491F">
              <w:rPr>
                <w:rFonts w:hint="default"/>
                <w:sz w:val="22"/>
                <w:szCs w:val="22"/>
              </w:rPr>
              <w:t xml:space="preserve"> kraj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9 995 345,85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1 392 412,82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11 387 758,67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CFF99"/>
            <w:textDirection w:val="lrTb"/>
            <w:vAlign w:val="bottom"/>
          </w:tcPr>
          <w:p w:rsidR="00EC4C5A" w:rsidRPr="000D491F" w:rsidP="00314BC1">
            <w:pPr>
              <w:keepNext/>
              <w:bidi w:val="0"/>
              <w:spacing w:after="0" w:line="240" w:lineRule="auto"/>
              <w:ind w:firstLine="0"/>
            </w:pPr>
            <w:r w:rsidRPr="000D491F">
              <w:rPr>
                <w:rFonts w:hint="default"/>
                <w:sz w:val="22"/>
                <w:szCs w:val="22"/>
              </w:rPr>
              <w:t>Cezhranič</w:t>
            </w:r>
            <w:r w:rsidRPr="000D491F">
              <w:rPr>
                <w:rFonts w:hint="default"/>
                <w:sz w:val="22"/>
                <w:szCs w:val="22"/>
              </w:rPr>
              <w:t>ná</w:t>
            </w:r>
            <w:r w:rsidRPr="000D491F">
              <w:rPr>
                <w:rFonts w:hint="default"/>
                <w:sz w:val="22"/>
                <w:szCs w:val="22"/>
              </w:rPr>
              <w:t xml:space="preserve"> spoluprá</w:t>
            </w:r>
            <w:r w:rsidRPr="000D491F">
              <w:rPr>
                <w:rFonts w:hint="default"/>
                <w:sz w:val="22"/>
                <w:szCs w:val="22"/>
              </w:rPr>
              <w:t>ca Č</w:t>
            </w:r>
            <w:r w:rsidRPr="000D491F">
              <w:rPr>
                <w:rFonts w:hint="default"/>
                <w:sz w:val="22"/>
                <w:szCs w:val="22"/>
              </w:rPr>
              <w:t>R-SR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813 611,86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813 611,86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CFF99"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</w:pPr>
            <w:r w:rsidRPr="000D491F">
              <w:rPr>
                <w:rFonts w:hint="default"/>
                <w:sz w:val="22"/>
                <w:szCs w:val="22"/>
              </w:rPr>
              <w:t>Cezhranič</w:t>
            </w:r>
            <w:r w:rsidRPr="000D491F">
              <w:rPr>
                <w:rFonts w:hint="default"/>
                <w:sz w:val="22"/>
                <w:szCs w:val="22"/>
              </w:rPr>
              <w:t>ná</w:t>
            </w:r>
            <w:r w:rsidRPr="000D491F">
              <w:rPr>
                <w:rFonts w:hint="default"/>
                <w:sz w:val="22"/>
                <w:szCs w:val="22"/>
              </w:rPr>
              <w:t xml:space="preserve"> spoluprá</w:t>
            </w:r>
            <w:r w:rsidRPr="000D491F">
              <w:rPr>
                <w:rFonts w:hint="default"/>
                <w:sz w:val="22"/>
                <w:szCs w:val="22"/>
              </w:rPr>
              <w:t>ca**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734 920,66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734 920,66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410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</w:pPr>
            <w:r w:rsidRPr="000D491F" w:rsidR="00023F95">
              <w:rPr>
                <w:sz w:val="22"/>
                <w:szCs w:val="22"/>
              </w:rPr>
              <w:t>Spolu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265 238 046,82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34 315 859,26</w:t>
            </w:r>
          </w:p>
        </w:tc>
        <w:tc>
          <w:tcPr>
            <w:tcW w:w="1559" w:type="dxa"/>
            <w:tcBorders>
              <w:top w:val="nil"/>
              <w:left w:val="single" w:sz="8" w:space="0" w:color="FFFFFF"/>
              <w:bottom w:val="single" w:sz="12" w:space="0" w:color="FFFFFF"/>
              <w:right w:val="nil"/>
            </w:tcBorders>
            <w:shd w:val="clear" w:color="auto" w:fill="CCFF99"/>
            <w:noWrap/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jc w:val="right"/>
              <w:rPr>
                <w:color w:val="000000"/>
              </w:rPr>
            </w:pPr>
            <w:r w:rsidRPr="000D491F">
              <w:rPr>
                <w:color w:val="000000"/>
                <w:sz w:val="22"/>
                <w:szCs w:val="22"/>
              </w:rPr>
              <w:t>299 553 906,08</w:t>
            </w:r>
          </w:p>
        </w:tc>
      </w:tr>
      <w:tr>
        <w:tblPrEx>
          <w:tblW w:w="9229" w:type="dxa"/>
          <w:tblInd w:w="55" w:type="dxa"/>
          <w:tblCellMar>
            <w:left w:w="70" w:type="dxa"/>
            <w:right w:w="70" w:type="dxa"/>
          </w:tblCellMar>
        </w:tblPrEx>
        <w:trPr>
          <w:trHeight w:val="435"/>
        </w:trPr>
        <w:tc>
          <w:tcPr>
            <w:tcW w:w="9229" w:type="dxa"/>
            <w:gridSpan w:val="4"/>
            <w:tcBorders>
              <w:top w:val="single" w:sz="12" w:space="0" w:color="FFFFFF"/>
              <w:left w:val="nil"/>
              <w:bottom w:val="nil"/>
              <w:right w:val="nil"/>
            </w:tcBorders>
            <w:textDirection w:val="lrTb"/>
            <w:vAlign w:val="bottom"/>
          </w:tcPr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D491F" w:rsidR="008A655F">
              <w:rPr>
                <w:rFonts w:hint="default"/>
                <w:sz w:val="20"/>
                <w:szCs w:val="20"/>
              </w:rPr>
              <w:t>Prameň</w:t>
            </w:r>
            <w:r w:rsidRPr="000D491F" w:rsidR="008A655F">
              <w:rPr>
                <w:rFonts w:hint="default"/>
                <w:sz w:val="20"/>
                <w:szCs w:val="20"/>
              </w:rPr>
              <w:t>: APRR</w:t>
            </w:r>
          </w:p>
          <w:p w:rsidR="00EC4C5A" w:rsidRPr="000D491F" w:rsidP="0037662E">
            <w:pPr>
              <w:keepNext/>
              <w:bidi w:val="0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0D491F">
              <w:rPr>
                <w:sz w:val="20"/>
                <w:szCs w:val="20"/>
              </w:rPr>
              <w:t>*financova</w:t>
            </w:r>
            <w:r w:rsidRPr="000D491F">
              <w:rPr>
                <w:rFonts w:hint="default"/>
                <w:sz w:val="20"/>
                <w:szCs w:val="20"/>
              </w:rPr>
              <w:t>nie ukonč</w:t>
            </w:r>
            <w:r w:rsidRPr="000D491F">
              <w:rPr>
                <w:rFonts w:hint="default"/>
                <w:sz w:val="20"/>
                <w:szCs w:val="20"/>
              </w:rPr>
              <w:t>ené</w:t>
            </w:r>
            <w:r w:rsidRPr="000D491F">
              <w:rPr>
                <w:rFonts w:hint="default"/>
                <w:sz w:val="20"/>
                <w:szCs w:val="20"/>
              </w:rPr>
              <w:t xml:space="preserve">  30.6.20</w:t>
            </w:r>
            <w:r w:rsidRPr="000D491F" w:rsidR="00BF7F99">
              <w:rPr>
                <w:sz w:val="20"/>
                <w:szCs w:val="20"/>
              </w:rPr>
              <w:t xml:space="preserve">10 </w:t>
            </w:r>
            <w:r w:rsidRPr="000D491F" w:rsidR="00BF7F99">
              <w:rPr>
                <w:rFonts w:hint="default"/>
                <w:sz w:val="20"/>
                <w:szCs w:val="20"/>
              </w:rPr>
              <w:t>–</w:t>
            </w:r>
            <w:r w:rsidRPr="000D491F" w:rsidR="00BF7F99">
              <w:rPr>
                <w:rFonts w:hint="default"/>
                <w:sz w:val="20"/>
                <w:szCs w:val="20"/>
              </w:rPr>
              <w:t xml:space="preserve"> OP TP bol delimitovaný</w:t>
            </w:r>
            <w:r w:rsidRPr="000D491F" w:rsidR="00BF7F99">
              <w:rPr>
                <w:rFonts w:hint="default"/>
                <w:sz w:val="20"/>
                <w:szCs w:val="20"/>
              </w:rPr>
              <w:t xml:space="preserve"> na </w:t>
            </w:r>
            <w:r w:rsidR="00BC76F1">
              <w:rPr>
                <w:rFonts w:hint="default"/>
                <w:sz w:val="20"/>
                <w:szCs w:val="20"/>
              </w:rPr>
              <w:t>Ministerstvo dopravy, vý</w:t>
            </w:r>
            <w:r w:rsidR="00BC76F1">
              <w:rPr>
                <w:rFonts w:hint="default"/>
                <w:sz w:val="20"/>
                <w:szCs w:val="20"/>
              </w:rPr>
              <w:t>stavby a </w:t>
            </w:r>
            <w:r w:rsidR="00BC76F1">
              <w:rPr>
                <w:rFonts w:hint="default"/>
                <w:sz w:val="20"/>
                <w:szCs w:val="20"/>
              </w:rPr>
              <w:t>regioná</w:t>
            </w:r>
            <w:r w:rsidR="00BC76F1">
              <w:rPr>
                <w:rFonts w:hint="default"/>
                <w:sz w:val="20"/>
                <w:szCs w:val="20"/>
              </w:rPr>
              <w:t>lneho rozvoja SR</w:t>
            </w:r>
          </w:p>
          <w:p w:rsidR="00EC4C5A" w:rsidRPr="000D491F" w:rsidP="00BC76F1">
            <w:pPr>
              <w:keepNext/>
              <w:bidi w:val="0"/>
              <w:spacing w:after="0" w:line="240" w:lineRule="auto"/>
              <w:ind w:firstLine="0"/>
              <w:rPr>
                <w:rFonts w:hint="default"/>
                <w:sz w:val="20"/>
                <w:szCs w:val="20"/>
              </w:rPr>
            </w:pPr>
            <w:r w:rsidRPr="000D491F">
              <w:rPr>
                <w:sz w:val="20"/>
                <w:szCs w:val="20"/>
              </w:rPr>
              <w:t xml:space="preserve">** </w:t>
            </w:r>
            <w:r w:rsidR="00BC76F1">
              <w:rPr>
                <w:sz w:val="20"/>
                <w:szCs w:val="20"/>
              </w:rPr>
              <w:t>v</w:t>
            </w:r>
            <w:r w:rsidRPr="000D491F">
              <w:rPr>
                <w:rFonts w:hint="default"/>
                <w:sz w:val="20"/>
                <w:szCs w:val="20"/>
              </w:rPr>
              <w:t xml:space="preserve"> prí</w:t>
            </w:r>
            <w:r w:rsidRPr="000D491F">
              <w:rPr>
                <w:rFonts w:hint="default"/>
                <w:sz w:val="20"/>
                <w:szCs w:val="20"/>
              </w:rPr>
              <w:t>pade programov cezhranič</w:t>
            </w:r>
            <w:r w:rsidRPr="000D491F">
              <w:rPr>
                <w:rFonts w:hint="default"/>
                <w:sz w:val="20"/>
                <w:szCs w:val="20"/>
              </w:rPr>
              <w:t>nej spoluprá</w:t>
            </w:r>
            <w:r w:rsidRPr="000D491F">
              <w:rPr>
                <w:rFonts w:hint="default"/>
                <w:sz w:val="20"/>
                <w:szCs w:val="20"/>
              </w:rPr>
              <w:t>ce platobná</w:t>
            </w:r>
            <w:r w:rsidRPr="000D491F">
              <w:rPr>
                <w:rFonts w:hint="default"/>
                <w:sz w:val="20"/>
                <w:szCs w:val="20"/>
              </w:rPr>
              <w:t xml:space="preserve"> jednotka uhrá</w:t>
            </w:r>
            <w:r w:rsidRPr="000D491F">
              <w:rPr>
                <w:rFonts w:hint="default"/>
                <w:sz w:val="20"/>
                <w:szCs w:val="20"/>
              </w:rPr>
              <w:t>dza len č</w:t>
            </w:r>
            <w:r w:rsidRPr="000D491F">
              <w:rPr>
                <w:rFonts w:hint="default"/>
                <w:sz w:val="20"/>
                <w:szCs w:val="20"/>
              </w:rPr>
              <w:t>asť</w:t>
            </w:r>
            <w:r w:rsidRPr="000D491F">
              <w:rPr>
                <w:rFonts w:hint="default"/>
                <w:sz w:val="20"/>
                <w:szCs w:val="20"/>
              </w:rPr>
              <w:t xml:space="preserve"> spolufinancovania zo š</w:t>
            </w:r>
            <w:r w:rsidRPr="000D491F">
              <w:rPr>
                <w:rFonts w:hint="default"/>
                <w:sz w:val="20"/>
                <w:szCs w:val="20"/>
              </w:rPr>
              <w:t>tá</w:t>
            </w:r>
            <w:r w:rsidRPr="000D491F">
              <w:rPr>
                <w:rFonts w:hint="default"/>
                <w:sz w:val="20"/>
                <w:szCs w:val="20"/>
              </w:rPr>
              <w:t>tneho rozpoč</w:t>
            </w:r>
            <w:r w:rsidRPr="000D491F">
              <w:rPr>
                <w:rFonts w:hint="default"/>
                <w:sz w:val="20"/>
                <w:szCs w:val="20"/>
              </w:rPr>
              <w:t>tu</w:t>
            </w:r>
          </w:p>
        </w:tc>
      </w:tr>
    </w:tbl>
    <w:p w:rsidR="00A04C5A" w:rsidP="00A04C5A">
      <w:pPr>
        <w:bidi w:val="0"/>
      </w:pPr>
    </w:p>
    <w:p w:rsidR="00BC76F1" w:rsidP="00BC76F1">
      <w:pPr>
        <w:bidi w:val="0"/>
        <w:rPr>
          <w:rFonts w:hint="default"/>
        </w:rPr>
      </w:pPr>
      <w:r>
        <w:t>Celkovo v roku 2010 boli</w:t>
      </w:r>
      <w:r>
        <w:rPr>
          <w:rFonts w:hint="default"/>
        </w:rPr>
        <w:t xml:space="preserve"> platobnou jednotkou realizované</w:t>
      </w:r>
      <w:r>
        <w:rPr>
          <w:rFonts w:hint="default"/>
        </w:rPr>
        <w:t xml:space="preserve"> platby prijí</w:t>
      </w:r>
      <w:r>
        <w:rPr>
          <w:rFonts w:hint="default"/>
        </w:rPr>
        <w:t>mateľ</w:t>
      </w:r>
      <w:r>
        <w:rPr>
          <w:rFonts w:hint="default"/>
        </w:rPr>
        <w:t>om pomoci na zá</w:t>
      </w:r>
      <w:r>
        <w:rPr>
          <w:rFonts w:hint="default"/>
        </w:rPr>
        <w:t>klade ž</w:t>
      </w:r>
      <w:r>
        <w:rPr>
          <w:rFonts w:hint="default"/>
        </w:rPr>
        <w:t>iadostí</w:t>
      </w:r>
      <w:r>
        <w:rPr>
          <w:rFonts w:hint="default"/>
        </w:rPr>
        <w:t xml:space="preserve"> o platbu systé</w:t>
      </w:r>
      <w:r>
        <w:rPr>
          <w:rFonts w:hint="default"/>
        </w:rPr>
        <w:t>mom predfinancovania, zá</w:t>
      </w:r>
      <w:r>
        <w:rPr>
          <w:rFonts w:hint="default"/>
        </w:rPr>
        <w:t>lohový</w:t>
      </w:r>
      <w:r>
        <w:rPr>
          <w:rFonts w:hint="default"/>
        </w:rPr>
        <w:t>ch platieb a </w:t>
      </w:r>
      <w:r>
        <w:rPr>
          <w:rFonts w:hint="default"/>
        </w:rPr>
        <w:t>refundá</w:t>
      </w:r>
      <w:r>
        <w:rPr>
          <w:rFonts w:hint="default"/>
        </w:rPr>
        <w:t>cie v celkovej sume 299 553 906,08 </w:t>
      </w:r>
      <w:r>
        <w:rPr>
          <w:rFonts w:hint="default"/>
        </w:rPr>
        <w:t>€</w:t>
      </w:r>
      <w:r>
        <w:rPr>
          <w:rFonts w:hint="default"/>
        </w:rPr>
        <w:t>. Z toho ERDF: 265 238 046,82 </w:t>
      </w:r>
      <w:r>
        <w:rPr>
          <w:rFonts w:hint="default"/>
        </w:rPr>
        <w:t>€</w:t>
      </w:r>
      <w:r>
        <w:rPr>
          <w:rFonts w:hint="default"/>
        </w:rPr>
        <w:t>; spolufinancovanie zo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tu: 34 </w:t>
      </w:r>
      <w:r>
        <w:rPr>
          <w:rFonts w:hint="default"/>
        </w:rPr>
        <w:t>315 859,26 </w:t>
      </w:r>
      <w:r>
        <w:rPr>
          <w:rFonts w:hint="default"/>
        </w:rPr>
        <w:t>€.</w:t>
      </w:r>
    </w:p>
    <w:p w:rsidR="00BC76F1" w:rsidP="00A04C5A">
      <w:pPr>
        <w:bidi w:val="0"/>
      </w:pPr>
    </w:p>
    <w:sectPr w:rsidSect="00120049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198">
    <w:pPr>
      <w:pStyle w:val="Footer"/>
      <w:bidi w:val="0"/>
      <w:jc w:val="center"/>
    </w:pPr>
    <w:r w:rsidR="00DD5B21">
      <w:fldChar w:fldCharType="begin"/>
    </w:r>
    <w:r w:rsidR="00DD5B21">
      <w:instrText xml:space="preserve"> PAGE   \* MERGEFORMAT </w:instrText>
    </w:r>
    <w:r w:rsidR="00DD5B21">
      <w:fldChar w:fldCharType="separate"/>
    </w:r>
    <w:r w:rsidR="007C2DEB">
      <w:rPr>
        <w:noProof/>
      </w:rPr>
      <w:t>1</w:t>
    </w:r>
    <w:r w:rsidR="00DD5B21">
      <w:fldChar w:fldCharType="end"/>
    </w:r>
  </w:p>
  <w:p w:rsidR="0098019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ADA"/>
    <w:multiLevelType w:val="multilevel"/>
    <w:tmpl w:val="43EE95CA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1">
    <w:nsid w:val="076B4D9C"/>
    <w:multiLevelType w:val="hybridMultilevel"/>
    <w:tmpl w:val="6BF657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A95D5E"/>
    <w:multiLevelType w:val="hybridMultilevel"/>
    <w:tmpl w:val="F5763B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5D25DDD"/>
    <w:multiLevelType w:val="hybridMultilevel"/>
    <w:tmpl w:val="4288E90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864431"/>
    <w:multiLevelType w:val="hybridMultilevel"/>
    <w:tmpl w:val="8800DBC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186901"/>
    <w:multiLevelType w:val="hybridMultilevel"/>
    <w:tmpl w:val="1062D05C"/>
    <w:lvl w:ilvl="0">
      <w:start w:val="0"/>
      <w:numFmt w:val="bullet"/>
      <w:lvlText w:val="-"/>
      <w:lvlJc w:val="left"/>
      <w:pPr>
        <w:ind w:left="2119" w:hanging="1410"/>
      </w:pPr>
      <w:rPr>
        <w:rFonts w:ascii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2"/>
    </w:lvlOverride>
  </w:num>
  <w:num w:numId="9">
    <w:abstractNumId w:val="0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0"/>
  </w:num>
  <w:num w:numId="17">
    <w:abstractNumId w:val="4"/>
  </w:num>
  <w:num w:numId="18">
    <w:abstractNumId w:val="3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141AF"/>
    <w:rsid w:val="00023F95"/>
    <w:rsid w:val="00031DD2"/>
    <w:rsid w:val="00054415"/>
    <w:rsid w:val="00066816"/>
    <w:rsid w:val="00067212"/>
    <w:rsid w:val="000B169F"/>
    <w:rsid w:val="000D491F"/>
    <w:rsid w:val="000E019C"/>
    <w:rsid w:val="000E4359"/>
    <w:rsid w:val="0011410E"/>
    <w:rsid w:val="00120049"/>
    <w:rsid w:val="00137172"/>
    <w:rsid w:val="00156A74"/>
    <w:rsid w:val="00182980"/>
    <w:rsid w:val="00206FAD"/>
    <w:rsid w:val="00231DF1"/>
    <w:rsid w:val="00234EC9"/>
    <w:rsid w:val="00242DBB"/>
    <w:rsid w:val="00250AD1"/>
    <w:rsid w:val="002909CA"/>
    <w:rsid w:val="002B45CD"/>
    <w:rsid w:val="002F2FB1"/>
    <w:rsid w:val="00314BC1"/>
    <w:rsid w:val="00330009"/>
    <w:rsid w:val="0037662E"/>
    <w:rsid w:val="004446B9"/>
    <w:rsid w:val="00466126"/>
    <w:rsid w:val="00473E0E"/>
    <w:rsid w:val="004B01EA"/>
    <w:rsid w:val="004B04A1"/>
    <w:rsid w:val="004B7272"/>
    <w:rsid w:val="004D0C58"/>
    <w:rsid w:val="004F4119"/>
    <w:rsid w:val="00510964"/>
    <w:rsid w:val="00523350"/>
    <w:rsid w:val="00585B40"/>
    <w:rsid w:val="005A456D"/>
    <w:rsid w:val="005B545F"/>
    <w:rsid w:val="005B5A6D"/>
    <w:rsid w:val="005C71C9"/>
    <w:rsid w:val="0063759D"/>
    <w:rsid w:val="00643F0F"/>
    <w:rsid w:val="00651333"/>
    <w:rsid w:val="006A4588"/>
    <w:rsid w:val="006E59E4"/>
    <w:rsid w:val="006F451B"/>
    <w:rsid w:val="0071481F"/>
    <w:rsid w:val="00725B55"/>
    <w:rsid w:val="0074242A"/>
    <w:rsid w:val="00762F93"/>
    <w:rsid w:val="007873AE"/>
    <w:rsid w:val="007C2DEB"/>
    <w:rsid w:val="007D54D8"/>
    <w:rsid w:val="0082266C"/>
    <w:rsid w:val="00850B5E"/>
    <w:rsid w:val="008A655F"/>
    <w:rsid w:val="008B0BAC"/>
    <w:rsid w:val="009200DF"/>
    <w:rsid w:val="009439EA"/>
    <w:rsid w:val="00980198"/>
    <w:rsid w:val="00986A6B"/>
    <w:rsid w:val="009F3220"/>
    <w:rsid w:val="00A04C5A"/>
    <w:rsid w:val="00A46EEB"/>
    <w:rsid w:val="00AE48B1"/>
    <w:rsid w:val="00B42B27"/>
    <w:rsid w:val="00B500F2"/>
    <w:rsid w:val="00BC00C3"/>
    <w:rsid w:val="00BC76F1"/>
    <w:rsid w:val="00BE2B89"/>
    <w:rsid w:val="00BF7F99"/>
    <w:rsid w:val="00C141AF"/>
    <w:rsid w:val="00C951E7"/>
    <w:rsid w:val="00CB4C9F"/>
    <w:rsid w:val="00CB7F4A"/>
    <w:rsid w:val="00DD5B21"/>
    <w:rsid w:val="00DF0AFB"/>
    <w:rsid w:val="00E52759"/>
    <w:rsid w:val="00EC4C5A"/>
    <w:rsid w:val="00F041CB"/>
    <w:rsid w:val="00F40E1B"/>
    <w:rsid w:val="00F41065"/>
    <w:rsid w:val="00F452B1"/>
    <w:rsid w:val="00F9753F"/>
    <w:rsid w:val="00FE520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1AF"/>
    <w:pPr>
      <w:framePr w:wrap="auto"/>
      <w:widowControl/>
      <w:autoSpaceDE/>
      <w:autoSpaceDN/>
      <w:adjustRightInd/>
      <w:spacing w:after="60" w:line="320" w:lineRule="exact"/>
      <w:ind w:left="0" w:right="0" w:firstLine="709"/>
      <w:jc w:val="both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89"/>
    <w:pPr>
      <w:keepNext/>
      <w:keepLines/>
      <w:spacing w:before="120" w:after="120"/>
      <w:ind w:firstLine="0"/>
      <w:jc w:val="both"/>
      <w:outlineLvl w:val="0"/>
    </w:pPr>
    <w:rPr>
      <w:rFonts w:ascii="Times New Roman" w:eastAsia="Times New Roman" w:hAnsi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5A6D"/>
    <w:pPr>
      <w:keepNext/>
      <w:keepLines/>
      <w:numPr>
        <w:numId w:val="1"/>
      </w:numPr>
      <w:spacing w:before="240" w:after="120"/>
      <w:ind w:left="720" w:hanging="360"/>
      <w:jc w:val="left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5A6D"/>
    <w:pPr>
      <w:keepNext/>
      <w:keepLines/>
      <w:spacing w:before="240" w:after="120"/>
      <w:ind w:firstLine="0"/>
      <w:jc w:val="both"/>
      <w:outlineLvl w:val="2"/>
    </w:pPr>
    <w:rPr>
      <w:rFonts w:ascii="Times New Roman" w:eastAsia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759"/>
    <w:pPr>
      <w:keepNext/>
      <w:keepLines/>
      <w:spacing w:before="200" w:after="0"/>
      <w:ind w:firstLine="0"/>
      <w:jc w:val="both"/>
      <w:outlineLvl w:val="3"/>
    </w:pPr>
    <w:rPr>
      <w:rFonts w:ascii="Times New Roman" w:eastAsia="Times New Roman" w:hAnsi="Times New Roman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BE2B89"/>
    <w:rPr>
      <w:rFonts w:ascii="Times New Roman" w:hAnsi="Times New Roman" w:cs="Times New Roman"/>
      <w:b/>
      <w:bCs/>
      <w:caps/>
      <w:sz w:val="24"/>
      <w:szCs w:val="24"/>
      <w:rtl w:val="0"/>
      <w:cs w:val="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B5A6D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52759"/>
    <w:rPr>
      <w:rFonts w:ascii="Times New Roman" w:hAnsi="Times New Roman" w:cs="Times New Roman"/>
      <w:b/>
      <w:bCs/>
      <w:iCs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E52759"/>
    <w:pPr>
      <w:ind w:left="720"/>
      <w:contextualSpacing/>
      <w:jc w:val="both"/>
    </w:pPr>
  </w:style>
  <w:style w:type="character" w:styleId="FootnoteReference">
    <w:name w:val="footnote reference"/>
    <w:basedOn w:val="DefaultParagraphFont"/>
    <w:semiHidden/>
    <w:rsid w:val="007D54D8"/>
    <w:rPr>
      <w:rFonts w:cs="Times New Roman"/>
      <w:vertAlign w:val="superscript"/>
      <w:rtl w:val="0"/>
      <w:cs w:val="0"/>
    </w:rPr>
  </w:style>
  <w:style w:type="paragraph" w:styleId="BodyText">
    <w:name w:val="Body Text"/>
    <w:basedOn w:val="Normal"/>
    <w:link w:val="BodyText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lang w:eastAsia="sk-SK"/>
    </w:rPr>
  </w:style>
  <w:style w:type="character" w:customStyle="1" w:styleId="BodyTextChar">
    <w:name w:val="Body Text Char"/>
    <w:basedOn w:val="DefaultParagraphFont"/>
    <w:link w:val="BodyText"/>
    <w:semiHidden/>
    <w:locked/>
    <w:rsid w:val="007D54D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semiHidden/>
    <w:rsid w:val="007D54D8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BodyText2Char"/>
    <w:semiHidden/>
    <w:rsid w:val="007D54D8"/>
    <w:pPr>
      <w:spacing w:after="0" w:line="240" w:lineRule="auto"/>
      <w:ind w:firstLine="0"/>
      <w:jc w:val="both"/>
    </w:pPr>
    <w:rPr>
      <w:rFonts w:ascii="Times New Roman" w:eastAsia="Times New Roman" w:hAnsi="Times New Roman"/>
      <w:color w:val="FF0000"/>
      <w:lang w:eastAsia="sk-SK"/>
    </w:rPr>
  </w:style>
  <w:style w:type="character" w:customStyle="1" w:styleId="BodyText2Char">
    <w:name w:val="Body Text 2 Char"/>
    <w:basedOn w:val="DefaultParagraphFont"/>
    <w:link w:val="BodyText2"/>
    <w:semiHidden/>
    <w:locked/>
    <w:rsid w:val="007D54D8"/>
    <w:rPr>
      <w:rFonts w:ascii="Times New Roman" w:hAnsi="Times New Roman" w:cs="Times New Roman"/>
      <w:color w:val="FF0000"/>
      <w:sz w:val="24"/>
      <w:szCs w:val="24"/>
      <w:rtl w:val="0"/>
      <w:cs w:val="0"/>
      <w:lang w:val="x-none" w:eastAsia="sk-SK"/>
    </w:rPr>
  </w:style>
  <w:style w:type="paragraph" w:styleId="FootnoteText">
    <w:name w:val="footnote text"/>
    <w:basedOn w:val="Normal"/>
    <w:link w:val="FootnoteTextChar"/>
    <w:semiHidden/>
    <w:rsid w:val="007D54D8"/>
    <w:pPr>
      <w:spacing w:after="0" w:line="240" w:lineRule="auto"/>
      <w:ind w:firstLine="0"/>
      <w:jc w:val="left"/>
    </w:pPr>
    <w:rPr>
      <w:rFonts w:ascii="Times New Roman" w:eastAsia="Times New Roman" w:hAnsi="Times New Roman"/>
      <w:sz w:val="20"/>
      <w:szCs w:val="20"/>
      <w:lang w:val="cs-CZ" w:eastAsia="sk-SK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cs-CZ" w:eastAsia="sk-SK"/>
    </w:rPr>
  </w:style>
  <w:style w:type="character" w:styleId="Strong">
    <w:name w:val="Strong"/>
    <w:basedOn w:val="DefaultParagraphFont"/>
    <w:qFormat/>
    <w:rsid w:val="007D54D8"/>
    <w:rPr>
      <w:rFonts w:cs="Times New Roman"/>
      <w:b/>
      <w:bCs/>
      <w:rtl w:val="0"/>
      <w:cs w:val="0"/>
    </w:rPr>
  </w:style>
  <w:style w:type="table" w:styleId="TableGrid">
    <w:name w:val="Table Grid"/>
    <w:basedOn w:val="TableNormal"/>
    <w:uiPriority w:val="59"/>
    <w:rsid w:val="007D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Záhlaví Char Char,Záhlaví Char Char Char"/>
    <w:basedOn w:val="Normal"/>
    <w:link w:val="HeaderChar"/>
    <w:semiHidden/>
    <w:rsid w:val="007D54D8"/>
    <w:pPr>
      <w:tabs>
        <w:tab w:val="center" w:pos="4536"/>
        <w:tab w:val="right" w:pos="9072"/>
      </w:tabs>
      <w:spacing w:after="0" w:line="240" w:lineRule="auto"/>
      <w:ind w:firstLine="0"/>
      <w:jc w:val="left"/>
    </w:pPr>
    <w:rPr>
      <w:rFonts w:ascii="Times New Roman" w:eastAsia="Times New Roman" w:hAnsi="Times New Roman"/>
      <w:sz w:val="22"/>
      <w:szCs w:val="20"/>
      <w:lang w:eastAsia="sk-SK"/>
    </w:rPr>
  </w:style>
  <w:style w:type="character" w:customStyle="1" w:styleId="HeaderChar">
    <w:name w:val="Header Char"/>
    <w:aliases w:val="Záhlaví Char Char Char Char,Záhlaví Char Char Char1"/>
    <w:basedOn w:val="DefaultParagraphFont"/>
    <w:link w:val="Header"/>
    <w:semiHidden/>
    <w:locked/>
    <w:rsid w:val="007D54D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4D8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54D8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980198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198"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2761</Words>
  <Characters>15740</Characters>
  <Application>Microsoft Office Word</Application>
  <DocSecurity>0</DocSecurity>
  <Lines>0</Lines>
  <Paragraphs>0</Paragraphs>
  <ScaleCrop>false</ScaleCrop>
  <Company>Kancelaria NR SR</Company>
  <LinksUpToDate>false</LinksUpToDate>
  <CharactersWithSpaces>18465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trubacova</dc:creator>
  <cp:lastModifiedBy>Gašparíková, Jarmila</cp:lastModifiedBy>
  <cp:revision>2</cp:revision>
  <cp:lastPrinted>2011-06-03T11:32:00Z</cp:lastPrinted>
  <dcterms:created xsi:type="dcterms:W3CDTF">2011-09-23T11:41:00Z</dcterms:created>
  <dcterms:modified xsi:type="dcterms:W3CDTF">2011-09-23T11:41:00Z</dcterms:modified>
</cp:coreProperties>
</file>